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69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ПОРЯДОК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возврата остатка субсидии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на выполнение муниципального задания</w:t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left="0" w:right="0" w:firstLine="0"/>
        <w:jc w:val="center"/>
        <w:spacing w:after="0" w:afterAutospacing="0"/>
        <w:widowControl w:val="off"/>
        <w:rPr>
          <w:rFonts w:ascii="PT Astra Serif" w:hAnsi="PT Astra Serif" w:cs="PT Astra Serif"/>
          <w:i/>
          <w:iCs/>
          <w:sz w:val="24"/>
          <w:szCs w:val="24"/>
        </w:rPr>
        <w:outlineLvl w:val="0"/>
      </w:pP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(в ред. приказа </w:t>
      </w:r>
      <w:r>
        <w:rPr>
          <w:rFonts w:ascii="PT Astra Serif" w:hAnsi="PT Astra Serif" w:eastAsia="PT Astra Serif" w:cs="PT Astra Serif"/>
          <w:i/>
          <w:iCs/>
          <w:sz w:val="24"/>
          <w:szCs w:val="24"/>
        </w:rPr>
        <w:t xml:space="preserve">от 19.08.2026 № 111)</w:t>
      </w:r>
      <w:r>
        <w:rPr>
          <w:rFonts w:ascii="PT Astra Serif" w:hAnsi="PT Astra Serif" w:cs="PT Astra Serif"/>
          <w:i/>
          <w:iCs/>
          <w:sz w:val="24"/>
          <w:szCs w:val="24"/>
        </w:rPr>
      </w:r>
      <w:r>
        <w:rPr>
          <w:rFonts w:ascii="PT Astra Serif" w:hAnsi="PT Astra Serif" w:cs="PT Astra Serif"/>
          <w:i/>
          <w:iCs/>
          <w:sz w:val="24"/>
          <w:szCs w:val="24"/>
        </w:rPr>
      </w:r>
    </w:p>
    <w:p>
      <w:pPr>
        <w:pStyle w:val="869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       1. Настоящий Порядок возврата остатка субсидии на выполнение муниципального задания (далее - Порядок) разработан в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  <w:lang w:val="en-US"/>
        </w:rPr>
        <w:t xml:space="preserve"> 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соответствии со статьей 4 Федерального закона от 03.11.2015 № 301-ФЗ «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О внесении изменений в отдельные законодательные акты Российской Федерации в связи с Федеральным законом «О федеральном бюджете на 2016 год», постановлением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Администрации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ЗАТО Северск от 02.11.2015 № 2457 (далее – Постановление)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и определяет механизм и процедуру возврата остатка субсидии на выполнение муниципального задания (далее - остаток субсидии)</w:t>
      </w:r>
      <w:r>
        <w:rPr>
          <w:rFonts w:ascii="PT Astra Serif" w:hAnsi="PT Astra Serif" w:eastAsia="PT Astra Serif" w:cs="PT Astra Serif"/>
          <w:b w:val="0"/>
          <w:bCs w:val="0"/>
          <w:i/>
          <w:color w:val="000000" w:themeColor="text1"/>
          <w:sz w:val="24"/>
          <w:szCs w:val="24"/>
          <w:highlight w:val="white"/>
          <w:u w:val="none"/>
        </w:rPr>
        <w:t xml:space="preserve">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муниципальными бюджетными и автономными учреждениями, лицевые счета которым открыты в органе Федерального казначейства (далее -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 муниципальные учреждения).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2. Основанием для возврата остатка субсидии на выполнение муниципально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го задания являются: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1) данные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предварительного отчета об исполнении муниципального задания, представляемого муниципальным учреждением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в порядке и в сроки, установленные Постановлением;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2) данные годового отчета о выполнении муниципального задания, представляемого муниципальным учреждением в порядке и в сроки,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установленные Постановлением.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3. В случае если по данным предварительного отчета прогнозируется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исполнение муниципального задания в меньшем объеме, чем это предусмотрено муниципальным заданием,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орган Администрации ЗАТО Северск, осуществляющий функции и полномочия учредителя (далее – Учредитель):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1) 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издает заключение об объеме субсидии, подлежащей возврату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по прилагаемой форме (Приложение 1);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2) направляет муниципальным учреждениям письменное требование о возврате остатка субсидии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в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бюджет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ЗАТО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Северск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в срок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не позднее 15 дней со дня поступления предварительного отчета в текущем финансового году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;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3) согласовывают с учреждением источник возврата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неиспользованных остатков субсидии.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Источниками возврата средств субсидии в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бюджет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ЗАТО Северск, обязательства по которому возникают на основании подпункта 1 пункта 2 настоящего Приказа могут являться: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- неиспользованные средства субсидии, выделенной на выполнение муниципального задания в текущем финансовом году;</w:t>
      </w:r>
      <w:r>
        <w:rPr>
          <w:rFonts w:ascii="PT Astra Serif" w:hAnsi="PT Astra Serif" w:eastAsia="PT Astra Serif" w:cs="PT Astra Serif" w:eastAsiaTheme="minorHAnsi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уменьшение объема субсидии в декабре текущего финансового года пропорционально невыполненным значениям показателей, исходя из установленных нормативных затрат на оказание услуги (выполнение работы)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.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Источниками возврата средств субсидии в 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бюджет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 ЗАТО Северск, обязательства по которому возникают на основании подпункта 2 пункта 2 настоящего Приказа могут являться: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- неиспользованные остатки средств субсидии, сложившиеся по состоянию на 1 января очередного финансового года;</w:t>
      </w:r>
      <w:r>
        <w:rPr>
          <w:rFonts w:ascii="PT Astra Serif" w:hAnsi="PT Astra Serif" w:eastAsia="PT Astra Serif" w:cs="PT Astra Serif" w:eastAsiaTheme="minorHAnsi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- 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уменьшение объема субсидии в очередном финансовом году пропорционально невыполненным значениям показателей, исходя из нормативных затрат на оказание услуги (выполнение работы), установленных на отчетный финансовый год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;</w:t>
      </w:r>
      <w:r>
        <w:rPr>
          <w:rFonts w:ascii="PT Astra Serif" w:hAnsi="PT Astra Serif" w:eastAsia="PT Astra Serif" w:cs="PT Astra Serif" w:eastAsiaTheme="minorHAnsi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strike/>
          <w:color w:val="000000" w:themeColor="text1"/>
          <w:sz w:val="24"/>
          <w:szCs w:val="24"/>
          <w:highlight w:val="white"/>
          <w:u w:val="none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  <w:lang w:eastAsia="en-US"/>
        </w:rPr>
        <w:t xml:space="preserve">- увеличение объема муниципального задания в очередном финансовом году                          (в пределах невыполненных объемов отчетного финансового года) без увеличения объема субсидии на выполнение муниципального задания очередного финансового года.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4"/>
        </w:rPr>
        <w:t xml:space="preserve">4. Муниципальные учреждения осуществляют возврат остатка субсидии в следующие сроки: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4"/>
        </w:rPr>
        <w:t xml:space="preserve">1) до 28 декабря текущего финансового года на основании предварительного отчета об исполнении муниципального задания, как восстановление кассового расхода;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4"/>
        </w:rPr>
        <w:t xml:space="preserve"> 2) в течение 10 календарных дней с момента поступления письменного требования   от Учредителя о возврате соответствующей части субсидии, на основании годового отчета  об исполнении муниципального задания, в доход бюджета ЗАТО Северск, но не позд</w:t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нее 1 апреля года, следующего за отчетным.</w:t>
      </w:r>
      <w:r>
        <w:rPr>
          <w:rFonts w:ascii="PT Astra Serif" w:hAnsi="PT Astra Serif" w:eastAsia="PT Astra Serif" w:cs="PT Astra Serif"/>
        </w:rPr>
      </w:r>
    </w:p>
    <w:p>
      <w:pPr>
        <w:ind w:left="0" w:right="0" w:firstLine="709"/>
        <w:jc w:val="both"/>
        <w:spacing w:after="0" w:afterAutospacing="0"/>
        <w:rPr>
          <w:rFonts w:ascii="PT Astra Serif" w:hAnsi="PT Astra Serif" w:cs="PT Astra Serif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PT Astra Serif" w:hAnsi="PT Astra Serif" w:eastAsia="PT Astra Serif" w:cs="PT Astra Serif"/>
          <w:color w:val="000000"/>
          <w:sz w:val="24"/>
        </w:rPr>
        <w:t xml:space="preserve">Перечисление остатка субсидии в доход бюджета ЗАТО Северск осуществляется в соответствии с требованиями приказа Минфина России от 24.05.2022 № 82н «О Порядке формирования и применения кодов бюджетной классификации Российской Фед</w:t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ерации, их структуре и принципах назначения», приказов начальника Финансового управления по детализации доходов, на основании платежных документов, оформленных в установленном органом Федерального казначейства </w:t>
      </w:r>
      <w:hyperlink r:id="rId11" w:tooltip="consultantplus://offline/ref=4115FAD1A1D9C481F51126B03BC93663C5E2D5FD4F7AB32EEC320F35A4996F5F733F5AEC80306962D955F" w:history="1">
        <w:r>
          <w:rPr>
            <w:rStyle w:val="845"/>
            <w:rFonts w:ascii="PT Astra Serif" w:hAnsi="PT Astra Serif" w:eastAsia="PT Astra Serif" w:cs="PT Astra Serif"/>
            <w:color w:val="000000"/>
            <w:sz w:val="24"/>
            <w:u w:val="none"/>
          </w:rPr>
          <w:t xml:space="preserve">порядке</w:t>
        </w:r>
      </w:hyperlink>
      <w:r>
        <w:rPr>
          <w:rFonts w:ascii="PT Astra Serif" w:hAnsi="PT Astra Serif" w:eastAsia="PT Astra Serif" w:cs="PT Astra Serif"/>
          <w:color w:val="000000"/>
          <w:sz w:val="24"/>
        </w:rPr>
        <w:t xml:space="preserve">, на </w:t>
      </w:r>
      <w:hyperlink r:id="rId12" w:tooltip="consultantplus://offline/ref=4115FAD1A1D9C481F51126B03BC93663C5ECD4FA427AB32EEC320F35A4996F5F733F5AEC80306A62D95CF" w:history="1">
        <w:r>
          <w:rPr>
            <w:rStyle w:val="845"/>
            <w:rFonts w:ascii="PT Astra Serif" w:hAnsi="PT Astra Serif" w:eastAsia="PT Astra Serif" w:cs="PT Astra Serif"/>
            <w:color w:val="000000"/>
            <w:sz w:val="24"/>
            <w:u w:val="none"/>
          </w:rPr>
          <w:t xml:space="preserve">счет № 4010</w:t>
        </w:r>
      </w:hyperlink>
      <w:r>
        <w:rPr>
          <w:rFonts w:ascii="PT Astra Serif" w:hAnsi="PT Astra Serif" w:eastAsia="PT Astra Serif" w:cs="PT Astra Serif"/>
          <w:color w:val="000000"/>
          <w:sz w:val="24"/>
        </w:rPr>
        <w:t xml:space="preserve">2 по месту открытия лицевого счета администратора доходов бюджета главному администратору (администратору) доходов бюджета.</w:t>
      </w:r>
      <w:r>
        <w:rPr>
          <w:rFonts w:ascii="PT Astra Serif" w:hAnsi="PT Astra Serif" w:eastAsia="PT Astra Serif" w:cs="PT Astra Serif"/>
        </w:rPr>
      </w:r>
    </w:p>
    <w:p>
      <w:pPr>
        <w:ind w:firstLine="54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color w:val="000000"/>
          <w:sz w:val="24"/>
        </w:rPr>
        <w:t xml:space="preserve">Отражение в бухгалтерском учете операций осуществляется согласно положениям Федерального стандарта </w:t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бухгалтерского учета государственных финансов «План счетов бухгалтерского учета  бюджетных и автономных учреждений», утвержденного приказом Минфина России 20.09.2024 № 133н, </w:t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Приказа Минфина России от 29.11.2017 № 209н «Об утверждении Порядка применения классификации операций сектора государственног</w:t>
      </w:r>
      <w:r>
        <w:rPr>
          <w:rFonts w:ascii="PT Astra Serif" w:hAnsi="PT Astra Serif" w:eastAsia="PT Astra Serif" w:cs="PT Astra Serif"/>
          <w:color w:val="000000"/>
          <w:sz w:val="24"/>
        </w:rPr>
        <w:t xml:space="preserve">о управления».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ind w:left="0" w:right="0" w:firstLine="0"/>
        <w:jc w:val="both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i/>
          <w:iCs/>
          <w:color w:val="000000" w:themeColor="text1"/>
          <w:sz w:val="24"/>
          <w:szCs w:val="24"/>
          <w:highlight w:val="none"/>
          <w:u w:val="none"/>
        </w:rPr>
        <w:t xml:space="preserve">(п.4 в редакции приказа от 19.08.2026 № 111)</w:t>
      </w:r>
      <w:r>
        <w:rPr>
          <w:rFonts w:ascii="PT Astra Serif" w:hAnsi="PT Astra Serif" w:eastAsia="PT Astra Serif" w:cs="PT Astra Serif" w:eastAsiaTheme="minorHAnsi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ind w:firstLine="540"/>
        <w:jc w:val="right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non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Приложение 1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non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none"/>
          <w:u w:val="none"/>
        </w:rPr>
      </w:r>
    </w:p>
    <w:p>
      <w:pPr>
        <w:pStyle w:val="870"/>
        <w:ind w:firstLine="540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Заключение об объемах субсидии, подлежащей возврату за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________год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ind w:firstLine="540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tbl>
      <w:tblPr>
        <w:tblStyle w:val="719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pStyle w:val="870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Дата составления (текущая)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pStyle w:val="870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Орган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Администрации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 ЗАТО Северск, осуществляющий функции и полномочия учредителя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pStyle w:val="870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Учреждение (полное наименование)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pStyle w:val="870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Соглашение (номер и дата)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</w:tbl>
    <w:p>
      <w:pPr>
        <w:pStyle w:val="870"/>
        <w:ind w:firstLine="540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ind w:firstLine="540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tbl>
      <w:tblPr>
        <w:tblStyle w:val="719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Наименование показателя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Сумма, рублей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>
          <w:trHeight w:val="461"/>
        </w:trPr>
        <w:tc>
          <w:tcPr>
            <w:tcW w:w="4927" w:type="dxa"/>
            <w:textDirection w:val="lrTb"/>
            <w:noWrap w:val="false"/>
          </w:tcPr>
          <w:p>
            <w:pPr>
              <w:pStyle w:val="870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Субсидия, подлежащая возврату по услугам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pStyle w:val="870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Субсидия, подлежащая возврату по работам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  <w:tr>
        <w:tblPrEx/>
        <w:trPr/>
        <w:tc>
          <w:tcPr>
            <w:tcW w:w="4927" w:type="dxa"/>
            <w:textDirection w:val="lrTb"/>
            <w:noWrap w:val="false"/>
          </w:tcPr>
          <w:p>
            <w:pPr>
              <w:pStyle w:val="870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  <w:t xml:space="preserve">Всего подлежит возврату </w:t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  <w:tc>
          <w:tcPr>
            <w:tcW w:w="4928" w:type="dxa"/>
            <w:textDirection w:val="lrTb"/>
            <w:noWrap w:val="false"/>
          </w:tcPr>
          <w:p>
            <w:pPr>
              <w:pStyle w:val="870"/>
              <w:jc w:val="center"/>
              <w:spacing w:after="0" w:afterAutospacing="0"/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pP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eastAsia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  <w:r>
              <w:rPr>
                <w:rFonts w:ascii="PT Astra Serif" w:hAnsi="PT Astra Serif" w:cs="PT Astra Serif"/>
                <w:b w:val="0"/>
                <w:bCs w:val="0"/>
                <w:color w:val="000000" w:themeColor="text1"/>
                <w:sz w:val="24"/>
                <w:szCs w:val="24"/>
                <w:highlight w:val="white"/>
                <w:u w:val="none"/>
              </w:rPr>
            </w:r>
          </w:p>
        </w:tc>
      </w:tr>
    </w:tbl>
    <w:p>
      <w:pPr>
        <w:pStyle w:val="870"/>
        <w:ind w:firstLine="540"/>
        <w:jc w:val="center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Руководитель (уполномоченное лицо)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органа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Администрации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 ЗАТО Северск,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осуществляющего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 функции и 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полномочия учредителя                                      ___________         ________________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870"/>
        <w:ind w:firstLine="540"/>
        <w:spacing w:after="0" w:afterAutospacing="0"/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  <w:t xml:space="preserve">                                                                          (подпись)        (расшифровка подписи)</w:t>
      </w:r>
      <w:r>
        <w:rPr>
          <w:rFonts w:ascii="PT Astra Serif" w:hAnsi="PT Astra Serif" w:eastAsia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  <w:r>
        <w:rPr>
          <w:rFonts w:ascii="PT Astra Serif" w:hAnsi="PT Astra Serif" w:cs="PT Astra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sectPr>
      <w:headerReference w:type="default" r:id="rId8"/>
      <w:headerReference w:type="first" r:id="rId9"/>
      <w:footerReference w:type="first" r:id="rId10"/>
      <w:footnotePr/>
      <w:endnotePr/>
      <w:type w:val="nextPage"/>
      <w:pgSz w:w="11906" w:h="16838" w:orient="portrait"/>
      <w:pgMar w:top="1020" w:right="567" w:bottom="283" w:left="1587" w:header="709" w:footer="709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PT Astra Serif">
    <w:panose1 w:val="020A0603040505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5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13"/>
      <w:jc w:val="right"/>
      <w:rPr>
        <w:rFonts w:ascii="PT Astra Serif" w:hAnsi="PT Astra Serif" w:cs="PT Astra Serif"/>
        <w:sz w:val="20"/>
        <w:szCs w:val="20"/>
      </w:rPr>
    </w:pPr>
    <w:r>
      <w:rPr>
        <w:rFonts w:ascii="PT Astra Serif" w:hAnsi="PT Astra Serif" w:eastAsia="PT Astra Serif" w:cs="PT Astra Serif"/>
        <w:sz w:val="20"/>
        <w:szCs w:val="20"/>
      </w:rPr>
      <w:t xml:space="preserve">Утвержден приказом начальника Финансового управления от 29.06.2016 № 72</w:t>
    </w:r>
    <w:r>
      <w:rPr>
        <w:rFonts w:ascii="PT Astra Serif" w:hAnsi="PT Astra Serif" w:cs="PT Astra Serif"/>
        <w:sz w:val="20"/>
        <w:szCs w:val="20"/>
      </w:rPr>
    </w:r>
    <w:r>
      <w:rPr>
        <w:rFonts w:ascii="PT Astra Serif" w:hAnsi="PT Astra Serif" w:cs="PT Astra Serif"/>
        <w:sz w:val="20"/>
        <w:szCs w:val="20"/>
      </w:rPr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3"/>
    <w:next w:val="863"/>
    <w:link w:val="688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88">
    <w:name w:val="Heading 1 Char"/>
    <w:link w:val="687"/>
    <w:uiPriority w:val="9"/>
    <w:rPr>
      <w:rFonts w:ascii="Arial" w:hAnsi="Arial" w:eastAsia="Arial" w:cs="Arial"/>
      <w:sz w:val="40"/>
      <w:szCs w:val="40"/>
    </w:rPr>
  </w:style>
  <w:style w:type="paragraph" w:styleId="689">
    <w:name w:val="Heading 2"/>
    <w:basedOn w:val="863"/>
    <w:next w:val="863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90">
    <w:name w:val="Heading 2 Char"/>
    <w:link w:val="689"/>
    <w:uiPriority w:val="9"/>
    <w:rPr>
      <w:rFonts w:ascii="Arial" w:hAnsi="Arial" w:eastAsia="Arial" w:cs="Arial"/>
      <w:sz w:val="34"/>
    </w:rPr>
  </w:style>
  <w:style w:type="paragraph" w:styleId="691">
    <w:name w:val="Heading 3"/>
    <w:basedOn w:val="863"/>
    <w:next w:val="863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92">
    <w:name w:val="Heading 3 Char"/>
    <w:link w:val="691"/>
    <w:uiPriority w:val="9"/>
    <w:rPr>
      <w:rFonts w:ascii="Arial" w:hAnsi="Arial" w:eastAsia="Arial" w:cs="Arial"/>
      <w:sz w:val="30"/>
      <w:szCs w:val="30"/>
    </w:rPr>
  </w:style>
  <w:style w:type="paragraph" w:styleId="693">
    <w:name w:val="Heading 4"/>
    <w:basedOn w:val="863"/>
    <w:next w:val="863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Arial" w:hAnsi="Arial" w:eastAsia="Arial" w:cs="Arial"/>
      <w:b/>
      <w:bCs/>
      <w:sz w:val="26"/>
      <w:szCs w:val="26"/>
    </w:rPr>
  </w:style>
  <w:style w:type="paragraph" w:styleId="695">
    <w:name w:val="Heading 5"/>
    <w:basedOn w:val="863"/>
    <w:next w:val="863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Arial" w:hAnsi="Arial" w:eastAsia="Arial" w:cs="Arial"/>
      <w:b/>
      <w:bCs/>
      <w:sz w:val="24"/>
      <w:szCs w:val="24"/>
    </w:rPr>
  </w:style>
  <w:style w:type="paragraph" w:styleId="697">
    <w:name w:val="Heading 6"/>
    <w:basedOn w:val="863"/>
    <w:next w:val="863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Arial" w:hAnsi="Arial" w:eastAsia="Arial" w:cs="Arial"/>
      <w:b/>
      <w:bCs/>
      <w:sz w:val="22"/>
      <w:szCs w:val="22"/>
    </w:rPr>
  </w:style>
  <w:style w:type="paragraph" w:styleId="699">
    <w:name w:val="Heading 7"/>
    <w:basedOn w:val="863"/>
    <w:next w:val="863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01">
    <w:name w:val="Heading 8"/>
    <w:basedOn w:val="863"/>
    <w:next w:val="863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Arial" w:hAnsi="Arial" w:eastAsia="Arial" w:cs="Arial"/>
      <w:i/>
      <w:iCs/>
      <w:sz w:val="22"/>
      <w:szCs w:val="22"/>
    </w:rPr>
  </w:style>
  <w:style w:type="paragraph" w:styleId="703">
    <w:name w:val="Heading 9"/>
    <w:basedOn w:val="863"/>
    <w:next w:val="863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Title"/>
    <w:basedOn w:val="863"/>
    <w:next w:val="863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>
    <w:name w:val="Title Char"/>
    <w:link w:val="705"/>
    <w:uiPriority w:val="10"/>
    <w:rPr>
      <w:sz w:val="48"/>
      <w:szCs w:val="48"/>
    </w:rPr>
  </w:style>
  <w:style w:type="paragraph" w:styleId="707">
    <w:name w:val="Subtitle"/>
    <w:basedOn w:val="863"/>
    <w:next w:val="863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>
    <w:name w:val="Subtitle Char"/>
    <w:link w:val="707"/>
    <w:uiPriority w:val="11"/>
    <w:rPr>
      <w:sz w:val="24"/>
      <w:szCs w:val="24"/>
    </w:rPr>
  </w:style>
  <w:style w:type="paragraph" w:styleId="709">
    <w:name w:val="Quote"/>
    <w:basedOn w:val="863"/>
    <w:next w:val="863"/>
    <w:link w:val="710"/>
    <w:uiPriority w:val="29"/>
    <w:qFormat/>
    <w:pPr>
      <w:ind w:left="720" w:right="720"/>
    </w:pPr>
    <w:rPr>
      <w:i/>
    </w:rPr>
  </w:style>
  <w:style w:type="character" w:styleId="710">
    <w:name w:val="Quote Char"/>
    <w:link w:val="709"/>
    <w:uiPriority w:val="29"/>
    <w:rPr>
      <w:i/>
    </w:rPr>
  </w:style>
  <w:style w:type="paragraph" w:styleId="711">
    <w:name w:val="Intense Quote"/>
    <w:basedOn w:val="863"/>
    <w:next w:val="863"/>
    <w:link w:val="71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>
    <w:name w:val="Intense Quote Char"/>
    <w:link w:val="711"/>
    <w:uiPriority w:val="30"/>
    <w:rPr>
      <w:i/>
    </w:rPr>
  </w:style>
  <w:style w:type="paragraph" w:styleId="713">
    <w:name w:val="Header"/>
    <w:basedOn w:val="863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>
    <w:name w:val="Header Char"/>
    <w:link w:val="713"/>
    <w:uiPriority w:val="99"/>
  </w:style>
  <w:style w:type="paragraph" w:styleId="715">
    <w:name w:val="Footer"/>
    <w:basedOn w:val="863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Footer Char"/>
    <w:link w:val="715"/>
    <w:uiPriority w:val="99"/>
  </w:style>
  <w:style w:type="paragraph" w:styleId="717">
    <w:name w:val="Caption"/>
    <w:basedOn w:val="863"/>
    <w:next w:val="863"/>
    <w:link w:val="7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18">
    <w:name w:val="Caption Char"/>
    <w:link w:val="717"/>
    <w:uiPriority w:val="35"/>
    <w:rPr>
      <w:b/>
      <w:bCs/>
      <w:color w:val="4f81bd" w:themeColor="accent1"/>
      <w:sz w:val="18"/>
      <w:szCs w:val="18"/>
    </w:rPr>
  </w:style>
  <w:style w:type="table" w:styleId="719">
    <w:name w:val="Table Grid"/>
    <w:basedOn w:val="86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0">
    <w:name w:val="Table Grid Light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1">
    <w:name w:val="Plain Table 1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2">
    <w:name w:val="Plain Table 2"/>
    <w:basedOn w:val="86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3">
    <w:name w:val="Plain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4">
    <w:name w:val="Plain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>
    <w:name w:val="Plain Table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6">
    <w:name w:val="Grid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Grid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Grid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8">
    <w:name w:val="Grid Table 4 - Accent 1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9">
    <w:name w:val="Grid Table 4 - Accent 2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0">
    <w:name w:val="Grid Table 4 - Accent 3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1">
    <w:name w:val="Grid Table 4 - Accent 4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2">
    <w:name w:val="Grid Table 4 - Accent 5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3">
    <w:name w:val="Grid Table 4 - Accent 6"/>
    <w:basedOn w:val="86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4">
    <w:name w:val="Grid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5">
    <w:name w:val="Grid Table 5 Dark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56">
    <w:name w:val="Grid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57">
    <w:name w:val="Grid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58">
    <w:name w:val="Grid Table 5 Dark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60">
    <w:name w:val="Grid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61">
    <w:name w:val="Grid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62">
    <w:name w:val="Grid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63">
    <w:name w:val="Grid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64">
    <w:name w:val="Grid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65">
    <w:name w:val="Grid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66">
    <w:name w:val="Grid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7">
    <w:name w:val="Grid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68">
    <w:name w:val="Grid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List Table 1 Light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List Table 1 Light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3">
    <w:name w:val="List Table 2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4">
    <w:name w:val="List Table 2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5">
    <w:name w:val="List Table 2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6">
    <w:name w:val="List Table 2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7">
    <w:name w:val="List Table 2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88">
    <w:name w:val="List Table 2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9">
    <w:name w:val="List Table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3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3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4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5 Dark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4">
    <w:name w:val="List Table 5 Dark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5">
    <w:name w:val="List Table 5 Dark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6">
    <w:name w:val="List Table 5 Dark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7">
    <w:name w:val="List Table 5 Dark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8">
    <w:name w:val="List Table 5 Dark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9">
    <w:name w:val="List Table 5 Dark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0">
    <w:name w:val="List Table 6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1">
    <w:name w:val="List Table 6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2">
    <w:name w:val="List Table 6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3">
    <w:name w:val="List Table 6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4">
    <w:name w:val="List Table 6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5">
    <w:name w:val="List Table 6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6">
    <w:name w:val="List Table 6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7">
    <w:name w:val="List Table 7 Colorful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18">
    <w:name w:val="List Table 7 Colorful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9">
    <w:name w:val="List Table 7 Colorful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20">
    <w:name w:val="List Table 7 Colorful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21">
    <w:name w:val="List Table 7 Colorful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22">
    <w:name w:val="List Table 7 Colorful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23">
    <w:name w:val="List Table 7 Colorful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24">
    <w:name w:val="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5">
    <w:name w:val="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6">
    <w:name w:val="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7">
    <w:name w:val="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8">
    <w:name w:val="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9">
    <w:name w:val="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0">
    <w:name w:val="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1">
    <w:name w:val="Bordered &amp; Lined - Accent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2">
    <w:name w:val="Bordered &amp; Lined - Accent 1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33">
    <w:name w:val="Bordered &amp; Lined - Accent 2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34">
    <w:name w:val="Bordered &amp; Lined - Accent 3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35">
    <w:name w:val="Bordered &amp; Lined - Accent 4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36">
    <w:name w:val="Bordered &amp; Lined - Accent 5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37">
    <w:name w:val="Bordered &amp; Lined - Accent 6"/>
    <w:basedOn w:val="86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38">
    <w:name w:val="Bordered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9">
    <w:name w:val="Bordered - Accent 1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0">
    <w:name w:val="Bordered - Accent 2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1">
    <w:name w:val="Bordered - Accent 3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2">
    <w:name w:val="Bordered - Accent 4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3">
    <w:name w:val="Bordered - Accent 5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4">
    <w:name w:val="Bordered - Accent 6"/>
    <w:basedOn w:val="86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5">
    <w:name w:val="Hyperlink"/>
    <w:uiPriority w:val="99"/>
    <w:unhideWhenUsed/>
    <w:rPr>
      <w:color w:val="0000ff" w:themeColor="hyperlink"/>
      <w:u w:val="single"/>
    </w:rPr>
  </w:style>
  <w:style w:type="paragraph" w:styleId="846">
    <w:name w:val="footnote text"/>
    <w:basedOn w:val="863"/>
    <w:link w:val="847"/>
    <w:uiPriority w:val="99"/>
    <w:semiHidden/>
    <w:unhideWhenUsed/>
    <w:pPr>
      <w:spacing w:after="40" w:line="240" w:lineRule="auto"/>
    </w:pPr>
    <w:rPr>
      <w:sz w:val="18"/>
    </w:rPr>
  </w:style>
  <w:style w:type="character" w:styleId="847">
    <w:name w:val="Footnote Text Char"/>
    <w:link w:val="846"/>
    <w:uiPriority w:val="99"/>
    <w:rPr>
      <w:sz w:val="18"/>
    </w:rPr>
  </w:style>
  <w:style w:type="character" w:styleId="848">
    <w:name w:val="footnote reference"/>
    <w:uiPriority w:val="99"/>
    <w:unhideWhenUsed/>
    <w:rPr>
      <w:vertAlign w:val="superscript"/>
    </w:rPr>
  </w:style>
  <w:style w:type="paragraph" w:styleId="849">
    <w:name w:val="endnote text"/>
    <w:basedOn w:val="863"/>
    <w:link w:val="850"/>
    <w:uiPriority w:val="99"/>
    <w:semiHidden/>
    <w:unhideWhenUsed/>
    <w:pPr>
      <w:spacing w:after="0" w:line="240" w:lineRule="auto"/>
    </w:pPr>
    <w:rPr>
      <w:sz w:val="20"/>
    </w:rPr>
  </w:style>
  <w:style w:type="character" w:styleId="850">
    <w:name w:val="Endnote Text Char"/>
    <w:link w:val="849"/>
    <w:uiPriority w:val="99"/>
    <w:rPr>
      <w:sz w:val="20"/>
    </w:rPr>
  </w:style>
  <w:style w:type="character" w:styleId="851">
    <w:name w:val="endnote reference"/>
    <w:uiPriority w:val="99"/>
    <w:semiHidden/>
    <w:unhideWhenUsed/>
    <w:rPr>
      <w:vertAlign w:val="superscript"/>
    </w:rPr>
  </w:style>
  <w:style w:type="paragraph" w:styleId="852">
    <w:name w:val="toc 1"/>
    <w:basedOn w:val="863"/>
    <w:next w:val="863"/>
    <w:uiPriority w:val="39"/>
    <w:unhideWhenUsed/>
    <w:pPr>
      <w:ind w:left="0" w:right="0" w:firstLine="0"/>
      <w:spacing w:after="57"/>
    </w:pPr>
  </w:style>
  <w:style w:type="paragraph" w:styleId="853">
    <w:name w:val="toc 2"/>
    <w:basedOn w:val="863"/>
    <w:next w:val="863"/>
    <w:uiPriority w:val="39"/>
    <w:unhideWhenUsed/>
    <w:pPr>
      <w:ind w:left="283" w:right="0" w:firstLine="0"/>
      <w:spacing w:after="57"/>
    </w:pPr>
  </w:style>
  <w:style w:type="paragraph" w:styleId="854">
    <w:name w:val="toc 3"/>
    <w:basedOn w:val="863"/>
    <w:next w:val="863"/>
    <w:uiPriority w:val="39"/>
    <w:unhideWhenUsed/>
    <w:pPr>
      <w:ind w:left="567" w:right="0" w:firstLine="0"/>
      <w:spacing w:after="57"/>
    </w:pPr>
  </w:style>
  <w:style w:type="paragraph" w:styleId="855">
    <w:name w:val="toc 4"/>
    <w:basedOn w:val="863"/>
    <w:next w:val="863"/>
    <w:uiPriority w:val="39"/>
    <w:unhideWhenUsed/>
    <w:pPr>
      <w:ind w:left="850" w:right="0" w:firstLine="0"/>
      <w:spacing w:after="57"/>
    </w:pPr>
  </w:style>
  <w:style w:type="paragraph" w:styleId="856">
    <w:name w:val="toc 5"/>
    <w:basedOn w:val="863"/>
    <w:next w:val="863"/>
    <w:uiPriority w:val="39"/>
    <w:unhideWhenUsed/>
    <w:pPr>
      <w:ind w:left="1134" w:right="0" w:firstLine="0"/>
      <w:spacing w:after="57"/>
    </w:pPr>
  </w:style>
  <w:style w:type="paragraph" w:styleId="857">
    <w:name w:val="toc 6"/>
    <w:basedOn w:val="863"/>
    <w:next w:val="863"/>
    <w:uiPriority w:val="39"/>
    <w:unhideWhenUsed/>
    <w:pPr>
      <w:ind w:left="1417" w:right="0" w:firstLine="0"/>
      <w:spacing w:after="57"/>
    </w:pPr>
  </w:style>
  <w:style w:type="paragraph" w:styleId="858">
    <w:name w:val="toc 7"/>
    <w:basedOn w:val="863"/>
    <w:next w:val="863"/>
    <w:uiPriority w:val="39"/>
    <w:unhideWhenUsed/>
    <w:pPr>
      <w:ind w:left="1701" w:right="0" w:firstLine="0"/>
      <w:spacing w:after="57"/>
    </w:pPr>
  </w:style>
  <w:style w:type="paragraph" w:styleId="859">
    <w:name w:val="toc 8"/>
    <w:basedOn w:val="863"/>
    <w:next w:val="863"/>
    <w:uiPriority w:val="39"/>
    <w:unhideWhenUsed/>
    <w:pPr>
      <w:ind w:left="1984" w:right="0" w:firstLine="0"/>
      <w:spacing w:after="57"/>
    </w:pPr>
  </w:style>
  <w:style w:type="paragraph" w:styleId="860">
    <w:name w:val="toc 9"/>
    <w:basedOn w:val="863"/>
    <w:next w:val="863"/>
    <w:uiPriority w:val="39"/>
    <w:unhideWhenUsed/>
    <w:pPr>
      <w:ind w:left="2268" w:right="0" w:firstLine="0"/>
      <w:spacing w:after="57"/>
    </w:pPr>
  </w:style>
  <w:style w:type="paragraph" w:styleId="861">
    <w:name w:val="TOC Heading"/>
    <w:uiPriority w:val="39"/>
    <w:unhideWhenUsed/>
  </w:style>
  <w:style w:type="paragraph" w:styleId="862">
    <w:name w:val="table of figures"/>
    <w:basedOn w:val="863"/>
    <w:next w:val="863"/>
    <w:uiPriority w:val="99"/>
    <w:unhideWhenUsed/>
    <w:pPr>
      <w:spacing w:after="0" w:afterAutospacing="0"/>
    </w:pPr>
  </w:style>
  <w:style w:type="paragraph" w:styleId="863" w:default="1">
    <w:name w:val="Normal"/>
    <w:qFormat/>
  </w:style>
  <w:style w:type="table" w:styleId="86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65" w:default="1">
    <w:name w:val="No List"/>
    <w:uiPriority w:val="99"/>
    <w:semiHidden/>
    <w:unhideWhenUsed/>
  </w:style>
  <w:style w:type="paragraph" w:styleId="866">
    <w:name w:val="No Spacing"/>
    <w:basedOn w:val="863"/>
    <w:uiPriority w:val="1"/>
    <w:qFormat/>
    <w:pPr>
      <w:spacing w:after="0" w:line="240" w:lineRule="auto"/>
    </w:pPr>
  </w:style>
  <w:style w:type="paragraph" w:styleId="867">
    <w:name w:val="List Paragraph"/>
    <w:basedOn w:val="863"/>
    <w:uiPriority w:val="34"/>
    <w:qFormat/>
    <w:pPr>
      <w:contextualSpacing/>
      <w:ind w:left="720"/>
    </w:pPr>
  </w:style>
  <w:style w:type="character" w:styleId="868" w:default="1">
    <w:name w:val="Default Paragraph Font"/>
    <w:uiPriority w:val="1"/>
    <w:semiHidden/>
    <w:unhideWhenUsed/>
  </w:style>
  <w:style w:type="paragraph" w:styleId="869" w:customStyle="1">
    <w:name w:val="ConsPlusTit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7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Times New Roman" w:cs="Arial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hyperlink" Target="consultantplus://offline/ref=4115FAD1A1D9C481F51126B03BC93663C5E2D5FD4F7AB32EEC320F35A4996F5F733F5AEC80306962D955F" TargetMode="External"/><Relationship Id="rId12" Type="http://schemas.openxmlformats.org/officeDocument/2006/relationships/hyperlink" Target="consultantplus://offline/ref=4115FAD1A1D9C481F51126B03BC93663C5ECD4FA427AB32EEC320F35A4996F5F733F5AEC80306A62D95CF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Р7-Офис/2025.2.1.801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petuhova_i</cp:lastModifiedBy>
  <cp:revision>2</cp:revision>
  <dcterms:modified xsi:type="dcterms:W3CDTF">2026-08-21T07:21:22Z</dcterms:modified>
</cp:coreProperties>
</file>