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3541"/>
        <w:gridCol w:w="878"/>
        <w:gridCol w:w="2117"/>
        <w:gridCol w:w="1417"/>
        <w:gridCol w:w="1447"/>
      </w:tblGrid>
      <w:tr>
        <w:trPr>
          <w:trHeight w:val="420"/>
        </w:trPr>
        <w:tc>
          <w:tcPr>
            <w:tcW w:w="795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ind w:right="5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>
        <w:trPr>
          <w:trHeight w:val="420"/>
        </w:trPr>
        <w:tc>
          <w:tcPr>
            <w:tcW w:w="79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01 января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0503160</w:t>
            </w:r>
          </w:p>
        </w:tc>
      </w:tr>
      <w:tr>
        <w:trPr>
          <w:trHeight w:val="260"/>
        </w:trPr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145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распорядитель, распорядитель, получатель бюджетных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средств,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главный администратор, администратор доходов бюджета,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главный администратор, администратор источников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финансирования дефицита бюджета 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         ЗАТО Северск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ОКПО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28842383</w:t>
            </w:r>
          </w:p>
        </w:tc>
      </w:tr>
      <w:tr>
        <w:trPr>
          <w:trHeight w:val="42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42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публично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-правового образования)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ЗАТО Северск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ОКТМО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69741000</w:t>
            </w:r>
          </w:p>
        </w:tc>
      </w:tr>
      <w:tr>
        <w:trPr>
          <w:trHeight w:val="42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Периодичность:  квартальная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годовая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486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</w:tbl>
    <w:p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 «Организационная структура субъекта бюджетной отчётности».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наименование: Финансовое управление Администрации ЗАТО Северск Томской области (далее - Управление).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Юридический и фактический адрес: 636035, Томская область, г. </w:t>
      </w:r>
      <w:proofErr w:type="gramStart"/>
      <w:r>
        <w:rPr>
          <w:rFonts w:ascii="Times New Roman" w:hAnsi="Times New Roman"/>
          <w:sz w:val="24"/>
          <w:szCs w:val="24"/>
        </w:rPr>
        <w:t xml:space="preserve">Северск,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пр. Коммунистический 51.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7024003910, КПП 702401001, ОКПО 28842383, ОКОПФ 75404, ОКТМО 69741000001, ОГРН 1027001686920.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 и Положением                     о бюджетном процессе ЗАТО Северск, Управление является участником бюджетного процесса в ЗАТО Северск, обладающее бюджетными полномочиями финансового органа, главного распорядителя бюджетных средств, главного администратора доходов, главного администратора источников финансирования дефицита. Управление, как структурное </w:t>
      </w:r>
      <w:proofErr w:type="gramStart"/>
      <w:r>
        <w:rPr>
          <w:rFonts w:ascii="Times New Roman" w:hAnsi="Times New Roman"/>
          <w:sz w:val="24"/>
          <w:szCs w:val="24"/>
        </w:rPr>
        <w:t>подразделение  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Северск, создано на основании Постановления Главы Администрации г. Северска Томской области от 17.08.1998 № 1782, наделено правами юридического лица. 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Положением о Финансовом управлении Администрации ЗАТО Северск, утвержденном Решением Думы ЗАТО Северск от 21.08.2008 № 56/15 с изменениями, внесенными Решениями Думы ЗАТО Северск от 24.11.2011 № 20/7; от 28.08.2014 № 55/12; от </w:t>
      </w:r>
      <w:hyperlink r:id="rId8" w:history="1">
        <w:r>
          <w:rPr>
            <w:rFonts w:ascii="Times New Roman" w:hAnsi="Times New Roman"/>
            <w:sz w:val="24"/>
            <w:szCs w:val="24"/>
          </w:rPr>
          <w:t>29.04.2021 №12/7</w:t>
        </w:r>
      </w:hyperlink>
      <w:r>
        <w:rPr>
          <w:rFonts w:ascii="Times New Roman" w:hAnsi="Times New Roman"/>
          <w:sz w:val="24"/>
          <w:szCs w:val="24"/>
        </w:rPr>
        <w:t> Финансовое управление Администрации ЗАТО Северск является отраслевым (функциональным) органом Администрации ЗАТО Северск.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Правовая форма Управления - казённое учреждение; от своего имени приобретает и осуществляет имущественные и личные неимущественные права, обладает обособленным имуществом, имеет самостоятельный баланс, лицевые счета в органах казначейства по Томской области, круглую печать со своим наименованием.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Целями деятельности Финансового управления Администрации ЗАТО Северск являются: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выполнения и создания условий для мобилизации доходов и оптимизации расходных обязательств ЗАТО Северск;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создание условий для эффективного управления местными финансами;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  формирование условий, стимулирующих экономический рост ЗАТО Северск.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Задачами Финансового управления Администрации ЗАТО Северск являются: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реализация основных направлений единой финансовой политики на территории ЗАТО Северск;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своевременная и качественная подготовка проекта бюджета ЗАТО Северск;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организация исполнения бюджета ЗАТО Северск и формирования отчетности.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Код главы Управления - 903.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Подведомственных учреждений, предприятий и обособленных подразделений не имеет.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Бюджетные полномочия в отчётном периоде у Управления не изменялись.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Банковских счетов в кредитных организациях Управление не имеет.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Бюджетный учёт, составление и представление отчётности осуществляется отделом по бюджетному учёту и отчётности (далее - отдел), которую возглавляет начальник отдела.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Касса для выдачи наличных денежных средств в Управлении отсутствует. Все расчёты осуществляются в безналичном порядке.</w:t>
      </w:r>
    </w:p>
    <w:p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своей деятельности Управление руководствуется Конституцией РФ, нормативными актами Президента РФ, законодательными актами Минфина РФ, а также других министерств и ведомств Российской Федерации, решениями Думы ЗАТО Северск, постановлениями                   и распоряжениями Администрации ЗАТО Северск Томской области, положением                           по Управлению и приказами начальника Управления.</w:t>
      </w:r>
    </w:p>
    <w:p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Бухгалтерский учёт в Управлении осуществляется отделом по бюджетному учёту               и отчётности в соответствии с Федеральным законом от 06.12.2011 № 402-ФЗ </w:t>
      </w:r>
      <w:r>
        <w:rPr>
          <w:rFonts w:ascii="Times New Roman" w:hAnsi="Times New Roman"/>
          <w:sz w:val="24"/>
          <w:szCs w:val="24"/>
        </w:rPr>
        <w:br/>
        <w:t xml:space="preserve">«О бухгалтерском учёте», федеральными стандартами бухгалтерского учета для организаций государственного сектора, утвержденными приказами Минфина России, приказом Минфина России от 01.12.2010 № 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</w:t>
      </w:r>
      <w:r>
        <w:rPr>
          <w:rFonts w:ascii="Times New Roman" w:hAnsi="Times New Roman"/>
          <w:sz w:val="24"/>
          <w:szCs w:val="24"/>
        </w:rPr>
        <w:br/>
        <w:t xml:space="preserve">и Инструкции по его применению», приказом Минфина России от 06.12.2010 № 162н </w:t>
      </w:r>
      <w:r>
        <w:rPr>
          <w:rFonts w:ascii="Times New Roman" w:hAnsi="Times New Roman"/>
          <w:sz w:val="24"/>
          <w:szCs w:val="24"/>
        </w:rPr>
        <w:br/>
        <w:t xml:space="preserve">«Об утверждении Плана счетов бюджетного учёта и Инструкции по его применению», приказом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приказом Минфина России от 29.11.2017 № 209н «Об утверждении Порядка применения классификации операций сектора государственного управления», </w:t>
      </w:r>
      <w:r>
        <w:rPr>
          <w:color w:val="000000"/>
          <w:sz w:val="24"/>
          <w:szCs w:val="24"/>
          <w:lang w:bidi="ru-RU"/>
        </w:rPr>
        <w:t xml:space="preserve">письмом Минфина РФ </w:t>
      </w:r>
      <w:r>
        <w:rPr>
          <w:rFonts w:ascii="Times New Roman" w:hAnsi="Times New Roman"/>
          <w:bCs/>
          <w:sz w:val="24"/>
          <w:szCs w:val="24"/>
        </w:rPr>
        <w:t xml:space="preserve">от 20.05.2016 </w:t>
      </w:r>
      <w:r>
        <w:rPr>
          <w:rFonts w:ascii="Times New Roman" w:hAnsi="Times New Roman"/>
          <w:bCs/>
          <w:sz w:val="24"/>
          <w:szCs w:val="24"/>
        </w:rPr>
        <w:br/>
        <w:t xml:space="preserve">№ 02-07-10/29243, </w:t>
      </w:r>
      <w:r>
        <w:rPr>
          <w:rFonts w:ascii="Times New Roman" w:hAnsi="Times New Roman"/>
          <w:sz w:val="24"/>
          <w:szCs w:val="24"/>
        </w:rPr>
        <w:t>иными законами и нормативными актами, предназначенными для формирования полной и достоверной информации о финансовом, имущественном положении и финансовых результатах деятельности Управления.</w:t>
      </w:r>
    </w:p>
    <w:p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Бухгалтерский учёт ведется автоматизировано с применением типовых конфигураций программ </w:t>
      </w:r>
      <w:r>
        <w:rPr>
          <w:color w:val="000000"/>
          <w:sz w:val="24"/>
          <w:szCs w:val="24"/>
          <w:lang w:eastAsia="en-US" w:bidi="en-US"/>
        </w:rPr>
        <w:t>1</w:t>
      </w:r>
      <w:r>
        <w:rPr>
          <w:color w:val="000000"/>
          <w:sz w:val="24"/>
          <w:szCs w:val="24"/>
          <w:lang w:val="en-US" w:eastAsia="en-US" w:bidi="en-US"/>
        </w:rPr>
        <w:t>C</w:t>
      </w:r>
      <w:r>
        <w:rPr>
          <w:color w:val="000000"/>
          <w:sz w:val="24"/>
          <w:szCs w:val="24"/>
          <w:lang w:eastAsia="en-US" w:bidi="en-US"/>
        </w:rPr>
        <w:t xml:space="preserve">: </w:t>
      </w:r>
      <w:r>
        <w:rPr>
          <w:color w:val="000000"/>
          <w:sz w:val="24"/>
          <w:szCs w:val="24"/>
          <w:lang w:bidi="ru-RU"/>
        </w:rPr>
        <w:t xml:space="preserve">Предприятие: "Бухгалтерия для бюджетных учреждений", </w:t>
      </w:r>
      <w:r>
        <w:rPr>
          <w:color w:val="000000"/>
          <w:sz w:val="24"/>
          <w:szCs w:val="24"/>
          <w:lang w:eastAsia="en-US" w:bidi="en-US"/>
        </w:rPr>
        <w:t>1</w:t>
      </w:r>
      <w:r>
        <w:rPr>
          <w:color w:val="000000"/>
          <w:sz w:val="24"/>
          <w:szCs w:val="24"/>
          <w:lang w:val="en-US" w:eastAsia="en-US" w:bidi="en-US"/>
        </w:rPr>
        <w:t>C</w:t>
      </w:r>
      <w:r>
        <w:rPr>
          <w:color w:val="000000"/>
          <w:sz w:val="24"/>
          <w:szCs w:val="24"/>
          <w:lang w:eastAsia="en-US" w:bidi="en-US"/>
        </w:rPr>
        <w:t xml:space="preserve">: </w:t>
      </w:r>
      <w:r>
        <w:rPr>
          <w:color w:val="000000"/>
          <w:sz w:val="24"/>
          <w:szCs w:val="24"/>
          <w:lang w:bidi="ru-RU"/>
        </w:rPr>
        <w:t xml:space="preserve">Предприятие: "Зарплата и кадры государственного учреждения". Бухгалтерский учёт осуществляется по журнально-ордерной форме. Оценка активов и обязательств осуществляется по методу балансовой стоимости. В бухгалтерском учёте объектов аренды у Управления нет. </w:t>
      </w:r>
    </w:p>
    <w:p>
      <w:pPr>
        <w:autoSpaceDE w:val="0"/>
        <w:autoSpaceDN w:val="0"/>
        <w:adjustRightInd w:val="0"/>
        <w:ind w:firstLine="720"/>
        <w:jc w:val="both"/>
      </w:pPr>
      <w:r>
        <w:rPr>
          <w:color w:val="000000"/>
          <w:sz w:val="24"/>
          <w:szCs w:val="24"/>
          <w:lang w:bidi="ru-RU"/>
        </w:rPr>
        <w:t xml:space="preserve">Деятельность Управления финансируется за счёт средств бюджета ЗАТО Северск, </w:t>
      </w:r>
      <w:r>
        <w:rPr>
          <w:color w:val="000000"/>
          <w:sz w:val="24"/>
          <w:szCs w:val="24"/>
          <w:lang w:bidi="ru-RU"/>
        </w:rPr>
        <w:br/>
        <w:t>в соответствии с бюджетной росписью и бюджетной сметой.</w:t>
      </w:r>
    </w:p>
    <w:p>
      <w:pPr>
        <w:pStyle w:val="21"/>
        <w:shd w:val="clear" w:color="auto" w:fill="auto"/>
        <w:ind w:firstLine="760"/>
        <w:rPr>
          <w:b/>
        </w:rPr>
      </w:pPr>
      <w:r>
        <w:rPr>
          <w:b/>
          <w:color w:val="000000"/>
          <w:sz w:val="24"/>
          <w:szCs w:val="24"/>
          <w:lang w:bidi="ru-RU"/>
        </w:rPr>
        <w:t>Раздел 2. «Результаты деятельности учреждения».</w:t>
      </w:r>
    </w:p>
    <w:p>
      <w:pPr>
        <w:pStyle w:val="21"/>
        <w:shd w:val="clear" w:color="auto" w:fill="auto"/>
        <w:ind w:firstLine="760"/>
        <w:rPr>
          <w:color w:val="FF0000"/>
        </w:rPr>
      </w:pPr>
      <w:r>
        <w:rPr>
          <w:color w:val="000000" w:themeColor="text1"/>
          <w:sz w:val="24"/>
          <w:szCs w:val="24"/>
          <w:lang w:bidi="ru-RU"/>
        </w:rPr>
        <w:t>Всего на расходы, подведомственные Управлению, в 2023 году предусмотрено                 61 107,00 тыс. руб., кассовые расходы составили 53 528,81 тыс</w:t>
      </w:r>
      <w:r>
        <w:rPr>
          <w:color w:val="000000"/>
          <w:sz w:val="24"/>
          <w:szCs w:val="24"/>
          <w:lang w:bidi="ru-RU"/>
        </w:rPr>
        <w:t xml:space="preserve">. рублей. Расходование средств осуществлялось в пределах выделенных бюджетных ассигнований в соответствии                               с утвержденными </w:t>
      </w:r>
      <w:r>
        <w:rPr>
          <w:color w:val="000000" w:themeColor="text1"/>
          <w:sz w:val="24"/>
          <w:szCs w:val="24"/>
          <w:lang w:bidi="ru-RU"/>
        </w:rPr>
        <w:t xml:space="preserve">назначениями на 2023 год </w:t>
      </w:r>
      <w:r>
        <w:rPr>
          <w:color w:val="000000"/>
          <w:sz w:val="24"/>
          <w:szCs w:val="24"/>
          <w:lang w:bidi="ru-RU"/>
        </w:rPr>
        <w:t xml:space="preserve">по кодам классификации расходов бюджета ЗАТО Северск. Утверждённые лимиты бюджетных обязательств использованы в объёме               </w:t>
      </w:r>
      <w:r>
        <w:rPr>
          <w:color w:val="000000" w:themeColor="text1"/>
          <w:sz w:val="24"/>
          <w:szCs w:val="24"/>
          <w:lang w:bidi="ru-RU"/>
        </w:rPr>
        <w:t>87,5 %. Р</w:t>
      </w:r>
      <w:r>
        <w:rPr>
          <w:color w:val="000000"/>
          <w:sz w:val="24"/>
          <w:szCs w:val="24"/>
          <w:lang w:bidi="ru-RU"/>
        </w:rPr>
        <w:t xml:space="preserve">асходы на обслуживание муниципального долга по оплате процентов при плане          17 493,77 тыс. руб. исполнены в сумме 12 088,0 тыс. руб. Экономия расходов по оплате процентов образовалась за счет использования механизма заимствования с лицевых счетов </w:t>
      </w:r>
      <w:r>
        <w:rPr>
          <w:color w:val="000000"/>
          <w:sz w:val="24"/>
          <w:szCs w:val="24"/>
          <w:lang w:bidi="ru-RU"/>
        </w:rPr>
        <w:lastRenderedPageBreak/>
        <w:t xml:space="preserve">бюджетных учреждений, досрочного погашения основного долга по коммерческому кредиту ПАО «Совкомбанк» по муниципальному контракту от 21.06.2021 №1 и бюджетному кредиту за счет средств областного бюджета по договору от 17.12.2021 №118-БК, а также с учетом переходящего остатка по уплате процентов за пользование бюджетным кредитом с ПАО «Сбербанк» согласно муниципальному контракту от 23.10.2023 №1 по сроку уплаты за декабрь 2023 года в сумме 2 003,3 тыс. руб. </w:t>
      </w:r>
    </w:p>
    <w:p>
      <w:pPr>
        <w:pStyle w:val="21"/>
        <w:shd w:val="clear" w:color="auto" w:fill="auto"/>
        <w:ind w:firstLine="76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Балансовая стоимость имущества Управления на </w:t>
      </w:r>
      <w:r>
        <w:rPr>
          <w:color w:val="000000" w:themeColor="text1"/>
          <w:sz w:val="24"/>
          <w:szCs w:val="24"/>
          <w:lang w:bidi="ru-RU"/>
        </w:rPr>
        <w:t>01.01.2024 года составила</w:t>
      </w:r>
      <w:r>
        <w:rPr>
          <w:color w:val="FF0000"/>
          <w:sz w:val="24"/>
          <w:szCs w:val="24"/>
          <w:lang w:bidi="ru-RU"/>
        </w:rPr>
        <w:t xml:space="preserve">                       </w:t>
      </w:r>
      <w:r>
        <w:rPr>
          <w:color w:val="000000" w:themeColor="text1"/>
          <w:sz w:val="24"/>
          <w:szCs w:val="24"/>
          <w:lang w:bidi="ru-RU"/>
        </w:rPr>
        <w:t xml:space="preserve">7 647,96 тыс. руб. Амортизация </w:t>
      </w:r>
      <w:r>
        <w:rPr>
          <w:color w:val="000000"/>
          <w:sz w:val="24"/>
          <w:szCs w:val="24"/>
          <w:lang w:bidi="ru-RU"/>
        </w:rPr>
        <w:t xml:space="preserve">основных средств на конец отчётного периода составляет </w:t>
      </w:r>
      <w:r>
        <w:rPr>
          <w:color w:val="000000" w:themeColor="text1"/>
          <w:sz w:val="24"/>
          <w:szCs w:val="24"/>
          <w:lang w:bidi="ru-RU"/>
        </w:rPr>
        <w:t xml:space="preserve">6 687,24 (87 % от стоимости). </w:t>
      </w:r>
      <w:r>
        <w:rPr>
          <w:color w:val="000000"/>
          <w:sz w:val="24"/>
          <w:szCs w:val="24"/>
          <w:lang w:bidi="ru-RU"/>
        </w:rPr>
        <w:t xml:space="preserve">Техническое состояние и уровень обеспеченности основными фондами удовлетворительное. Материальные запасы на текущие нужды поступают своевременно. Недостачи и порчи имущества </w:t>
      </w:r>
      <w:r>
        <w:rPr>
          <w:color w:val="000000" w:themeColor="text1"/>
          <w:sz w:val="24"/>
          <w:szCs w:val="24"/>
          <w:lang w:bidi="ru-RU"/>
        </w:rPr>
        <w:t xml:space="preserve">в 2023 г. не </w:t>
      </w:r>
      <w:r>
        <w:rPr>
          <w:color w:val="000000"/>
          <w:sz w:val="24"/>
          <w:szCs w:val="24"/>
          <w:lang w:bidi="ru-RU"/>
        </w:rPr>
        <w:t>выявлено. Основные средства использовались для нужд Управления по своему целевому назначению.</w:t>
      </w:r>
    </w:p>
    <w:p>
      <w:pPr>
        <w:pStyle w:val="21"/>
        <w:shd w:val="clear" w:color="auto" w:fill="auto"/>
        <w:ind w:firstLine="760"/>
        <w:rPr>
          <w:color w:val="FF0000"/>
        </w:rPr>
      </w:pPr>
      <w:r>
        <w:rPr>
          <w:color w:val="000000" w:themeColor="text1"/>
          <w:sz w:val="24"/>
          <w:szCs w:val="24"/>
          <w:lang w:bidi="ru-RU"/>
        </w:rPr>
        <w:t>Штатная численность Управления в 2023 году составила 27 шт. единиц, из них 25 шт. единицы, относимые к должностям муниципальной службы и 2 должности, не отнесённые             к должностям муниципальной службы. Среднесписочная численность Управления по итогам года составила 26 штатные единицы, из них 2 штатные единицы, не отнесённые   к должностям муниципальной службы.</w:t>
      </w:r>
      <w:r>
        <w:rPr>
          <w:color w:val="FF0000"/>
          <w:sz w:val="24"/>
          <w:szCs w:val="24"/>
          <w:lang w:bidi="ru-RU"/>
        </w:rPr>
        <w:t xml:space="preserve"> </w:t>
      </w:r>
      <w:r>
        <w:rPr>
          <w:color w:val="000000" w:themeColor="text1"/>
          <w:sz w:val="24"/>
          <w:szCs w:val="24"/>
          <w:lang w:bidi="ru-RU"/>
        </w:rPr>
        <w:t xml:space="preserve">Фонд оплаты труда по заработной плате утверждён                                         в сумме 22 665,74 </w:t>
      </w:r>
      <w:proofErr w:type="spellStart"/>
      <w:r>
        <w:rPr>
          <w:color w:val="000000" w:themeColor="text1"/>
          <w:sz w:val="24"/>
          <w:szCs w:val="24"/>
          <w:lang w:bidi="ru-RU"/>
        </w:rPr>
        <w:t>тыс.руб</w:t>
      </w:r>
      <w:proofErr w:type="spellEnd"/>
      <w:r>
        <w:rPr>
          <w:color w:val="000000" w:themeColor="text1"/>
          <w:sz w:val="24"/>
          <w:szCs w:val="24"/>
          <w:lang w:bidi="ru-RU"/>
        </w:rPr>
        <w:t xml:space="preserve">. исполнен 22 626,11 </w:t>
      </w:r>
      <w:proofErr w:type="spellStart"/>
      <w:r>
        <w:rPr>
          <w:color w:val="000000" w:themeColor="text1"/>
          <w:sz w:val="24"/>
          <w:szCs w:val="24"/>
          <w:lang w:bidi="ru-RU"/>
        </w:rPr>
        <w:t>тыс.руб</w:t>
      </w:r>
      <w:proofErr w:type="spellEnd"/>
      <w:r>
        <w:rPr>
          <w:color w:val="000000" w:themeColor="text1"/>
          <w:sz w:val="24"/>
          <w:szCs w:val="24"/>
          <w:lang w:bidi="ru-RU"/>
        </w:rPr>
        <w:t>.</w:t>
      </w:r>
    </w:p>
    <w:p>
      <w:pPr>
        <w:pStyle w:val="21"/>
        <w:shd w:val="clear" w:color="auto" w:fill="auto"/>
        <w:ind w:firstLine="760"/>
        <w:rPr>
          <w:b/>
        </w:rPr>
      </w:pPr>
      <w:r>
        <w:rPr>
          <w:b/>
          <w:color w:val="000000"/>
          <w:sz w:val="24"/>
          <w:szCs w:val="24"/>
          <w:lang w:bidi="ru-RU"/>
        </w:rPr>
        <w:t>Раздел 3 «Анализ отчёта об исполнении бюджета субъектом бюджетной отчётности».</w:t>
      </w:r>
    </w:p>
    <w:p>
      <w:pPr>
        <w:pStyle w:val="21"/>
        <w:shd w:val="clear" w:color="auto" w:fill="auto"/>
        <w:ind w:firstLine="760"/>
      </w:pPr>
      <w:r>
        <w:rPr>
          <w:color w:val="000000" w:themeColor="text1"/>
          <w:sz w:val="24"/>
          <w:szCs w:val="24"/>
          <w:lang w:bidi="ru-RU"/>
        </w:rPr>
        <w:t xml:space="preserve">Принятие бюджетных обязательств сверх доведенного объёма лимитов бюджетных обязательств в 2023 году не </w:t>
      </w:r>
      <w:r>
        <w:rPr>
          <w:color w:val="000000"/>
          <w:sz w:val="24"/>
          <w:szCs w:val="24"/>
          <w:lang w:bidi="ru-RU"/>
        </w:rPr>
        <w:t>допускалось.</w:t>
      </w:r>
    </w:p>
    <w:p>
      <w:pPr>
        <w:pStyle w:val="21"/>
        <w:shd w:val="clear" w:color="auto" w:fill="auto"/>
        <w:ind w:firstLine="760"/>
        <w:rPr>
          <w:color w:val="000000" w:themeColor="text1"/>
          <w:sz w:val="24"/>
          <w:szCs w:val="24"/>
          <w:lang w:bidi="ru-RU"/>
        </w:rPr>
      </w:pPr>
      <w:r>
        <w:rPr>
          <w:color w:val="000000" w:themeColor="text1"/>
          <w:sz w:val="24"/>
          <w:szCs w:val="24"/>
          <w:lang w:bidi="ru-RU"/>
        </w:rPr>
        <w:t xml:space="preserve">На 01 января 2024 </w:t>
      </w:r>
      <w:r>
        <w:rPr>
          <w:color w:val="000000"/>
          <w:sz w:val="24"/>
          <w:szCs w:val="24"/>
          <w:lang w:bidi="ru-RU"/>
        </w:rPr>
        <w:t xml:space="preserve">года на балансе Управления числится дебиторская задолженность </w:t>
      </w:r>
      <w:r>
        <w:rPr>
          <w:color w:val="000000"/>
          <w:sz w:val="24"/>
          <w:szCs w:val="24"/>
          <w:lang w:bidi="ru-RU"/>
        </w:rPr>
        <w:br/>
        <w:t xml:space="preserve">в </w:t>
      </w:r>
      <w:r>
        <w:rPr>
          <w:color w:val="000000" w:themeColor="text1"/>
          <w:sz w:val="24"/>
          <w:szCs w:val="24"/>
          <w:lang w:bidi="ru-RU"/>
        </w:rPr>
        <w:t xml:space="preserve">сумме 60,65 тыс. руб., в </w:t>
      </w:r>
      <w:proofErr w:type="spellStart"/>
      <w:r>
        <w:rPr>
          <w:color w:val="000000" w:themeColor="text1"/>
          <w:sz w:val="24"/>
          <w:szCs w:val="24"/>
          <w:lang w:bidi="ru-RU"/>
        </w:rPr>
        <w:t>т.ч</w:t>
      </w:r>
      <w:proofErr w:type="spellEnd"/>
      <w:r>
        <w:rPr>
          <w:color w:val="000000" w:themeColor="text1"/>
          <w:sz w:val="24"/>
          <w:szCs w:val="24"/>
          <w:lang w:bidi="ru-RU"/>
        </w:rPr>
        <w:t xml:space="preserve">.: 10,71 тыс. руб. - авансовые платежи за услуги </w:t>
      </w:r>
      <w:proofErr w:type="gramStart"/>
      <w:r>
        <w:rPr>
          <w:color w:val="000000" w:themeColor="text1"/>
          <w:sz w:val="24"/>
          <w:szCs w:val="24"/>
          <w:lang w:bidi="ru-RU"/>
        </w:rPr>
        <w:t xml:space="preserve">связи,   </w:t>
      </w:r>
      <w:proofErr w:type="gramEnd"/>
      <w:r>
        <w:rPr>
          <w:color w:val="000000" w:themeColor="text1"/>
          <w:sz w:val="24"/>
          <w:szCs w:val="24"/>
          <w:lang w:bidi="ru-RU"/>
        </w:rPr>
        <w:t xml:space="preserve">                      9,86 тыс. руб. - подотчёт (конверты, марки), 40,08 тыс. руб. - авансовые платежи за подписку. Кредиторская задолженность 0,96 </w:t>
      </w:r>
      <w:proofErr w:type="spellStart"/>
      <w:r>
        <w:rPr>
          <w:color w:val="000000" w:themeColor="text1"/>
          <w:sz w:val="24"/>
          <w:szCs w:val="24"/>
          <w:lang w:bidi="ru-RU"/>
        </w:rPr>
        <w:t>тыс.руб</w:t>
      </w:r>
      <w:proofErr w:type="spellEnd"/>
      <w:r>
        <w:rPr>
          <w:color w:val="000000" w:themeColor="text1"/>
          <w:sz w:val="24"/>
          <w:szCs w:val="24"/>
          <w:lang w:bidi="ru-RU"/>
        </w:rPr>
        <w:t>.</w:t>
      </w:r>
    </w:p>
    <w:p>
      <w:pPr>
        <w:pStyle w:val="21"/>
        <w:shd w:val="clear" w:color="auto" w:fill="auto"/>
        <w:ind w:firstLine="76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Управление не является участником федеральных целевых программ, национальных проектов (программ), комплексного плана модернизации и расширения магистральной инфраструктуры.</w:t>
      </w:r>
    </w:p>
    <w:p>
      <w:pPr>
        <w:pStyle w:val="21"/>
        <w:shd w:val="clear" w:color="auto" w:fill="auto"/>
        <w:ind w:firstLine="760"/>
        <w:rPr>
          <w:b/>
        </w:rPr>
      </w:pPr>
      <w:r>
        <w:rPr>
          <w:b/>
          <w:color w:val="000000"/>
          <w:sz w:val="24"/>
          <w:szCs w:val="24"/>
          <w:lang w:bidi="ru-RU"/>
        </w:rPr>
        <w:t>Раздел 4 «Анализ показателей финансовой отчётности субъекта финансовой отчётности».</w:t>
      </w:r>
    </w:p>
    <w:p>
      <w:pPr>
        <w:pStyle w:val="21"/>
        <w:shd w:val="clear" w:color="auto" w:fill="auto"/>
        <w:ind w:firstLine="760"/>
      </w:pPr>
      <w:r>
        <w:rPr>
          <w:color w:val="000000"/>
          <w:sz w:val="24"/>
          <w:szCs w:val="24"/>
          <w:lang w:bidi="ru-RU"/>
        </w:rPr>
        <w:t xml:space="preserve">События после отчётной даты до предоставления бюджетной отчётности за 2023 год </w:t>
      </w:r>
      <w:r>
        <w:rPr>
          <w:color w:val="000000"/>
          <w:sz w:val="24"/>
          <w:szCs w:val="24"/>
          <w:lang w:bidi="ru-RU"/>
        </w:rPr>
        <w:br/>
        <w:t>не возникали.</w:t>
      </w:r>
    </w:p>
    <w:p>
      <w:pPr>
        <w:pStyle w:val="21"/>
        <w:shd w:val="clear" w:color="auto" w:fill="auto"/>
        <w:ind w:firstLine="760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>Раздел 5 «Прочие вопросы деятельности субъекта бюджетной отчётности».</w:t>
      </w:r>
    </w:p>
    <w:p>
      <w:pPr>
        <w:pStyle w:val="21"/>
        <w:shd w:val="clear" w:color="auto" w:fill="auto"/>
        <w:ind w:firstLine="760"/>
      </w:pPr>
      <w:r>
        <w:rPr>
          <w:color w:val="000000"/>
          <w:sz w:val="24"/>
          <w:szCs w:val="24"/>
          <w:lang w:bidi="ru-RU"/>
        </w:rPr>
        <w:t xml:space="preserve">Перед составлением бюджетной отчётности </w:t>
      </w:r>
      <w:r>
        <w:rPr>
          <w:color w:val="000000" w:themeColor="text1"/>
          <w:sz w:val="24"/>
          <w:szCs w:val="24"/>
          <w:lang w:bidi="ru-RU"/>
        </w:rPr>
        <w:t xml:space="preserve">за 2023 </w:t>
      </w:r>
      <w:r>
        <w:rPr>
          <w:color w:val="000000"/>
          <w:sz w:val="24"/>
          <w:szCs w:val="24"/>
          <w:lang w:bidi="ru-RU"/>
        </w:rPr>
        <w:t xml:space="preserve">проведена годовая инвентаризация активов и обязательств на основании приказа начальника Управления </w:t>
      </w:r>
      <w:r>
        <w:rPr>
          <w:color w:val="000000"/>
          <w:sz w:val="24"/>
          <w:szCs w:val="24"/>
          <w:lang w:bidi="ru-RU"/>
        </w:rPr>
        <w:br/>
        <w:t>от 26.10.2023 № 105. Расхождений по результатам проведения инвентаризации нет.</w:t>
      </w:r>
      <w:r>
        <w:t xml:space="preserve"> </w:t>
      </w:r>
    </w:p>
    <w:p>
      <w:pPr>
        <w:pStyle w:val="21"/>
        <w:shd w:val="clear" w:color="auto" w:fill="auto"/>
        <w:ind w:firstLine="76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Условные активы и условные обязательства, формирующие существенную информацию на отчётную дату, отсутствуют. </w:t>
      </w:r>
    </w:p>
    <w:p>
      <w:pPr>
        <w:pStyle w:val="21"/>
        <w:shd w:val="clear" w:color="auto" w:fill="auto"/>
        <w:ind w:firstLine="76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Методы начисления амортизации, периодичность и порядок расчёта, корректировки резерва для оплаты отпусков приведены в Таблице № 4 «Сведения об основных положениях учетной политики». </w:t>
      </w:r>
    </w:p>
    <w:p>
      <w:pPr>
        <w:pStyle w:val="21"/>
        <w:shd w:val="clear" w:color="auto" w:fill="auto"/>
        <w:ind w:firstLine="740"/>
      </w:pPr>
      <w:r>
        <w:rPr>
          <w:color w:val="000000"/>
          <w:sz w:val="24"/>
          <w:szCs w:val="24"/>
          <w:lang w:bidi="ru-RU"/>
        </w:rPr>
        <w:t xml:space="preserve">Судебные решения (исполнительные документы) по исполнению денежных обязательств составили 194,24 тыс. руб., в </w:t>
      </w:r>
      <w:proofErr w:type="spellStart"/>
      <w:r>
        <w:rPr>
          <w:color w:val="000000"/>
          <w:sz w:val="24"/>
          <w:szCs w:val="24"/>
          <w:lang w:bidi="ru-RU"/>
        </w:rPr>
        <w:t>т.ч</w:t>
      </w:r>
      <w:proofErr w:type="spellEnd"/>
      <w:r>
        <w:rPr>
          <w:color w:val="000000"/>
          <w:sz w:val="24"/>
          <w:szCs w:val="24"/>
          <w:lang w:bidi="ru-RU"/>
        </w:rPr>
        <w:t>. по исполнительным листам от 28.03.2023 серия ФСН № 045315977 – 40,00 тыс. руб., от 24.04.2023 серия ФСН № 045316329</w:t>
      </w:r>
      <w:bookmarkStart w:id="0" w:name="_GoBack"/>
      <w:bookmarkEnd w:id="0"/>
      <w:r>
        <w:rPr>
          <w:color w:val="000000"/>
          <w:sz w:val="24"/>
          <w:szCs w:val="24"/>
          <w:lang w:bidi="ru-RU"/>
        </w:rPr>
        <w:t xml:space="preserve"> – 154,24 тыс. руб. Судебные решения (исполнительные документы) по исполнению денежных обязательств исполнены полностью.</w:t>
      </w:r>
    </w:p>
    <w:p>
      <w:pPr>
        <w:pStyle w:val="21"/>
        <w:shd w:val="clear" w:color="auto" w:fill="auto"/>
        <w:ind w:firstLine="740"/>
      </w:pPr>
      <w:r>
        <w:rPr>
          <w:color w:val="000000"/>
          <w:sz w:val="24"/>
          <w:szCs w:val="24"/>
          <w:lang w:bidi="ru-RU"/>
        </w:rPr>
        <w:t>В отчётном периоде недостач и хищений имущества в Управлении не выявлено. Задолженность по расчётам по ущербу отсутствует.</w:t>
      </w:r>
    </w:p>
    <w:p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связи с отсутствием числовых показателей, </w:t>
      </w:r>
      <w:r>
        <w:rPr>
          <w:sz w:val="24"/>
          <w:szCs w:val="24"/>
        </w:rPr>
        <w:t>выявленных расхождений</w:t>
      </w:r>
      <w:r>
        <w:rPr>
          <w:color w:val="000000"/>
          <w:sz w:val="24"/>
          <w:szCs w:val="24"/>
          <w:lang w:bidi="ru-RU"/>
        </w:rPr>
        <w:t xml:space="preserve"> в составе бюджетной отчётности </w:t>
      </w:r>
      <w:r>
        <w:rPr>
          <w:color w:val="000000" w:themeColor="text1"/>
          <w:sz w:val="24"/>
          <w:szCs w:val="24"/>
          <w:lang w:bidi="ru-RU"/>
        </w:rPr>
        <w:t>за 2023 год не представлены</w:t>
      </w:r>
      <w:r>
        <w:rPr>
          <w:color w:val="000000"/>
          <w:sz w:val="24"/>
          <w:szCs w:val="24"/>
          <w:lang w:bidi="ru-RU"/>
        </w:rPr>
        <w:t>:</w:t>
      </w:r>
    </w:p>
    <w:p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Отчёт об исполнении бюджета по национальным проектам (ф.0503117-НП);</w:t>
      </w:r>
    </w:p>
    <w:p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Отчёт о бюджетных обязательствах по национальным проектам (ф.0503128-НП);</w:t>
      </w:r>
    </w:p>
    <w:p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Сведения о проведении инвентаризаций (таблица № 6), приложение к Пояснительной записке;</w:t>
      </w:r>
    </w:p>
    <w:p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 Сведения об исполнении мероприятий в рамках федеральных целевых программ      </w:t>
      </w:r>
      <w:proofErr w:type="gramStart"/>
      <w:r>
        <w:rPr>
          <w:color w:val="000000"/>
          <w:sz w:val="24"/>
          <w:szCs w:val="24"/>
          <w:lang w:bidi="ru-RU"/>
        </w:rPr>
        <w:t xml:space="preserve">   (</w:t>
      </w:r>
      <w:proofErr w:type="gramEnd"/>
      <w:r>
        <w:rPr>
          <w:color w:val="000000"/>
          <w:sz w:val="24"/>
          <w:szCs w:val="24"/>
          <w:lang w:bidi="ru-RU"/>
        </w:rPr>
        <w:t>ф. 0503166);</w:t>
      </w:r>
    </w:p>
    <w:p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Сведения о финансовых вложениях получателя средств бюджета (ф. 0503171);</w:t>
      </w:r>
    </w:p>
    <w:p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Сведения об изменении остатков валюты баланса (ф. 0503173);</w:t>
      </w:r>
    </w:p>
    <w:p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- Сведения о доходах бюджета от перечисления части прибыли (дивидендов) государственных (муниципальных) унитарных предприятий, иных организаций                              </w:t>
      </w:r>
      <w:r>
        <w:rPr>
          <w:color w:val="000000"/>
          <w:sz w:val="24"/>
          <w:szCs w:val="24"/>
          <w:lang w:bidi="ru-RU"/>
        </w:rPr>
        <w:br/>
        <w:t>с государственным участием в капитале (ф.0503174);</w:t>
      </w:r>
    </w:p>
    <w:p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Справка о суммах консолидируемых поступлений, подлежащих зачислению на счёт бюджета (ф. 0503184);</w:t>
      </w:r>
    </w:p>
    <w:p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Сведения об объектах незавершенного строительства, вложениях в объекты недвижимого имущества (ф. 0503190);</w:t>
      </w:r>
    </w:p>
    <w:p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 Разделительный (ликвидационный баланс) (ф.0503230);</w:t>
      </w:r>
    </w:p>
    <w:p>
      <w:pPr>
        <w:pStyle w:val="21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Анализ отчета об исполнении бюджета субъектом бюджетной отчетности (таблица №13 пояснительной записки ф.0503160);</w:t>
      </w:r>
    </w:p>
    <w:p>
      <w:pPr>
        <w:pStyle w:val="21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-Анализ показателей отчетности субъекта бюджетной отчетности (таблица №14 пояснительной записки ф.0503160);</w:t>
      </w:r>
    </w:p>
    <w:p>
      <w:pPr>
        <w:pStyle w:val="21"/>
        <w:ind w:firstLine="74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- Причины увеличения просроченной задолженности (таблица №15 пояснительной записки ф.0503160);</w:t>
      </w:r>
    </w:p>
    <w:p>
      <w:pPr>
        <w:pStyle w:val="21"/>
        <w:shd w:val="clear" w:color="auto" w:fill="auto"/>
        <w:ind w:firstLine="740"/>
        <w:rPr>
          <w:color w:val="000000"/>
          <w:sz w:val="24"/>
          <w:szCs w:val="24"/>
          <w:lang w:bidi="ru-RU"/>
        </w:rPr>
      </w:pPr>
    </w:p>
    <w:p>
      <w:pPr>
        <w:pStyle w:val="21"/>
        <w:shd w:val="clear" w:color="auto" w:fill="auto"/>
        <w:spacing w:line="240" w:lineRule="auto"/>
        <w:ind w:firstLine="72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Другие факторы, существенно повлиявшие на текущую деятельность Управления                             в отчётном периоде отсутствуют.</w:t>
      </w:r>
    </w:p>
    <w:p>
      <w:pPr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Л.И.Овчаренко</w:t>
      </w:r>
      <w:proofErr w:type="spellEnd"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</w:t>
      </w:r>
    </w:p>
    <w:p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бюджетному учёту </w:t>
      </w:r>
    </w:p>
    <w:p>
      <w:pPr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отчётности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И.О.Купцова</w:t>
      </w:r>
      <w:proofErr w:type="spellEnd"/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«26» января 2024 года</w:t>
      </w:r>
    </w:p>
    <w:sectPr>
      <w:headerReference w:type="default" r:id="rId9"/>
      <w:pgSz w:w="11907" w:h="16840" w:code="9"/>
      <w:pgMar w:top="851" w:right="567" w:bottom="56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17C2"/>
    <w:multiLevelType w:val="hybridMultilevel"/>
    <w:tmpl w:val="10C6C86C"/>
    <w:lvl w:ilvl="0" w:tplc="929C156C">
      <w:start w:val="1"/>
      <w:numFmt w:val="decimal"/>
      <w:lvlText w:val="%1)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2058E"/>
    <w:multiLevelType w:val="hybridMultilevel"/>
    <w:tmpl w:val="86804F64"/>
    <w:lvl w:ilvl="0" w:tplc="AA82C88C">
      <w:start w:val="1"/>
      <w:numFmt w:val="decimal"/>
      <w:lvlText w:val="%1."/>
      <w:lvlJc w:val="left"/>
      <w:pPr>
        <w:tabs>
          <w:tab w:val="num" w:pos="964"/>
        </w:tabs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25D57"/>
    <w:multiLevelType w:val="hybridMultilevel"/>
    <w:tmpl w:val="54A6EAF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">
    <w:nsid w:val="1ED208A1"/>
    <w:multiLevelType w:val="hybridMultilevel"/>
    <w:tmpl w:val="5C7ECD8C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">
    <w:nsid w:val="338F3CEA"/>
    <w:multiLevelType w:val="multilevel"/>
    <w:tmpl w:val="262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607F8"/>
    <w:multiLevelType w:val="hybridMultilevel"/>
    <w:tmpl w:val="D16250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D910336"/>
    <w:multiLevelType w:val="hybridMultilevel"/>
    <w:tmpl w:val="AC20F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FC7DD6"/>
    <w:multiLevelType w:val="hybridMultilevel"/>
    <w:tmpl w:val="B9FEC9B4"/>
    <w:lvl w:ilvl="0" w:tplc="0419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>
    <w:nsid w:val="62384485"/>
    <w:multiLevelType w:val="multilevel"/>
    <w:tmpl w:val="AD8452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E8579F"/>
    <w:multiLevelType w:val="multilevel"/>
    <w:tmpl w:val="648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D86EC7-66FF-4AB5-B162-37EAD3D8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0">
    <w:name w:val="Обычный1"/>
    <w:pPr>
      <w:widowControl w:val="0"/>
      <w:snapToGrid w:val="0"/>
      <w:spacing w:line="300" w:lineRule="auto"/>
      <w:ind w:left="1080" w:hanging="360"/>
    </w:pPr>
    <w:rPr>
      <w:rFonts w:ascii="Times New Roman" w:hAnsi="Times New Roman"/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9">
    <w:name w:val="Body Text"/>
    <w:basedOn w:val="a"/>
    <w:link w:val="aa"/>
    <w:pPr>
      <w:jc w:val="both"/>
    </w:pPr>
    <w:rPr>
      <w:rFonts w:ascii="Times New Roman" w:hAnsi="Times New Roman"/>
      <w:sz w:val="24"/>
    </w:rPr>
  </w:style>
  <w:style w:type="character" w:customStyle="1" w:styleId="aa">
    <w:name w:val="Основной текст Знак"/>
    <w:basedOn w:val="a0"/>
    <w:link w:val="a9"/>
    <w:rPr>
      <w:rFonts w:ascii="Times New Roman" w:hAnsi="Times New Roman"/>
      <w:sz w:val="24"/>
    </w:rPr>
  </w:style>
  <w:style w:type="paragraph" w:customStyle="1" w:styleId="2">
    <w:name w:val="Знак2 Знак Знак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hAnsi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</w:r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ppbun8c.xn----7sbhlbh0a1awgee.xn--p1ai/files/front/download/id/619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SOFFICE\OFFICE97\&#1064;&#1040;&#1041;&#1051;&#1054;&#1053;&#1067;\&#1043;&#1054;_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D1B47-902E-48CE-86DB-381330A2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ГО_Приказ.dot</Template>
  <TotalTime>278</TotalTime>
  <Pages>4</Pages>
  <Words>1381</Words>
  <Characters>10691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Северска</Company>
  <LinksUpToDate>false</LinksUpToDate>
  <CharactersWithSpaces>12048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Купцова И.О.</cp:lastModifiedBy>
  <cp:revision>73</cp:revision>
  <cp:lastPrinted>2024-02-27T06:17:00Z</cp:lastPrinted>
  <dcterms:created xsi:type="dcterms:W3CDTF">2023-01-26T09:13:00Z</dcterms:created>
  <dcterms:modified xsi:type="dcterms:W3CDTF">2024-03-28T07:48:00Z</dcterms:modified>
</cp:coreProperties>
</file>