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АНАЛИТИЧЕСКАЯ ЗАПИСКА</w:t>
      </w:r>
    </w:p>
    <w:p>
      <w:pPr>
        <w:pStyle w:val="ConsPlusTitle"/>
        <w:spacing w:line="271" w:lineRule="auto"/>
        <w:ind w:firstLine="708"/>
        <w:jc w:val="center"/>
        <w:rPr>
          <w:b w:val="0"/>
        </w:rPr>
      </w:pPr>
      <w:proofErr w:type="gramStart"/>
      <w:r>
        <w:rPr>
          <w:b w:val="0"/>
        </w:rPr>
        <w:t>об</w:t>
      </w:r>
      <w:proofErr w:type="gramEnd"/>
      <w:r>
        <w:rPr>
          <w:b w:val="0"/>
        </w:rPr>
        <w:t xml:space="preserve"> оценке качества финансового менеджмента главных администраторов средств бюджета ЗАТО Северск  за 2022 год</w:t>
      </w:r>
    </w:p>
    <w:p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spacing w:line="271" w:lineRule="auto"/>
        <w:ind w:firstLine="709"/>
        <w:jc w:val="both"/>
        <w:rPr>
          <w:b w:val="0"/>
        </w:rPr>
      </w:pPr>
      <w:r>
        <w:rPr>
          <w:b w:val="0"/>
        </w:rPr>
        <w:t>Мониторинг оценки качества финансового менеджмента главных администраторов средств бюджета ЗАТО Северск (далее – ГАБС) за 2022 год проведен в отношении Администрации ЗАТО Северск и ее органов, наделённых правами юридического лица</w:t>
      </w:r>
      <w:r>
        <w:t xml:space="preserve">,  </w:t>
      </w:r>
      <w:r>
        <w:rPr>
          <w:b w:val="0"/>
        </w:rPr>
        <w:t>в соответствии с Порядком проведения Финансовым управлением Администрации ЗАТО Северск мониторинга качества финансового менеджмента, утвержденным приказом начальника Финансового управления Администрации ЗАТО Северск от 25.12.2019 № 119 «О мониторинге качества финансового менеджмента» (далее – Порядок), по шести направлениям: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бюджетное планирование;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исполнение бюджета ЗАТО Северск и формирование бюджетной отчетности;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управление деятельностью муниципальных учреждений;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качество исполнения бюджетного процесса во взаимосвязи с выявленными бюджетными нарушениями;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управление активами;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осуществление ГАБС закупок товаров, работ и услуг для обеспечения муниципальных нужд.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Все ГАБС в соответствии с Порядком разделены на 3 группы: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- ГАБС, осуществляющие функции и полномочия учредителя в отношении муниципальных казенных, бюджетных и автономных учреждений;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-  ГАБС, в ведении которых находятся муниципальные казенные учреждения;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I - прочие ГАБС.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В соответствии с Порядком итоговые значения полученных показателей ГАБС при расчете консолидированной оценки финансового менеджмента умножаются на корректировочные коэффициенты – коэффициенты сложности управления финансами, которые приведены в таблице 1:</w:t>
      </w:r>
    </w:p>
    <w:p>
      <w:pPr>
        <w:autoSpaceDE w:val="0"/>
        <w:autoSpaceDN w:val="0"/>
        <w:adjustRightInd w:val="0"/>
        <w:ind w:firstLine="709"/>
        <w:jc w:val="right"/>
        <w:outlineLvl w:val="1"/>
      </w:pPr>
      <w:r>
        <w:t>Таблица 1</w:t>
      </w:r>
    </w:p>
    <w:tbl>
      <w:tblPr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7938"/>
        <w:gridCol w:w="1417"/>
      </w:tblGrid>
      <w:tr>
        <w:trPr>
          <w:trHeight w:val="98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ГАБС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сложности управления финансами</w:t>
            </w:r>
          </w:p>
        </w:tc>
      </w:tr>
      <w:tr>
        <w:trPr>
          <w:trHeight w:val="13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</w:tr>
      <w:tr>
        <w:trPr>
          <w:trHeight w:val="13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 xml:space="preserve">Первая </w:t>
            </w:r>
            <w:r>
              <w:rPr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sz w:val="20"/>
                <w:szCs w:val="20"/>
              </w:rPr>
              <w:t>группа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>
        <w:trPr>
          <w:trHeight w:val="499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образования Администрации ЗАТО Северск (далее – Управление образования)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40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культуры Администрации ЗАТО Северск (далее – Управление культуры)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48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молодежной и семейной политике, физической культуры и спорта Администрации ЗАТО Северск (далее – УМСП </w:t>
            </w:r>
            <w:proofErr w:type="spellStart"/>
            <w:r>
              <w:rPr>
                <w:sz w:val="20"/>
                <w:szCs w:val="20"/>
              </w:rPr>
              <w:t>ФКиС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жилищно-коммунального хозяйства, транспорта и связи 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далее</w:t>
            </w:r>
            <w:proofErr w:type="gramEnd"/>
            <w:r>
              <w:rPr>
                <w:sz w:val="20"/>
                <w:szCs w:val="20"/>
              </w:rPr>
              <w:t xml:space="preserve"> – УЖКХ </w:t>
            </w:r>
            <w:proofErr w:type="spellStart"/>
            <w:r>
              <w:rPr>
                <w:sz w:val="20"/>
                <w:szCs w:val="20"/>
              </w:rPr>
              <w:t>ТиС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</w:t>
            </w: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Вторая  группа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ЗАТО Северск (далее – Администрация)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3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имущественных отношений Администрации ЗАТО Северск (далее – УИО)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 (далее – УЧС)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</w:tr>
      <w:tr>
        <w:trPr>
          <w:trHeight w:val="19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Третья группа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13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капитального строительства Администрации ЗАТО Северск (далее – УКС)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внегородским территориям Администрации ЗАТО Северск (далее – УВГТ)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  <w:tr>
        <w:trPr>
          <w:trHeight w:val="12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управление Администрации ЗАТО Северск (далее – Финансовое управление)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 xml:space="preserve">1. Направление «Бюджетное планирование»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трём показателям:</w:t>
      </w:r>
    </w:p>
    <w:p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-142" w:firstLine="851"/>
        <w:jc w:val="both"/>
        <w:outlineLvl w:val="1"/>
      </w:pPr>
      <w:r>
        <w:t>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1.1.</w:t>
      </w:r>
      <w:r>
        <w:rPr>
          <w:sz w:val="22"/>
          <w:szCs w:val="22"/>
          <w:vertAlign w:val="subscript"/>
        </w:rPr>
        <w:t xml:space="preserve"> </w:t>
      </w:r>
      <w:r>
        <w:rPr>
          <w:sz w:val="22"/>
          <w:szCs w:val="22"/>
        </w:rPr>
        <w:t>«</w:t>
      </w:r>
      <w:r>
        <w:t>Доля бюджетных ассигнований ГАБС, формируемых в рамках программ, в общем объеме расходов ГАБС (без учета расходов на исполнение судебных актов и резервных фондов), в процентах».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9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100%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10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80% &lt;= А</w:t>
            </w:r>
            <w:r>
              <w:rPr>
                <w:vertAlign w:val="subscript"/>
              </w:rPr>
              <w:t>1.1</w:t>
            </w:r>
            <w:r>
              <w:t xml:space="preserve"> &lt;= 50%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50% &lt;= А</w:t>
            </w:r>
            <w:r>
              <w:rPr>
                <w:vertAlign w:val="subscript"/>
              </w:rPr>
              <w:t>1.1</w:t>
            </w:r>
            <w:r>
              <w:t xml:space="preserve"> &lt;= 30%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</w:t>
            </w:r>
            <w:proofErr w:type="gramStart"/>
            <w:r>
              <w:t>&lt; 30</w:t>
            </w:r>
            <w:proofErr w:type="gramEnd"/>
            <w:r>
              <w:t>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1.1</w:t>
            </w:r>
            <w:r>
              <w:t xml:space="preserve"> = 0%</w:t>
            </w:r>
          </w:p>
        </w:tc>
        <w:tc>
          <w:tcPr>
            <w:tcW w:w="22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  <w:highlight w:val="yellow"/>
        </w:rPr>
      </w:pPr>
      <w:r>
        <w:rPr>
          <w:sz w:val="16"/>
          <w:szCs w:val="16"/>
        </w:rPr>
        <w:br w:type="textWrapping" w:clear="all"/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Максимальное количество баллов (10 баллов) 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1.1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 xml:space="preserve"> </w:t>
      </w:r>
      <w:r>
        <w:t>достигнуто</w:t>
      </w:r>
      <w:proofErr w:type="gramEnd"/>
      <w:r>
        <w:t xml:space="preserve"> по девяти ГАБС:  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2                                                                                                                         </w:t>
      </w:r>
    </w:p>
    <w:tbl>
      <w:tblPr>
        <w:tblW w:w="9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126"/>
        <w:gridCol w:w="2410"/>
        <w:gridCol w:w="1134"/>
        <w:gridCol w:w="981"/>
      </w:tblGrid>
      <w:tr>
        <w:trPr>
          <w:trHeight w:val="2170"/>
        </w:trPr>
        <w:tc>
          <w:tcPr>
            <w:tcW w:w="280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исполнения расходов ГАБС в рамках программ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исполнения расходов ГАБС (без учета расходов на исполнение судебных актов и резервных фондов),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 xml:space="preserve">1.1. % </w:t>
            </w:r>
            <w:r>
              <w:rPr>
                <w:sz w:val="22"/>
                <w:szCs w:val="22"/>
              </w:rPr>
              <w:t>(гр2/гр.3*100)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>
            <w:pPr>
              <w:autoSpaceDE w:val="0"/>
              <w:autoSpaceDN w:val="0"/>
              <w:adjustRightInd w:val="0"/>
              <w:ind w:hanging="10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autoSpaceDE w:val="0"/>
              <w:autoSpaceDN w:val="0"/>
              <w:adjustRightInd w:val="0"/>
              <w:ind w:right="-108" w:hanging="196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2 626 642,89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2 626 642,89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592 802,19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592 802,19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521 203,26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521 203,26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525 996,37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525 996,37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95 565,15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297 190,52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32,2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81 203,61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81 203,61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27 623,43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27 623,43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393 712,97</w:t>
            </w: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393 712,97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82 462,43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82 462,43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>
        <w:tc>
          <w:tcPr>
            <w:tcW w:w="28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48 496,54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48 496,54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2) Показатель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1.2</w:t>
      </w:r>
      <w:r>
        <w:rPr>
          <w:b/>
          <w:vertAlign w:val="subscript"/>
        </w:rPr>
        <w:t>. </w:t>
      </w:r>
      <w:r>
        <w:t>«Соблюдение сроков утверждения муниципальных программ, по которым ГАБС является ответственным исполнителем, а также внесения изменений в них»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По показателю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 xml:space="preserve">1.2 </w:t>
      </w:r>
      <w:r>
        <w:t xml:space="preserve">максимальная оценка 3 балла получена Управлением образования, Управлением культуры, УМСП </w:t>
      </w:r>
      <w:proofErr w:type="spellStart"/>
      <w:r>
        <w:t>ФКиС</w:t>
      </w:r>
      <w:proofErr w:type="spellEnd"/>
      <w:r>
        <w:t xml:space="preserve">, УЧС и Финансовым управлением. </w:t>
      </w:r>
    </w:p>
    <w:p>
      <w:pPr>
        <w:tabs>
          <w:tab w:val="left" w:pos="709"/>
        </w:tabs>
        <w:autoSpaceDE w:val="0"/>
        <w:autoSpaceDN w:val="0"/>
        <w:adjustRightInd w:val="0"/>
        <w:ind w:left="-142"/>
        <w:jc w:val="both"/>
        <w:outlineLvl w:val="1"/>
      </w:pPr>
      <w:r>
        <w:tab/>
        <w:t>Критерии определения количества баллов: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8"/>
        <w:gridCol w:w="2112"/>
      </w:tblGrid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Значение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показателя</w:t>
            </w:r>
            <w:proofErr w:type="gram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утверждаются своевременно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до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662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1.2</w:t>
            </w:r>
            <w:r>
              <w:rPr>
                <w:sz w:val="20"/>
                <w:szCs w:val="20"/>
              </w:rP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Внесение изменений в муниципальные программы, в соответствии с Порядком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принятия решений о разработке муниципальных программ ЗАТО Северск </w:t>
      </w:r>
      <w:r>
        <w:rPr>
          <w:rFonts w:ascii="Times New Roman" w:hAnsi="Times New Roman" w:cs="Times New Roman"/>
          <w:sz w:val="24"/>
          <w:szCs w:val="24"/>
        </w:rPr>
        <w:t xml:space="preserve">производится дважды в год: не позднее 30 июля (по итогам первого полугодия) и не позднее 27 февраля 2023 года (по итогам года согласно Распоряжению Администрации ЗАТО Северск от 05.12.2022 № 1156-р с изменениями от 13.02.2023 № 87-ра). 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Четыре ответственных исполнителя –УЖКХ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Администрацией, УИО, УВГТ допустили нарушение срока внесения изменений в муниципальные программы более чем на 15 календарных дней; им присвоено 0 баллов. </w:t>
      </w:r>
      <w:r>
        <w:rPr>
          <w:rFonts w:ascii="Times New Roman" w:hAnsi="Times New Roman" w:cs="Times New Roman"/>
          <w:bCs/>
          <w:sz w:val="24"/>
          <w:szCs w:val="24"/>
        </w:rPr>
        <w:t xml:space="preserve">УКС не является </w:t>
      </w:r>
      <w:r>
        <w:rPr>
          <w:rFonts w:ascii="Times New Roman" w:hAnsi="Times New Roman" w:cs="Times New Roman"/>
          <w:sz w:val="24"/>
          <w:szCs w:val="24"/>
        </w:rPr>
        <w:t>ответственными исполнителем муниципальных программ и, соответственно, не издает правовые акты в отношении муниципальных программ, ему присвоено 0 баллов</w:t>
      </w:r>
    </w:p>
    <w:p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5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126"/>
        <w:gridCol w:w="2126"/>
        <w:gridCol w:w="2098"/>
        <w:gridCol w:w="1163"/>
      </w:tblGrid>
      <w:tr>
        <w:trPr>
          <w:trHeight w:val="675"/>
        </w:trP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об утверждении МП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30.07.2022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 по сроку 27.02.2023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014" w:type="dxa"/>
            <w:vAlign w:val="center"/>
          </w:tcPr>
          <w:p>
            <w:pPr>
              <w:autoSpaceDE w:val="0"/>
              <w:autoSpaceDN w:val="0"/>
              <w:adjustRightInd w:val="0"/>
              <w:ind w:left="-505" w:right="-648" w:firstLine="505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1         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014" w:type="dxa"/>
          </w:tcPr>
          <w:p>
            <w:pPr>
              <w:tabs>
                <w:tab w:val="left" w:pos="1906"/>
              </w:tabs>
              <w:autoSpaceDE w:val="0"/>
              <w:autoSpaceDN w:val="0"/>
              <w:adjustRightInd w:val="0"/>
              <w:ind w:right="-648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30.12.14 №3542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1332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08.02.23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184-па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30.12.20 № 2445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1330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28.02.23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295-па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21.12.20 № 2293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2292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1343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1334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28.02.23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296-па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16.02.23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247-па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29.01.21 № 121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25.01.21 № 85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30.12.20 № 2446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29.12.20 № 2428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31.10.17 № 1965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24.08.22 № 1518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1337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1345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1344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13.04.23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547-па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21.03.23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401-па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21.02.23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258-па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 от 28.02.23 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291-па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26.12.22 № 2429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18.01.21 № 38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29.12.20 № 2429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22.12.20 № 2333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2288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17.12.21 № 2641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08.09.22 № 1619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29.07.22 № 1331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26.07.22 № 1296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28.07.22 № 1314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14.02.23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212-па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233-па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13.02.23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209-па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16.01.23 № 24-па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15.02.23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235-па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01.12.20 № 2129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08.09.22 № 1623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28.02.23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290-па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18.12.20 № 2290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22.07.22 № 1274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13.02.23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211-па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19.01.21 № 48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01.09.22 № 1580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03.03.23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311-па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014" w:type="dxa"/>
          </w:tcPr>
          <w:p>
            <w:pPr>
              <w:autoSpaceDE w:val="0"/>
              <w:autoSpaceDN w:val="0"/>
              <w:adjustRightInd w:val="0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01.12.20 № 2128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22.07.22 № 1275</w:t>
            </w:r>
          </w:p>
        </w:tc>
        <w:tc>
          <w:tcPr>
            <w:tcW w:w="209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 от 09.02.23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186-па</w:t>
            </w:r>
          </w:p>
        </w:tc>
        <w:tc>
          <w:tcPr>
            <w:tcW w:w="11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3) Показатель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1.3.</w:t>
      </w:r>
      <w:r>
        <w:rPr>
          <w:sz w:val="22"/>
          <w:szCs w:val="22"/>
          <w:vertAlign w:val="subscript"/>
        </w:rPr>
        <w:t> </w:t>
      </w:r>
      <w:r>
        <w:rPr>
          <w:sz w:val="22"/>
          <w:szCs w:val="22"/>
        </w:rPr>
        <w:t>«</w:t>
      </w:r>
      <w:r>
        <w:t xml:space="preserve">Размещение на официальном сайте Администрации ЗАТО Северск муниципальных программ, разрабатываемых и реализуемых ГАБС, внесений изменений в них, а также отчетов об их реализации» 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Критерии определения количества баллов:</w:t>
      </w:r>
    </w:p>
    <w:tbl>
      <w:tblPr>
        <w:tblW w:w="0" w:type="auto"/>
        <w:tblInd w:w="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7"/>
        <w:gridCol w:w="2694"/>
      </w:tblGrid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в полном объеме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размещается частично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4557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1.3</w:t>
            </w:r>
            <w:r>
              <w:rPr>
                <w:sz w:val="20"/>
                <w:szCs w:val="20"/>
              </w:rPr>
              <w:t xml:space="preserve"> = Информация не размещается</w:t>
            </w:r>
          </w:p>
        </w:tc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1.3</w:t>
      </w:r>
      <w:proofErr w:type="gramStart"/>
      <w:r>
        <w:rPr>
          <w:b/>
          <w:sz w:val="22"/>
          <w:szCs w:val="22"/>
          <w:vertAlign w:val="subscript"/>
        </w:rPr>
        <w:t>.</w:t>
      </w:r>
      <w:r>
        <w:rPr>
          <w:sz w:val="22"/>
          <w:szCs w:val="22"/>
          <w:vertAlign w:val="subscript"/>
        </w:rPr>
        <w:t> </w:t>
      </w:r>
      <w:r>
        <w:t>положительная</w:t>
      </w:r>
      <w:proofErr w:type="gramEnd"/>
      <w:r>
        <w:t xml:space="preserve"> оценка с присвоением 5 баллов достигнута всеми ГАБС за исключением УЖКХ </w:t>
      </w:r>
      <w:proofErr w:type="spellStart"/>
      <w:r>
        <w:t>ТиС</w:t>
      </w:r>
      <w:proofErr w:type="spellEnd"/>
      <w:r>
        <w:t xml:space="preserve"> (не размещен отчет по МП «Повышение энергоэффективности в ЗАТО Северск») – оценка 1 балл и  УКС, который не является ответственным исполнителем программ – оценка 0 баллов.</w:t>
      </w:r>
    </w:p>
    <w:p>
      <w:pPr>
        <w:pStyle w:val="ac"/>
        <w:tabs>
          <w:tab w:val="left" w:pos="1134"/>
        </w:tabs>
        <w:ind w:left="709"/>
        <w:jc w:val="both"/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4) По показателю </w:t>
      </w:r>
      <w:r>
        <w:rPr>
          <w:b/>
        </w:rPr>
        <w:t>А</w:t>
      </w:r>
      <w:r>
        <w:rPr>
          <w:b/>
          <w:vertAlign w:val="subscript"/>
        </w:rPr>
        <w:t>1.4.  </w:t>
      </w:r>
      <w:r>
        <w:t xml:space="preserve">«Качество, полнота и своевременность представления реестра расходных обязательств, расчетов и обоснований к проекту бюджета ЗАТО Северск на </w:t>
      </w:r>
      <w:r>
        <w:lastRenderedPageBreak/>
        <w:t>очередной финансовый год»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2"/>
        <w:gridCol w:w="3260"/>
      </w:tblGrid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4102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1.4.</w:t>
            </w:r>
            <w:r>
              <w:rPr>
                <w:sz w:val="20"/>
                <w:szCs w:val="20"/>
              </w:rP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32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Своевременное представление документов было обеспечено семью ГАБС: Управлением культуры, УМСП </w:t>
      </w:r>
      <w:proofErr w:type="spellStart"/>
      <w:r>
        <w:t>ФКиС</w:t>
      </w:r>
      <w:proofErr w:type="spellEnd"/>
      <w:r>
        <w:t xml:space="preserve">, УЖКХ </w:t>
      </w:r>
      <w:proofErr w:type="spellStart"/>
      <w:r>
        <w:t>ТиС</w:t>
      </w:r>
      <w:proofErr w:type="spellEnd"/>
      <w:r>
        <w:t>, УЧС, УКС, УВГТ, Финансовым управлением – им присвоено по 5 баллов. По остальным ГАБС – 0 баллов.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 xml:space="preserve">По направлению «Бюджетное планирование» максимальное количество баллов, по которым оценивалась деятельность ГАБС, - 23 балла присвоено Управлению культуры, УМСП </w:t>
      </w:r>
      <w:proofErr w:type="spellStart"/>
      <w:r>
        <w:rPr>
          <w:b/>
          <w:i/>
        </w:rPr>
        <w:t>ФКиС</w:t>
      </w:r>
      <w:proofErr w:type="spellEnd"/>
      <w:r>
        <w:rPr>
          <w:b/>
          <w:i/>
        </w:rPr>
        <w:t>, УЧС и Финансовому управлению. Также наибольшее количество баллов набрали: 20 баллов – УВГТ, 18 баллов - Управление образования.</w:t>
      </w:r>
    </w:p>
    <w:p>
      <w:pPr>
        <w:autoSpaceDE w:val="0"/>
        <w:autoSpaceDN w:val="0"/>
        <w:adjustRightInd w:val="0"/>
        <w:jc w:val="both"/>
        <w:outlineLvl w:val="1"/>
        <w:rPr>
          <w:b/>
          <w:i/>
        </w:rPr>
      </w:pPr>
      <w:r>
        <w:rPr>
          <w:noProof/>
        </w:rPr>
        <w:drawing>
          <wp:inline distT="0" distB="0" distL="0" distR="0">
            <wp:extent cx="5939790" cy="2404379"/>
            <wp:effectExtent l="0" t="0" r="0" b="0"/>
            <wp:docPr id="10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autoSpaceDE w:val="0"/>
        <w:autoSpaceDN w:val="0"/>
        <w:adjustRightInd w:val="0"/>
        <w:ind w:left="-1701" w:firstLine="567"/>
        <w:jc w:val="center"/>
        <w:outlineLvl w:val="1"/>
        <w:rPr>
          <w:noProof/>
        </w:rPr>
      </w:pPr>
      <w:r>
        <w:rPr>
          <w:noProof/>
        </w:rPr>
        <w:t xml:space="preserve">Рисунок 1 – Итоговое количество баллов по разделу </w:t>
      </w:r>
      <w:r>
        <w:rPr>
          <w:noProof/>
          <w:lang w:val="en-US"/>
        </w:rPr>
        <w:t>I</w:t>
      </w:r>
    </w:p>
    <w:p>
      <w:pPr>
        <w:autoSpaceDE w:val="0"/>
        <w:autoSpaceDN w:val="0"/>
        <w:adjustRightInd w:val="0"/>
        <w:jc w:val="center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2. Направление «Исполнение бюджета ЗАТО Северск и формирование бюджетной отчетности»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восьми показателям:</w:t>
      </w:r>
    </w:p>
    <w:p>
      <w:pPr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2.1</w:t>
      </w:r>
      <w:r>
        <w:rPr>
          <w:b/>
          <w:vertAlign w:val="subscript"/>
        </w:rPr>
        <w:t>.</w:t>
      </w:r>
      <w:r>
        <w:t> «Обеспечение собираемости доходов бюджета ЗАТО Северск, в процентах» критерии определения количества баллов: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12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5</w:t>
            </w:r>
            <w:proofErr w:type="gramEnd"/>
            <w:r>
              <w:t>%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5% &lt;= А</w:t>
            </w:r>
            <w:r>
              <w:rPr>
                <w:vertAlign w:val="subscript"/>
              </w:rPr>
              <w:t>2.1</w:t>
            </w:r>
            <w:r>
              <w:t xml:space="preserve"> </w:t>
            </w:r>
            <w:proofErr w:type="gramStart"/>
            <w:r>
              <w:t>&lt; 10</w:t>
            </w:r>
            <w:proofErr w:type="gramEnd"/>
            <w:r>
              <w:t>%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10% &lt;= А</w:t>
            </w:r>
            <w:r>
              <w:rPr>
                <w:vertAlign w:val="subscript"/>
              </w:rPr>
              <w:t>2.1</w:t>
            </w:r>
          </w:p>
        </w:tc>
        <w:tc>
          <w:tcPr>
            <w:tcW w:w="312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Максимальное количество баллов получено Управлением образования и УИО (3 балла). УЖКХ </w:t>
      </w:r>
      <w:proofErr w:type="spellStart"/>
      <w:r>
        <w:t>ТиС</w:t>
      </w:r>
      <w:proofErr w:type="spellEnd"/>
      <w:r>
        <w:t>, Администрацией, УКС допущены значительные отклонения фактического исполнения от первоначально утвержденного плана, остальными ГАБС планирование доходов не осуществлялось.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4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2268"/>
        <w:gridCol w:w="1701"/>
        <w:gridCol w:w="1247"/>
        <w:gridCol w:w="1276"/>
      </w:tblGrid>
      <w:tr>
        <w:trPr>
          <w:trHeight w:val="1073"/>
        </w:trPr>
        <w:tc>
          <w:tcPr>
            <w:tcW w:w="286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226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Первоначальный план по налоговым и неналоговым доходам,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Исполнение по налоговым и неналоговым доходам,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4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(гр.3/гр.2*100-100)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2 199,76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2 028,84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6,92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8 367,06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19 247,70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13 876,79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138 667,90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130 925,04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119 198,69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8,96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53,93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87,57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26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47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tabs>
          <w:tab w:val="left" w:pos="993"/>
        </w:tabs>
        <w:ind w:left="709"/>
        <w:jc w:val="both"/>
      </w:pP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2) По показателю </w:t>
      </w:r>
      <w:r>
        <w:rPr>
          <w:b/>
        </w:rPr>
        <w:t>А</w:t>
      </w:r>
      <w:r>
        <w:rPr>
          <w:b/>
          <w:vertAlign w:val="subscript"/>
        </w:rPr>
        <w:t>2.2. </w:t>
      </w:r>
      <w:r>
        <w:t>«Суммы невыясненных поступлений»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000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&lt;= 1%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1% </w:t>
            </w:r>
            <w:proofErr w:type="gramStart"/>
            <w:r>
              <w:t>&lt; А</w:t>
            </w:r>
            <w:r>
              <w:rPr>
                <w:vertAlign w:val="subscript"/>
              </w:rPr>
              <w:t>2.2</w:t>
            </w:r>
            <w:proofErr w:type="gramEnd"/>
            <w:r>
              <w:t xml:space="preserve"> &lt;= 5%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2.2</w:t>
            </w:r>
            <w:r>
              <w:t xml:space="preserve"> &gt;</w:t>
            </w:r>
            <w:proofErr w:type="gramEnd"/>
            <w:r>
              <w:t xml:space="preserve"> 5%</w:t>
            </w:r>
          </w:p>
        </w:tc>
        <w:tc>
          <w:tcPr>
            <w:tcW w:w="300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По состоянию на 01.01.2023 остатки невыясненных поступлений отсутствуют у всех ГАБС. Оценка показателя по всем ГАБС 5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5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571"/>
        <w:gridCol w:w="1276"/>
      </w:tblGrid>
      <w:tr>
        <w:trPr>
          <w:trHeight w:val="1232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остатка невыясненных поступлений,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Исполнено доходов,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right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1 804 925,90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211 262,12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88 309,28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59 934,24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76 713,36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118 745,96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200 140,95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1 432,40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</w:tcPr>
          <w:p>
            <w:pPr>
              <w:jc w:val="right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1 617 811,80</w:t>
            </w:r>
          </w:p>
        </w:tc>
        <w:tc>
          <w:tcPr>
            <w:tcW w:w="1571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tabs>
          <w:tab w:val="left" w:pos="993"/>
        </w:tabs>
        <w:ind w:left="709"/>
        <w:jc w:val="both"/>
        <w:rPr>
          <w:color w:val="000000"/>
          <w:highlight w:val="yellow"/>
        </w:rPr>
      </w:pPr>
    </w:p>
    <w:p>
      <w:pPr>
        <w:tabs>
          <w:tab w:val="left" w:pos="993"/>
        </w:tabs>
        <w:ind w:firstLine="709"/>
        <w:jc w:val="both"/>
        <w:rPr>
          <w:color w:val="000000"/>
        </w:rPr>
      </w:pPr>
      <w:r>
        <w:t xml:space="preserve">3) По показателю </w:t>
      </w:r>
      <w:r>
        <w:rPr>
          <w:b/>
        </w:rPr>
        <w:t>А</w:t>
      </w:r>
      <w:r>
        <w:rPr>
          <w:b/>
          <w:vertAlign w:val="subscript"/>
        </w:rPr>
        <w:t>2.3. </w:t>
      </w:r>
      <w:r>
        <w:t>«Эффективность управления дебиторской задолженностью по расчетам с дебиторами по доходам» оценка проводится в соответствии со следующими показателями:</w:t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&lt;= 5%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5%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30%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30% </w:t>
            </w:r>
            <w:proofErr w:type="gramStart"/>
            <w:r>
              <w:t>&lt; А</w:t>
            </w:r>
            <w:r>
              <w:rPr>
                <w:vertAlign w:val="subscript"/>
              </w:rPr>
              <w:t>2.3</w:t>
            </w:r>
            <w:proofErr w:type="gramEnd"/>
            <w:r>
              <w:t xml:space="preserve"> &lt;=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2.3</w:t>
            </w:r>
            <w:r>
              <w:t xml:space="preserve"> &gt;</w:t>
            </w:r>
            <w:proofErr w:type="gramEnd"/>
            <w:r>
              <w:t xml:space="preserve"> 50%</w:t>
            </w:r>
          </w:p>
        </w:tc>
        <w:tc>
          <w:tcPr>
            <w:tcW w:w="241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jc w:val="both"/>
      </w:pPr>
    </w:p>
    <w:p>
      <w:pPr>
        <w:tabs>
          <w:tab w:val="left" w:pos="993"/>
        </w:tabs>
        <w:ind w:firstLine="709"/>
        <w:jc w:val="both"/>
      </w:pPr>
      <w:r>
        <w:t xml:space="preserve">Максимальная оценка 5 баллов присвоена восьми ГАБС: Управлению образования, Управлению культуры, УМСП </w:t>
      </w:r>
      <w:proofErr w:type="spellStart"/>
      <w:r>
        <w:t>ФКиС</w:t>
      </w:r>
      <w:proofErr w:type="spellEnd"/>
      <w:r>
        <w:t xml:space="preserve">, Администрации, УЧС, УКС, УВГТ, Финансовому управлению. Двум ГАБС снижена оценка по причине наличия дебиторской задолженности: до 3 баллов -  УЖКХ </w:t>
      </w:r>
      <w:proofErr w:type="spellStart"/>
      <w:r>
        <w:t>ТиС</w:t>
      </w:r>
      <w:proofErr w:type="spellEnd"/>
      <w:r>
        <w:t xml:space="preserve">, до 0 </w:t>
      </w:r>
      <w:proofErr w:type="gramStart"/>
      <w:r>
        <w:t>баллов  -</w:t>
      </w:r>
      <w:proofErr w:type="gramEnd"/>
      <w:r>
        <w:t xml:space="preserve"> УИО.  </w:t>
      </w: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  <w:rPr>
          <w:color w:val="000000"/>
        </w:rPr>
      </w:pPr>
    </w:p>
    <w:p>
      <w:pPr>
        <w:autoSpaceDE w:val="0"/>
        <w:autoSpaceDN w:val="0"/>
        <w:adjustRightInd w:val="0"/>
        <w:jc w:val="right"/>
        <w:outlineLvl w:val="1"/>
      </w:pPr>
      <w:r>
        <w:lastRenderedPageBreak/>
        <w:t xml:space="preserve">Таблица 6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2190"/>
        <w:gridCol w:w="1597"/>
        <w:gridCol w:w="1571"/>
        <w:gridCol w:w="1276"/>
      </w:tblGrid>
      <w:tr>
        <w:trPr>
          <w:trHeight w:val="1232"/>
        </w:trPr>
        <w:tc>
          <w:tcPr>
            <w:tcW w:w="286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219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дебиторской задолженности по расчетам с дебиторами по доходам в отчетном финансовом году,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Исполнено доходов,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2.2,   %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9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534,97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1 804 925,90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211 262,12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88 309,28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11 980,44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59 934,24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19,99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16,30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76 713,36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140 399,63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118 745,96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200 140,95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1 432,40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6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219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1 617 811,80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tabs>
          <w:tab w:val="left" w:pos="993"/>
        </w:tabs>
        <w:ind w:left="709"/>
        <w:jc w:val="both"/>
        <w:rPr>
          <w:sz w:val="16"/>
          <w:szCs w:val="16"/>
          <w:highlight w:val="yellow"/>
        </w:rPr>
      </w:pPr>
    </w:p>
    <w:p>
      <w:pPr>
        <w:tabs>
          <w:tab w:val="left" w:pos="993"/>
        </w:tabs>
        <w:ind w:firstLine="709"/>
        <w:jc w:val="both"/>
      </w:pPr>
      <w:r>
        <w:t xml:space="preserve">4) По </w:t>
      </w:r>
      <w:proofErr w:type="gramStart"/>
      <w:r>
        <w:t xml:space="preserve">показателю  </w:t>
      </w:r>
      <w:r>
        <w:rPr>
          <w:b/>
        </w:rPr>
        <w:t>А</w:t>
      </w:r>
      <w:r>
        <w:rPr>
          <w:b/>
          <w:vertAlign w:val="subscript"/>
        </w:rPr>
        <w:t>2.4</w:t>
      </w:r>
      <w:proofErr w:type="gramEnd"/>
      <w:r>
        <w:rPr>
          <w:b/>
          <w:vertAlign w:val="subscript"/>
        </w:rPr>
        <w:t xml:space="preserve">. </w:t>
      </w:r>
      <w:r>
        <w:t xml:space="preserve"> «Эффективность управления просроченной кредиторской задолженностью по расчетам с поставщиками, подрядчиками и исполнителями» оценка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01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722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= 0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0% </w:t>
            </w:r>
            <w:proofErr w:type="gramStart"/>
            <w:r>
              <w:t>&lt; А</w:t>
            </w:r>
            <w:r>
              <w:rPr>
                <w:vertAlign w:val="subscript"/>
              </w:rPr>
              <w:t>2.4</w:t>
            </w:r>
            <w:proofErr w:type="gramEnd"/>
            <w:r>
              <w:t xml:space="preserve"> &lt;= 0,2%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2.4</w:t>
            </w:r>
            <w:r>
              <w:t xml:space="preserve"> &gt;</w:t>
            </w:r>
            <w:proofErr w:type="gramEnd"/>
            <w:r>
              <w:t xml:space="preserve"> 0,2%</w:t>
            </w:r>
          </w:p>
        </w:tc>
        <w:tc>
          <w:tcPr>
            <w:tcW w:w="272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</w:p>
    <w:p>
      <w:pPr>
        <w:tabs>
          <w:tab w:val="left" w:pos="993"/>
        </w:tabs>
        <w:ind w:firstLine="709"/>
        <w:jc w:val="both"/>
      </w:pPr>
      <w:r>
        <w:t xml:space="preserve">Просроченная кредиторская задолженность (без учета задолженности казенных, бюджетных, автономных учреждений) по состоянию на 01.01.2023 отсутствует у всех ГАБС. Оценка показателя – 5 баллов. </w:t>
      </w:r>
    </w:p>
    <w:p>
      <w:pPr>
        <w:pStyle w:val="ConsPlusNormal"/>
        <w:jc w:val="both"/>
        <w:rPr>
          <w:rFonts w:ascii="Times New Roman" w:hAnsi="Times New Roman" w:cs="Times New Roman"/>
          <w:sz w:val="16"/>
          <w:szCs w:val="16"/>
          <w:highlight w:val="yellow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показателю 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2.5</w:t>
      </w:r>
      <w:proofErr w:type="gramEnd"/>
      <w:r>
        <w:rPr>
          <w:rFonts w:ascii="Times New Roman" w:hAnsi="Times New Roman" w:cs="Times New Roman"/>
          <w:b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«Соблюдение установленных сроков представления ГАБС годовой бюджетной/бухгалтерской отчетности в АИС «БАРС. </w:t>
      </w:r>
      <w:proofErr w:type="spellStart"/>
      <w:r>
        <w:rPr>
          <w:rFonts w:ascii="Times New Roman" w:hAnsi="Times New Roman" w:cs="Times New Roman"/>
          <w:sz w:val="24"/>
          <w:szCs w:val="24"/>
        </w:rPr>
        <w:t>Web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–бюджетный учет» оценка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37" w:tblpY="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2.5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 &lt; А</w:t>
            </w:r>
            <w:r>
              <w:rPr>
                <w:vertAlign w:val="subscript"/>
              </w:rPr>
              <w:t>2.5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ГАБС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 баллов.</w:t>
      </w:r>
    </w:p>
    <w:p>
      <w:pPr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</w:rPr>
      </w:pPr>
    </w:p>
    <w:p>
      <w:pPr>
        <w:ind w:firstLine="709"/>
        <w:jc w:val="both"/>
      </w:pPr>
      <w:r>
        <w:t xml:space="preserve">6) Показатель </w:t>
      </w:r>
      <w:r>
        <w:rPr>
          <w:b/>
        </w:rPr>
        <w:t>А</w:t>
      </w:r>
      <w:r>
        <w:rPr>
          <w:b/>
          <w:vertAlign w:val="subscript"/>
        </w:rPr>
        <w:t>2.6.  </w:t>
      </w:r>
      <w:r>
        <w:t xml:space="preserve">«Качество формирования годовой бюджетной отчетности в АИС «БАРС. </w:t>
      </w:r>
      <w:proofErr w:type="spellStart"/>
      <w:r>
        <w:t>Web</w:t>
      </w:r>
      <w:proofErr w:type="spellEnd"/>
      <w:r>
        <w:t xml:space="preserve"> –бюджетный учет».</w:t>
      </w:r>
    </w:p>
    <w:p>
      <w:pPr>
        <w:ind w:firstLine="709"/>
        <w:jc w:val="both"/>
      </w:pPr>
      <w:r>
        <w:t>Все ГАБС получили оценку в зависимости от количества форм отчетности, представленных с ошибками.</w:t>
      </w:r>
    </w:p>
    <w:p>
      <w:pPr>
        <w:tabs>
          <w:tab w:val="left" w:pos="4962"/>
        </w:tabs>
        <w:ind w:left="-142"/>
        <w:jc w:val="center"/>
      </w:pPr>
      <w:r>
        <w:t xml:space="preserve">                                                                                                                                            Таблица 7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73"/>
        <w:gridCol w:w="1317"/>
        <w:gridCol w:w="1520"/>
        <w:gridCol w:w="1946"/>
      </w:tblGrid>
      <w:tr>
        <w:trPr>
          <w:trHeight w:val="787"/>
        </w:trPr>
        <w:tc>
          <w:tcPr>
            <w:tcW w:w="4573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317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52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1946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3,9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3,8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2,9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1,1</w:t>
            </w:r>
          </w:p>
        </w:tc>
      </w:tr>
      <w:tr>
        <w:trPr>
          <w:trHeight w:val="255"/>
        </w:trPr>
        <w:tc>
          <w:tcPr>
            <w:tcW w:w="4573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317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20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946" w:type="dxa"/>
            <w:shd w:val="clear" w:color="auto" w:fill="FFFFFF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</w:t>
            </w:r>
          </w:p>
        </w:tc>
      </w:tr>
    </w:tbl>
    <w:p>
      <w:pPr>
        <w:tabs>
          <w:tab w:val="left" w:pos="993"/>
        </w:tabs>
        <w:ind w:left="709"/>
        <w:jc w:val="both"/>
        <w:rPr>
          <w:sz w:val="16"/>
          <w:szCs w:val="16"/>
          <w:highlight w:val="yellow"/>
        </w:rPr>
      </w:pPr>
    </w:p>
    <w:p>
      <w:pPr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>
        <w:t>По показателю А2.7</w:t>
      </w:r>
      <w:r>
        <w:rPr>
          <w:b/>
          <w:vertAlign w:val="subscript"/>
        </w:rPr>
        <w:t xml:space="preserve">. </w:t>
      </w:r>
      <w:r>
        <w:t xml:space="preserve"> «Качество управления средствами бюджета в части межбюджетных трансфертов» отражается эффективность (полнота) использования средств межбюджетных трансфертов анализировалось управление целевыми межбюджетными трансфертами. </w:t>
      </w:r>
    </w:p>
    <w:p>
      <w:pPr>
        <w:autoSpaceDE w:val="0"/>
        <w:autoSpaceDN w:val="0"/>
        <w:adjustRightInd w:val="0"/>
        <w:ind w:left="720"/>
        <w:jc w:val="both"/>
        <w:outlineLvl w:val="1"/>
      </w:pPr>
    </w:p>
    <w:p>
      <w:pPr>
        <w:autoSpaceDE w:val="0"/>
        <w:autoSpaceDN w:val="0"/>
        <w:adjustRightInd w:val="0"/>
        <w:ind w:left="72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=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80%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 xml:space="preserve">50% </w:t>
            </w:r>
            <w:proofErr w:type="gramStart"/>
            <w:r>
              <w:t>&lt; А</w:t>
            </w:r>
            <w:r>
              <w:rPr>
                <w:vertAlign w:val="subscript"/>
              </w:rPr>
              <w:t>2.7</w:t>
            </w:r>
            <w:proofErr w:type="gramEnd"/>
            <w:r>
              <w:t xml:space="preserve"> &lt;= 80%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А</w:t>
            </w:r>
            <w:r>
              <w:rPr>
                <w:vertAlign w:val="subscript"/>
              </w:rPr>
              <w:t>2.7</w:t>
            </w:r>
            <w:r>
              <w:t xml:space="preserve"> &lt;= 50%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Максимальный показатель в 5 баллов достигнут Управлением культуры, УЧС и УВГТ.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 Таблица 8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1814"/>
        <w:gridCol w:w="1597"/>
        <w:gridCol w:w="1429"/>
        <w:gridCol w:w="1276"/>
      </w:tblGrid>
      <w:tr>
        <w:trPr>
          <w:trHeight w:val="874"/>
        </w:trPr>
        <w:tc>
          <w:tcPr>
            <w:tcW w:w="324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Кассовый расход по средствам МБТ,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Доведено МБТ,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 (бюджетные ассигнования)</w:t>
            </w:r>
          </w:p>
        </w:tc>
        <w:tc>
          <w:tcPr>
            <w:tcW w:w="142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2.7,   %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  <w:vertAlign w:val="subscript"/>
              </w:rPr>
              <w:t>(100*гр.2/гр.3)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1 800 025,46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1 816 126,22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211 528,94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211 638,82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84 972,53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85 232,27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43 803,50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46 547,65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65 875,15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66 555,10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200 087,02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221 681,68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1 459,32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1 459,32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24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814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429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ind w:firstLine="709"/>
        <w:jc w:val="both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8) По показателю </w:t>
      </w:r>
      <w:r>
        <w:rPr>
          <w:b/>
        </w:rPr>
        <w:t>А</w:t>
      </w:r>
      <w:r>
        <w:rPr>
          <w:b/>
          <w:vertAlign w:val="subscript"/>
        </w:rPr>
        <w:t>2.8.  </w:t>
      </w:r>
      <w:r>
        <w:t>«Качество информации, представляемой участниками процесса ведения реестра источников доходов бюджета ЗАТО Северск» оценка проводится в соответствии со следующими показателями:</w:t>
      </w:r>
    </w:p>
    <w:tbl>
      <w:tblPr>
        <w:tblpPr w:leftFromText="180" w:rightFromText="180" w:vertAnchor="text" w:horzAnchor="page" w:tblpX="2473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76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= 0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1 </w:t>
            </w:r>
            <w:proofErr w:type="gramStart"/>
            <w:r>
              <w:t>&lt; А</w:t>
            </w:r>
            <w:r>
              <w:rPr>
                <w:vertAlign w:val="subscript"/>
              </w:rPr>
              <w:t>2.8</w:t>
            </w:r>
            <w:proofErr w:type="gramEnd"/>
            <w:r>
              <w:t xml:space="preserve"> &lt; 5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323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2.8</w:t>
            </w:r>
            <w:r>
              <w:t xml:space="preserve"> &gt;</w:t>
            </w:r>
            <w:proofErr w:type="gramEnd"/>
            <w:r>
              <w:t xml:space="preserve"> 5</w:t>
            </w:r>
          </w:p>
        </w:tc>
        <w:tc>
          <w:tcPr>
            <w:tcW w:w="227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  <w:rPr>
          <w:sz w:val="16"/>
          <w:szCs w:val="16"/>
        </w:rPr>
      </w:pPr>
    </w:p>
    <w:p>
      <w:pPr>
        <w:ind w:firstLine="709"/>
        <w:jc w:val="both"/>
      </w:pPr>
      <w:r>
        <w:t xml:space="preserve">Всеми </w:t>
      </w:r>
      <w:proofErr w:type="gramStart"/>
      <w:r>
        <w:t>ГАБС  получено</w:t>
      </w:r>
      <w:proofErr w:type="gramEnd"/>
      <w:r>
        <w:t xml:space="preserve"> по 5 баллов, отрицательные уведомления о результатах проверки этим ГАБС не направлялись. 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lastRenderedPageBreak/>
        <w:t xml:space="preserve">По направлению «Исполнение бюджета ЗАТО Северск и формирование бюджетной отчетности» оценивался менеджмент по 8 показателям. Максимальное количество баллов, возможное по данному направлению – 40 баллов. Наибольшее количество баллов присвоено Управлению образования (34,9 баллов), Управлению культуры (34,3 баллов) </w:t>
      </w:r>
      <w:proofErr w:type="gramStart"/>
      <w:r>
        <w:rPr>
          <w:b/>
          <w:i/>
        </w:rPr>
        <w:t>и  УЧС</w:t>
      </w:r>
      <w:proofErr w:type="gramEnd"/>
      <w:r>
        <w:rPr>
          <w:b/>
          <w:i/>
        </w:rPr>
        <w:t xml:space="preserve"> (32,9 балла).</w:t>
      </w:r>
    </w:p>
    <w:p>
      <w:pPr>
        <w:autoSpaceDE w:val="0"/>
        <w:autoSpaceDN w:val="0"/>
        <w:adjustRightInd w:val="0"/>
        <w:jc w:val="both"/>
        <w:outlineLvl w:val="1"/>
        <w:rPr>
          <w:b/>
          <w:i/>
        </w:rPr>
      </w:pPr>
      <w:r>
        <w:rPr>
          <w:noProof/>
        </w:rPr>
        <w:drawing>
          <wp:inline distT="0" distB="0" distL="0" distR="0">
            <wp:extent cx="6233160" cy="2476500"/>
            <wp:effectExtent l="0" t="0" r="0" b="0"/>
            <wp:docPr id="11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autoSpaceDE w:val="0"/>
        <w:autoSpaceDN w:val="0"/>
        <w:adjustRightInd w:val="0"/>
        <w:ind w:left="-284" w:firstLine="426"/>
        <w:jc w:val="center"/>
        <w:outlineLvl w:val="1"/>
      </w:pPr>
      <w:r>
        <w:rPr>
          <w:noProof/>
        </w:rPr>
        <w:t xml:space="preserve">Рисунок 2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3. Направление «Управлению деятельностью муниципальных учреждений»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По данному направлению оцениваются семь ГАБС, имеющие подведомственные муниципальные учреждения: Управление образования, Управление культуры, УМСП </w:t>
      </w:r>
      <w:proofErr w:type="spellStart"/>
      <w:r>
        <w:t>ФКиС</w:t>
      </w:r>
      <w:proofErr w:type="spellEnd"/>
      <w:r>
        <w:t xml:space="preserve">, УЖКХ </w:t>
      </w:r>
      <w:proofErr w:type="spellStart"/>
      <w:r>
        <w:t>ТиС</w:t>
      </w:r>
      <w:proofErr w:type="spellEnd"/>
      <w:r>
        <w:t xml:space="preserve">, Администрация, УИО, УЧС.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Показатели, по вопросам, касающимся муниципальных заданий, оценены по четырем ГАБС, которые в 2022 году формировали муниципальные задания на оказание муниципальных услуг (работ): Управление образования, Управление культуры, УМСП </w:t>
      </w:r>
      <w:proofErr w:type="spellStart"/>
      <w:r>
        <w:t>ФКиС</w:t>
      </w:r>
      <w:proofErr w:type="spellEnd"/>
      <w:r>
        <w:t xml:space="preserve"> и УЖКХ </w:t>
      </w:r>
      <w:proofErr w:type="spellStart"/>
      <w:r>
        <w:t>ТиС</w:t>
      </w:r>
      <w:proofErr w:type="spellEnd"/>
      <w:r>
        <w:t xml:space="preserve">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девяти показателям.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3.1. </w:t>
      </w:r>
      <w:r>
        <w:t>«Наличие результатов контроля за исполнением муниципальных заданий, оформленных по форме, утвержденной соответствующим приказом учредителя» на предоставление муниципальных услуг (выполнение работ) в соответствии с постановлением Администрации ЗАТО Северск от 02.11.2015 № 2457.</w:t>
      </w:r>
    </w:p>
    <w:p>
      <w:pPr>
        <w:autoSpaceDE w:val="0"/>
        <w:autoSpaceDN w:val="0"/>
        <w:adjustRightInd w:val="0"/>
        <w:ind w:left="720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100%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50% &lt;= 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</w:t>
            </w:r>
            <w:proofErr w:type="gramStart"/>
            <w:r>
              <w:t>&lt; 50</w:t>
            </w:r>
            <w:proofErr w:type="gramEnd"/>
            <w:r>
              <w:t>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3.1</w:t>
            </w:r>
            <w:r>
              <w:t xml:space="preserve"> = 0%</w:t>
            </w:r>
          </w:p>
        </w:tc>
        <w:tc>
          <w:tcPr>
            <w:tcW w:w="2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  <w:proofErr w:type="gramStart"/>
      <w:r>
        <w:t>Четыре  ГАБС</w:t>
      </w:r>
      <w:proofErr w:type="gramEnd"/>
      <w:r>
        <w:t xml:space="preserve"> получили максимальное количество баллов. 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2)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3.2. </w:t>
      </w:r>
      <w:r>
        <w:t>«Актуализация (усовершенствование) правовых актов ГАБС                           по вопросам, касающимся муниципальных заданий»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0"/>
        <w:gridCol w:w="2552"/>
      </w:tblGrid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0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3.2</w:t>
            </w:r>
            <w:r>
              <w:rPr>
                <w:sz w:val="20"/>
                <w:szCs w:val="20"/>
              </w:rPr>
              <w:t xml:space="preserve"> = актуализируются несвоевременно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  <w:r>
        <w:t xml:space="preserve">В 2022 году Управлением образования, Управлением культуры и УЖКХ </w:t>
      </w:r>
      <w:proofErr w:type="spellStart"/>
      <w:r>
        <w:t>ТиС</w:t>
      </w:r>
      <w:proofErr w:type="spellEnd"/>
      <w:r>
        <w:t xml:space="preserve"> своевременно подготовлены правовые акты по вопросам, касающимся муниципальных заданий, соответственно, присвоено 3 балла. УМСП </w:t>
      </w:r>
      <w:proofErr w:type="spellStart"/>
      <w:r>
        <w:t>ФКиС</w:t>
      </w:r>
      <w:proofErr w:type="spellEnd"/>
      <w:r>
        <w:t xml:space="preserve"> – 0 баллов. 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3) 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3.3. </w:t>
      </w:r>
      <w:r>
        <w:t xml:space="preserve">«Использование результатов мониторинга выполнения муниципальных заданий при планировании бюджетных ассигнований и (или) определении </w:t>
      </w:r>
      <w:r>
        <w:lastRenderedPageBreak/>
        <w:t>объёма субсидий на выполнение муниципального задания…» 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5"/>
        <w:gridCol w:w="2552"/>
      </w:tblGrid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3915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3.3</w:t>
            </w:r>
            <w:r>
              <w:rPr>
                <w:sz w:val="20"/>
                <w:szCs w:val="20"/>
              </w:rPr>
              <w:t xml:space="preserve"> = результаты не используются</w:t>
            </w:r>
          </w:p>
        </w:tc>
        <w:tc>
          <w:tcPr>
            <w:tcW w:w="255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Использование результатов осуществлялось четырьмя ГАБС, которым присвоено 3 балла.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4)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3.4. </w:t>
      </w:r>
      <w:r>
        <w:t>«Качественное и своевременное формирование информации учреждениями по поступлениям и выплатам плановых и фактических показателей плана финансово-хозяйственной деятельности в ИС «АЦК-финансы»»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688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= 100%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80% &lt;= 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3.4</w:t>
            </w:r>
            <w:r>
              <w:t xml:space="preserve"> </w:t>
            </w:r>
            <w:proofErr w:type="gramStart"/>
            <w:r>
              <w:t>&lt; 80</w:t>
            </w:r>
            <w:proofErr w:type="gramEnd"/>
            <w:r>
              <w:t>%</w:t>
            </w:r>
          </w:p>
        </w:tc>
        <w:tc>
          <w:tcPr>
            <w:tcW w:w="268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Формирования годовых отчетов осуществлялось своевременно и по установленным формам, количество присвоенных баллов - 5.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5)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3.5. </w:t>
      </w:r>
      <w:r>
        <w:rPr>
          <w:b/>
        </w:rPr>
        <w:t xml:space="preserve"> </w:t>
      </w:r>
      <w:r>
        <w:t>«Размещение и своевременное обновление информации о муниципальных учреждениях на Официальном сайте bus.gov.ru» произведен мониторинг данных, размещенных на указанном сайте.</w:t>
      </w: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763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= 100%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3.5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276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 у пяти ГАБС: Управления культуры, УМСП </w:t>
      </w:r>
      <w:proofErr w:type="spellStart"/>
      <w:r>
        <w:t>ФКиС</w:t>
      </w:r>
      <w:proofErr w:type="spellEnd"/>
      <w:r>
        <w:t xml:space="preserve">, УЖКХ </w:t>
      </w:r>
      <w:proofErr w:type="spellStart"/>
      <w:r>
        <w:t>ТиС</w:t>
      </w:r>
      <w:proofErr w:type="spellEnd"/>
      <w:r>
        <w:t xml:space="preserve">, УИО и УЧС.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9                                                                                                               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126"/>
        <w:gridCol w:w="1843"/>
        <w:gridCol w:w="1275"/>
        <w:gridCol w:w="1418"/>
      </w:tblGrid>
      <w:tr>
        <w:tc>
          <w:tcPr>
            <w:tcW w:w="269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12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учреждений, разместивших данные своевременно и в полном объеме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Общее число учреждений</w:t>
            </w:r>
          </w:p>
        </w:tc>
        <w:tc>
          <w:tcPr>
            <w:tcW w:w="127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3.5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 2/гр. 3*100)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УИО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69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УЧС</w:t>
            </w:r>
          </w:p>
        </w:tc>
        <w:tc>
          <w:tcPr>
            <w:tcW w:w="2126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6)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3.6. </w:t>
      </w:r>
      <w:r>
        <w:rPr>
          <w:b/>
        </w:rPr>
        <w:t xml:space="preserve"> </w:t>
      </w:r>
      <w:r>
        <w:t>«Проведение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217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= 100%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3.6</w:t>
            </w:r>
            <w:r>
              <w:t xml:space="preserve"> </w:t>
            </w:r>
            <w:proofErr w:type="gramStart"/>
            <w:r>
              <w:t>&lt; 100</w:t>
            </w:r>
            <w:proofErr w:type="gramEnd"/>
            <w:r>
              <w:t>%</w:t>
            </w:r>
          </w:p>
        </w:tc>
        <w:tc>
          <w:tcPr>
            <w:tcW w:w="42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потребности произведена Управлением образования, Управлением культуры и УМСП </w:t>
      </w:r>
      <w:proofErr w:type="spellStart"/>
      <w:r>
        <w:t>ФКиС</w:t>
      </w:r>
      <w:proofErr w:type="spellEnd"/>
      <w:r>
        <w:t>, им присвоено по 3 балла. В связи с отсутствием утвержденного порядка оценки потребности услуг (работ) в УЖКХ </w:t>
      </w:r>
      <w:proofErr w:type="spellStart"/>
      <w:r>
        <w:t>ТиС</w:t>
      </w:r>
      <w:proofErr w:type="spellEnd"/>
      <w:r>
        <w:t xml:space="preserve"> им присвоено 0 баллов.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16"/>
          <w:szCs w:val="16"/>
        </w:rPr>
      </w:pPr>
    </w:p>
    <w:p>
      <w:pPr>
        <w:autoSpaceDE w:val="0"/>
        <w:autoSpaceDN w:val="0"/>
        <w:adjustRightInd w:val="0"/>
        <w:ind w:firstLine="708"/>
        <w:jc w:val="both"/>
        <w:outlineLvl w:val="1"/>
      </w:pPr>
      <w:r>
        <w:lastRenderedPageBreak/>
        <w:t>7) По показателю</w:t>
      </w:r>
      <w:r>
        <w:rPr>
          <w:b/>
        </w:rPr>
        <w:t xml:space="preserve"> А</w:t>
      </w:r>
      <w:r>
        <w:rPr>
          <w:b/>
          <w:vertAlign w:val="subscript"/>
        </w:rPr>
        <w:t xml:space="preserve">3.7. </w:t>
      </w:r>
      <w:r>
        <w:rPr>
          <w:b/>
        </w:rPr>
        <w:t xml:space="preserve"> </w:t>
      </w:r>
      <w:r>
        <w:t>«Своевременность подписания Соглашений о предоставлении субсидии на выполнение муниципального задания» произведен мониторинг данных в системе «АЦК-Финансы», показавший, что двумя ГАБС (Управлением культуры, УЖКХ </w:t>
      </w:r>
      <w:proofErr w:type="spellStart"/>
      <w:r>
        <w:t>ТиС</w:t>
      </w:r>
      <w:proofErr w:type="spellEnd"/>
      <w:r>
        <w:t xml:space="preserve">) соглашения подписаны в срок, им присвоено по 3 балла. Управлением образования и УМСП </w:t>
      </w:r>
      <w:proofErr w:type="spellStart"/>
      <w:r>
        <w:t>ФКиС</w:t>
      </w:r>
      <w:proofErr w:type="spellEnd"/>
      <w:r>
        <w:t xml:space="preserve"> нарушены сроки подписаний Соглашений, им присвоено 0 баллов.</w:t>
      </w:r>
    </w:p>
    <w:p>
      <w:pPr>
        <w:autoSpaceDE w:val="0"/>
        <w:autoSpaceDN w:val="0"/>
        <w:adjustRightInd w:val="0"/>
        <w:ind w:left="709"/>
        <w:jc w:val="both"/>
        <w:outlineLvl w:val="1"/>
      </w:pPr>
      <w:r>
        <w:t>Оценка проводится в соответствии со следующими показателями:</w:t>
      </w:r>
    </w:p>
    <w:tbl>
      <w:tblPr>
        <w:tblW w:w="0" w:type="auto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4"/>
        <w:gridCol w:w="2268"/>
      </w:tblGrid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до 14 января отчетного года включительно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465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3.7</w:t>
            </w:r>
            <w:r>
              <w:rPr>
                <w:sz w:val="20"/>
                <w:szCs w:val="20"/>
              </w:rPr>
              <w:t xml:space="preserve"> = 15 января отчетного года и позднее</w:t>
            </w:r>
          </w:p>
        </w:tc>
        <w:tc>
          <w:tcPr>
            <w:tcW w:w="226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  <w:rPr>
          <w:sz w:val="16"/>
          <w:szCs w:val="16"/>
        </w:rPr>
      </w:pPr>
    </w:p>
    <w:p>
      <w:pPr>
        <w:ind w:firstLine="709"/>
        <w:jc w:val="both"/>
      </w:pPr>
      <w:r>
        <w:t xml:space="preserve">8) Показатель </w:t>
      </w:r>
      <w:r>
        <w:rPr>
          <w:b/>
        </w:rPr>
        <w:t>А</w:t>
      </w:r>
      <w:r>
        <w:rPr>
          <w:b/>
          <w:vertAlign w:val="subscript"/>
        </w:rPr>
        <w:t>3.8.  </w:t>
      </w:r>
      <w:r>
        <w:t xml:space="preserve">«Качество формирования годовой бухгалтерской отчётности, представленной </w:t>
      </w:r>
      <w:proofErr w:type="gramStart"/>
      <w:r>
        <w:t>Учредителем  в</w:t>
      </w:r>
      <w:proofErr w:type="gramEnd"/>
      <w:r>
        <w:t xml:space="preserve"> АИС «БАРС. </w:t>
      </w:r>
      <w:proofErr w:type="spellStart"/>
      <w:r>
        <w:t>Web</w:t>
      </w:r>
      <w:proofErr w:type="spellEnd"/>
      <w:r>
        <w:t xml:space="preserve"> –бюджетный учет».                                                                                                                                          </w:t>
      </w:r>
    </w:p>
    <w:p>
      <w:pPr>
        <w:ind w:firstLine="709"/>
        <w:jc w:val="right"/>
      </w:pPr>
      <w:r>
        <w:t>Таблица 10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6"/>
        <w:gridCol w:w="1984"/>
        <w:gridCol w:w="1843"/>
        <w:gridCol w:w="2410"/>
      </w:tblGrid>
      <w:tr>
        <w:trPr>
          <w:trHeight w:val="612"/>
        </w:trPr>
        <w:tc>
          <w:tcPr>
            <w:tcW w:w="3006" w:type="dxa"/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Наименование ГАБС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sz w:val="22"/>
                <w:szCs w:val="22"/>
              </w:rPr>
              <w:t>форм  с</w:t>
            </w:r>
            <w:proofErr w:type="gramEnd"/>
            <w:r>
              <w:rPr>
                <w:sz w:val="22"/>
                <w:szCs w:val="22"/>
              </w:rPr>
              <w:t xml:space="preserve"> ошибками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форм всего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  <w:p>
            <w:pPr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 xml:space="preserve"> 5-(2)/(3)*5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shd w:val="clear" w:color="auto" w:fill="FFFFFF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2,3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3,1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2,8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3,5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4,6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3,8</w:t>
            </w:r>
          </w:p>
        </w:tc>
      </w:tr>
      <w:tr>
        <w:trPr>
          <w:trHeight w:val="255"/>
        </w:trPr>
        <w:tc>
          <w:tcPr>
            <w:tcW w:w="3006" w:type="dxa"/>
            <w:shd w:val="clear" w:color="auto" w:fill="FFFFFF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984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auto" w:fill="FFFFFF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10" w:type="dxa"/>
            <w:shd w:val="clear" w:color="auto" w:fill="FFFFFF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4,3</w:t>
            </w:r>
          </w:p>
        </w:tc>
      </w:tr>
    </w:tbl>
    <w:p>
      <w:pPr>
        <w:ind w:firstLine="709"/>
        <w:jc w:val="both"/>
        <w:rPr>
          <w:sz w:val="16"/>
          <w:szCs w:val="16"/>
          <w:highlight w:val="yellow"/>
        </w:rPr>
      </w:pPr>
    </w:p>
    <w:p>
      <w:pPr>
        <w:ind w:firstLine="709"/>
        <w:jc w:val="both"/>
      </w:pPr>
      <w:r>
        <w:t xml:space="preserve">9) По показателю </w:t>
      </w:r>
      <w:r>
        <w:rPr>
          <w:b/>
        </w:rPr>
        <w:t>А</w:t>
      </w:r>
      <w:r>
        <w:rPr>
          <w:b/>
          <w:vertAlign w:val="subscript"/>
        </w:rPr>
        <w:t>3.9.  </w:t>
      </w:r>
      <w:r>
        <w:t>«Отсутствие просроченной кредиторской задолженности подведомственных муниципальных учреждений» оценка проводится в соответствии со следующими показателями:</w:t>
      </w:r>
    </w:p>
    <w:tbl>
      <w:tblPr>
        <w:tblW w:w="0" w:type="auto"/>
        <w:tblInd w:w="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46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3.9</w:t>
            </w:r>
            <w:r>
              <w:t xml:space="preserve"> = 0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 xml:space="preserve">3.9 </w:t>
            </w:r>
            <w:r>
              <w:t xml:space="preserve">&gt;0 </w:t>
            </w:r>
          </w:p>
        </w:tc>
        <w:tc>
          <w:tcPr>
            <w:tcW w:w="2246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Просроченная кредиторская задолженность отсутствует у подведомственных муниципальных учреждений, всем ГАБС – 5 баллов. 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Максимальное количество баллов, возможное по данному направлению (37 </w:t>
      </w:r>
      <w:proofErr w:type="gramStart"/>
      <w:r>
        <w:rPr>
          <w:b/>
          <w:i/>
        </w:rPr>
        <w:t xml:space="preserve">баллов) </w:t>
      </w:r>
      <w:r>
        <w:rPr>
          <w:b/>
        </w:rPr>
        <w:t xml:space="preserve"> </w:t>
      </w:r>
      <w:r>
        <w:rPr>
          <w:b/>
          <w:i/>
        </w:rPr>
        <w:t>не</w:t>
      </w:r>
      <w:proofErr w:type="gramEnd"/>
      <w:r>
        <w:rPr>
          <w:b/>
          <w:i/>
        </w:rPr>
        <w:t xml:space="preserve"> получил ни один ГАБС.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Наилучший результат достигнут Управлением культуры (35,1 балла).</w:t>
      </w:r>
    </w:p>
    <w:p>
      <w:pPr>
        <w:autoSpaceDE w:val="0"/>
        <w:autoSpaceDN w:val="0"/>
        <w:adjustRightInd w:val="0"/>
        <w:ind w:left="1669"/>
        <w:jc w:val="both"/>
        <w:outlineLvl w:val="1"/>
      </w:pPr>
    </w:p>
    <w:p>
      <w:pPr>
        <w:jc w:val="center"/>
        <w:rPr>
          <w:noProof/>
          <w:color w:val="FF0000"/>
        </w:rPr>
      </w:pPr>
      <w:r>
        <w:rPr>
          <w:noProof/>
        </w:rPr>
        <w:drawing>
          <wp:inline distT="0" distB="0" distL="0" distR="0">
            <wp:extent cx="5646420" cy="2583180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jc w:val="center"/>
      </w:pPr>
      <w:r>
        <w:rPr>
          <w:noProof/>
        </w:rPr>
        <w:t xml:space="preserve">Рисунок 3 – Итоговое количество баллов по разделу </w:t>
      </w:r>
      <w:r>
        <w:rPr>
          <w:noProof/>
          <w:lang w:val="en-US"/>
        </w:rPr>
        <w:t>I</w:t>
      </w:r>
      <w:r>
        <w:rPr>
          <w:noProof/>
        </w:rPr>
        <w:t>II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lastRenderedPageBreak/>
        <w:t xml:space="preserve">4. Направление «Качество исполнения бюджетного процесса во взаимосвязи с выявленными бюджетными нарушениями»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13 баллов. Оценка качества выполнялась по трем показателям: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1) По показателю </w:t>
      </w:r>
      <w:r>
        <w:rPr>
          <w:b/>
        </w:rPr>
        <w:t>А</w:t>
      </w:r>
      <w:r>
        <w:rPr>
          <w:b/>
          <w:vertAlign w:val="subscript"/>
        </w:rPr>
        <w:t>4.1.</w:t>
      </w:r>
      <w:r>
        <w:t xml:space="preserve"> «Нарушения,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4.1</w:t>
            </w:r>
            <w:r>
              <w:rPr>
                <w:sz w:val="20"/>
                <w:szCs w:val="20"/>
              </w:rPr>
              <w:t xml:space="preserve"> = нарушения отсутствуют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5</w:t>
            </w:r>
          </w:p>
        </w:tc>
      </w:tr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4.1</w:t>
            </w:r>
            <w:r>
              <w:rPr>
                <w:sz w:val="20"/>
                <w:szCs w:val="20"/>
              </w:rPr>
              <w:t xml:space="preserve"> = нарушения установлены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  <w:r>
        <w:t>В соответствии с пунктом 5 Порядка показатель А</w:t>
      </w:r>
      <w:r>
        <w:rPr>
          <w:vertAlign w:val="subscript"/>
        </w:rPr>
        <w:t>4.1</w:t>
      </w:r>
      <w:proofErr w:type="gramStart"/>
      <w:r>
        <w:rPr>
          <w:vertAlign w:val="subscript"/>
        </w:rPr>
        <w:t>.</w:t>
      </w:r>
      <w:r>
        <w:t xml:space="preserve"> при</w:t>
      </w:r>
      <w:proofErr w:type="gramEnd"/>
      <w:r>
        <w:t xml:space="preserve"> отсутствии в отчетном году внешних проверок, принимается равным нулю.</w:t>
      </w:r>
    </w:p>
    <w:p>
      <w:pPr>
        <w:spacing w:after="120"/>
        <w:ind w:firstLine="709"/>
        <w:jc w:val="both"/>
      </w:pPr>
      <w:r>
        <w:t xml:space="preserve">В соответствии с данными Комитета внутреннего муниципального финансового контроля и контроля в сфере закупок Администрации ЗАТО Северск по шести ГАБС (Администрация, УИО, УЧС, УКС, УВГТ, Финансовое управление) проверки не проводились, им присвоено по 0 баллов. По результатам проверок установлены нарушения в УЖКХ </w:t>
      </w:r>
      <w:proofErr w:type="spellStart"/>
      <w:proofErr w:type="gramStart"/>
      <w:r>
        <w:t>ТиС</w:t>
      </w:r>
      <w:proofErr w:type="spellEnd"/>
      <w:r>
        <w:t xml:space="preserve">  -</w:t>
      </w:r>
      <w:proofErr w:type="gramEnd"/>
      <w:r>
        <w:t xml:space="preserve"> присвоено 0 баллов. По Управлению образованию, Управлению культуры, УМСП </w:t>
      </w:r>
      <w:proofErr w:type="spellStart"/>
      <w:r>
        <w:t>ФКиС</w:t>
      </w:r>
      <w:proofErr w:type="spellEnd"/>
      <w:r>
        <w:t xml:space="preserve"> проведенными проверками установлены нарушения у подведомственных учреждений, соответственно, им также присвоено по 0 баллов. </w:t>
      </w:r>
    </w:p>
    <w:p>
      <w:pPr>
        <w:spacing w:after="120"/>
        <w:ind w:firstLine="709"/>
        <w:jc w:val="both"/>
      </w:pPr>
      <w:r>
        <w:t>2) 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4.2</w:t>
      </w:r>
      <w:r>
        <w:rPr>
          <w:vertAlign w:val="subscript"/>
        </w:rPr>
        <w:t xml:space="preserve"> </w:t>
      </w:r>
      <w:r>
        <w:t>«Полнота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году» оценка проводится в соответствии со следующими показателями:</w:t>
      </w:r>
    </w:p>
    <w:tbl>
      <w:tblPr>
        <w:tblW w:w="0" w:type="auto"/>
        <w:tblInd w:w="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исполнены частично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  <w:vertAlign w:val="subscript"/>
              </w:rPr>
              <w:t>4.2</w:t>
            </w:r>
            <w:r>
              <w:rPr>
                <w:sz w:val="20"/>
                <w:szCs w:val="20"/>
              </w:rPr>
              <w:t xml:space="preserve"> = не исполнены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ind w:firstLine="709"/>
        <w:jc w:val="both"/>
      </w:pPr>
    </w:p>
    <w:p>
      <w:pPr>
        <w:ind w:firstLine="709"/>
        <w:jc w:val="both"/>
      </w:pPr>
      <w:r>
        <w:t xml:space="preserve">В соответствии с пунктом 5 Порядка показатель </w:t>
      </w:r>
      <w:proofErr w:type="gramStart"/>
      <w:r>
        <w:t>А</w:t>
      </w:r>
      <w:r>
        <w:rPr>
          <w:vertAlign w:val="subscript"/>
        </w:rPr>
        <w:t>4.2.</w:t>
      </w:r>
      <w:r>
        <w:t>,</w:t>
      </w:r>
      <w:proofErr w:type="gramEnd"/>
      <w:r>
        <w:t xml:space="preserve"> при отсутствии в отчетном году внешних проверок, принимается равным нулю.</w:t>
      </w:r>
    </w:p>
    <w:p>
      <w:pPr>
        <w:ind w:firstLine="709"/>
        <w:jc w:val="both"/>
      </w:pPr>
      <w:r>
        <w:t xml:space="preserve">В соответствии с данными Комитета внутреннего муниципального финансового контроля и контроля в сфере закупок Администрации ЗАТО Северск по проверенным подведомственным учреждениям ГАБС (Управления образования, Управления культуры, УМСП </w:t>
      </w:r>
      <w:proofErr w:type="spellStart"/>
      <w:r>
        <w:t>ФКиС</w:t>
      </w:r>
      <w:proofErr w:type="spellEnd"/>
      <w:r>
        <w:t xml:space="preserve">) предписания исполнены, замечания устранены, им присвоено 3 балла. УЖКХ </w:t>
      </w:r>
      <w:proofErr w:type="spellStart"/>
      <w:r>
        <w:t>ТиС</w:t>
      </w:r>
      <w:proofErr w:type="spellEnd"/>
      <w:r>
        <w:t xml:space="preserve"> предписания не исполнены - присвоено 0 баллов.</w:t>
      </w:r>
    </w:p>
    <w:p>
      <w:pPr>
        <w:autoSpaceDE w:val="0"/>
        <w:autoSpaceDN w:val="0"/>
        <w:adjustRightInd w:val="0"/>
        <w:spacing w:before="120"/>
        <w:ind w:firstLine="709"/>
        <w:jc w:val="both"/>
        <w:outlineLvl w:val="1"/>
      </w:pPr>
      <w:r>
        <w:t xml:space="preserve">3)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4.3. </w:t>
      </w:r>
      <w:r>
        <w:rPr>
          <w:b/>
        </w:rPr>
        <w:t>«</w:t>
      </w:r>
      <w:r>
        <w:t>Судебные иски (в денежном выражении), подлежащие взысканию по исполнительным документам в отчётном финансовом году»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559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= 0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5</w:t>
            </w:r>
          </w:p>
        </w:tc>
      </w:tr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0 </w:t>
            </w:r>
            <w:proofErr w:type="gramStart"/>
            <w:r>
              <w:t>&lt; А</w:t>
            </w:r>
            <w:r>
              <w:rPr>
                <w:vertAlign w:val="subscript"/>
              </w:rPr>
              <w:t>4.4</w:t>
            </w:r>
            <w:proofErr w:type="gramEnd"/>
            <w:r>
              <w:t xml:space="preserve"> &lt;=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</w:p>
        </w:tc>
      </w:tr>
      <w:tr>
        <w:trPr>
          <w:trHeight w:val="267"/>
        </w:trP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>
              <w:t>А</w:t>
            </w:r>
            <w:r>
              <w:rPr>
                <w:vertAlign w:val="subscript"/>
              </w:rPr>
              <w:t>4.4</w:t>
            </w:r>
            <w:r>
              <w:t xml:space="preserve"> &gt;</w:t>
            </w:r>
            <w:proofErr w:type="gramEnd"/>
            <w:r>
              <w:t xml:space="preserve"> 2</w:t>
            </w:r>
          </w:p>
        </w:tc>
        <w:tc>
          <w:tcPr>
            <w:tcW w:w="1559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0</w:t>
            </w:r>
          </w:p>
        </w:tc>
      </w:tr>
    </w:tbl>
    <w:p>
      <w:pPr>
        <w:autoSpaceDE w:val="0"/>
        <w:autoSpaceDN w:val="0"/>
        <w:adjustRightInd w:val="0"/>
        <w:spacing w:before="100" w:beforeAutospacing="1"/>
        <w:ind w:firstLine="709"/>
        <w:jc w:val="both"/>
        <w:outlineLvl w:val="1"/>
      </w:pPr>
      <w:r>
        <w:t xml:space="preserve">По УЖКХ </w:t>
      </w:r>
      <w:proofErr w:type="spellStart"/>
      <w:r>
        <w:t>ТиС</w:t>
      </w:r>
      <w:proofErr w:type="spellEnd"/>
      <w:r>
        <w:t>, Администрации, УВГТ были произведены расходы по исполнительным документам за счет средств бюджета ЗАТО Северск, доля расходов на исполнение судебных актов составила до 2 %, соответственно присвоено 3 балла. По УИО доля расходов на исполнение судебных актов составила 5,8 % - присвоено 0 баллов.  По остальным ГАБС -  5 баллов.</w:t>
      </w:r>
    </w:p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11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3"/>
        <w:gridCol w:w="2285"/>
        <w:gridCol w:w="2082"/>
        <w:gridCol w:w="1427"/>
        <w:gridCol w:w="1317"/>
      </w:tblGrid>
      <w:tr>
        <w:trPr>
          <w:trHeight w:val="1907"/>
        </w:trPr>
        <w:tc>
          <w:tcPr>
            <w:tcW w:w="223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ГАБС</w:t>
            </w:r>
          </w:p>
        </w:tc>
        <w:tc>
          <w:tcPr>
            <w:tcW w:w="228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Сумма, взысканная по исполнительным документам за счёт средств бюджета ЗАТО Северск,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0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Общий объём бюджетных ассигнований ГАБС (без учёта МБТ и ПНО),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2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4.3</w:t>
            </w:r>
            <w:proofErr w:type="gramStart"/>
            <w:r>
              <w:rPr>
                <w:sz w:val="22"/>
                <w:szCs w:val="22"/>
                <w:vertAlign w:val="subscript"/>
              </w:rPr>
              <w:t xml:space="preserve">, </w:t>
            </w:r>
            <w:r>
              <w:rPr>
                <w:sz w:val="22"/>
                <w:szCs w:val="22"/>
              </w:rPr>
              <w:t>,</w:t>
            </w:r>
            <w:proofErr w:type="gramEnd"/>
            <w:r>
              <w:rPr>
                <w:sz w:val="22"/>
                <w:szCs w:val="22"/>
              </w:rPr>
              <w:t xml:space="preserve">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  <w:vertAlign w:val="subscript"/>
              </w:rPr>
              <w:t>(гр.2/гр. 3*100)</w:t>
            </w:r>
          </w:p>
        </w:tc>
        <w:tc>
          <w:tcPr>
            <w:tcW w:w="131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ед.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82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27" w:type="dxa"/>
          </w:tcPr>
          <w:p>
            <w:pPr>
              <w:autoSpaceDE w:val="0"/>
              <w:autoSpaceDN w:val="0"/>
              <w:adjustRightInd w:val="0"/>
              <w:ind w:right="-171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2 769,21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523 424,32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Администрация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2 298,66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239 101,25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УИО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5 531,78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94 735,20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5,8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233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УВГТ</w:t>
            </w:r>
          </w:p>
        </w:tc>
        <w:tc>
          <w:tcPr>
            <w:tcW w:w="2285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905,00</w:t>
            </w:r>
          </w:p>
        </w:tc>
        <w:tc>
          <w:tcPr>
            <w:tcW w:w="2082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84 681,54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1,1</w:t>
            </w:r>
          </w:p>
        </w:tc>
        <w:tc>
          <w:tcPr>
            <w:tcW w:w="131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Максимальную оценку по направлению «Контроль и финансовая дисциплина»</w:t>
      </w:r>
      <w:r>
        <w:rPr>
          <w:b/>
        </w:rPr>
        <w:t xml:space="preserve"> </w:t>
      </w:r>
      <w:r>
        <w:rPr>
          <w:b/>
          <w:i/>
        </w:rPr>
        <w:t xml:space="preserve">не получил ни один ГАБС. Наилучший результат с показателем в 8 баллов достигнут Управлением образования, Управлением культуры, УМСП </w:t>
      </w:r>
      <w:proofErr w:type="spellStart"/>
      <w:r>
        <w:rPr>
          <w:b/>
          <w:i/>
        </w:rPr>
        <w:t>ФКиС</w:t>
      </w:r>
      <w:proofErr w:type="spellEnd"/>
      <w:r>
        <w:rPr>
          <w:b/>
          <w:i/>
        </w:rPr>
        <w:t>.</w:t>
      </w:r>
    </w:p>
    <w:p>
      <w:pPr>
        <w:ind w:left="-1276" w:firstLine="708"/>
        <w:jc w:val="center"/>
      </w:pPr>
      <w:r>
        <w:rPr>
          <w:noProof/>
        </w:rPr>
        <w:drawing>
          <wp:inline distT="0" distB="0" distL="0" distR="0">
            <wp:extent cx="6667500" cy="2758440"/>
            <wp:effectExtent l="0" t="0" r="0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t xml:space="preserve">Рисунок 4 – Итоговое количество баллов по разделу </w:t>
      </w:r>
      <w:r>
        <w:rPr>
          <w:noProof/>
          <w:lang w:val="en-US"/>
        </w:rPr>
        <w:t>IV</w:t>
      </w:r>
    </w:p>
    <w:p>
      <w:pPr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 xml:space="preserve">5. Направление «Управление активами» 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Максимальное количество баллов, по которым оценивалась деятельность                        ГАБС – 10 баллов. Оценка качества выполнялась по двум показателям:</w:t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1) По показателю </w:t>
      </w:r>
      <w:r>
        <w:rPr>
          <w:b/>
        </w:rPr>
        <w:t>А</w:t>
      </w:r>
      <w:r>
        <w:rPr>
          <w:b/>
          <w:vertAlign w:val="subscript"/>
        </w:rPr>
        <w:t xml:space="preserve">5.1. </w:t>
      </w:r>
      <w:r>
        <w:t>«Проведение инвентаризации активов и обязательств»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не проводилась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left="709"/>
        <w:jc w:val="both"/>
        <w:outlineLvl w:val="1"/>
      </w:pPr>
      <w:r>
        <w:t>Всеми ГАБС получена оценка 5 баллов.</w:t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>2) По</w:t>
      </w:r>
      <w:r>
        <w:rPr>
          <w:b/>
        </w:rPr>
        <w:t xml:space="preserve"> </w:t>
      </w:r>
      <w:r>
        <w:t xml:space="preserve">показателю </w:t>
      </w:r>
      <w:r>
        <w:rPr>
          <w:b/>
        </w:rPr>
        <w:t>А</w:t>
      </w:r>
      <w:r>
        <w:rPr>
          <w:b/>
          <w:vertAlign w:val="subscript"/>
        </w:rPr>
        <w:t>5.2</w:t>
      </w:r>
      <w:r>
        <w:rPr>
          <w:vertAlign w:val="subscript"/>
        </w:rPr>
        <w:t xml:space="preserve"> </w:t>
      </w:r>
      <w:r>
        <w:t>«Недостачи и хищения муниципальной собственности оценка проводится в соответствии со следующими показателями:</w:t>
      </w:r>
    </w:p>
    <w:tbl>
      <w:tblPr>
        <w:tblW w:w="0" w:type="auto"/>
        <w:tblInd w:w="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4"/>
        <w:gridCol w:w="2551"/>
      </w:tblGrid>
      <w:tr>
        <w:tc>
          <w:tcPr>
            <w:tcW w:w="4244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Значение показателя</w:t>
            </w:r>
          </w:p>
        </w:tc>
        <w:tc>
          <w:tcPr>
            <w:tcW w:w="2551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Количество баллов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244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присутствуют</w:t>
            </w:r>
          </w:p>
        </w:tc>
        <w:tc>
          <w:tcPr>
            <w:tcW w:w="25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Всеми ГАБС получена оценка 5 баллов. 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t>Максимальную оценку по данному направлению получили все ГАБС.</w:t>
      </w:r>
    </w:p>
    <w:p>
      <w:pPr>
        <w:ind w:left="-1701" w:firstLine="567"/>
        <w:jc w:val="center"/>
      </w:pPr>
      <w:r>
        <w:rPr>
          <w:noProof/>
        </w:rPr>
        <w:drawing>
          <wp:inline distT="0" distB="0" distL="0" distR="0">
            <wp:extent cx="7002780" cy="2278380"/>
            <wp:effectExtent l="0" t="0" r="0" b="0"/>
            <wp:docPr id="5" name="Объект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noProof/>
        </w:rPr>
        <w:t xml:space="preserve">Рисунок 5 – Итоговое количество баллов по разделу </w:t>
      </w:r>
      <w:r>
        <w:rPr>
          <w:noProof/>
          <w:lang w:val="en-US"/>
        </w:rPr>
        <w:t>V</w:t>
      </w: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>
        <w:rPr>
          <w:b/>
        </w:rPr>
        <w:t>6. Направление «Осуществление ГАБС закупок товаров, работ и услуг для обеспечения муниципальных нужд»</w:t>
      </w:r>
    </w:p>
    <w:p>
      <w:pPr>
        <w:autoSpaceDE w:val="0"/>
        <w:autoSpaceDN w:val="0"/>
        <w:adjustRightInd w:val="0"/>
        <w:ind w:firstLine="709"/>
        <w:jc w:val="both"/>
        <w:outlineLvl w:val="1"/>
      </w:pPr>
    </w:p>
    <w:p>
      <w:pPr>
        <w:autoSpaceDE w:val="0"/>
        <w:autoSpaceDN w:val="0"/>
        <w:adjustRightInd w:val="0"/>
        <w:ind w:firstLine="709"/>
        <w:jc w:val="both"/>
        <w:outlineLvl w:val="1"/>
      </w:pPr>
      <w:r>
        <w:t>Оценка качества выполнялась по трем показателям:</w:t>
      </w:r>
    </w:p>
    <w:p>
      <w:pPr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1"/>
      </w:pPr>
      <w:r>
        <w:t>По показателю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А</w:t>
      </w:r>
      <w:r>
        <w:rPr>
          <w:b/>
          <w:sz w:val="22"/>
          <w:szCs w:val="22"/>
          <w:vertAlign w:val="subscript"/>
        </w:rPr>
        <w:t>6.1</w:t>
      </w:r>
      <w:r>
        <w:rPr>
          <w:b/>
          <w:vertAlign w:val="subscript"/>
        </w:rPr>
        <w:t>.</w:t>
      </w:r>
      <w:r>
        <w:t> «Доля закупок, проведенных конкурентными способами в общем количестве осуществленных закупок, в процентах» оценка проводится в соответствии со следующими показателями:</w:t>
      </w: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843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= 50 %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%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30%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Максимальную оценку получили УЖКХ </w:t>
      </w:r>
      <w:proofErr w:type="spellStart"/>
      <w:r>
        <w:t>ТиС</w:t>
      </w:r>
      <w:proofErr w:type="spellEnd"/>
      <w:r>
        <w:t>, Администрация, УЧС, и УВГТ – 5 баллов. УИО и УКС – 3 балла; Управление образования, Управление культуры, УМСП </w:t>
      </w:r>
      <w:proofErr w:type="spellStart"/>
      <w:r>
        <w:t>ФКиС</w:t>
      </w:r>
      <w:proofErr w:type="spellEnd"/>
      <w:r>
        <w:t xml:space="preserve"> и Финансовое управление   - 0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12                                                                                                               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935"/>
        <w:gridCol w:w="1597"/>
        <w:gridCol w:w="1571"/>
        <w:gridCol w:w="1276"/>
      </w:tblGrid>
      <w:tr>
        <w:trPr>
          <w:trHeight w:val="1073"/>
        </w:trPr>
        <w:tc>
          <w:tcPr>
            <w:tcW w:w="3119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ГАБС </w:t>
            </w:r>
          </w:p>
        </w:tc>
        <w:tc>
          <w:tcPr>
            <w:tcW w:w="19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закупок, проведенных конкурентными способами,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97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Совокупный годовой объем закупок, </w:t>
            </w:r>
            <w:proofErr w:type="spellStart"/>
            <w:r>
              <w:rPr>
                <w:sz w:val="22"/>
                <w:szCs w:val="22"/>
              </w:rPr>
              <w:t>тыс.руб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7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Значение показателя А</w:t>
            </w:r>
            <w:r>
              <w:rPr>
                <w:sz w:val="22"/>
                <w:szCs w:val="22"/>
                <w:vertAlign w:val="subscript"/>
              </w:rPr>
              <w:t>6.1,   %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  <w:vertAlign w:val="subscript"/>
              </w:rPr>
              <w:t>(</w:t>
            </w:r>
            <w:proofErr w:type="gramStart"/>
            <w:r>
              <w:rPr>
                <w:sz w:val="18"/>
                <w:szCs w:val="18"/>
                <w:vertAlign w:val="subscript"/>
              </w:rPr>
              <w:t>гр.</w:t>
            </w:r>
            <w:proofErr w:type="gramEnd"/>
            <w:r>
              <w:rPr>
                <w:sz w:val="18"/>
                <w:szCs w:val="18"/>
                <w:vertAlign w:val="subscript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7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7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80 541,00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529 532,00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1 275,60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654,89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3 113,20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176 534,60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221 811,90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35 977,50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44 831,31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14 437,09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33 000,01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1 237,63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166 285,07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414 607,75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27 316,69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28 531,69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95,7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3119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935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557,10</w:t>
            </w:r>
          </w:p>
        </w:tc>
        <w:tc>
          <w:tcPr>
            <w:tcW w:w="1597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21 599,55</w:t>
            </w:r>
          </w:p>
        </w:tc>
        <w:tc>
          <w:tcPr>
            <w:tcW w:w="157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highlight w:val="yellow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2) По показателю </w:t>
      </w:r>
      <w:r>
        <w:rPr>
          <w:b/>
        </w:rPr>
        <w:t>А</w:t>
      </w:r>
      <w:r>
        <w:rPr>
          <w:b/>
          <w:vertAlign w:val="subscript"/>
        </w:rPr>
        <w:t>6.2. </w:t>
      </w:r>
      <w:r>
        <w:t>«Доля закупок, которые ГАБС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ч. 1.1 ст. 30 Федерального закона 44-ФЗ, в процентах»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291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lastRenderedPageBreak/>
              <w:t>Значение показателя</w:t>
            </w:r>
          </w:p>
        </w:tc>
        <w:tc>
          <w:tcPr>
            <w:tcW w:w="2291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15%</w:t>
            </w:r>
          </w:p>
        </w:tc>
        <w:tc>
          <w:tcPr>
            <w:tcW w:w="229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15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29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>Максимальную оценку получили все ГАБС.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13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588"/>
        <w:gridCol w:w="2381"/>
        <w:gridCol w:w="1418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58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закупок, который ГАБС осуществил у СМП, </w:t>
            </w:r>
            <w:proofErr w:type="spellStart"/>
            <w:r>
              <w:rPr>
                <w:sz w:val="20"/>
                <w:szCs w:val="20"/>
              </w:rPr>
              <w:t>соц.ориентир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неком</w:t>
            </w:r>
            <w:proofErr w:type="spellEnd"/>
            <w:r>
              <w:rPr>
                <w:sz w:val="20"/>
                <w:szCs w:val="20"/>
              </w:rPr>
              <w:t xml:space="preserve">. орг.,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38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Совокупный годовой объем закупок, рассчитанный за вычетом закупок, предусмотренных частью 1.1 статьи 30 Федерального закона от 05.04.2013 № 44-ФЗ,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6.2,   %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гр.</w:t>
            </w:r>
            <w:proofErr w:type="gramEnd"/>
            <w:r>
              <w:rPr>
                <w:sz w:val="20"/>
                <w:szCs w:val="20"/>
              </w:rPr>
              <w:t>2/гр3*100)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57 591,00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271 547,00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576,00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1 275,60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45,2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339,13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654,89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51,8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46 421,80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183 666,20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7 233,78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13 922,35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4 639,57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10 693,96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1 237,63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119 015,29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166 285,07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12 081,59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16 450,10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73,4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588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522,00</w:t>
            </w:r>
          </w:p>
        </w:tc>
        <w:tc>
          <w:tcPr>
            <w:tcW w:w="2381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522,00</w:t>
            </w:r>
          </w:p>
        </w:tc>
        <w:tc>
          <w:tcPr>
            <w:tcW w:w="14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  <w:bookmarkStart w:id="0" w:name="_GoBack"/>
            <w:bookmarkEnd w:id="0"/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>
      <w:pPr>
        <w:pStyle w:val="ac"/>
        <w:tabs>
          <w:tab w:val="left" w:pos="1134"/>
        </w:tabs>
        <w:autoSpaceDE w:val="0"/>
        <w:autoSpaceDN w:val="0"/>
        <w:adjustRightInd w:val="0"/>
        <w:ind w:left="709"/>
        <w:jc w:val="both"/>
        <w:outlineLvl w:val="1"/>
        <w:rPr>
          <w:sz w:val="16"/>
          <w:szCs w:val="16"/>
          <w:highlight w:val="yellow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3) По показателю </w:t>
      </w:r>
      <w:r>
        <w:rPr>
          <w:b/>
        </w:rPr>
        <w:t>А</w:t>
      </w:r>
      <w:r>
        <w:rPr>
          <w:b/>
          <w:vertAlign w:val="subscript"/>
        </w:rPr>
        <w:t>6.3. </w:t>
      </w:r>
      <w:r>
        <w:t>«Эффективность расходов на содержание ГАБС» оценка проводится в соответствии со следующими показателями:</w:t>
      </w:r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575"/>
      </w:tblGrid>
      <w:tr>
        <w:tc>
          <w:tcPr>
            <w:tcW w:w="266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Значение показателя</w:t>
            </w:r>
          </w:p>
        </w:tc>
        <w:tc>
          <w:tcPr>
            <w:tcW w:w="2575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Количество баллов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&lt;  =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257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2660" w:type="dxa"/>
          </w:tcPr>
          <w:p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257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16"/>
          <w:szCs w:val="16"/>
          <w:highlight w:val="yellow"/>
        </w:rPr>
      </w:pPr>
    </w:p>
    <w:p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</w:pPr>
      <w:r>
        <w:t xml:space="preserve">Максимальную оценку получили Управление образования, Управление культуры, УИО, УЧС, УКС и Финансовое управление – 5 баллов, по остальным </w:t>
      </w:r>
      <w:proofErr w:type="gramStart"/>
      <w:r>
        <w:t>ГАБС  -</w:t>
      </w:r>
      <w:proofErr w:type="gramEnd"/>
      <w:r>
        <w:t xml:space="preserve"> 0 баллов.</w:t>
      </w:r>
    </w:p>
    <w:p>
      <w:pPr>
        <w:autoSpaceDE w:val="0"/>
        <w:autoSpaceDN w:val="0"/>
        <w:adjustRightInd w:val="0"/>
        <w:jc w:val="right"/>
        <w:outlineLvl w:val="1"/>
      </w:pPr>
      <w:r>
        <w:t xml:space="preserve">Таблица 13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730"/>
        <w:gridCol w:w="1843"/>
        <w:gridCol w:w="1814"/>
        <w:gridCol w:w="1276"/>
      </w:tblGrid>
      <w:tr>
        <w:trPr>
          <w:trHeight w:val="1088"/>
        </w:trPr>
        <w:tc>
          <w:tcPr>
            <w:tcW w:w="283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ГАБС </w:t>
            </w:r>
          </w:p>
        </w:tc>
        <w:tc>
          <w:tcPr>
            <w:tcW w:w="1730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Кассовые расходы на содержание ГАБС ВР 244 (за исключением расходов по КОСГУ 296),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 xml:space="preserve">Фактическая численность работников ГАБС на последнее число отчетного финансового года, </w:t>
            </w:r>
            <w:proofErr w:type="spellStart"/>
            <w:r>
              <w:rPr>
                <w:sz w:val="20"/>
                <w:szCs w:val="20"/>
              </w:rPr>
              <w:t>тыс.руб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14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t>Значение показателя А</w:t>
            </w:r>
            <w:r>
              <w:rPr>
                <w:sz w:val="20"/>
                <w:szCs w:val="20"/>
                <w:vertAlign w:val="subscript"/>
              </w:rPr>
              <w:t>6.3,   %</w:t>
            </w:r>
          </w:p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гр.</w:t>
            </w:r>
            <w:proofErr w:type="gramEnd"/>
            <w:r>
              <w:rPr>
                <w:sz w:val="20"/>
                <w:szCs w:val="20"/>
              </w:rPr>
              <w:t>2/гр3- гр.2/гр3(по соотв. группе))/ гр.2/гр3(по соотв. группе)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баллов, ед.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30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14" w:type="dxa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Первая  группа</w:t>
            </w:r>
            <w:proofErr w:type="gramEnd"/>
            <w:r>
              <w:rPr>
                <w:sz w:val="22"/>
                <w:szCs w:val="22"/>
              </w:rPr>
              <w:t xml:space="preserve"> (I),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4 718,84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96,15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ind w:right="-648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Управление образования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887,68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28,40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-36,3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Управление культуры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451,75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13,75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-33,1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УМСП </w:t>
            </w:r>
            <w:proofErr w:type="spellStart"/>
            <w:r>
              <w:rPr>
                <w:sz w:val="22"/>
                <w:szCs w:val="22"/>
              </w:rPr>
              <w:t>ФКиС</w:t>
            </w:r>
            <w:proofErr w:type="spellEnd"/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1 454,17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17,17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72,6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УЖКХ </w:t>
            </w:r>
            <w:proofErr w:type="spellStart"/>
            <w:r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1 925,25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36,83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Вторая  группа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17 590,16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217,21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Администрация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14 676,84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167,01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8,5%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УИО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2 548,14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37,20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-15,4%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УЧС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365,18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-65,3%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Третья  группа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I), всего</w:t>
            </w:r>
          </w:p>
        </w:tc>
        <w:tc>
          <w:tcPr>
            <w:tcW w:w="1730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4 571,61</w:t>
            </w:r>
          </w:p>
        </w:tc>
        <w:tc>
          <w:tcPr>
            <w:tcW w:w="1843" w:type="dxa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68,23</w:t>
            </w:r>
          </w:p>
        </w:tc>
        <w:tc>
          <w:tcPr>
            <w:tcW w:w="1814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УКС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1 619,83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25,13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-10,8%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УВГТ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2 414,30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156,9%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2835" w:type="dxa"/>
          </w:tcPr>
          <w:p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10.Финансовое управление</w:t>
            </w:r>
          </w:p>
        </w:tc>
        <w:tc>
          <w:tcPr>
            <w:tcW w:w="1730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537,48</w:t>
            </w:r>
          </w:p>
        </w:tc>
        <w:tc>
          <w:tcPr>
            <w:tcW w:w="1843" w:type="dxa"/>
            <w:vAlign w:val="center"/>
          </w:tcPr>
          <w:p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25,10</w:t>
            </w:r>
          </w:p>
        </w:tc>
        <w:tc>
          <w:tcPr>
            <w:tcW w:w="1814" w:type="dxa"/>
            <w:vAlign w:val="center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-70,4%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</w:tbl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  <w:sz w:val="16"/>
          <w:szCs w:val="16"/>
          <w:highlight w:val="yellow"/>
        </w:rPr>
      </w:pPr>
    </w:p>
    <w:p>
      <w:pPr>
        <w:autoSpaceDE w:val="0"/>
        <w:autoSpaceDN w:val="0"/>
        <w:adjustRightInd w:val="0"/>
        <w:ind w:firstLine="709"/>
        <w:jc w:val="both"/>
        <w:outlineLvl w:val="1"/>
        <w:rPr>
          <w:b/>
          <w:i/>
        </w:rPr>
      </w:pPr>
      <w:r>
        <w:rPr>
          <w:b/>
          <w:i/>
        </w:rPr>
        <w:lastRenderedPageBreak/>
        <w:t xml:space="preserve">Максимальное количество баллов, возможное по данному разделу - 15 баллов. Максимальную оценку по данному направлению получил УЧС. </w:t>
      </w:r>
    </w:p>
    <w:p>
      <w:pPr>
        <w:autoSpaceDE w:val="0"/>
        <w:autoSpaceDN w:val="0"/>
        <w:adjustRightInd w:val="0"/>
        <w:jc w:val="right"/>
        <w:outlineLvl w:val="1"/>
      </w:pPr>
      <w:r>
        <w:rPr>
          <w:noProof/>
        </w:rPr>
        <w:drawing>
          <wp:inline distT="0" distB="0" distL="0" distR="0">
            <wp:extent cx="6098959" cy="2219417"/>
            <wp:effectExtent l="0" t="0" r="0" b="0"/>
            <wp:docPr id="6" name="Объект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tabs>
          <w:tab w:val="left" w:pos="993"/>
        </w:tabs>
        <w:autoSpaceDE w:val="0"/>
        <w:autoSpaceDN w:val="0"/>
        <w:adjustRightInd w:val="0"/>
        <w:ind w:left="-1701" w:firstLine="708"/>
        <w:jc w:val="both"/>
        <w:outlineLvl w:val="1"/>
      </w:pPr>
    </w:p>
    <w:p>
      <w:pPr>
        <w:tabs>
          <w:tab w:val="left" w:pos="851"/>
        </w:tabs>
        <w:jc w:val="center"/>
        <w:rPr>
          <w:noProof/>
        </w:rPr>
      </w:pPr>
      <w:r>
        <w:rPr>
          <w:noProof/>
        </w:rPr>
        <w:t xml:space="preserve">Рисунок 6 – Итоговое количество баллов по разделу </w:t>
      </w:r>
      <w:r>
        <w:rPr>
          <w:noProof/>
          <w:lang w:val="en-US"/>
        </w:rPr>
        <w:t>VI</w:t>
      </w:r>
    </w:p>
    <w:p>
      <w:pPr>
        <w:tabs>
          <w:tab w:val="left" w:pos="709"/>
        </w:tabs>
        <w:jc w:val="center"/>
        <w:rPr>
          <w:b/>
          <w:sz w:val="12"/>
          <w:szCs w:val="12"/>
        </w:rPr>
      </w:pPr>
    </w:p>
    <w:p>
      <w:pPr>
        <w:tabs>
          <w:tab w:val="left" w:pos="709"/>
        </w:tabs>
        <w:jc w:val="center"/>
        <w:rPr>
          <w:b/>
        </w:rPr>
      </w:pPr>
      <w:r>
        <w:rPr>
          <w:b/>
        </w:rPr>
        <w:t>Консолидированная оценка качества финансового менеджмента</w:t>
      </w:r>
    </w:p>
    <w:p>
      <w:pPr>
        <w:ind w:firstLine="708"/>
        <w:jc w:val="both"/>
      </w:pPr>
      <w:r>
        <w:t>В соответствии с проведенной оценкой качества финансового менеджмента ГАБС (приложение 1 к аналитической записке) произведено ранжирование ГАБС по форме, установленной согласно Приложению 2 к Порядку (приложение 2 к аналитической записке).</w:t>
      </w:r>
    </w:p>
    <w:p>
      <w:pPr>
        <w:ind w:firstLine="708"/>
        <w:jc w:val="both"/>
      </w:pPr>
      <w:r>
        <w:t>В соответствии с утвержденным Порядком:</w:t>
      </w:r>
    </w:p>
    <w:p>
      <w:pPr>
        <w:ind w:firstLine="708"/>
        <w:jc w:val="both"/>
      </w:pPr>
      <w:proofErr w:type="gramStart"/>
      <w:r>
        <w:rPr>
          <w:lang w:val="en-US"/>
        </w:rPr>
        <w:t>I</w:t>
      </w:r>
      <w:r>
        <w:t xml:space="preserve">  место</w:t>
      </w:r>
      <w:proofErr w:type="gramEnd"/>
      <w:r>
        <w:t xml:space="preserve"> в группе I  - Управление культуры;</w:t>
      </w:r>
      <w:r>
        <w:rPr>
          <w:noProof/>
        </w:rPr>
        <w:t xml:space="preserve"> </w:t>
      </w:r>
    </w:p>
    <w:p>
      <w:pPr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1403985</wp:posOffset>
                </wp:positionH>
                <wp:positionV relativeFrom="paragraph">
                  <wp:posOffset>1905</wp:posOffset>
                </wp:positionV>
                <wp:extent cx="373380" cy="1653540"/>
                <wp:effectExtent l="685800" t="0" r="693420" b="0"/>
                <wp:wrapNone/>
                <wp:docPr id="17" name="Левая фигурная скоб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165354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17" o:spid="_x0000_s1026" type="#_x0000_t87" style="position:absolute;margin-left:110.55pt;margin-top:.15pt;width:29.4pt;height:130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" adj="406" strokecolor="black [3213]"/>
            </w:pict>
          </mc:Fallback>
        </mc:AlternateContent>
      </w:r>
      <w:r>
        <w:rPr>
          <w:lang w:val="en-US"/>
        </w:rPr>
        <w:t>I</w:t>
      </w:r>
      <w:r>
        <w:t xml:space="preserve"> место в группе </w:t>
      </w:r>
      <w:proofErr w:type="gramStart"/>
      <w:r>
        <w:t>II  -</w:t>
      </w:r>
      <w:proofErr w:type="gramEnd"/>
      <w:r>
        <w:t xml:space="preserve"> УЧС;</w:t>
      </w:r>
      <w:r>
        <w:rPr>
          <w:noProof/>
        </w:rPr>
        <w:t xml:space="preserve"> </w:t>
      </w:r>
    </w:p>
    <w:p>
      <w:pPr>
        <w:ind w:firstLine="708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327660" cy="1386840"/>
                <wp:effectExtent l="590550" t="0" r="586740" b="0"/>
                <wp:wrapNone/>
                <wp:docPr id="16" name="Левая фигурная скоб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38684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16" o:spid="_x0000_s1026" type="#_x0000_t87" style="position:absolute;margin-left:-25.4pt;margin-top:.55pt;width:25.8pt;height:109.2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" adj="425" strokecolor="windowTex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9525</wp:posOffset>
                </wp:positionV>
                <wp:extent cx="327660" cy="1386840"/>
                <wp:effectExtent l="590550" t="0" r="586740" b="0"/>
                <wp:wrapNone/>
                <wp:docPr id="14" name="Левая фигурная скоб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138684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>
                            <a:rot lat="0" lon="0" rev="1620000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14" o:spid="_x0000_s1026" type="#_x0000_t87" style="position:absolute;margin-left:264.15pt;margin-top:.75pt;width:25.8pt;height:109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" adj="425" strokecolor="black [3213]"/>
            </w:pict>
          </mc:Fallback>
        </mc:AlternateContent>
      </w:r>
      <w:r>
        <w:rPr>
          <w:lang w:val="en-US"/>
        </w:rPr>
        <w:t>I</w:t>
      </w:r>
      <w:r>
        <w:t xml:space="preserve"> место в группе </w:t>
      </w:r>
      <w:proofErr w:type="gramStart"/>
      <w:r>
        <w:rPr>
          <w:lang w:val="en-US"/>
        </w:rPr>
        <w:t>I</w:t>
      </w:r>
      <w:r>
        <w:t>II  -</w:t>
      </w:r>
      <w:proofErr w:type="gramEnd"/>
      <w:r>
        <w:t xml:space="preserve"> Финансовое управление.</w:t>
      </w:r>
      <w:r>
        <w:rPr>
          <w:noProof/>
        </w:rPr>
        <w:t xml:space="preserve"> </w:t>
      </w:r>
    </w:p>
    <w:p>
      <w:pPr>
        <w:ind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6" behindDoc="0" locked="0" layoutInCell="1" allowOverlap="1">
                <wp:simplePos x="0" y="0"/>
                <wp:positionH relativeFrom="leftMargin">
                  <wp:posOffset>5842635</wp:posOffset>
                </wp:positionH>
                <wp:positionV relativeFrom="paragraph">
                  <wp:posOffset>6985</wp:posOffset>
                </wp:positionV>
                <wp:extent cx="891540" cy="350520"/>
                <wp:effectExtent l="0" t="0" r="22860" b="1143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III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left:0;text-align:left;margin-left:460.05pt;margin-top:.55pt;width:70.2pt;height:27.6pt;z-index:25165516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" fillcolor="window" strokecolor="window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III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1" behindDoc="0" locked="0" layoutInCell="1" allowOverlap="1">
                <wp:simplePos x="0" y="0"/>
                <wp:positionH relativeFrom="leftMargin">
                  <wp:posOffset>4084320</wp:posOffset>
                </wp:positionH>
                <wp:positionV relativeFrom="paragraph">
                  <wp:posOffset>1905</wp:posOffset>
                </wp:positionV>
                <wp:extent cx="891540" cy="350520"/>
                <wp:effectExtent l="0" t="0" r="22860" b="1143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7" style="position:absolute;left:0;text-align:left;margin-left:321.6pt;margin-top:.15pt;width:70.2pt;height:27.6pt;z-index:251654141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" fillcolor="window" strokecolor="window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>
                <wp:simplePos x="0" y="0"/>
                <wp:positionH relativeFrom="leftMargin">
                  <wp:posOffset>2270760</wp:posOffset>
                </wp:positionH>
                <wp:positionV relativeFrom="paragraph">
                  <wp:posOffset>1905</wp:posOffset>
                </wp:positionV>
                <wp:extent cx="746760" cy="350520"/>
                <wp:effectExtent l="0" t="0" r="15240" b="114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178.8pt;margin-top:.15pt;width:58.8pt;height:27.6pt;z-index:251656191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" fillcolor="white [3212]" strokecolor="white [3212]" strokeweight="2pt">
                <v:textbox>
                  <w:txbxContent>
                    <w:p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группа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>
      <w:pPr>
        <w:ind w:firstLine="708"/>
        <w:jc w:val="both"/>
      </w:pPr>
      <w:r>
        <w:t xml:space="preserve"> </w:t>
      </w:r>
    </w:p>
    <w:p>
      <w:pPr>
        <w:ind w:left="-284" w:hanging="567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692150</wp:posOffset>
                </wp:positionV>
                <wp:extent cx="5541645" cy="20955"/>
                <wp:effectExtent l="0" t="0" r="20955" b="3619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41645" cy="20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385.15pt;margin-top:54.5pt;width:436.35pt;height:1.65pt;flip:y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" strokecolor="red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4692015</wp:posOffset>
                </wp:positionH>
                <wp:positionV relativeFrom="paragraph">
                  <wp:posOffset>2130425</wp:posOffset>
                </wp:positionV>
                <wp:extent cx="1514475" cy="831215"/>
                <wp:effectExtent l="0" t="0" r="28575" b="2667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Среднее значение оценки качества финансового менеджмента составило 97,2 балла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369.45pt;margin-top:167.75pt;width:119.25pt;height:65.4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" strokecolor="#c00000">
                <v:textbox style="mso-fit-shape-to-text: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Среднее значение оценки качества финансового менеджмента составило 97,2 балла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-866775</wp:posOffset>
                </wp:positionH>
                <wp:positionV relativeFrom="paragraph">
                  <wp:posOffset>2966085</wp:posOffset>
                </wp:positionV>
                <wp:extent cx="1988820" cy="914400"/>
                <wp:effectExtent l="0" t="0" r="0" b="0"/>
                <wp:wrapNone/>
                <wp:docPr id="2" name="Левая фигурная скоб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914400"/>
                        </a:xfrm>
                        <a:prstGeom prst="leftBrace">
                          <a:avLst/>
                        </a:prstGeom>
                        <a:scene3d>
                          <a:camera prst="orthographicFront">
                            <a:rot lat="0" lon="5400000" rev="0"/>
                          </a:camera>
                          <a:lightRig rig="threePt" dir="t"/>
                        </a:scene3d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" o:spid="_x0000_s1026" type="#_x0000_t87" style="position:absolute;margin-left:-68.25pt;margin-top:233.55pt;width:156.6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" strokecolor="#4579b8 [3044]"/>
            </w:pict>
          </mc:Fallback>
        </mc:AlternateContent>
      </w:r>
      <w:r>
        <w:rPr>
          <w:noProof/>
        </w:rPr>
        <w:drawing>
          <wp:inline distT="0" distB="0" distL="0" distR="0">
            <wp:extent cx="6905625" cy="2948940"/>
            <wp:effectExtent l="0" t="0" r="9525" b="3810"/>
            <wp:docPr id="7" name="Объект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noProof/>
        </w:rPr>
        <w:t xml:space="preserve"> Рисунок 7 – Консолидированая оценка качества</w:t>
      </w:r>
    </w:p>
    <w:p>
      <w:pPr>
        <w:jc w:val="center"/>
        <w:rPr>
          <w:noProof/>
        </w:rPr>
      </w:pPr>
      <w:r>
        <w:rPr>
          <w:noProof/>
        </w:rPr>
        <w:t>финансового менеджмента ГАБС за 2022 год</w:t>
      </w:r>
    </w:p>
    <w:p>
      <w:pPr>
        <w:ind w:firstLine="709"/>
        <w:jc w:val="both"/>
        <w:rPr>
          <w:noProof/>
          <w:highlight w:val="yellow"/>
        </w:rPr>
      </w:pPr>
    </w:p>
    <w:p>
      <w:pPr>
        <w:jc w:val="center"/>
        <w:rPr>
          <w:noProof/>
          <w:color w:val="FF0000"/>
          <w:highlight w:val="yellow"/>
        </w:rPr>
      </w:pPr>
    </w:p>
    <w:p>
      <w:pPr>
        <w:jc w:val="center"/>
        <w:rPr>
          <w:noProof/>
          <w:color w:val="FF0000"/>
          <w:highlight w:val="yellow"/>
        </w:rPr>
      </w:pPr>
    </w:p>
    <w:p>
      <w:pPr>
        <w:jc w:val="both"/>
      </w:pPr>
      <w:r>
        <w:t xml:space="preserve">Начальник Финансового управления                                                                      </w:t>
      </w:r>
      <w:proofErr w:type="spellStart"/>
      <w:r>
        <w:t>Л.И.Овчаренко</w:t>
      </w:r>
      <w:proofErr w:type="spellEnd"/>
    </w:p>
    <w:p>
      <w:pPr>
        <w:jc w:val="both"/>
      </w:pPr>
    </w:p>
    <w:p>
      <w:pPr>
        <w:jc w:val="both"/>
      </w:pPr>
    </w:p>
    <w:p>
      <w:pPr>
        <w:jc w:val="both"/>
      </w:pPr>
      <w:r>
        <w:t>Кириллова О.Н.</w:t>
      </w:r>
    </w:p>
    <w:sectPr>
      <w:footerReference w:type="even" r:id="rId15"/>
      <w:footerReference w:type="default" r:id="rId16"/>
      <w:pgSz w:w="11906" w:h="16838" w:code="9"/>
      <w:pgMar w:top="737" w:right="851" w:bottom="28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14</w:t>
    </w:r>
    <w:r>
      <w:rPr>
        <w:rStyle w:val="a7"/>
      </w:rPr>
      <w:fldChar w:fldCharType="end"/>
    </w:r>
  </w:p>
  <w:p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D0A05"/>
    <w:multiLevelType w:val="hybridMultilevel"/>
    <w:tmpl w:val="A9CEB1E6"/>
    <w:lvl w:ilvl="0" w:tplc="16FE615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0A1BFB"/>
    <w:multiLevelType w:val="hybridMultilevel"/>
    <w:tmpl w:val="435480C4"/>
    <w:lvl w:ilvl="0" w:tplc="041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979FA"/>
    <w:multiLevelType w:val="hybridMultilevel"/>
    <w:tmpl w:val="BAC23A16"/>
    <w:lvl w:ilvl="0" w:tplc="D4542AC2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15067"/>
    <w:multiLevelType w:val="hybridMultilevel"/>
    <w:tmpl w:val="428E9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F3E12"/>
    <w:multiLevelType w:val="hybridMultilevel"/>
    <w:tmpl w:val="D9C27248"/>
    <w:lvl w:ilvl="0" w:tplc="9956F64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B8C98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41419C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5AFF1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CA5F4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A20A7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BC699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32ED4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DCAEF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1BAB36A8"/>
    <w:multiLevelType w:val="hybridMultilevel"/>
    <w:tmpl w:val="8B1AFF14"/>
    <w:lvl w:ilvl="0" w:tplc="4692C72C">
      <w:start w:val="1"/>
      <w:numFmt w:val="decimal"/>
      <w:lvlText w:val="%1)"/>
      <w:lvlJc w:val="left"/>
      <w:pPr>
        <w:tabs>
          <w:tab w:val="num" w:pos="2004"/>
        </w:tabs>
        <w:ind w:left="200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CB15CDD"/>
    <w:multiLevelType w:val="hybridMultilevel"/>
    <w:tmpl w:val="90DCBDB6"/>
    <w:lvl w:ilvl="0" w:tplc="2EFA7470">
      <w:start w:val="1"/>
      <w:numFmt w:val="decimal"/>
      <w:lvlText w:val="%1)"/>
      <w:lvlJc w:val="left"/>
      <w:pPr>
        <w:ind w:left="8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1908BD"/>
    <w:multiLevelType w:val="hybridMultilevel"/>
    <w:tmpl w:val="421454E2"/>
    <w:lvl w:ilvl="0" w:tplc="8506B81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166DCC"/>
    <w:multiLevelType w:val="hybridMultilevel"/>
    <w:tmpl w:val="3D1CC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2517E3"/>
    <w:multiLevelType w:val="hybridMultilevel"/>
    <w:tmpl w:val="7B54D88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52C21"/>
    <w:multiLevelType w:val="hybridMultilevel"/>
    <w:tmpl w:val="EAB48F04"/>
    <w:lvl w:ilvl="0" w:tplc="C8E0C5BA">
      <w:start w:val="1"/>
      <w:numFmt w:val="decimal"/>
      <w:lvlText w:val="%1)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5B247F"/>
    <w:multiLevelType w:val="hybridMultilevel"/>
    <w:tmpl w:val="75F60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80C5C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9F4A15"/>
    <w:multiLevelType w:val="hybridMultilevel"/>
    <w:tmpl w:val="DC869EF8"/>
    <w:lvl w:ilvl="0" w:tplc="B0124546">
      <w:start w:val="1"/>
      <w:numFmt w:val="decimal"/>
      <w:lvlText w:val="%1)"/>
      <w:lvlJc w:val="left"/>
      <w:pPr>
        <w:ind w:left="719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4">
    <w:nsid w:val="653C0634"/>
    <w:multiLevelType w:val="hybridMultilevel"/>
    <w:tmpl w:val="29F022F8"/>
    <w:lvl w:ilvl="0" w:tplc="8912FF2E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51722B"/>
    <w:multiLevelType w:val="hybridMultilevel"/>
    <w:tmpl w:val="DAE89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15"/>
  </w:num>
  <w:num w:numId="7">
    <w:abstractNumId w:val="11"/>
  </w:num>
  <w:num w:numId="8">
    <w:abstractNumId w:val="3"/>
  </w:num>
  <w:num w:numId="9">
    <w:abstractNumId w:val="10"/>
  </w:num>
  <w:num w:numId="10">
    <w:abstractNumId w:val="2"/>
  </w:num>
  <w:num w:numId="11">
    <w:abstractNumId w:val="1"/>
  </w:num>
  <w:num w:numId="12">
    <w:abstractNumId w:val="13"/>
  </w:num>
  <w:num w:numId="13">
    <w:abstractNumId w:val="6"/>
  </w:num>
  <w:num w:numId="14">
    <w:abstractNumId w:val="1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119643-E1AB-4454-8CE7-A54C74E5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ody Text"/>
    <w:basedOn w:val="a"/>
    <w:pPr>
      <w:jc w:val="both"/>
    </w:p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Pr>
      <w:sz w:val="24"/>
      <w:szCs w:val="24"/>
    </w:rPr>
  </w:style>
  <w:style w:type="paragraph" w:styleId="aa">
    <w:name w:val="Balloon Text"/>
    <w:basedOn w:val="a"/>
    <w:link w:val="a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3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524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37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37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93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ED7D31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54">
                <a:noFill/>
              </a:ln>
            </c:spPr>
            <c:txPr>
              <a:bodyPr/>
              <a:lstStyle/>
              <a:p>
                <a:pPr>
                  <a:defRPr sz="955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18</c:v>
                </c:pt>
                <c:pt idx="1">
                  <c:v>23</c:v>
                </c:pt>
                <c:pt idx="2">
                  <c:v>23</c:v>
                </c:pt>
                <c:pt idx="3">
                  <c:v>16</c:v>
                </c:pt>
                <c:pt idx="4">
                  <c:v>8</c:v>
                </c:pt>
                <c:pt idx="5">
                  <c:v>15</c:v>
                </c:pt>
                <c:pt idx="6">
                  <c:v>23</c:v>
                </c:pt>
                <c:pt idx="7">
                  <c:v>15</c:v>
                </c:pt>
                <c:pt idx="8">
                  <c:v>20</c:v>
                </c:pt>
                <c:pt idx="9">
                  <c:v>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7074160"/>
        <c:axId val="147072592"/>
        <c:axId val="0"/>
      </c:bar3DChart>
      <c:catAx>
        <c:axId val="1470741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7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47072592"/>
        <c:crosses val="autoZero"/>
        <c:auto val="1"/>
        <c:lblAlgn val="ctr"/>
        <c:lblOffset val="100"/>
        <c:noMultiLvlLbl val="0"/>
      </c:catAx>
      <c:valAx>
        <c:axId val="147072592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47074160"/>
        <c:crosses val="autoZero"/>
        <c:crossBetween val="between"/>
      </c:valAx>
      <c:spPr>
        <a:noFill/>
        <a:ln w="2205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70AD47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0247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103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#,##0.0</c:formatCode>
                <c:ptCount val="10"/>
                <c:pt idx="0">
                  <c:v>34.9</c:v>
                </c:pt>
                <c:pt idx="1">
                  <c:v>34.299999999999997</c:v>
                </c:pt>
                <c:pt idx="2">
                  <c:v>28</c:v>
                </c:pt>
                <c:pt idx="3">
                  <c:v>29.8</c:v>
                </c:pt>
                <c:pt idx="4">
                  <c:v>31.8</c:v>
                </c:pt>
                <c:pt idx="5">
                  <c:v>23.8</c:v>
                </c:pt>
                <c:pt idx="6">
                  <c:v>32.9</c:v>
                </c:pt>
                <c:pt idx="7">
                  <c:v>30.9</c:v>
                </c:pt>
                <c:pt idx="8">
                  <c:v>31.1</c:v>
                </c:pt>
                <c:pt idx="9">
                  <c:v>29.3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0186008"/>
        <c:axId val="80213384"/>
        <c:axId val="0"/>
      </c:bar3DChart>
      <c:catAx>
        <c:axId val="290186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01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10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80213384"/>
        <c:crosses val="autoZero"/>
        <c:auto val="1"/>
        <c:lblAlgn val="ctr"/>
        <c:lblOffset val="100"/>
        <c:noMultiLvlLbl val="0"/>
      </c:catAx>
      <c:valAx>
        <c:axId val="80213384"/>
        <c:scaling>
          <c:orientation val="minMax"/>
        </c:scaling>
        <c:delete val="0"/>
        <c:axPos val="l"/>
        <c:majorGridlines>
          <c:spPr>
            <a:ln w="7592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ln w="5062">
            <a:noFill/>
          </a:ln>
        </c:spPr>
        <c:txPr>
          <a:bodyPr rot="0" vert="horz"/>
          <a:lstStyle/>
          <a:p>
            <a:pPr>
              <a:defRPr sz="717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90186008"/>
        <c:crosses val="autoZero"/>
        <c:crossBetween val="between"/>
      </c:valAx>
      <c:spPr>
        <a:noFill/>
        <a:ln w="23355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17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A5A5A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Лист1!$A$3:$A$9</c:f>
              <c:strCache>
                <c:ptCount val="7"/>
                <c:pt idx="0">
                  <c:v>Управление образования</c:v>
                </c:pt>
                <c:pt idx="1">
                  <c:v>Управление культуры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 </c:v>
                </c:pt>
                <c:pt idx="5">
                  <c:v>УИО</c:v>
                </c:pt>
                <c:pt idx="6">
                  <c:v>УЧС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26.3</c:v>
                </c:pt>
                <c:pt idx="1">
                  <c:v>35.1</c:v>
                </c:pt>
                <c:pt idx="2">
                  <c:v>28.8</c:v>
                </c:pt>
                <c:pt idx="3">
                  <c:v>32.5</c:v>
                </c:pt>
                <c:pt idx="4">
                  <c:v>9.6</c:v>
                </c:pt>
                <c:pt idx="5">
                  <c:v>13.8</c:v>
                </c:pt>
                <c:pt idx="6">
                  <c:v>14.3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91696928"/>
        <c:axId val="212159328"/>
        <c:axId val="0"/>
      </c:bar3DChart>
      <c:catAx>
        <c:axId val="29169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1620000" vert="horz"/>
          <a:lstStyle/>
          <a:p>
            <a:pPr>
              <a:defRPr sz="912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2159328"/>
        <c:crosses val="autoZero"/>
        <c:auto val="1"/>
        <c:lblAlgn val="ctr"/>
        <c:lblOffset val="100"/>
        <c:noMultiLvlLbl val="0"/>
      </c:catAx>
      <c:valAx>
        <c:axId val="212159328"/>
        <c:scaling>
          <c:orientation val="minMax"/>
        </c:scaling>
        <c:delete val="0"/>
        <c:axPos val="l"/>
        <c:majorGridlines>
          <c:spPr>
            <a:ln w="8270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3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91696928"/>
        <c:crosses val="autoZero"/>
        <c:crossBetween val="between"/>
      </c:valAx>
      <c:spPr>
        <a:noFill/>
        <a:ln w="22052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68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5B9BD5">
                <a:lumMod val="75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3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Times New Roman" panose="02020603050405020304" pitchFamily="18" charset="0"/>
                    <a:ea typeface="Calibri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8</c:v>
                </c:pt>
                <c:pt idx="3">
                  <c:v>3</c:v>
                </c:pt>
                <c:pt idx="4">
                  <c:v>3</c:v>
                </c:pt>
                <c:pt idx="5">
                  <c:v>0</c:v>
                </c:pt>
                <c:pt idx="6">
                  <c:v>5</c:v>
                </c:pt>
                <c:pt idx="7">
                  <c:v>5</c:v>
                </c:pt>
                <c:pt idx="8">
                  <c:v>3</c:v>
                </c:pt>
                <c:pt idx="9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2160112"/>
        <c:axId val="212160504"/>
        <c:axId val="0"/>
      </c:bar3DChart>
      <c:catAx>
        <c:axId val="212160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53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2160504"/>
        <c:crosses val="autoZero"/>
        <c:auto val="1"/>
        <c:lblAlgn val="ctr"/>
        <c:lblOffset val="100"/>
        <c:noMultiLvlLbl val="0"/>
      </c:catAx>
      <c:valAx>
        <c:axId val="212160504"/>
        <c:scaling>
          <c:orientation val="minMax"/>
        </c:scaling>
        <c:delete val="0"/>
        <c:axPos val="l"/>
        <c:majorGridlines>
          <c:spPr>
            <a:ln w="8255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3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2160112"/>
        <c:crosses val="autoZero"/>
        <c:crossBetween val="between"/>
      </c:valAx>
      <c:spPr>
        <a:noFill/>
        <a:ln w="22013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FF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19">
                <a:noFill/>
              </a:ln>
            </c:spPr>
            <c:txPr>
              <a:bodyPr/>
              <a:lstStyle/>
              <a:p>
                <a:pPr>
                  <a:defRPr sz="104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2161288"/>
        <c:axId val="212161680"/>
        <c:axId val="0"/>
      </c:bar3DChart>
      <c:catAx>
        <c:axId val="212161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09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0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2161680"/>
        <c:crosses val="autoZero"/>
        <c:auto val="1"/>
        <c:lblAlgn val="ctr"/>
        <c:lblOffset val="100"/>
        <c:noMultiLvlLbl val="0"/>
      </c:catAx>
      <c:valAx>
        <c:axId val="212161680"/>
        <c:scaling>
          <c:orientation val="minMax"/>
        </c:scaling>
        <c:delete val="0"/>
        <c:axPos val="l"/>
        <c:majorGridlines>
          <c:spPr>
            <a:ln w="8257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05">
            <a:noFill/>
          </a:ln>
        </c:spPr>
        <c:txPr>
          <a:bodyPr rot="0" vert="horz"/>
          <a:lstStyle/>
          <a:p>
            <a:pPr>
              <a:defRPr sz="78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12161288"/>
        <c:crosses val="autoZero"/>
        <c:crossBetween val="between"/>
      </c:valAx>
      <c:spPr>
        <a:noFill/>
        <a:ln w="22019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0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FFC000">
                <a:lumMod val="50000"/>
              </a:srgbClr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 w="22048">
                <a:noFill/>
              </a:ln>
            </c:spPr>
            <c:txPr>
              <a:bodyPr/>
              <a:lstStyle/>
              <a:p>
                <a:pPr>
                  <a:defRPr sz="1042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Лист1!$A$3:$A$12</c:f>
              <c:strCache>
                <c:ptCount val="10"/>
                <c:pt idx="0">
                  <c:v>Управление образования </c:v>
                </c:pt>
                <c:pt idx="1">
                  <c:v>Управление культуры </c:v>
                </c:pt>
                <c:pt idx="2">
                  <c:v>УМСП ФКиС</c:v>
                </c:pt>
                <c:pt idx="3">
                  <c:v>УЖКХ ТиС</c:v>
                </c:pt>
                <c:pt idx="4">
                  <c:v>Администрация</c:v>
                </c:pt>
                <c:pt idx="5">
                  <c:v>УИО</c:v>
                </c:pt>
                <c:pt idx="6">
                  <c:v>УЧС</c:v>
                </c:pt>
                <c:pt idx="7">
                  <c:v>УКС</c:v>
                </c:pt>
                <c:pt idx="8">
                  <c:v>УВГТ</c:v>
                </c:pt>
                <c:pt idx="9">
                  <c:v>Фин. управление</c:v>
                </c:pt>
              </c:strCache>
            </c:strRef>
          </c:cat>
          <c:val>
            <c:numRef>
              <c:f>Лист1!$B$3:$B$12</c:f>
              <c:numCache>
                <c:formatCode>General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5</c:v>
                </c:pt>
                <c:pt idx="3">
                  <c:v>10</c:v>
                </c:pt>
                <c:pt idx="4">
                  <c:v>10</c:v>
                </c:pt>
                <c:pt idx="5">
                  <c:v>13</c:v>
                </c:pt>
                <c:pt idx="6">
                  <c:v>15</c:v>
                </c:pt>
                <c:pt idx="7">
                  <c:v>13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4550560"/>
        <c:axId val="294550952"/>
        <c:axId val="0"/>
      </c:bar3DChart>
      <c:catAx>
        <c:axId val="294550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102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vert="horz"/>
          <a:lstStyle/>
          <a:p>
            <a:pPr>
              <a:defRPr sz="911" b="0" i="0" u="none" strike="noStrike" baseline="0">
                <a:solidFill>
                  <a:srgbClr val="333333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94550952"/>
        <c:crosses val="autoZero"/>
        <c:auto val="1"/>
        <c:lblAlgn val="ctr"/>
        <c:lblOffset val="100"/>
        <c:noMultiLvlLbl val="0"/>
      </c:catAx>
      <c:valAx>
        <c:axId val="294550952"/>
        <c:scaling>
          <c:orientation val="minMax"/>
        </c:scaling>
        <c:delete val="0"/>
        <c:axPos val="l"/>
        <c:majorGridlines>
          <c:spPr>
            <a:ln w="8268" cap="flat" cmpd="sng" algn="ctr">
              <a:solidFill>
                <a:srgbClr val="5B9BD5">
                  <a:lumMod val="60000"/>
                  <a:lumOff val="40000"/>
                </a:srgb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5512">
            <a:noFill/>
          </a:ln>
        </c:spPr>
        <c:txPr>
          <a:bodyPr rot="0" vert="horz"/>
          <a:lstStyle/>
          <a:p>
            <a:pPr>
              <a:defRPr sz="781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94550560"/>
        <c:crosses val="autoZero"/>
        <c:crossBetween val="between"/>
      </c:valAx>
      <c:spPr>
        <a:noFill/>
        <a:ln w="2204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81" b="0" i="0" u="none" strike="noStrike" baseline="0">
          <a:solidFill>
            <a:srgbClr val="333399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 w="6350">
          <a:noFill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7.344577947803696E-2"/>
          <c:y val="4.9283154121863806E-2"/>
          <c:w val="0.90493472366661709"/>
          <c:h val="0.49450088900177808"/>
        </c:manualLayout>
      </c:layout>
      <c:bar3DChart>
        <c:barDir val="col"/>
        <c:grouping val="stacked"/>
        <c:varyColors val="0"/>
        <c:ser>
          <c:idx val="0"/>
          <c:order val="0"/>
          <c:spPr>
            <a:solidFill>
              <a:srgbClr val="ED7D31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(2)'!$C$7:$C$16</c:f>
              <c:numCache>
                <c:formatCode>#,##0.0</c:formatCode>
                <c:ptCount val="10"/>
                <c:pt idx="0">
                  <c:v>23</c:v>
                </c:pt>
                <c:pt idx="1">
                  <c:v>18</c:v>
                </c:pt>
                <c:pt idx="2">
                  <c:v>16</c:v>
                </c:pt>
                <c:pt idx="3">
                  <c:v>23</c:v>
                </c:pt>
                <c:pt idx="4">
                  <c:v>23</c:v>
                </c:pt>
                <c:pt idx="5">
                  <c:v>15</c:v>
                </c:pt>
                <c:pt idx="6">
                  <c:v>8</c:v>
                </c:pt>
                <c:pt idx="7">
                  <c:v>23</c:v>
                </c:pt>
                <c:pt idx="8">
                  <c:v>20</c:v>
                </c:pt>
                <c:pt idx="9">
                  <c:v>15</c:v>
                </c:pt>
              </c:numCache>
            </c:numRef>
          </c:val>
        </c:ser>
        <c:ser>
          <c:idx val="1"/>
          <c:order val="1"/>
          <c:spPr>
            <a:solidFill>
              <a:srgbClr val="70AD47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(2)'!$D$7:$D$16</c:f>
              <c:numCache>
                <c:formatCode>#,##0.0</c:formatCode>
                <c:ptCount val="10"/>
                <c:pt idx="0">
                  <c:v>34.299999999999997</c:v>
                </c:pt>
                <c:pt idx="1">
                  <c:v>34.9</c:v>
                </c:pt>
                <c:pt idx="2">
                  <c:v>29.8</c:v>
                </c:pt>
                <c:pt idx="3">
                  <c:v>28</c:v>
                </c:pt>
                <c:pt idx="4">
                  <c:v>32.9</c:v>
                </c:pt>
                <c:pt idx="5">
                  <c:v>23.8</c:v>
                </c:pt>
                <c:pt idx="6">
                  <c:v>31.8</c:v>
                </c:pt>
                <c:pt idx="7">
                  <c:v>29.3</c:v>
                </c:pt>
                <c:pt idx="8">
                  <c:v>31.1</c:v>
                </c:pt>
                <c:pt idx="9">
                  <c:v>30.9</c:v>
                </c:pt>
              </c:numCache>
            </c:numRef>
          </c:val>
        </c:ser>
        <c:ser>
          <c:idx val="2"/>
          <c:order val="2"/>
          <c:spPr>
            <a:solidFill>
              <a:schemeClr val="bg1">
                <a:lumMod val="65000"/>
              </a:scheme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(2)'!$E$7:$E$16</c:f>
              <c:numCache>
                <c:formatCode>#,##0.0</c:formatCode>
                <c:ptCount val="10"/>
                <c:pt idx="0">
                  <c:v>35.1</c:v>
                </c:pt>
                <c:pt idx="1">
                  <c:v>26.3</c:v>
                </c:pt>
                <c:pt idx="2">
                  <c:v>32.5</c:v>
                </c:pt>
                <c:pt idx="3">
                  <c:v>28.8</c:v>
                </c:pt>
                <c:pt idx="4">
                  <c:v>14.3</c:v>
                </c:pt>
                <c:pt idx="5">
                  <c:v>13.8</c:v>
                </c:pt>
                <c:pt idx="6">
                  <c:v>9.6</c:v>
                </c:pt>
              </c:numCache>
            </c:numRef>
          </c:val>
        </c:ser>
        <c:ser>
          <c:idx val="3"/>
          <c:order val="3"/>
          <c:spPr>
            <a:solidFill>
              <a:srgbClr val="5B9BD5">
                <a:lumMod val="75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(2)'!$F$7:$F$16</c:f>
              <c:numCache>
                <c:formatCode>#,##0.0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3</c:v>
                </c:pt>
                <c:pt idx="3">
                  <c:v>8</c:v>
                </c:pt>
                <c:pt idx="4">
                  <c:v>5</c:v>
                </c:pt>
                <c:pt idx="5">
                  <c:v>0</c:v>
                </c:pt>
                <c:pt idx="6">
                  <c:v>3</c:v>
                </c:pt>
                <c:pt idx="7">
                  <c:v>5</c:v>
                </c:pt>
                <c:pt idx="8">
                  <c:v>3</c:v>
                </c:pt>
                <c:pt idx="9">
                  <c:v>5</c:v>
                </c:pt>
              </c:numCache>
            </c:numRef>
          </c:val>
        </c:ser>
        <c:ser>
          <c:idx val="4"/>
          <c:order val="4"/>
          <c:spPr>
            <a:solidFill>
              <a:srgbClr val="FFFF00"/>
            </a:solidFill>
            <a:ln w="25407">
              <a:noFill/>
            </a:ln>
          </c:spPr>
          <c:invertIfNegative val="0"/>
          <c:dLbls>
            <c:dLbl>
              <c:idx val="0"/>
              <c:layout>
                <c:manualLayout>
                  <c:x val="4.6609828943795818E-3"/>
                  <c:y val="-8.8054908363236456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138,5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1"/>
              <c:layout>
                <c:manualLayout>
                  <c:x val="8.4021359399040294E-3"/>
                  <c:y val="-8.97915168011406E-2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123,3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475854828491266E-2"/>
                      <c:h val="4.6765561712193385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1.5660132138655011E-2"/>
                  <c:y val="-8.3565665402935765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116,5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6469037921983892E-2"/>
                      <c:h val="5.0057742782152234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1.1666214137025907E-2"/>
                  <c:y val="-7.2778354256105571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107,9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5664440220834452E-2"/>
                      <c:h val="5.0057742782152234E-2"/>
                    </c:manualLayout>
                  </c15:layout>
                </c:ext>
              </c:extLst>
            </c:dLbl>
            <c:dLbl>
              <c:idx val="4"/>
              <c:layout>
                <c:manualLayout>
                  <c:x val="1.8670286903792199E-3"/>
                  <c:y val="-0.12911182398496485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105,2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5.643515250248891E-3"/>
                  <c:y val="-0.14215345174876395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79,4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1539867861344918E-2"/>
                  <c:y val="-0.1496164723595597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76,0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4.3098198932030049E-3"/>
                  <c:y val="-0.1247674411068987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77,3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</c:extLst>
            </c:dLbl>
            <c:dLbl>
              <c:idx val="8"/>
              <c:layout>
                <c:manualLayout>
                  <c:x val="1.0493908951036293E-2"/>
                  <c:y val="-0.13267619325362107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74,1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2790877002443663E-2"/>
                      <c:h val="5.0057742782152234E-2"/>
                    </c:manualLayout>
                  </c15:layout>
                </c:ext>
              </c:extLst>
            </c:dLbl>
            <c:dLbl>
              <c:idx val="9"/>
              <c:layout>
                <c:manualLayout>
                  <c:x val="1.7941315956195129E-2"/>
                  <c:y val="-0.15715443515297023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73,9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1986279301294238E-2"/>
                      <c:h val="5.0057742782152234E-2"/>
                    </c:manualLayout>
                  </c15:layout>
                </c:ext>
              </c:extLst>
            </c:dLbl>
            <c:dLbl>
              <c:idx val="10"/>
              <c:layout>
                <c:manualLayout>
                  <c:x val="1.7688679245283029E-2"/>
                  <c:y val="-8.5125448028673889E-2"/>
                </c:manualLayout>
              </c:layout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44,2</a:t>
                    </a:r>
                  </a:p>
                </c:rich>
              </c:tx>
              <c:spPr>
                <a:noFill/>
                <a:ln w="25407">
                  <a:noFill/>
                </a:ln>
              </c:spPr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407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(2)'!$G$7:$G$16</c:f>
              <c:numCache>
                <c:formatCode>#,##0.0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10</c:v>
                </c:pt>
                <c:pt idx="4">
                  <c:v>10</c:v>
                </c:pt>
                <c:pt idx="5">
                  <c:v>10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10</c:v>
                </c:pt>
              </c:numCache>
            </c:numRef>
          </c:val>
        </c:ser>
        <c:ser>
          <c:idx val="5"/>
          <c:order val="5"/>
          <c:spPr>
            <a:solidFill>
              <a:srgbClr val="ED7D31">
                <a:lumMod val="50000"/>
              </a:srgbClr>
            </a:solidFill>
            <a:ln>
              <a:noFill/>
            </a:ln>
            <a:effectLst/>
            <a:sp3d/>
          </c:spPr>
          <c:invertIfNegative val="0"/>
          <c:cat>
            <c:strRef>
              <c:f>'рейтинг (2)'!$B$7:$B$16</c:f>
              <c:strCache>
                <c:ptCount val="10"/>
                <c:pt idx="0">
                  <c:v>Управление культуры</c:v>
                </c:pt>
                <c:pt idx="1">
                  <c:v>Управление образования</c:v>
                </c:pt>
                <c:pt idx="2">
                  <c:v>УЖКХ ТиС</c:v>
                </c:pt>
                <c:pt idx="3">
                  <c:v>УМСП ФКиС</c:v>
                </c:pt>
                <c:pt idx="4">
                  <c:v>УЧС</c:v>
                </c:pt>
                <c:pt idx="5">
                  <c:v>УИО</c:v>
                </c:pt>
                <c:pt idx="6">
                  <c:v>Администрация</c:v>
                </c:pt>
                <c:pt idx="7">
                  <c:v>Финансовое управление</c:v>
                </c:pt>
                <c:pt idx="8">
                  <c:v>УВГТ</c:v>
                </c:pt>
                <c:pt idx="9">
                  <c:v>УКС</c:v>
                </c:pt>
              </c:strCache>
            </c:strRef>
          </c:cat>
          <c:val>
            <c:numRef>
              <c:f>'рейтинг (2)'!$H$7:$H$16</c:f>
              <c:numCache>
                <c:formatCode>#,##0.0</c:formatCode>
                <c:ptCount val="10"/>
                <c:pt idx="0">
                  <c:v>10</c:v>
                </c:pt>
                <c:pt idx="1">
                  <c:v>10</c:v>
                </c:pt>
                <c:pt idx="2">
                  <c:v>10</c:v>
                </c:pt>
                <c:pt idx="3">
                  <c:v>5</c:v>
                </c:pt>
                <c:pt idx="4">
                  <c:v>15</c:v>
                </c:pt>
                <c:pt idx="5">
                  <c:v>13</c:v>
                </c:pt>
                <c:pt idx="6">
                  <c:v>10</c:v>
                </c:pt>
                <c:pt idx="7">
                  <c:v>10</c:v>
                </c:pt>
                <c:pt idx="8">
                  <c:v>10</c:v>
                </c:pt>
                <c:pt idx="9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94552128"/>
        <c:axId val="294552520"/>
        <c:axId val="0"/>
      </c:bar3DChart>
      <c:catAx>
        <c:axId val="294552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6352">
            <a:noFill/>
          </a:ln>
        </c:spPr>
        <c:txPr>
          <a:bodyPr rot="-2700000" vert="horz"/>
          <a:lstStyle/>
          <a:p>
            <a:pPr>
              <a:defRPr sz="1100" b="0" i="0" u="none" strike="noStrike" baseline="0">
                <a:solidFill>
                  <a:srgbClr val="333333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294552520"/>
        <c:crosses val="autoZero"/>
        <c:auto val="1"/>
        <c:lblAlgn val="ctr"/>
        <c:lblOffset val="100"/>
        <c:noMultiLvlLbl val="0"/>
      </c:catAx>
      <c:valAx>
        <c:axId val="294552520"/>
        <c:scaling>
          <c:orientation val="minMax"/>
          <c:max val="140"/>
          <c:min val="0"/>
        </c:scaling>
        <c:delete val="0"/>
        <c:axPos val="l"/>
        <c:majorGridlines>
          <c:spPr>
            <a:ln w="9528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ln w="6352">
            <a:noFill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333333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94552128"/>
        <c:crosses val="autoZero"/>
        <c:crossBetween val="between"/>
        <c:majorUnit val="10"/>
      </c:valAx>
      <c:spPr>
        <a:noFill/>
        <a:ln w="25407">
          <a:noFill/>
        </a:ln>
      </c:spPr>
    </c:plotArea>
    <c:plotVisOnly val="1"/>
    <c:dispBlanksAs val="gap"/>
    <c:showDLblsOverMax val="0"/>
  </c:chart>
  <c:spPr>
    <a:solidFill>
      <a:schemeClr val="bg1"/>
    </a:solidFill>
    <a:ln w="9528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6F9E-2998-405E-B8A7-4E93FFD4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15</Pages>
  <Words>4295</Words>
  <Characters>26723</Characters>
  <Application>Microsoft Office Word</Application>
  <DocSecurity>0</DocSecurity>
  <Lines>222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АНАЛИТИЧЕСКАЯ ЗАПИСКА</vt:lpstr>
    </vt:vector>
  </TitlesOfParts>
  <Company>WIN7XP</Company>
  <LinksUpToDate>false</LinksUpToDate>
  <CharactersWithSpaces>30957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subject/>
  <dc:creator>Ovcharenko</dc:creator>
  <cp:keywords/>
  <dc:description/>
  <cp:lastModifiedBy>Кириллова О.Н.</cp:lastModifiedBy>
  <cp:revision>50</cp:revision>
  <cp:lastPrinted>2023-05-26T10:20:00Z</cp:lastPrinted>
  <dcterms:created xsi:type="dcterms:W3CDTF">2022-05-27T03:54:00Z</dcterms:created>
  <dcterms:modified xsi:type="dcterms:W3CDTF">2023-05-26T10:22:00Z</dcterms:modified>
</cp:coreProperties>
</file>