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00" w:type="dxa"/>
        <w:tblInd w:w="93" w:type="dxa"/>
        <w:tblLook w:val="0000" w:firstRow="0" w:lastRow="0" w:firstColumn="0" w:lastColumn="0" w:noHBand="0" w:noVBand="0"/>
      </w:tblPr>
      <w:tblGrid>
        <w:gridCol w:w="3541"/>
        <w:gridCol w:w="878"/>
        <w:gridCol w:w="2117"/>
        <w:gridCol w:w="1417"/>
        <w:gridCol w:w="1447"/>
      </w:tblGrid>
      <w:tr>
        <w:trPr>
          <w:trHeight w:val="420"/>
        </w:trPr>
        <w:tc>
          <w:tcPr>
            <w:tcW w:w="7953" w:type="dxa"/>
            <w:gridSpan w:val="4"/>
            <w:tcBorders>
              <w:top w:val="nil"/>
              <w:left w:val="nil"/>
              <w:bottom w:val="nil"/>
              <w:right w:val="single" w:sz="4" w:space="0" w:color="000000"/>
            </w:tcBorders>
            <w:shd w:val="clear" w:color="auto" w:fill="FFFFFF"/>
            <w:noWrap/>
            <w:vAlign w:val="bottom"/>
          </w:tcPr>
          <w:p>
            <w:pPr>
              <w:jc w:val="center"/>
              <w:rPr>
                <w:rFonts w:ascii="Times New Roman" w:hAnsi="Times New Roman"/>
                <w:b/>
                <w:bCs/>
                <w:sz w:val="24"/>
                <w:szCs w:val="24"/>
              </w:rPr>
            </w:pPr>
            <w:r>
              <w:rPr>
                <w:rFonts w:ascii="Times New Roman" w:hAnsi="Times New Roman"/>
                <w:b/>
                <w:bCs/>
                <w:sz w:val="24"/>
                <w:szCs w:val="24"/>
              </w:rPr>
              <w:t>ПОЯСНИТЕЛЬНАЯ ЗАПИСКА</w:t>
            </w:r>
          </w:p>
        </w:tc>
        <w:tc>
          <w:tcPr>
            <w:tcW w:w="1447" w:type="dxa"/>
            <w:tcBorders>
              <w:top w:val="single" w:sz="4" w:space="0" w:color="auto"/>
              <w:left w:val="nil"/>
              <w:bottom w:val="single" w:sz="4" w:space="0" w:color="auto"/>
              <w:right w:val="single" w:sz="4" w:space="0" w:color="000000"/>
            </w:tcBorders>
            <w:shd w:val="clear" w:color="auto" w:fill="FFFFFF"/>
            <w:noWrap/>
            <w:vAlign w:val="center"/>
          </w:tcPr>
          <w:p>
            <w:pPr>
              <w:ind w:right="524"/>
              <w:jc w:val="center"/>
              <w:rPr>
                <w:rFonts w:ascii="Times New Roman" w:hAnsi="Times New Roman"/>
                <w:sz w:val="24"/>
                <w:szCs w:val="24"/>
              </w:rPr>
            </w:pPr>
            <w:r>
              <w:rPr>
                <w:rFonts w:ascii="Times New Roman" w:hAnsi="Times New Roman"/>
                <w:sz w:val="24"/>
                <w:szCs w:val="24"/>
              </w:rPr>
              <w:t>КОДЫ</w:t>
            </w:r>
          </w:p>
        </w:tc>
      </w:tr>
      <w:tr>
        <w:trPr>
          <w:trHeight w:val="420"/>
        </w:trPr>
        <w:tc>
          <w:tcPr>
            <w:tcW w:w="7953" w:type="dxa"/>
            <w:gridSpan w:val="4"/>
            <w:tcBorders>
              <w:top w:val="nil"/>
              <w:left w:val="nil"/>
              <w:bottom w:val="nil"/>
              <w:right w:val="single" w:sz="4" w:space="0" w:color="auto"/>
            </w:tcBorders>
            <w:shd w:val="clear" w:color="auto" w:fill="FFFFFF"/>
            <w:noWrap/>
            <w:vAlign w:val="bottom"/>
          </w:tcPr>
          <w:p>
            <w:pPr>
              <w:jc w:val="center"/>
              <w:rPr>
                <w:rFonts w:ascii="Times New Roman" w:hAnsi="Times New Roman"/>
                <w:b/>
                <w:bCs/>
                <w:sz w:val="24"/>
                <w:szCs w:val="24"/>
              </w:rPr>
            </w:pPr>
            <w:proofErr w:type="gramStart"/>
            <w:r>
              <w:rPr>
                <w:rFonts w:ascii="Times New Roman" w:hAnsi="Times New Roman"/>
                <w:b/>
                <w:bCs/>
                <w:sz w:val="24"/>
                <w:szCs w:val="24"/>
              </w:rPr>
              <w:t>на</w:t>
            </w:r>
            <w:proofErr w:type="gramEnd"/>
            <w:r>
              <w:rPr>
                <w:rFonts w:ascii="Times New Roman" w:hAnsi="Times New Roman"/>
                <w:b/>
                <w:bCs/>
                <w:sz w:val="24"/>
                <w:szCs w:val="24"/>
              </w:rPr>
              <w:t xml:space="preserve"> 01 января 20</w:t>
            </w:r>
            <w:r>
              <w:rPr>
                <w:rFonts w:ascii="Times New Roman" w:hAnsi="Times New Roman"/>
                <w:b/>
                <w:bCs/>
                <w:sz w:val="24"/>
                <w:szCs w:val="24"/>
                <w:lang w:val="en-US"/>
              </w:rPr>
              <w:t>2</w:t>
            </w:r>
            <w:r>
              <w:rPr>
                <w:rFonts w:ascii="Times New Roman" w:hAnsi="Times New Roman"/>
                <w:b/>
                <w:bCs/>
                <w:sz w:val="24"/>
                <w:szCs w:val="24"/>
              </w:rPr>
              <w:t>3</w:t>
            </w:r>
          </w:p>
        </w:tc>
        <w:tc>
          <w:tcPr>
            <w:tcW w:w="1447"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Times New Roman" w:hAnsi="Times New Roman"/>
                <w:sz w:val="22"/>
                <w:szCs w:val="22"/>
              </w:rPr>
            </w:pPr>
            <w:r>
              <w:rPr>
                <w:rFonts w:ascii="Times New Roman" w:hAnsi="Times New Roman"/>
                <w:sz w:val="24"/>
                <w:szCs w:val="24"/>
              </w:rPr>
              <w:t>0503160</w:t>
            </w:r>
          </w:p>
        </w:tc>
      </w:tr>
      <w:tr>
        <w:trPr>
          <w:trHeight w:val="260"/>
        </w:trPr>
        <w:tc>
          <w:tcPr>
            <w:tcW w:w="4419" w:type="dxa"/>
            <w:gridSpan w:val="2"/>
            <w:tcBorders>
              <w:top w:val="nil"/>
              <w:left w:val="nil"/>
              <w:bottom w:val="nil"/>
              <w:right w:val="nil"/>
            </w:tcBorders>
            <w:shd w:val="clear" w:color="auto" w:fill="FFFFFF"/>
            <w:noWrap/>
            <w:vAlign w:val="bottom"/>
          </w:tcPr>
          <w:p>
            <w:pPr>
              <w:rPr>
                <w:rFonts w:ascii="Times New Roman" w:hAnsi="Times New Roman"/>
                <w:sz w:val="24"/>
                <w:szCs w:val="24"/>
              </w:rPr>
            </w:pPr>
            <w:r>
              <w:rPr>
                <w:rFonts w:ascii="Times New Roman" w:hAnsi="Times New Roman"/>
                <w:sz w:val="24"/>
                <w:szCs w:val="24"/>
              </w:rPr>
              <w:t> </w:t>
            </w:r>
          </w:p>
        </w:tc>
        <w:tc>
          <w:tcPr>
            <w:tcW w:w="3534" w:type="dxa"/>
            <w:gridSpan w:val="2"/>
            <w:tcBorders>
              <w:top w:val="nil"/>
              <w:left w:val="nil"/>
              <w:bottom w:val="nil"/>
              <w:right w:val="single" w:sz="4" w:space="0" w:color="auto"/>
            </w:tcBorders>
            <w:shd w:val="clear" w:color="auto" w:fill="FFFFFF"/>
            <w:noWrap/>
            <w:vAlign w:val="bottom"/>
          </w:tcPr>
          <w:p>
            <w:pPr>
              <w:rPr>
                <w:rFonts w:ascii="Times New Roman" w:hAnsi="Times New Roman"/>
                <w:sz w:val="24"/>
                <w:szCs w:val="24"/>
              </w:rPr>
            </w:pPr>
            <w:r>
              <w:rPr>
                <w:rFonts w:ascii="Times New Roman" w:hAnsi="Times New Roman"/>
                <w:sz w:val="24"/>
                <w:szCs w:val="24"/>
              </w:rPr>
              <w:t> </w:t>
            </w:r>
          </w:p>
        </w:tc>
        <w:tc>
          <w:tcPr>
            <w:tcW w:w="1447" w:type="dxa"/>
            <w:tcBorders>
              <w:top w:val="single" w:sz="4" w:space="0" w:color="auto"/>
              <w:left w:val="single" w:sz="4" w:space="0" w:color="auto"/>
              <w:bottom w:val="single" w:sz="4" w:space="0" w:color="auto"/>
              <w:right w:val="single" w:sz="4" w:space="0" w:color="auto"/>
            </w:tcBorders>
            <w:shd w:val="clear" w:color="auto" w:fill="FFFFFF"/>
            <w:noWrap/>
            <w:vAlign w:val="bottom"/>
          </w:tcPr>
          <w:p>
            <w:pPr>
              <w:jc w:val="center"/>
              <w:rPr>
                <w:rFonts w:ascii="Times New Roman" w:hAnsi="Times New Roman"/>
                <w:sz w:val="24"/>
                <w:szCs w:val="24"/>
              </w:rPr>
            </w:pPr>
            <w:r>
              <w:rPr>
                <w:rFonts w:ascii="Times New Roman" w:hAnsi="Times New Roman"/>
                <w:sz w:val="24"/>
                <w:szCs w:val="24"/>
              </w:rPr>
              <w:t>01.01.20</w:t>
            </w:r>
            <w:r>
              <w:rPr>
                <w:rFonts w:ascii="Times New Roman" w:hAnsi="Times New Roman"/>
                <w:sz w:val="24"/>
                <w:szCs w:val="24"/>
                <w:lang w:val="en-US"/>
              </w:rPr>
              <w:t>2</w:t>
            </w:r>
            <w:r>
              <w:rPr>
                <w:rFonts w:ascii="Times New Roman" w:hAnsi="Times New Roman"/>
                <w:sz w:val="24"/>
                <w:szCs w:val="24"/>
              </w:rPr>
              <w:t>3</w:t>
            </w:r>
          </w:p>
        </w:tc>
      </w:tr>
      <w:tr>
        <w:trPr>
          <w:trHeight w:val="1455"/>
        </w:trPr>
        <w:tc>
          <w:tcPr>
            <w:tcW w:w="3541" w:type="dxa"/>
            <w:tcBorders>
              <w:top w:val="nil"/>
              <w:left w:val="nil"/>
              <w:bottom w:val="nil"/>
              <w:right w:val="nil"/>
            </w:tcBorders>
            <w:shd w:val="clear" w:color="auto" w:fill="FFFFFF"/>
            <w:vAlign w:val="bottom"/>
          </w:tcPr>
          <w:p>
            <w:pPr>
              <w:rPr>
                <w:rFonts w:ascii="Times New Roman" w:hAnsi="Times New Roman"/>
                <w:sz w:val="24"/>
                <w:szCs w:val="24"/>
              </w:rPr>
            </w:pPr>
            <w:r>
              <w:rPr>
                <w:rFonts w:ascii="Times New Roman" w:hAnsi="Times New Roman"/>
                <w:sz w:val="24"/>
                <w:szCs w:val="24"/>
              </w:rPr>
              <w:t xml:space="preserve">Главный распорядитель, распорядитель, получатель бюджетных </w:t>
            </w:r>
            <w:proofErr w:type="gramStart"/>
            <w:r>
              <w:rPr>
                <w:rFonts w:ascii="Times New Roman" w:hAnsi="Times New Roman"/>
                <w:sz w:val="24"/>
                <w:szCs w:val="24"/>
              </w:rPr>
              <w:t xml:space="preserve">средств,   </w:t>
            </w:r>
            <w:proofErr w:type="gramEnd"/>
            <w:r>
              <w:rPr>
                <w:rFonts w:ascii="Times New Roman" w:hAnsi="Times New Roman"/>
                <w:sz w:val="24"/>
                <w:szCs w:val="24"/>
              </w:rPr>
              <w:t xml:space="preserve">  </w:t>
            </w:r>
            <w:r>
              <w:rPr>
                <w:rFonts w:ascii="Times New Roman" w:hAnsi="Times New Roman"/>
                <w:sz w:val="24"/>
                <w:szCs w:val="24"/>
              </w:rPr>
              <w:br/>
              <w:t xml:space="preserve">главный администратор, администратор доходов бюджета,     </w:t>
            </w:r>
            <w:r>
              <w:rPr>
                <w:rFonts w:ascii="Times New Roman" w:hAnsi="Times New Roman"/>
                <w:sz w:val="24"/>
                <w:szCs w:val="24"/>
              </w:rPr>
              <w:br/>
              <w:t xml:space="preserve">главный администратор, администратор источников     </w:t>
            </w:r>
            <w:r>
              <w:rPr>
                <w:rFonts w:ascii="Times New Roman" w:hAnsi="Times New Roman"/>
                <w:sz w:val="24"/>
                <w:szCs w:val="24"/>
              </w:rPr>
              <w:br/>
              <w:t xml:space="preserve">финансирования дефицита бюджета </w:t>
            </w:r>
          </w:p>
        </w:tc>
        <w:tc>
          <w:tcPr>
            <w:tcW w:w="2995" w:type="dxa"/>
            <w:gridSpan w:val="2"/>
            <w:tcBorders>
              <w:top w:val="nil"/>
              <w:left w:val="nil"/>
              <w:bottom w:val="single" w:sz="4" w:space="0" w:color="auto"/>
              <w:right w:val="nil"/>
            </w:tcBorders>
            <w:shd w:val="clear" w:color="auto" w:fill="FFFFFF"/>
            <w:vAlign w:val="bottom"/>
          </w:tcPr>
          <w:p>
            <w:pPr>
              <w:rPr>
                <w:rFonts w:ascii="Times New Roman" w:hAnsi="Times New Roman"/>
                <w:sz w:val="24"/>
                <w:szCs w:val="24"/>
              </w:rPr>
            </w:pPr>
            <w:r>
              <w:rPr>
                <w:rFonts w:ascii="Times New Roman" w:hAnsi="Times New Roman"/>
                <w:sz w:val="24"/>
                <w:szCs w:val="24"/>
              </w:rPr>
              <w:t>Финансовое управление Администрации          ЗАТО Северск</w:t>
            </w:r>
          </w:p>
        </w:tc>
        <w:tc>
          <w:tcPr>
            <w:tcW w:w="1417" w:type="dxa"/>
            <w:tcBorders>
              <w:top w:val="nil"/>
              <w:left w:val="nil"/>
              <w:bottom w:val="nil"/>
              <w:right w:val="single" w:sz="4" w:space="0" w:color="auto"/>
            </w:tcBorders>
            <w:shd w:val="clear" w:color="auto" w:fill="FFFFFF"/>
            <w:noWrap/>
            <w:vAlign w:val="bottom"/>
          </w:tcPr>
          <w:p>
            <w:pPr>
              <w:jc w:val="right"/>
              <w:rPr>
                <w:rFonts w:ascii="Times New Roman" w:hAnsi="Times New Roman"/>
                <w:sz w:val="24"/>
                <w:szCs w:val="24"/>
              </w:rPr>
            </w:pPr>
            <w:proofErr w:type="gramStart"/>
            <w:r>
              <w:rPr>
                <w:rFonts w:ascii="Times New Roman" w:hAnsi="Times New Roman"/>
                <w:sz w:val="24"/>
                <w:szCs w:val="24"/>
              </w:rPr>
              <w:t>по</w:t>
            </w:r>
            <w:proofErr w:type="gramEnd"/>
            <w:r>
              <w:rPr>
                <w:rFonts w:ascii="Times New Roman" w:hAnsi="Times New Roman"/>
                <w:sz w:val="24"/>
                <w:szCs w:val="24"/>
              </w:rPr>
              <w:t xml:space="preserve"> ОКПО</w:t>
            </w:r>
          </w:p>
        </w:tc>
        <w:tc>
          <w:tcPr>
            <w:tcW w:w="1447" w:type="dxa"/>
            <w:tcBorders>
              <w:top w:val="single" w:sz="4" w:space="0" w:color="auto"/>
              <w:left w:val="single" w:sz="4" w:space="0" w:color="auto"/>
              <w:bottom w:val="single" w:sz="4" w:space="0" w:color="auto"/>
              <w:right w:val="single" w:sz="4" w:space="0" w:color="auto"/>
            </w:tcBorders>
            <w:shd w:val="clear" w:color="auto" w:fill="FFFFFF"/>
            <w:noWrap/>
            <w:vAlign w:val="bottom"/>
          </w:tcPr>
          <w:p>
            <w:pPr>
              <w:jc w:val="center"/>
              <w:rPr>
                <w:rFonts w:ascii="Times New Roman" w:hAnsi="Times New Roman"/>
                <w:sz w:val="24"/>
                <w:szCs w:val="24"/>
              </w:rPr>
            </w:pPr>
            <w:r>
              <w:rPr>
                <w:rFonts w:ascii="Times New Roman" w:hAnsi="Times New Roman"/>
                <w:sz w:val="24"/>
                <w:szCs w:val="24"/>
              </w:rPr>
              <w:t>28842383</w:t>
            </w:r>
          </w:p>
        </w:tc>
      </w:tr>
      <w:tr>
        <w:trPr>
          <w:trHeight w:val="420"/>
        </w:trPr>
        <w:tc>
          <w:tcPr>
            <w:tcW w:w="3541" w:type="dxa"/>
            <w:tcBorders>
              <w:top w:val="nil"/>
              <w:left w:val="nil"/>
              <w:bottom w:val="nil"/>
              <w:right w:val="nil"/>
            </w:tcBorders>
            <w:shd w:val="clear" w:color="auto" w:fill="FFFFFF"/>
            <w:noWrap/>
            <w:vAlign w:val="bottom"/>
          </w:tcPr>
          <w:p>
            <w:pPr>
              <w:rPr>
                <w:rFonts w:ascii="Times New Roman" w:hAnsi="Times New Roman"/>
                <w:sz w:val="24"/>
                <w:szCs w:val="24"/>
              </w:rPr>
            </w:pPr>
            <w:r>
              <w:rPr>
                <w:rFonts w:ascii="Times New Roman" w:hAnsi="Times New Roman"/>
                <w:sz w:val="24"/>
                <w:szCs w:val="24"/>
              </w:rPr>
              <w:t>Наименование бюджета</w:t>
            </w:r>
          </w:p>
        </w:tc>
        <w:tc>
          <w:tcPr>
            <w:tcW w:w="2995" w:type="dxa"/>
            <w:gridSpan w:val="2"/>
            <w:tcBorders>
              <w:top w:val="nil"/>
              <w:left w:val="nil"/>
              <w:bottom w:val="nil"/>
              <w:right w:val="nil"/>
            </w:tcBorders>
            <w:shd w:val="clear" w:color="auto" w:fill="FFFFFF"/>
            <w:vAlign w:val="bottom"/>
          </w:tcPr>
          <w:p>
            <w:pPr>
              <w:rPr>
                <w:rFonts w:ascii="Times New Roman" w:hAnsi="Times New Roman"/>
                <w:sz w:val="24"/>
                <w:szCs w:val="24"/>
              </w:rPr>
            </w:pPr>
            <w:r>
              <w:rPr>
                <w:rFonts w:ascii="Times New Roman" w:hAnsi="Times New Roman"/>
                <w:sz w:val="24"/>
                <w:szCs w:val="24"/>
              </w:rPr>
              <w:t> </w:t>
            </w:r>
          </w:p>
        </w:tc>
        <w:tc>
          <w:tcPr>
            <w:tcW w:w="1417" w:type="dxa"/>
            <w:tcBorders>
              <w:top w:val="nil"/>
              <w:left w:val="nil"/>
              <w:bottom w:val="nil"/>
              <w:right w:val="single" w:sz="4" w:space="0" w:color="auto"/>
            </w:tcBorders>
            <w:shd w:val="clear" w:color="auto" w:fill="FFFFFF"/>
            <w:noWrap/>
            <w:vAlign w:val="bottom"/>
          </w:tcPr>
          <w:p>
            <w:pPr>
              <w:jc w:val="right"/>
              <w:rPr>
                <w:rFonts w:ascii="Times New Roman" w:hAnsi="Times New Roman"/>
                <w:sz w:val="24"/>
                <w:szCs w:val="24"/>
              </w:rPr>
            </w:pPr>
            <w:r>
              <w:rPr>
                <w:rFonts w:ascii="Times New Roman" w:hAnsi="Times New Roman"/>
                <w:sz w:val="24"/>
                <w:szCs w:val="24"/>
              </w:rPr>
              <w:t> </w:t>
            </w:r>
          </w:p>
        </w:tc>
        <w:tc>
          <w:tcPr>
            <w:tcW w:w="1447" w:type="dxa"/>
            <w:tcBorders>
              <w:top w:val="single" w:sz="4" w:space="0" w:color="auto"/>
              <w:left w:val="single" w:sz="4" w:space="0" w:color="auto"/>
              <w:bottom w:val="single" w:sz="4" w:space="0" w:color="auto"/>
              <w:right w:val="single" w:sz="4" w:space="0" w:color="auto"/>
            </w:tcBorders>
            <w:shd w:val="clear" w:color="auto" w:fill="FFFFFF"/>
            <w:vAlign w:val="bottom"/>
          </w:tcPr>
          <w:p>
            <w:pPr>
              <w:jc w:val="center"/>
              <w:rPr>
                <w:rFonts w:ascii="Times New Roman" w:hAnsi="Times New Roman"/>
                <w:sz w:val="24"/>
                <w:szCs w:val="24"/>
              </w:rPr>
            </w:pPr>
          </w:p>
        </w:tc>
      </w:tr>
      <w:tr>
        <w:trPr>
          <w:trHeight w:val="420"/>
        </w:trPr>
        <w:tc>
          <w:tcPr>
            <w:tcW w:w="3541" w:type="dxa"/>
            <w:tcBorders>
              <w:top w:val="nil"/>
              <w:left w:val="nil"/>
              <w:bottom w:val="nil"/>
              <w:right w:val="nil"/>
            </w:tcBorders>
            <w:shd w:val="clear" w:color="auto" w:fill="FFFFFF"/>
            <w:noWrap/>
            <w:vAlign w:val="bottom"/>
          </w:tcPr>
          <w:p>
            <w:pPr>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публично</w:t>
            </w:r>
            <w:proofErr w:type="gramEnd"/>
            <w:r>
              <w:rPr>
                <w:rFonts w:ascii="Times New Roman" w:hAnsi="Times New Roman"/>
                <w:sz w:val="24"/>
                <w:szCs w:val="24"/>
              </w:rPr>
              <w:t>-правового образования)</w:t>
            </w:r>
          </w:p>
        </w:tc>
        <w:tc>
          <w:tcPr>
            <w:tcW w:w="2995" w:type="dxa"/>
            <w:gridSpan w:val="2"/>
            <w:tcBorders>
              <w:top w:val="nil"/>
              <w:left w:val="nil"/>
              <w:bottom w:val="single" w:sz="4" w:space="0" w:color="auto"/>
              <w:right w:val="nil"/>
            </w:tcBorders>
            <w:shd w:val="clear" w:color="auto" w:fill="FFFFFF"/>
            <w:vAlign w:val="bottom"/>
          </w:tcPr>
          <w:p>
            <w:pPr>
              <w:rPr>
                <w:rFonts w:ascii="Times New Roman" w:hAnsi="Times New Roman"/>
                <w:sz w:val="24"/>
                <w:szCs w:val="24"/>
              </w:rPr>
            </w:pPr>
            <w:r>
              <w:rPr>
                <w:rFonts w:ascii="Times New Roman" w:hAnsi="Times New Roman"/>
                <w:sz w:val="24"/>
                <w:szCs w:val="24"/>
              </w:rPr>
              <w:t>Бюджет ЗАТО Северск</w:t>
            </w:r>
          </w:p>
        </w:tc>
        <w:tc>
          <w:tcPr>
            <w:tcW w:w="1417" w:type="dxa"/>
            <w:tcBorders>
              <w:top w:val="nil"/>
              <w:left w:val="nil"/>
              <w:bottom w:val="nil"/>
              <w:right w:val="single" w:sz="4" w:space="0" w:color="auto"/>
            </w:tcBorders>
            <w:shd w:val="clear" w:color="auto" w:fill="FFFFFF"/>
            <w:noWrap/>
            <w:vAlign w:val="bottom"/>
          </w:tcPr>
          <w:p>
            <w:pPr>
              <w:rPr>
                <w:rFonts w:ascii="Times New Roman" w:hAnsi="Times New Roman"/>
                <w:sz w:val="24"/>
                <w:szCs w:val="24"/>
              </w:rPr>
            </w:pPr>
            <w:proofErr w:type="gramStart"/>
            <w:r>
              <w:rPr>
                <w:rFonts w:ascii="Times New Roman" w:hAnsi="Times New Roman"/>
                <w:sz w:val="24"/>
                <w:szCs w:val="24"/>
              </w:rPr>
              <w:t>по</w:t>
            </w:r>
            <w:proofErr w:type="gramEnd"/>
            <w:r>
              <w:rPr>
                <w:rFonts w:ascii="Times New Roman" w:hAnsi="Times New Roman"/>
                <w:sz w:val="24"/>
                <w:szCs w:val="24"/>
              </w:rPr>
              <w:t xml:space="preserve"> ОКТМО</w:t>
            </w:r>
          </w:p>
        </w:tc>
        <w:tc>
          <w:tcPr>
            <w:tcW w:w="1447"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Times New Roman" w:hAnsi="Times New Roman"/>
                <w:sz w:val="24"/>
                <w:szCs w:val="24"/>
              </w:rPr>
            </w:pPr>
            <w:r>
              <w:rPr>
                <w:rFonts w:ascii="Times New Roman" w:hAnsi="Times New Roman"/>
                <w:sz w:val="24"/>
                <w:szCs w:val="24"/>
              </w:rPr>
              <w:t>69741000</w:t>
            </w:r>
          </w:p>
        </w:tc>
      </w:tr>
      <w:tr>
        <w:trPr>
          <w:trHeight w:val="420"/>
        </w:trPr>
        <w:tc>
          <w:tcPr>
            <w:tcW w:w="3541" w:type="dxa"/>
            <w:tcBorders>
              <w:top w:val="nil"/>
              <w:left w:val="nil"/>
              <w:bottom w:val="nil"/>
              <w:right w:val="nil"/>
            </w:tcBorders>
            <w:shd w:val="clear" w:color="auto" w:fill="FFFFFF"/>
            <w:noWrap/>
            <w:vAlign w:val="bottom"/>
          </w:tcPr>
          <w:p>
            <w:pPr>
              <w:rPr>
                <w:rFonts w:ascii="Times New Roman" w:hAnsi="Times New Roman"/>
                <w:sz w:val="24"/>
                <w:szCs w:val="24"/>
              </w:rPr>
            </w:pPr>
            <w:proofErr w:type="gramStart"/>
            <w:r>
              <w:rPr>
                <w:rFonts w:ascii="Times New Roman" w:hAnsi="Times New Roman"/>
                <w:sz w:val="24"/>
                <w:szCs w:val="24"/>
              </w:rPr>
              <w:t>Периодичность:  квартальная</w:t>
            </w:r>
            <w:proofErr w:type="gramEnd"/>
            <w:r>
              <w:rPr>
                <w:rFonts w:ascii="Times New Roman" w:hAnsi="Times New Roman"/>
                <w:sz w:val="24"/>
                <w:szCs w:val="24"/>
              </w:rPr>
              <w:t>, годовая</w:t>
            </w:r>
          </w:p>
        </w:tc>
        <w:tc>
          <w:tcPr>
            <w:tcW w:w="2995" w:type="dxa"/>
            <w:gridSpan w:val="2"/>
            <w:tcBorders>
              <w:top w:val="nil"/>
              <w:left w:val="nil"/>
              <w:bottom w:val="nil"/>
              <w:right w:val="nil"/>
            </w:tcBorders>
            <w:shd w:val="clear" w:color="auto" w:fill="FFFFFF"/>
            <w:noWrap/>
            <w:vAlign w:val="bottom"/>
          </w:tcPr>
          <w:p>
            <w:pPr>
              <w:rPr>
                <w:rFonts w:ascii="Times New Roman" w:hAnsi="Times New Roman"/>
                <w:sz w:val="24"/>
                <w:szCs w:val="24"/>
              </w:rPr>
            </w:pPr>
            <w:r>
              <w:rPr>
                <w:rFonts w:ascii="Times New Roman" w:hAnsi="Times New Roman"/>
                <w:sz w:val="24"/>
                <w:szCs w:val="24"/>
              </w:rPr>
              <w:t> </w:t>
            </w:r>
          </w:p>
        </w:tc>
        <w:tc>
          <w:tcPr>
            <w:tcW w:w="1417" w:type="dxa"/>
            <w:tcBorders>
              <w:top w:val="nil"/>
              <w:left w:val="nil"/>
              <w:bottom w:val="nil"/>
              <w:right w:val="single" w:sz="4" w:space="0" w:color="auto"/>
            </w:tcBorders>
            <w:shd w:val="clear" w:color="auto" w:fill="FFFFFF"/>
            <w:noWrap/>
            <w:vAlign w:val="bottom"/>
          </w:tcPr>
          <w:p>
            <w:pPr>
              <w:jc w:val="right"/>
              <w:rPr>
                <w:rFonts w:ascii="Times New Roman" w:hAnsi="Times New Roman"/>
                <w:sz w:val="24"/>
                <w:szCs w:val="24"/>
              </w:rPr>
            </w:pPr>
            <w:r>
              <w:rPr>
                <w:rFonts w:ascii="Times New Roman" w:hAnsi="Times New Roman"/>
                <w:sz w:val="24"/>
                <w:szCs w:val="24"/>
              </w:rPr>
              <w:t> </w:t>
            </w:r>
          </w:p>
        </w:tc>
        <w:tc>
          <w:tcPr>
            <w:tcW w:w="1447"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Times New Roman" w:hAnsi="Times New Roman"/>
                <w:sz w:val="24"/>
                <w:szCs w:val="24"/>
              </w:rPr>
            </w:pPr>
          </w:p>
        </w:tc>
      </w:tr>
      <w:tr>
        <w:trPr>
          <w:trHeight w:val="486"/>
        </w:trPr>
        <w:tc>
          <w:tcPr>
            <w:tcW w:w="3541" w:type="dxa"/>
            <w:tcBorders>
              <w:top w:val="nil"/>
              <w:left w:val="nil"/>
              <w:bottom w:val="nil"/>
              <w:right w:val="nil"/>
            </w:tcBorders>
            <w:shd w:val="clear" w:color="auto" w:fill="FFFFFF"/>
            <w:noWrap/>
            <w:vAlign w:val="bottom"/>
          </w:tcPr>
          <w:p>
            <w:pPr>
              <w:rPr>
                <w:rFonts w:ascii="Times New Roman" w:hAnsi="Times New Roman"/>
                <w:sz w:val="24"/>
                <w:szCs w:val="24"/>
              </w:rPr>
            </w:pPr>
            <w:r>
              <w:rPr>
                <w:rFonts w:ascii="Times New Roman" w:hAnsi="Times New Roman"/>
                <w:sz w:val="24"/>
                <w:szCs w:val="24"/>
              </w:rPr>
              <w:t>Единица измерения: руб.</w:t>
            </w:r>
          </w:p>
        </w:tc>
        <w:tc>
          <w:tcPr>
            <w:tcW w:w="2995" w:type="dxa"/>
            <w:gridSpan w:val="2"/>
            <w:tcBorders>
              <w:top w:val="nil"/>
              <w:left w:val="nil"/>
              <w:bottom w:val="nil"/>
              <w:right w:val="nil"/>
            </w:tcBorders>
            <w:shd w:val="clear" w:color="auto" w:fill="FFFFFF"/>
            <w:noWrap/>
            <w:vAlign w:val="bottom"/>
          </w:tcPr>
          <w:p>
            <w:pPr>
              <w:rPr>
                <w:rFonts w:ascii="Times New Roman" w:hAnsi="Times New Roman"/>
                <w:sz w:val="24"/>
                <w:szCs w:val="24"/>
              </w:rPr>
            </w:pPr>
            <w:r>
              <w:rPr>
                <w:rFonts w:ascii="Times New Roman" w:hAnsi="Times New Roman"/>
                <w:sz w:val="24"/>
                <w:szCs w:val="24"/>
              </w:rPr>
              <w:t> </w:t>
            </w:r>
          </w:p>
        </w:tc>
        <w:tc>
          <w:tcPr>
            <w:tcW w:w="1417" w:type="dxa"/>
            <w:tcBorders>
              <w:top w:val="nil"/>
              <w:left w:val="nil"/>
              <w:bottom w:val="nil"/>
              <w:right w:val="single" w:sz="4" w:space="0" w:color="auto"/>
            </w:tcBorders>
            <w:shd w:val="clear" w:color="auto" w:fill="FFFFFF"/>
            <w:noWrap/>
            <w:vAlign w:val="bottom"/>
          </w:tcPr>
          <w:p>
            <w:pPr>
              <w:jc w:val="right"/>
              <w:rPr>
                <w:rFonts w:ascii="Times New Roman" w:hAnsi="Times New Roman"/>
                <w:sz w:val="24"/>
                <w:szCs w:val="24"/>
              </w:rPr>
            </w:pPr>
            <w:r>
              <w:rPr>
                <w:rFonts w:ascii="Times New Roman" w:hAnsi="Times New Roman"/>
                <w:sz w:val="24"/>
                <w:szCs w:val="24"/>
              </w:rPr>
              <w:t> </w:t>
            </w:r>
          </w:p>
        </w:tc>
        <w:tc>
          <w:tcPr>
            <w:tcW w:w="1447" w:type="dxa"/>
            <w:tcBorders>
              <w:top w:val="single" w:sz="4" w:space="0" w:color="auto"/>
              <w:left w:val="single" w:sz="4" w:space="0" w:color="auto"/>
              <w:bottom w:val="single" w:sz="4" w:space="0" w:color="auto"/>
              <w:right w:val="single" w:sz="4" w:space="0" w:color="auto"/>
            </w:tcBorders>
            <w:shd w:val="clear" w:color="auto" w:fill="FFFFFF"/>
            <w:noWrap/>
            <w:vAlign w:val="center"/>
          </w:tcPr>
          <w:p>
            <w:pPr>
              <w:jc w:val="center"/>
              <w:rPr>
                <w:rFonts w:ascii="Times New Roman" w:hAnsi="Times New Roman"/>
                <w:sz w:val="24"/>
                <w:szCs w:val="24"/>
              </w:rPr>
            </w:pPr>
            <w:r>
              <w:rPr>
                <w:rFonts w:ascii="Times New Roman" w:hAnsi="Times New Roman"/>
                <w:sz w:val="24"/>
                <w:szCs w:val="24"/>
              </w:rPr>
              <w:t>383</w:t>
            </w:r>
          </w:p>
        </w:tc>
      </w:tr>
    </w:tbl>
    <w:p>
      <w:pPr>
        <w:ind w:firstLine="709"/>
        <w:jc w:val="both"/>
        <w:rPr>
          <w:rFonts w:ascii="Times New Roman" w:hAnsi="Times New Roman"/>
          <w:b/>
          <w:sz w:val="24"/>
          <w:szCs w:val="24"/>
        </w:rPr>
      </w:pPr>
    </w:p>
    <w:p>
      <w:pPr>
        <w:ind w:firstLine="709"/>
        <w:jc w:val="both"/>
        <w:rPr>
          <w:rFonts w:ascii="Times New Roman" w:hAnsi="Times New Roman"/>
          <w:b/>
          <w:sz w:val="24"/>
          <w:szCs w:val="24"/>
        </w:rPr>
      </w:pPr>
      <w:r>
        <w:rPr>
          <w:rFonts w:ascii="Times New Roman" w:hAnsi="Times New Roman"/>
          <w:b/>
          <w:sz w:val="24"/>
          <w:szCs w:val="24"/>
        </w:rPr>
        <w:t>Раздел 1 «Организационная структура субъекта бюджетной отчётности».</w:t>
      </w:r>
    </w:p>
    <w:p>
      <w:pPr>
        <w:ind w:firstLine="709"/>
        <w:jc w:val="both"/>
        <w:rPr>
          <w:rFonts w:ascii="Times New Roman" w:hAnsi="Times New Roman"/>
          <w:sz w:val="24"/>
          <w:szCs w:val="24"/>
        </w:rPr>
      </w:pPr>
      <w:r>
        <w:rPr>
          <w:rFonts w:ascii="Times New Roman" w:hAnsi="Times New Roman"/>
          <w:sz w:val="24"/>
          <w:szCs w:val="24"/>
        </w:rPr>
        <w:t>Полное наименование: Финансовое управление Администрации ЗАТО Северск Томской области (далее - Управление).</w:t>
      </w:r>
    </w:p>
    <w:p>
      <w:pPr>
        <w:ind w:firstLine="709"/>
        <w:jc w:val="both"/>
        <w:rPr>
          <w:rFonts w:ascii="Times New Roman" w:hAnsi="Times New Roman"/>
          <w:sz w:val="24"/>
          <w:szCs w:val="24"/>
        </w:rPr>
      </w:pPr>
      <w:r>
        <w:rPr>
          <w:rFonts w:ascii="Times New Roman" w:hAnsi="Times New Roman"/>
          <w:sz w:val="24"/>
          <w:szCs w:val="24"/>
        </w:rPr>
        <w:t>Юридический и фактический адрес: 636035, Томская область,</w:t>
      </w:r>
      <w:r>
        <w:rPr>
          <w:rFonts w:ascii="Times New Roman" w:hAnsi="Times New Roman"/>
          <w:sz w:val="24"/>
          <w:szCs w:val="24"/>
        </w:rPr>
        <w:br/>
        <w:t xml:space="preserve"> г. Северск, пр. Коммунистический 51.</w:t>
      </w:r>
    </w:p>
    <w:p>
      <w:pPr>
        <w:ind w:firstLine="709"/>
        <w:jc w:val="both"/>
        <w:rPr>
          <w:rFonts w:ascii="Times New Roman" w:hAnsi="Times New Roman"/>
          <w:sz w:val="24"/>
          <w:szCs w:val="24"/>
        </w:rPr>
      </w:pPr>
      <w:r>
        <w:rPr>
          <w:rFonts w:ascii="Times New Roman" w:hAnsi="Times New Roman"/>
          <w:sz w:val="24"/>
          <w:szCs w:val="24"/>
        </w:rPr>
        <w:t>ИНН 7024003910, КПП 702401001, ОКПО 28842383, ОКТМО 69741000001, ОГРН 1027001686920.</w:t>
      </w:r>
    </w:p>
    <w:p>
      <w:pPr>
        <w:ind w:firstLine="709"/>
        <w:jc w:val="both"/>
        <w:rPr>
          <w:rFonts w:ascii="Times New Roman" w:hAnsi="Times New Roman"/>
          <w:sz w:val="24"/>
          <w:szCs w:val="24"/>
        </w:rPr>
      </w:pPr>
      <w:r>
        <w:rPr>
          <w:rFonts w:ascii="Times New Roman" w:hAnsi="Times New Roman"/>
          <w:sz w:val="24"/>
          <w:szCs w:val="24"/>
        </w:rPr>
        <w:t>В соответствии с Бюджетным кодексом Российской Федерации и Положением                     о бюджетном процессе ЗАТО Северск, Управление является участником бюджетного процесса в ЗАТО Северск, обладающее бюджетными полномочиями финансового органа, главного распорядителя бюджетных средств, главного администратора доходов, главного администратора источников финансирования дефицита. Управление, как структурное подразделение Администрации ЗАТО Северск, создано на основании Постановления Главы Администрации г. Северска Томской области от 17.08.1998 № 1782, наделено правами юридического лица. Правовая форма Управления - казённое учреждение; от своего имени приобретает и осуществляет имущественные и личные неимущественные права, обладает обособленным имуществом, имеет самостоятельный баланс, лицевые счета в органах казначейства по Томской области, круглую печать со своим наименованием.</w:t>
      </w:r>
    </w:p>
    <w:p>
      <w:pPr>
        <w:ind w:firstLine="709"/>
        <w:jc w:val="both"/>
        <w:rPr>
          <w:rFonts w:ascii="Times New Roman" w:hAnsi="Times New Roman"/>
          <w:sz w:val="24"/>
          <w:szCs w:val="24"/>
        </w:rPr>
      </w:pPr>
      <w:r>
        <w:rPr>
          <w:rFonts w:ascii="Times New Roman" w:hAnsi="Times New Roman"/>
          <w:sz w:val="24"/>
          <w:szCs w:val="24"/>
        </w:rPr>
        <w:t>Код главы Управления - 903.</w:t>
      </w:r>
    </w:p>
    <w:p>
      <w:pPr>
        <w:ind w:firstLine="709"/>
        <w:jc w:val="both"/>
        <w:rPr>
          <w:rFonts w:ascii="Times New Roman" w:hAnsi="Times New Roman"/>
          <w:sz w:val="24"/>
          <w:szCs w:val="24"/>
        </w:rPr>
      </w:pPr>
      <w:r>
        <w:rPr>
          <w:rFonts w:ascii="Times New Roman" w:hAnsi="Times New Roman"/>
          <w:sz w:val="24"/>
          <w:szCs w:val="24"/>
        </w:rPr>
        <w:t>Подведомственных учреждений, предприятий и обособленных подразделений не имеет.</w:t>
      </w:r>
    </w:p>
    <w:p>
      <w:pPr>
        <w:ind w:firstLine="709"/>
        <w:jc w:val="both"/>
        <w:rPr>
          <w:rFonts w:ascii="Times New Roman" w:hAnsi="Times New Roman"/>
          <w:sz w:val="24"/>
          <w:szCs w:val="24"/>
        </w:rPr>
      </w:pPr>
      <w:r>
        <w:rPr>
          <w:rFonts w:ascii="Times New Roman" w:hAnsi="Times New Roman"/>
          <w:sz w:val="24"/>
          <w:szCs w:val="24"/>
        </w:rPr>
        <w:t>Бюджетные полномочия в отчётном периоде у Управления не изменялись.</w:t>
      </w:r>
    </w:p>
    <w:p>
      <w:pPr>
        <w:ind w:firstLine="709"/>
        <w:jc w:val="both"/>
        <w:rPr>
          <w:rFonts w:ascii="Times New Roman" w:hAnsi="Times New Roman"/>
          <w:sz w:val="24"/>
          <w:szCs w:val="24"/>
        </w:rPr>
      </w:pPr>
      <w:r>
        <w:rPr>
          <w:rFonts w:ascii="Times New Roman" w:hAnsi="Times New Roman"/>
          <w:sz w:val="24"/>
          <w:szCs w:val="24"/>
        </w:rPr>
        <w:t>Банковских счетов в кредитных организациях Управление не имеет.</w:t>
      </w:r>
    </w:p>
    <w:p>
      <w:pPr>
        <w:ind w:firstLine="709"/>
        <w:jc w:val="both"/>
        <w:rPr>
          <w:rFonts w:ascii="Times New Roman" w:hAnsi="Times New Roman"/>
          <w:sz w:val="24"/>
          <w:szCs w:val="24"/>
        </w:rPr>
      </w:pPr>
      <w:r>
        <w:rPr>
          <w:rFonts w:ascii="Times New Roman" w:hAnsi="Times New Roman"/>
          <w:sz w:val="24"/>
          <w:szCs w:val="24"/>
        </w:rPr>
        <w:t>Бюджетный учёт, составление и представление отчётности осуществляется отделом по бюджетному учёту и отчётности (далее - отдел), которую возглавляет начальник отдела.</w:t>
      </w:r>
    </w:p>
    <w:p>
      <w:pPr>
        <w:ind w:firstLine="709"/>
        <w:jc w:val="both"/>
        <w:rPr>
          <w:rFonts w:ascii="Times New Roman" w:hAnsi="Times New Roman"/>
          <w:sz w:val="24"/>
          <w:szCs w:val="24"/>
        </w:rPr>
      </w:pPr>
      <w:r>
        <w:rPr>
          <w:rFonts w:ascii="Times New Roman" w:hAnsi="Times New Roman"/>
          <w:sz w:val="24"/>
          <w:szCs w:val="24"/>
        </w:rPr>
        <w:t>Касса для выдачи наличных денежных средств в Управлении отсутствует. Все расчёты осуществляются в безналичном порядке.</w:t>
      </w:r>
    </w:p>
    <w:p>
      <w:pPr>
        <w:ind w:firstLine="709"/>
        <w:jc w:val="both"/>
        <w:rPr>
          <w:rFonts w:ascii="Times New Roman" w:hAnsi="Times New Roman"/>
          <w:sz w:val="24"/>
          <w:szCs w:val="24"/>
        </w:rPr>
      </w:pPr>
      <w:r>
        <w:rPr>
          <w:rFonts w:ascii="Times New Roman" w:hAnsi="Times New Roman"/>
          <w:sz w:val="24"/>
          <w:szCs w:val="24"/>
        </w:rPr>
        <w:t>В своей деятельности Управление руководствуется Конституцией РФ, нормативными актами Президента РФ, законодательными актами Минфина РФ, а также других министерств и ведомств Российской Федерации, решениями Думы ЗАТО Северск, постановлениями                   и распоряжениями Администрации ЗАТО Северск Томской области, положением                           по Управлению и приказами начальника Управления.</w:t>
      </w:r>
    </w:p>
    <w:p>
      <w:pPr>
        <w:ind w:firstLine="709"/>
        <w:jc w:val="both"/>
        <w:rPr>
          <w:rFonts w:ascii="Times New Roman" w:hAnsi="Times New Roman"/>
          <w:sz w:val="24"/>
          <w:szCs w:val="24"/>
        </w:rPr>
      </w:pPr>
      <w:r>
        <w:rPr>
          <w:rFonts w:ascii="Times New Roman" w:hAnsi="Times New Roman"/>
          <w:sz w:val="24"/>
          <w:szCs w:val="24"/>
        </w:rPr>
        <w:t xml:space="preserve">Бухгалтерский учёт в Управлении осуществляется отделом по бюджетному учёту               и отчётности в соответствии с Федеральным законом от 06.12.2011 № 402-ФЗ </w:t>
      </w:r>
      <w:r>
        <w:rPr>
          <w:rFonts w:ascii="Times New Roman" w:hAnsi="Times New Roman"/>
          <w:sz w:val="24"/>
          <w:szCs w:val="24"/>
        </w:rPr>
        <w:lastRenderedPageBreak/>
        <w:t>«О бухгалтерском учёте», федеральными стандартами бухгалтерского учета для организаций государственного сектора, утвержденными приказами Минфина России, приказом Минфина России от 01.12.2010 № 157н «Об утверждении Единого плана счетов бухгалтерского учёта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приказом Минфина России от 06.12.2010 № 162н «Об утверждении Плана счетов бюджетного учёта и Инструкции по его применению», приказом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приказом Минфина России от 29.11.2017 № 209н «Об утверждении Порядка применения классификации операций сектора государственного управления», иными законами и нормативными актами, предназначенными для формирования полной и достоверной информации о финансовом, имущественном положении и финансовых результатах деятельности Управления.</w:t>
      </w:r>
    </w:p>
    <w:p>
      <w:pPr>
        <w:pStyle w:val="21"/>
        <w:shd w:val="clear" w:color="auto" w:fill="auto"/>
        <w:ind w:firstLine="760"/>
      </w:pPr>
      <w:r>
        <w:rPr>
          <w:color w:val="000000"/>
          <w:sz w:val="24"/>
          <w:szCs w:val="24"/>
          <w:lang w:bidi="ru-RU"/>
        </w:rPr>
        <w:t xml:space="preserve">Бухгалтерский учёт ведется автоматизировано с применением типовых конфигураций программ </w:t>
      </w:r>
      <w:r>
        <w:rPr>
          <w:color w:val="000000"/>
          <w:sz w:val="24"/>
          <w:szCs w:val="24"/>
          <w:lang w:eastAsia="en-US" w:bidi="en-US"/>
        </w:rPr>
        <w:t>1</w:t>
      </w:r>
      <w:r>
        <w:rPr>
          <w:color w:val="000000"/>
          <w:sz w:val="24"/>
          <w:szCs w:val="24"/>
          <w:lang w:val="en-US" w:eastAsia="en-US" w:bidi="en-US"/>
        </w:rPr>
        <w:t>C</w:t>
      </w:r>
      <w:r>
        <w:rPr>
          <w:color w:val="000000"/>
          <w:sz w:val="24"/>
          <w:szCs w:val="24"/>
          <w:lang w:eastAsia="en-US" w:bidi="en-US"/>
        </w:rPr>
        <w:t xml:space="preserve">: </w:t>
      </w:r>
      <w:r>
        <w:rPr>
          <w:color w:val="000000"/>
          <w:sz w:val="24"/>
          <w:szCs w:val="24"/>
          <w:lang w:bidi="ru-RU"/>
        </w:rPr>
        <w:t xml:space="preserve">Предприятие: «Бухгалтерия для бюджетных учреждений», </w:t>
      </w:r>
      <w:r>
        <w:rPr>
          <w:color w:val="000000"/>
          <w:sz w:val="24"/>
          <w:szCs w:val="24"/>
          <w:lang w:eastAsia="en-US" w:bidi="en-US"/>
        </w:rPr>
        <w:t>1</w:t>
      </w:r>
      <w:r>
        <w:rPr>
          <w:color w:val="000000"/>
          <w:sz w:val="24"/>
          <w:szCs w:val="24"/>
          <w:lang w:val="en-US" w:eastAsia="en-US" w:bidi="en-US"/>
        </w:rPr>
        <w:t>C</w:t>
      </w:r>
      <w:r>
        <w:rPr>
          <w:color w:val="000000"/>
          <w:sz w:val="24"/>
          <w:szCs w:val="24"/>
          <w:lang w:eastAsia="en-US" w:bidi="en-US"/>
        </w:rPr>
        <w:t xml:space="preserve">: </w:t>
      </w:r>
      <w:r>
        <w:rPr>
          <w:color w:val="000000"/>
          <w:sz w:val="24"/>
          <w:szCs w:val="24"/>
          <w:lang w:bidi="ru-RU"/>
        </w:rPr>
        <w:t xml:space="preserve">Предприятие: «Зарплата и кадры государственного учреждения». Бухгалтерский учёт осуществляется по журнально-ордерной форме. Оценка активов и обязательств осуществляется по методу балансовой стоимости. В бухгалтерском учёте объектов аренды у Управления нет. По итогам 2022 года реализованы рекомендации Письма Минфина РФ от 12.12.2022 № 02-06-07/121653. Деятельность Управления финансируется за счёт средств бюджета ЗАТО </w:t>
      </w:r>
      <w:proofErr w:type="gramStart"/>
      <w:r>
        <w:rPr>
          <w:color w:val="000000"/>
          <w:sz w:val="24"/>
          <w:szCs w:val="24"/>
          <w:lang w:bidi="ru-RU"/>
        </w:rPr>
        <w:t xml:space="preserve">Северск,   </w:t>
      </w:r>
      <w:proofErr w:type="gramEnd"/>
      <w:r>
        <w:rPr>
          <w:color w:val="000000"/>
          <w:sz w:val="24"/>
          <w:szCs w:val="24"/>
          <w:lang w:bidi="ru-RU"/>
        </w:rPr>
        <w:t xml:space="preserve">                         в соответствии с бюджетной росписью и бюджетной сметой.</w:t>
      </w:r>
    </w:p>
    <w:p>
      <w:pPr>
        <w:pStyle w:val="21"/>
        <w:shd w:val="clear" w:color="auto" w:fill="auto"/>
        <w:ind w:firstLine="760"/>
        <w:rPr>
          <w:b/>
        </w:rPr>
      </w:pPr>
      <w:r>
        <w:rPr>
          <w:b/>
          <w:color w:val="000000"/>
          <w:sz w:val="24"/>
          <w:szCs w:val="24"/>
          <w:lang w:bidi="ru-RU"/>
        </w:rPr>
        <w:t>Раздел 2. «Результаты деятельности учреждения».</w:t>
      </w:r>
    </w:p>
    <w:p>
      <w:pPr>
        <w:pStyle w:val="21"/>
        <w:shd w:val="clear" w:color="auto" w:fill="auto"/>
        <w:ind w:firstLine="760"/>
      </w:pPr>
      <w:r>
        <w:rPr>
          <w:color w:val="000000" w:themeColor="text1"/>
          <w:sz w:val="24"/>
          <w:szCs w:val="24"/>
          <w:lang w:bidi="ru-RU"/>
        </w:rPr>
        <w:t>Всего на расходы, подведомственные Управлению, в 2022 году предусмотрено                 50 730,10 тыс. руб., без учёта утвержденных расходов Фонда непредвиденных расходов Администрации ЗАТО Северск и Резервного фонда Администрации ЗАТО Северск по предупреждению, ликвидации чрезвычайных ситуаций и последствий стихийных бедствий в сумме 9 200,52 тыс. руб., кассовые расходы составили 50 487,44 тыс</w:t>
      </w:r>
      <w:r>
        <w:rPr>
          <w:color w:val="000000"/>
          <w:sz w:val="24"/>
          <w:szCs w:val="24"/>
          <w:lang w:bidi="ru-RU"/>
        </w:rPr>
        <w:t xml:space="preserve">. рублей. Расходование средств осуществлялось в пределах выделенных бюджетных ассигнований в соответствии с утвержденными </w:t>
      </w:r>
      <w:r>
        <w:rPr>
          <w:color w:val="000000" w:themeColor="text1"/>
          <w:sz w:val="24"/>
          <w:szCs w:val="24"/>
          <w:lang w:bidi="ru-RU"/>
        </w:rPr>
        <w:t xml:space="preserve">назначениями на 2022 год </w:t>
      </w:r>
      <w:r>
        <w:rPr>
          <w:color w:val="000000"/>
          <w:sz w:val="24"/>
          <w:szCs w:val="24"/>
          <w:lang w:bidi="ru-RU"/>
        </w:rPr>
        <w:t xml:space="preserve">по кодам классификации расходов бюджета ЗАТО Северск. Утверждённые лимиты бюджетных обязательств использованы в объёме </w:t>
      </w:r>
      <w:r>
        <w:rPr>
          <w:color w:val="000000" w:themeColor="text1"/>
          <w:sz w:val="24"/>
          <w:szCs w:val="24"/>
          <w:lang w:bidi="ru-RU"/>
        </w:rPr>
        <w:t xml:space="preserve">99,5 %. </w:t>
      </w:r>
      <w:r>
        <w:rPr>
          <w:color w:val="000000"/>
          <w:sz w:val="24"/>
          <w:szCs w:val="24"/>
          <w:lang w:bidi="ru-RU"/>
        </w:rPr>
        <w:t xml:space="preserve">По состоянию </w:t>
      </w:r>
      <w:r>
        <w:rPr>
          <w:color w:val="000000" w:themeColor="text1"/>
          <w:sz w:val="24"/>
          <w:szCs w:val="24"/>
          <w:lang w:bidi="ru-RU"/>
        </w:rPr>
        <w:t xml:space="preserve">на 01.01.2023 </w:t>
      </w:r>
      <w:r>
        <w:rPr>
          <w:color w:val="000000"/>
          <w:sz w:val="24"/>
          <w:szCs w:val="24"/>
          <w:lang w:bidi="ru-RU"/>
        </w:rPr>
        <w:t xml:space="preserve">экономия по расходам на обслуживание муниципального долга по оплате процентов </w:t>
      </w:r>
      <w:r>
        <w:rPr>
          <w:sz w:val="24"/>
          <w:szCs w:val="24"/>
          <w:lang w:bidi="ru-RU"/>
        </w:rPr>
        <w:t>составила 53,52 тыс.</w:t>
      </w:r>
      <w:r>
        <w:t> </w:t>
      </w:r>
      <w:r>
        <w:rPr>
          <w:sz w:val="24"/>
          <w:szCs w:val="24"/>
          <w:lang w:bidi="ru-RU"/>
        </w:rPr>
        <w:t>руб. Принятые меры по досрочному возврату кредита позволили сократить первоначальные расходы по обслуживанию муниципального долга на оплату процентов в общей сумме 7 531,60 тыс. руб.</w:t>
      </w:r>
      <w:r>
        <w:t xml:space="preserve"> </w:t>
      </w:r>
    </w:p>
    <w:p>
      <w:pPr>
        <w:pStyle w:val="21"/>
        <w:shd w:val="clear" w:color="auto" w:fill="auto"/>
        <w:ind w:firstLine="760"/>
        <w:rPr>
          <w:color w:val="000000"/>
          <w:sz w:val="24"/>
          <w:szCs w:val="24"/>
          <w:lang w:bidi="ru-RU"/>
        </w:rPr>
      </w:pPr>
      <w:r>
        <w:rPr>
          <w:sz w:val="24"/>
          <w:szCs w:val="24"/>
          <w:lang w:bidi="ru-RU"/>
        </w:rPr>
        <w:t xml:space="preserve">Балансовая стоимость имущества Управления на 01.01.2023 года составила                       6 457,21 тыс. руб. Амортизация основных средств на конец отчётного </w:t>
      </w:r>
      <w:r>
        <w:rPr>
          <w:color w:val="000000"/>
          <w:sz w:val="24"/>
          <w:szCs w:val="24"/>
          <w:lang w:bidi="ru-RU"/>
        </w:rPr>
        <w:t xml:space="preserve">периода составляет </w:t>
      </w:r>
      <w:r>
        <w:rPr>
          <w:color w:val="000000" w:themeColor="text1"/>
          <w:sz w:val="24"/>
          <w:szCs w:val="24"/>
          <w:lang w:bidi="ru-RU"/>
        </w:rPr>
        <w:t xml:space="preserve">6 315,99 (98 % от стоимости). </w:t>
      </w:r>
      <w:r>
        <w:rPr>
          <w:color w:val="000000"/>
          <w:sz w:val="24"/>
          <w:szCs w:val="24"/>
          <w:lang w:bidi="ru-RU"/>
        </w:rPr>
        <w:t xml:space="preserve">Техническое состояние и уровень обеспеченности основными фондами удовлетворительное. Материальные запасы на текущие нужды поступают своевременно. Недостачи и порчи имущества </w:t>
      </w:r>
      <w:r>
        <w:rPr>
          <w:color w:val="000000" w:themeColor="text1"/>
          <w:sz w:val="24"/>
          <w:szCs w:val="24"/>
          <w:lang w:bidi="ru-RU"/>
        </w:rPr>
        <w:t xml:space="preserve">в 2022 г. не </w:t>
      </w:r>
      <w:r>
        <w:rPr>
          <w:color w:val="000000"/>
          <w:sz w:val="24"/>
          <w:szCs w:val="24"/>
          <w:lang w:bidi="ru-RU"/>
        </w:rPr>
        <w:t>выявлено. Основные средства использовались для нужд Управления по своему целевому назначению.</w:t>
      </w:r>
    </w:p>
    <w:p>
      <w:pPr>
        <w:pStyle w:val="21"/>
        <w:shd w:val="clear" w:color="auto" w:fill="auto"/>
        <w:ind w:firstLine="760"/>
        <w:rPr>
          <w:color w:val="000000" w:themeColor="text1"/>
          <w:sz w:val="24"/>
          <w:szCs w:val="24"/>
          <w:lang w:bidi="ru-RU"/>
        </w:rPr>
      </w:pPr>
      <w:r>
        <w:rPr>
          <w:color w:val="000000" w:themeColor="text1"/>
          <w:sz w:val="24"/>
          <w:szCs w:val="24"/>
          <w:lang w:bidi="ru-RU"/>
        </w:rPr>
        <w:t>Штатная численность Управления в 2022 году составила 26 шт. единиц, из них 24 шт. единицы, относимые к должностям муниципальной службы и 2 должности, не отнесённые             к должностям муниципальной службы. Среднесписочная численность Управления по итогам года составила 25 штатные единицы, из них 2 штатные единицы, не отнесённые   к должностям муниципальной службы. На 01.01.</w:t>
      </w:r>
      <w:r>
        <w:rPr>
          <w:sz w:val="24"/>
          <w:szCs w:val="24"/>
          <w:lang w:bidi="ru-RU"/>
        </w:rPr>
        <w:t xml:space="preserve">2023 в Управлении числилась 1 вакансия, </w:t>
      </w:r>
      <w:r>
        <w:rPr>
          <w:color w:val="000000" w:themeColor="text1"/>
          <w:sz w:val="24"/>
          <w:szCs w:val="24"/>
          <w:lang w:bidi="ru-RU"/>
        </w:rPr>
        <w:t xml:space="preserve">относимая                         к должностям муниципальной службы. </w:t>
      </w:r>
      <w:r>
        <w:rPr>
          <w:sz w:val="24"/>
          <w:szCs w:val="24"/>
          <w:lang w:bidi="ru-RU"/>
        </w:rPr>
        <w:t>Ф</w:t>
      </w:r>
      <w:r>
        <w:rPr>
          <w:color w:val="000000" w:themeColor="text1"/>
          <w:sz w:val="24"/>
          <w:szCs w:val="24"/>
          <w:lang w:bidi="ru-RU"/>
        </w:rPr>
        <w:t>онд оплаты труда по заработной плате утверждён                                         в сумме 20 771,67 тыс. руб. исполнен 20 716,11 тыс. руб.</w:t>
      </w:r>
    </w:p>
    <w:p>
      <w:pPr>
        <w:pStyle w:val="21"/>
        <w:shd w:val="clear" w:color="auto" w:fill="auto"/>
        <w:ind w:firstLine="760"/>
        <w:rPr>
          <w:b/>
        </w:rPr>
      </w:pPr>
      <w:r>
        <w:rPr>
          <w:b/>
          <w:color w:val="000000"/>
          <w:sz w:val="24"/>
          <w:szCs w:val="24"/>
          <w:lang w:bidi="ru-RU"/>
        </w:rPr>
        <w:t>Раздел 3 «Анализ отчёта об исполнении бюджета субъектом бюджетной отчётности».</w:t>
      </w:r>
    </w:p>
    <w:p>
      <w:pPr>
        <w:pStyle w:val="21"/>
        <w:shd w:val="clear" w:color="auto" w:fill="auto"/>
        <w:ind w:firstLine="760"/>
      </w:pPr>
      <w:r>
        <w:rPr>
          <w:color w:val="000000" w:themeColor="text1"/>
          <w:sz w:val="24"/>
          <w:szCs w:val="24"/>
          <w:lang w:bidi="ru-RU"/>
        </w:rPr>
        <w:t xml:space="preserve">Принятие бюджетных обязательств сверх доведенного объёма лимитов бюджетных обязательств в 2022 году не </w:t>
      </w:r>
      <w:r>
        <w:rPr>
          <w:color w:val="000000"/>
          <w:sz w:val="24"/>
          <w:szCs w:val="24"/>
          <w:lang w:bidi="ru-RU"/>
        </w:rPr>
        <w:t>допускалось.</w:t>
      </w:r>
    </w:p>
    <w:p>
      <w:pPr>
        <w:pStyle w:val="21"/>
        <w:shd w:val="clear" w:color="auto" w:fill="auto"/>
        <w:ind w:firstLine="760"/>
        <w:rPr>
          <w:color w:val="000000" w:themeColor="text1"/>
          <w:sz w:val="24"/>
          <w:szCs w:val="24"/>
          <w:lang w:bidi="ru-RU"/>
        </w:rPr>
      </w:pPr>
      <w:r>
        <w:rPr>
          <w:color w:val="000000" w:themeColor="text1"/>
          <w:sz w:val="24"/>
          <w:szCs w:val="24"/>
          <w:lang w:bidi="ru-RU"/>
        </w:rPr>
        <w:lastRenderedPageBreak/>
        <w:t xml:space="preserve">На 01 января 2023 </w:t>
      </w:r>
      <w:r>
        <w:rPr>
          <w:color w:val="000000"/>
          <w:sz w:val="24"/>
          <w:szCs w:val="24"/>
          <w:lang w:bidi="ru-RU"/>
        </w:rPr>
        <w:t xml:space="preserve">года на балансе Управления числится дебиторская задолженность             в </w:t>
      </w:r>
      <w:r>
        <w:rPr>
          <w:color w:val="000000" w:themeColor="text1"/>
          <w:sz w:val="24"/>
          <w:szCs w:val="24"/>
          <w:lang w:bidi="ru-RU"/>
        </w:rPr>
        <w:t xml:space="preserve">сумме 90,78 тыс. руб., в </w:t>
      </w:r>
      <w:proofErr w:type="spellStart"/>
      <w:r>
        <w:rPr>
          <w:color w:val="000000" w:themeColor="text1"/>
          <w:sz w:val="24"/>
          <w:szCs w:val="24"/>
          <w:lang w:bidi="ru-RU"/>
        </w:rPr>
        <w:t>т.ч</w:t>
      </w:r>
      <w:proofErr w:type="spellEnd"/>
      <w:r>
        <w:rPr>
          <w:color w:val="000000" w:themeColor="text1"/>
          <w:sz w:val="24"/>
          <w:szCs w:val="24"/>
          <w:lang w:bidi="ru-RU"/>
        </w:rPr>
        <w:t xml:space="preserve">.: 2,88 тыс. руб. - авансовые платежи за услуги </w:t>
      </w:r>
      <w:proofErr w:type="gramStart"/>
      <w:r>
        <w:rPr>
          <w:color w:val="000000" w:themeColor="text1"/>
          <w:sz w:val="24"/>
          <w:szCs w:val="24"/>
          <w:lang w:bidi="ru-RU"/>
        </w:rPr>
        <w:t xml:space="preserve">связи,   </w:t>
      </w:r>
      <w:proofErr w:type="gramEnd"/>
      <w:r>
        <w:rPr>
          <w:color w:val="000000" w:themeColor="text1"/>
          <w:sz w:val="24"/>
          <w:szCs w:val="24"/>
          <w:lang w:bidi="ru-RU"/>
        </w:rPr>
        <w:t xml:space="preserve">                                 14,67 тыс. руб. - подотчёт (конверты, марки), 73,24 тыс. руб. - авансовые платежи за подписку. Кредиторская задолженность отсутствует.</w:t>
      </w:r>
    </w:p>
    <w:p>
      <w:pPr>
        <w:pStyle w:val="21"/>
        <w:shd w:val="clear" w:color="auto" w:fill="auto"/>
        <w:ind w:firstLine="760"/>
        <w:rPr>
          <w:color w:val="000000"/>
          <w:sz w:val="24"/>
          <w:szCs w:val="24"/>
          <w:lang w:bidi="ru-RU"/>
        </w:rPr>
      </w:pPr>
      <w:r>
        <w:rPr>
          <w:color w:val="000000"/>
          <w:sz w:val="24"/>
          <w:szCs w:val="24"/>
          <w:lang w:bidi="ru-RU"/>
        </w:rPr>
        <w:t xml:space="preserve">Управление не является участником федеральных целевых программ, национальных проектов (программ), </w:t>
      </w:r>
      <w:r>
        <w:rPr>
          <w:color w:val="000000"/>
          <w:sz w:val="24"/>
          <w:szCs w:val="24"/>
          <w:lang w:bidi="ru-RU"/>
        </w:rPr>
        <w:t>программ</w:t>
      </w:r>
      <w:r>
        <w:rPr>
          <w:color w:val="000000"/>
          <w:sz w:val="24"/>
          <w:szCs w:val="24"/>
          <w:lang w:bidi="ru-RU"/>
        </w:rPr>
        <w:t>ы комплексного развития систем коммунальной инфраструктуры ЗАТО Северск.</w:t>
      </w:r>
    </w:p>
    <w:p>
      <w:pPr>
        <w:pStyle w:val="21"/>
        <w:shd w:val="clear" w:color="auto" w:fill="auto"/>
        <w:ind w:firstLine="760"/>
        <w:rPr>
          <w:b/>
        </w:rPr>
      </w:pPr>
      <w:r>
        <w:rPr>
          <w:b/>
          <w:color w:val="000000"/>
          <w:sz w:val="24"/>
          <w:szCs w:val="24"/>
          <w:lang w:bidi="ru-RU"/>
        </w:rPr>
        <w:t>Раздел 4 «Анализ показателей финансовой отчётности субъекта финансовой отчётности».</w:t>
      </w:r>
    </w:p>
    <w:p>
      <w:pPr>
        <w:pStyle w:val="21"/>
        <w:shd w:val="clear" w:color="auto" w:fill="auto"/>
        <w:ind w:firstLine="760"/>
      </w:pPr>
      <w:r>
        <w:rPr>
          <w:color w:val="000000"/>
          <w:sz w:val="24"/>
          <w:szCs w:val="24"/>
          <w:lang w:bidi="ru-RU"/>
        </w:rPr>
        <w:t>События после отчётной даты до предоставления бюджетной отчётности за 2022 год              в Управлении не возникали.</w:t>
      </w:r>
    </w:p>
    <w:p>
      <w:pPr>
        <w:pStyle w:val="21"/>
        <w:shd w:val="clear" w:color="auto" w:fill="auto"/>
        <w:ind w:firstLine="760"/>
        <w:rPr>
          <w:b/>
          <w:color w:val="000000"/>
          <w:sz w:val="24"/>
          <w:szCs w:val="24"/>
          <w:lang w:bidi="ru-RU"/>
        </w:rPr>
      </w:pPr>
      <w:r>
        <w:rPr>
          <w:b/>
          <w:color w:val="000000"/>
          <w:sz w:val="24"/>
          <w:szCs w:val="24"/>
          <w:lang w:bidi="ru-RU"/>
        </w:rPr>
        <w:t>Раздел 5 «Прочие вопросы деятельности субъекта бюджетной отчётности».</w:t>
      </w:r>
    </w:p>
    <w:p>
      <w:pPr>
        <w:pStyle w:val="21"/>
        <w:shd w:val="clear" w:color="auto" w:fill="auto"/>
        <w:ind w:firstLine="760"/>
      </w:pPr>
      <w:r>
        <w:rPr>
          <w:color w:val="000000"/>
          <w:sz w:val="24"/>
          <w:szCs w:val="24"/>
          <w:lang w:bidi="ru-RU"/>
        </w:rPr>
        <w:t xml:space="preserve">Перед составлением бюджетной отчётности </w:t>
      </w:r>
      <w:r>
        <w:rPr>
          <w:color w:val="000000" w:themeColor="text1"/>
          <w:sz w:val="24"/>
          <w:szCs w:val="24"/>
          <w:lang w:bidi="ru-RU"/>
        </w:rPr>
        <w:t xml:space="preserve">за 2022 г. </w:t>
      </w:r>
      <w:r>
        <w:rPr>
          <w:color w:val="000000"/>
          <w:sz w:val="24"/>
          <w:szCs w:val="24"/>
          <w:lang w:bidi="ru-RU"/>
        </w:rPr>
        <w:t>проведена годовая инвентаризация активов и обязательств на основании приказа начальника Управления                       от 24.10.2022 № 99. Расхождений по результатам проведения инвентаризации нет.</w:t>
      </w:r>
      <w:r>
        <w:t xml:space="preserve"> </w:t>
      </w:r>
    </w:p>
    <w:p>
      <w:pPr>
        <w:pStyle w:val="21"/>
        <w:shd w:val="clear" w:color="auto" w:fill="auto"/>
        <w:ind w:firstLine="760"/>
        <w:rPr>
          <w:color w:val="000000"/>
          <w:sz w:val="24"/>
          <w:szCs w:val="24"/>
          <w:lang w:bidi="ru-RU"/>
        </w:rPr>
      </w:pPr>
      <w:r>
        <w:rPr>
          <w:color w:val="000000"/>
          <w:sz w:val="24"/>
          <w:szCs w:val="24"/>
          <w:lang w:bidi="ru-RU"/>
        </w:rPr>
        <w:t xml:space="preserve">Условные активы и условные обязательства, формирующие существенную информацию на отчётную дату, отсутствуют. </w:t>
      </w:r>
    </w:p>
    <w:p>
      <w:pPr>
        <w:pStyle w:val="21"/>
        <w:shd w:val="clear" w:color="auto" w:fill="auto"/>
        <w:ind w:firstLine="760"/>
        <w:rPr>
          <w:color w:val="000000"/>
          <w:sz w:val="24"/>
          <w:szCs w:val="24"/>
          <w:lang w:bidi="ru-RU"/>
        </w:rPr>
      </w:pPr>
      <w:r>
        <w:rPr>
          <w:color w:val="000000"/>
          <w:sz w:val="24"/>
          <w:szCs w:val="24"/>
          <w:lang w:bidi="ru-RU"/>
        </w:rPr>
        <w:t xml:space="preserve">Способы ведения бюджетного учета приведены в Таблице № 4 «Сведения об основных положениях учетной политики». </w:t>
      </w:r>
    </w:p>
    <w:p>
      <w:pPr>
        <w:pStyle w:val="21"/>
        <w:shd w:val="clear" w:color="auto" w:fill="auto"/>
        <w:ind w:firstLine="740"/>
      </w:pPr>
      <w:r>
        <w:rPr>
          <w:color w:val="000000"/>
          <w:sz w:val="24"/>
          <w:szCs w:val="24"/>
          <w:lang w:bidi="ru-RU"/>
        </w:rPr>
        <w:t xml:space="preserve">Судебные решения (исполнительные документы) по исполнению денежных обязательств составили 1 495,35 тыс. руб., в </w:t>
      </w:r>
      <w:proofErr w:type="spellStart"/>
      <w:r>
        <w:rPr>
          <w:color w:val="000000"/>
          <w:sz w:val="24"/>
          <w:szCs w:val="24"/>
          <w:lang w:bidi="ru-RU"/>
        </w:rPr>
        <w:t>т.ч</w:t>
      </w:r>
      <w:proofErr w:type="spellEnd"/>
      <w:r>
        <w:rPr>
          <w:color w:val="000000"/>
          <w:sz w:val="24"/>
          <w:szCs w:val="24"/>
          <w:lang w:bidi="ru-RU"/>
        </w:rPr>
        <w:t>. по исполнительным листам от 28.01.2022 серия ФС №042193940 – 538,05 тыс. руб., от 07.02.2022 серия ФС №038036981 – 897,99 тыс. руб., от 21.06.2022 серия ФС №040108945 – 59,30 тыс. руб. Судебные решения (исполнительные документы) по исполнению денежных обязательств исполнены полностью.</w:t>
      </w:r>
    </w:p>
    <w:p>
      <w:pPr>
        <w:pStyle w:val="21"/>
        <w:shd w:val="clear" w:color="auto" w:fill="auto"/>
        <w:ind w:firstLine="740"/>
      </w:pPr>
      <w:r>
        <w:rPr>
          <w:color w:val="000000"/>
          <w:sz w:val="24"/>
          <w:szCs w:val="24"/>
          <w:lang w:bidi="ru-RU"/>
        </w:rPr>
        <w:t>В отчётном периоде недостач и хищений имущества в Управлении не выявлено. Задолженность по расчётам по ущербу отсутствует.</w:t>
      </w:r>
    </w:p>
    <w:p>
      <w:pPr>
        <w:pStyle w:val="21"/>
        <w:shd w:val="clear" w:color="auto" w:fill="auto"/>
        <w:ind w:firstLine="740"/>
        <w:rPr>
          <w:color w:val="000000"/>
          <w:sz w:val="24"/>
          <w:szCs w:val="24"/>
          <w:lang w:bidi="ru-RU"/>
        </w:rPr>
      </w:pPr>
      <w:r>
        <w:rPr>
          <w:color w:val="000000"/>
          <w:sz w:val="24"/>
          <w:szCs w:val="24"/>
          <w:lang w:bidi="ru-RU"/>
        </w:rPr>
        <w:t xml:space="preserve">В связи с отсутствием числовых показателей, </w:t>
      </w:r>
      <w:r>
        <w:rPr>
          <w:sz w:val="24"/>
          <w:szCs w:val="24"/>
        </w:rPr>
        <w:t>выявленных расхождений</w:t>
      </w:r>
      <w:r>
        <w:rPr>
          <w:color w:val="000000"/>
          <w:sz w:val="24"/>
          <w:szCs w:val="24"/>
          <w:lang w:bidi="ru-RU"/>
        </w:rPr>
        <w:t xml:space="preserve"> в составе бюджетной отчётности </w:t>
      </w:r>
      <w:r>
        <w:rPr>
          <w:color w:val="000000" w:themeColor="text1"/>
          <w:sz w:val="24"/>
          <w:szCs w:val="24"/>
          <w:lang w:bidi="ru-RU"/>
        </w:rPr>
        <w:t>за 2022 год не представлены</w:t>
      </w:r>
      <w:r>
        <w:rPr>
          <w:color w:val="000000"/>
          <w:sz w:val="24"/>
          <w:szCs w:val="24"/>
          <w:lang w:bidi="ru-RU"/>
        </w:rPr>
        <w:t>:</w:t>
      </w:r>
    </w:p>
    <w:p>
      <w:pPr>
        <w:pStyle w:val="21"/>
        <w:shd w:val="clear" w:color="auto" w:fill="auto"/>
        <w:ind w:firstLine="740"/>
        <w:rPr>
          <w:color w:val="000000"/>
          <w:sz w:val="24"/>
          <w:szCs w:val="24"/>
          <w:lang w:bidi="ru-RU"/>
        </w:rPr>
      </w:pPr>
      <w:r>
        <w:rPr>
          <w:color w:val="000000"/>
          <w:sz w:val="24"/>
          <w:szCs w:val="24"/>
          <w:lang w:bidi="ru-RU"/>
        </w:rPr>
        <w:t>- Отчёт об исполнении бюджета по национальным проектам (ф.0503117-НП);</w:t>
      </w:r>
    </w:p>
    <w:p>
      <w:pPr>
        <w:pStyle w:val="21"/>
        <w:shd w:val="clear" w:color="auto" w:fill="auto"/>
        <w:ind w:firstLine="740"/>
        <w:rPr>
          <w:color w:val="000000"/>
          <w:sz w:val="24"/>
          <w:szCs w:val="24"/>
          <w:lang w:bidi="ru-RU"/>
        </w:rPr>
      </w:pPr>
      <w:r>
        <w:rPr>
          <w:color w:val="000000"/>
          <w:sz w:val="24"/>
          <w:szCs w:val="24"/>
          <w:lang w:bidi="ru-RU"/>
        </w:rPr>
        <w:t>- Отчёт о бюджетных обязательствах по национальным проектам (ф.0503128-НП);</w:t>
      </w:r>
    </w:p>
    <w:p>
      <w:pPr>
        <w:autoSpaceDE w:val="0"/>
        <w:autoSpaceDN w:val="0"/>
        <w:adjustRightInd w:val="0"/>
        <w:ind w:firstLine="720"/>
        <w:jc w:val="both"/>
        <w:rPr>
          <w:color w:val="000000"/>
          <w:sz w:val="24"/>
          <w:szCs w:val="24"/>
          <w:lang w:bidi="ru-RU"/>
        </w:rPr>
      </w:pPr>
      <w:r>
        <w:rPr>
          <w:color w:val="000000"/>
          <w:sz w:val="24"/>
          <w:szCs w:val="24"/>
          <w:lang w:bidi="ru-RU"/>
        </w:rPr>
        <w:t>- Сведения о проведении инвентаризаций (таблица № 6), приложение к Пояснительной записке;</w:t>
      </w:r>
    </w:p>
    <w:p>
      <w:pPr>
        <w:pStyle w:val="21"/>
        <w:shd w:val="clear" w:color="auto" w:fill="auto"/>
        <w:ind w:firstLine="740"/>
        <w:rPr>
          <w:color w:val="000000"/>
          <w:sz w:val="24"/>
          <w:szCs w:val="24"/>
          <w:lang w:bidi="ru-RU"/>
        </w:rPr>
      </w:pPr>
      <w:r>
        <w:rPr>
          <w:color w:val="000000"/>
          <w:sz w:val="24"/>
          <w:szCs w:val="24"/>
          <w:lang w:bidi="ru-RU"/>
        </w:rPr>
        <w:t xml:space="preserve">- Сведения об исполнении мероприятий в рамках федеральных целевых программ      </w:t>
      </w:r>
      <w:proofErr w:type="gramStart"/>
      <w:r>
        <w:rPr>
          <w:color w:val="000000"/>
          <w:sz w:val="24"/>
          <w:szCs w:val="24"/>
          <w:lang w:bidi="ru-RU"/>
        </w:rPr>
        <w:t xml:space="preserve">   (</w:t>
      </w:r>
      <w:proofErr w:type="gramEnd"/>
      <w:r>
        <w:rPr>
          <w:color w:val="000000"/>
          <w:sz w:val="24"/>
          <w:szCs w:val="24"/>
          <w:lang w:bidi="ru-RU"/>
        </w:rPr>
        <w:t>ф. 0503166);</w:t>
      </w:r>
    </w:p>
    <w:p>
      <w:pPr>
        <w:pStyle w:val="21"/>
        <w:shd w:val="clear" w:color="auto" w:fill="auto"/>
        <w:ind w:firstLine="740"/>
        <w:rPr>
          <w:color w:val="000000"/>
          <w:sz w:val="24"/>
          <w:szCs w:val="24"/>
          <w:lang w:bidi="ru-RU"/>
        </w:rPr>
      </w:pPr>
      <w:r>
        <w:rPr>
          <w:color w:val="000000"/>
          <w:sz w:val="24"/>
          <w:szCs w:val="24"/>
          <w:lang w:bidi="ru-RU"/>
        </w:rPr>
        <w:t>- Сведения о финансовых вложениях получателя средств бюджета (ф. 0503171);</w:t>
      </w:r>
    </w:p>
    <w:p>
      <w:pPr>
        <w:pStyle w:val="21"/>
        <w:shd w:val="clear" w:color="auto" w:fill="auto"/>
        <w:ind w:firstLine="740"/>
        <w:rPr>
          <w:color w:val="000000"/>
          <w:sz w:val="24"/>
          <w:szCs w:val="24"/>
          <w:lang w:bidi="ru-RU"/>
        </w:rPr>
      </w:pPr>
      <w:r>
        <w:rPr>
          <w:color w:val="000000"/>
          <w:sz w:val="24"/>
          <w:szCs w:val="24"/>
          <w:lang w:bidi="ru-RU"/>
        </w:rPr>
        <w:t>- Сведения об изменении остатков валюты баланса (ф. 0503173);</w:t>
      </w:r>
    </w:p>
    <w:p>
      <w:pPr>
        <w:pStyle w:val="21"/>
        <w:shd w:val="clear" w:color="auto" w:fill="auto"/>
        <w:ind w:firstLine="740"/>
        <w:rPr>
          <w:color w:val="000000"/>
          <w:sz w:val="24"/>
          <w:szCs w:val="24"/>
          <w:lang w:bidi="ru-RU"/>
        </w:rPr>
      </w:pPr>
      <w:r>
        <w:rPr>
          <w:color w:val="000000"/>
          <w:sz w:val="24"/>
          <w:szCs w:val="24"/>
          <w:lang w:bidi="ru-RU"/>
        </w:rPr>
        <w:t>- Сведения о доходах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 (ф.0503174);</w:t>
      </w:r>
    </w:p>
    <w:p>
      <w:pPr>
        <w:pStyle w:val="21"/>
        <w:shd w:val="clear" w:color="auto" w:fill="auto"/>
        <w:ind w:firstLine="740"/>
        <w:rPr>
          <w:color w:val="000000"/>
          <w:sz w:val="24"/>
          <w:szCs w:val="24"/>
          <w:lang w:bidi="ru-RU"/>
        </w:rPr>
      </w:pPr>
      <w:r>
        <w:rPr>
          <w:color w:val="000000"/>
          <w:sz w:val="24"/>
          <w:szCs w:val="24"/>
          <w:lang w:bidi="ru-RU"/>
        </w:rPr>
        <w:t>- Справка о суммах консолидируемых поступлений, подлежащих зачислению на счёт бюджета (ф. 0503184);</w:t>
      </w:r>
    </w:p>
    <w:p>
      <w:pPr>
        <w:pStyle w:val="21"/>
        <w:shd w:val="clear" w:color="auto" w:fill="auto"/>
        <w:ind w:firstLine="740"/>
        <w:rPr>
          <w:color w:val="000000"/>
          <w:sz w:val="24"/>
          <w:szCs w:val="24"/>
          <w:lang w:bidi="ru-RU"/>
        </w:rPr>
      </w:pPr>
      <w:r>
        <w:rPr>
          <w:color w:val="000000"/>
          <w:sz w:val="24"/>
          <w:szCs w:val="24"/>
          <w:lang w:bidi="ru-RU"/>
        </w:rPr>
        <w:t>- Сведения об объектах незавершенного строительства, вложениях в объекты недвижимого имущества (ф. 0503190);</w:t>
      </w:r>
    </w:p>
    <w:p>
      <w:pPr>
        <w:pStyle w:val="21"/>
        <w:shd w:val="clear" w:color="auto" w:fill="auto"/>
        <w:ind w:firstLine="740"/>
        <w:rPr>
          <w:color w:val="000000"/>
          <w:sz w:val="24"/>
          <w:szCs w:val="24"/>
          <w:lang w:bidi="ru-RU"/>
        </w:rPr>
      </w:pPr>
      <w:r>
        <w:rPr>
          <w:color w:val="000000"/>
          <w:sz w:val="24"/>
          <w:szCs w:val="24"/>
          <w:lang w:bidi="ru-RU"/>
        </w:rPr>
        <w:t>- Разделительный (ликвидационный баланс) (ф.0503230);</w:t>
      </w:r>
    </w:p>
    <w:p>
      <w:pPr>
        <w:pStyle w:val="21"/>
        <w:shd w:val="clear" w:color="auto" w:fill="auto"/>
        <w:ind w:firstLine="740"/>
        <w:rPr>
          <w:color w:val="000000"/>
          <w:sz w:val="24"/>
          <w:szCs w:val="24"/>
          <w:lang w:bidi="ru-RU"/>
        </w:rPr>
      </w:pPr>
      <w:r>
        <w:rPr>
          <w:color w:val="000000"/>
          <w:sz w:val="24"/>
          <w:szCs w:val="24"/>
          <w:lang w:bidi="ru-RU"/>
        </w:rPr>
        <w:t>-Таблица 6 к Пояснительной записке.</w:t>
      </w:r>
    </w:p>
    <w:p>
      <w:pPr>
        <w:pStyle w:val="21"/>
        <w:shd w:val="clear" w:color="auto" w:fill="auto"/>
        <w:spacing w:line="240" w:lineRule="auto"/>
        <w:ind w:firstLine="720"/>
        <w:rPr>
          <w:color w:val="000000"/>
          <w:sz w:val="24"/>
          <w:szCs w:val="24"/>
          <w:lang w:bidi="ru-RU"/>
        </w:rPr>
      </w:pPr>
      <w:r>
        <w:rPr>
          <w:color w:val="000000"/>
          <w:sz w:val="24"/>
          <w:szCs w:val="24"/>
          <w:lang w:bidi="ru-RU"/>
        </w:rPr>
        <w:t>Другие факторы, существенно повлиявшие на текущую деятельность Управления                             в отчётном периоде отсутствуют.</w:t>
      </w:r>
    </w:p>
    <w:p>
      <w:pPr>
        <w:jc w:val="both"/>
        <w:rPr>
          <w:rFonts w:ascii="Times New Roman" w:hAnsi="Times New Roman"/>
          <w:sz w:val="24"/>
          <w:szCs w:val="24"/>
        </w:rPr>
      </w:pPr>
    </w:p>
    <w:p>
      <w:pPr>
        <w:spacing w:line="360" w:lineRule="auto"/>
        <w:jc w:val="both"/>
        <w:rPr>
          <w:rFonts w:ascii="Times New Roman" w:hAnsi="Times New Roman"/>
          <w:sz w:val="24"/>
          <w:szCs w:val="24"/>
        </w:rPr>
      </w:pPr>
      <w:r>
        <w:rPr>
          <w:rFonts w:ascii="Times New Roman" w:hAnsi="Times New Roman"/>
          <w:sz w:val="24"/>
          <w:szCs w:val="24"/>
        </w:rPr>
        <w:t xml:space="preserve">Начальник управления                                                                                           </w:t>
      </w:r>
      <w:proofErr w:type="spellStart"/>
      <w:r>
        <w:rPr>
          <w:rFonts w:ascii="Times New Roman" w:hAnsi="Times New Roman"/>
          <w:sz w:val="24"/>
          <w:szCs w:val="24"/>
        </w:rPr>
        <w:t>Л.И.Овчаренко</w:t>
      </w:r>
      <w:proofErr w:type="spellEnd"/>
    </w:p>
    <w:p>
      <w:pPr>
        <w:jc w:val="both"/>
        <w:rPr>
          <w:rFonts w:ascii="Times New Roman" w:hAnsi="Times New Roman"/>
          <w:sz w:val="24"/>
          <w:szCs w:val="24"/>
        </w:rPr>
      </w:pPr>
      <w:r>
        <w:rPr>
          <w:rFonts w:ascii="Times New Roman" w:hAnsi="Times New Roman"/>
          <w:sz w:val="24"/>
          <w:szCs w:val="24"/>
        </w:rPr>
        <w:t xml:space="preserve">Начальник отдела </w:t>
      </w:r>
    </w:p>
    <w:p>
      <w:pPr>
        <w:jc w:val="both"/>
        <w:rPr>
          <w:rFonts w:ascii="Times New Roman" w:hAnsi="Times New Roman"/>
          <w:sz w:val="24"/>
          <w:szCs w:val="24"/>
        </w:rPr>
      </w:pPr>
      <w:proofErr w:type="gramStart"/>
      <w:r>
        <w:rPr>
          <w:rFonts w:ascii="Times New Roman" w:hAnsi="Times New Roman"/>
          <w:sz w:val="24"/>
          <w:szCs w:val="24"/>
        </w:rPr>
        <w:t>по</w:t>
      </w:r>
      <w:proofErr w:type="gramEnd"/>
      <w:r>
        <w:rPr>
          <w:rFonts w:ascii="Times New Roman" w:hAnsi="Times New Roman"/>
          <w:sz w:val="24"/>
          <w:szCs w:val="24"/>
        </w:rPr>
        <w:t xml:space="preserve"> бюджетному учёту </w:t>
      </w:r>
    </w:p>
    <w:p>
      <w:pPr>
        <w:jc w:val="both"/>
        <w:rPr>
          <w:sz w:val="24"/>
          <w:szCs w:val="24"/>
        </w:rPr>
      </w:pPr>
      <w:proofErr w:type="gramStart"/>
      <w:r>
        <w:rPr>
          <w:rFonts w:ascii="Times New Roman" w:hAnsi="Times New Roman"/>
          <w:sz w:val="24"/>
          <w:szCs w:val="24"/>
        </w:rPr>
        <w:t>и</w:t>
      </w:r>
      <w:proofErr w:type="gramEnd"/>
      <w:r>
        <w:rPr>
          <w:rFonts w:ascii="Times New Roman" w:hAnsi="Times New Roman"/>
          <w:sz w:val="24"/>
          <w:szCs w:val="24"/>
        </w:rPr>
        <w:t xml:space="preserve"> отчётности                                                                                                              </w:t>
      </w:r>
      <w:proofErr w:type="spellStart"/>
      <w:r>
        <w:rPr>
          <w:sz w:val="24"/>
          <w:szCs w:val="24"/>
        </w:rPr>
        <w:t>И.О.Купцова</w:t>
      </w:r>
      <w:proofErr w:type="spellEnd"/>
    </w:p>
    <w:p>
      <w:pPr>
        <w:jc w:val="both"/>
        <w:rPr>
          <w:sz w:val="24"/>
          <w:szCs w:val="24"/>
        </w:rPr>
      </w:pPr>
    </w:p>
    <w:p>
      <w:pPr>
        <w:jc w:val="both"/>
        <w:rPr>
          <w:sz w:val="24"/>
          <w:szCs w:val="24"/>
        </w:rPr>
      </w:pPr>
      <w:bookmarkStart w:id="0" w:name="_GoBack"/>
      <w:bookmarkEnd w:id="0"/>
      <w:r>
        <w:rPr>
          <w:sz w:val="24"/>
          <w:szCs w:val="24"/>
        </w:rPr>
        <w:t>«27» января 2023 года</w:t>
      </w:r>
    </w:p>
    <w:sectPr>
      <w:headerReference w:type="default" r:id="rId8"/>
      <w:pgSz w:w="11907" w:h="16840" w:code="9"/>
      <w:pgMar w:top="851" w:right="567" w:bottom="284"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5"/>
      <w:jc w:val="center"/>
    </w:pPr>
    <w:r>
      <w:fldChar w:fldCharType="begin"/>
    </w:r>
    <w:r>
      <w:instrText>PAGE   \* MERGEFORMAT</w:instrText>
    </w:r>
    <w:r>
      <w:fldChar w:fldCharType="separate"/>
    </w:r>
    <w:r>
      <w:rPr>
        <w:noProof/>
      </w:rPr>
      <w:t>2</w:t>
    </w:r>
    <w:r>
      <w:rPr>
        <w:noProof/>
      </w:rPr>
      <w:fldChar w:fldCharType="end"/>
    </w:r>
  </w:p>
  <w:p>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517C2"/>
    <w:multiLevelType w:val="hybridMultilevel"/>
    <w:tmpl w:val="10C6C86C"/>
    <w:lvl w:ilvl="0" w:tplc="929C156C">
      <w:start w:val="1"/>
      <w:numFmt w:val="decimal"/>
      <w:lvlText w:val="%1)"/>
      <w:lvlJc w:val="left"/>
      <w:pPr>
        <w:ind w:left="1873" w:hanging="116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42058E"/>
    <w:multiLevelType w:val="hybridMultilevel"/>
    <w:tmpl w:val="86804F64"/>
    <w:lvl w:ilvl="0" w:tplc="AA82C88C">
      <w:start w:val="1"/>
      <w:numFmt w:val="decimal"/>
      <w:lvlText w:val="%1."/>
      <w:lvlJc w:val="left"/>
      <w:pPr>
        <w:tabs>
          <w:tab w:val="num" w:pos="964"/>
        </w:tabs>
        <w:ind w:left="0" w:firstLine="85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D825D57"/>
    <w:multiLevelType w:val="hybridMultilevel"/>
    <w:tmpl w:val="54A6EAF6"/>
    <w:lvl w:ilvl="0" w:tplc="0419000F">
      <w:start w:val="1"/>
      <w:numFmt w:val="decimal"/>
      <w:lvlText w:val="%1."/>
      <w:lvlJc w:val="left"/>
      <w:pPr>
        <w:tabs>
          <w:tab w:val="num" w:pos="765"/>
        </w:tabs>
        <w:ind w:left="765" w:hanging="360"/>
      </w:pPr>
    </w:lvl>
    <w:lvl w:ilvl="1" w:tplc="04190019" w:tentative="1">
      <w:start w:val="1"/>
      <w:numFmt w:val="lowerLetter"/>
      <w:lvlText w:val="%2."/>
      <w:lvlJc w:val="left"/>
      <w:pPr>
        <w:tabs>
          <w:tab w:val="num" w:pos="1485"/>
        </w:tabs>
        <w:ind w:left="1485" w:hanging="360"/>
      </w:pPr>
    </w:lvl>
    <w:lvl w:ilvl="2" w:tplc="0419001B" w:tentative="1">
      <w:start w:val="1"/>
      <w:numFmt w:val="lowerRoman"/>
      <w:lvlText w:val="%3."/>
      <w:lvlJc w:val="right"/>
      <w:pPr>
        <w:tabs>
          <w:tab w:val="num" w:pos="2205"/>
        </w:tabs>
        <w:ind w:left="2205" w:hanging="180"/>
      </w:pPr>
    </w:lvl>
    <w:lvl w:ilvl="3" w:tplc="0419000F" w:tentative="1">
      <w:start w:val="1"/>
      <w:numFmt w:val="decimal"/>
      <w:lvlText w:val="%4."/>
      <w:lvlJc w:val="left"/>
      <w:pPr>
        <w:tabs>
          <w:tab w:val="num" w:pos="2925"/>
        </w:tabs>
        <w:ind w:left="2925" w:hanging="360"/>
      </w:pPr>
    </w:lvl>
    <w:lvl w:ilvl="4" w:tplc="04190019" w:tentative="1">
      <w:start w:val="1"/>
      <w:numFmt w:val="lowerLetter"/>
      <w:lvlText w:val="%5."/>
      <w:lvlJc w:val="left"/>
      <w:pPr>
        <w:tabs>
          <w:tab w:val="num" w:pos="3645"/>
        </w:tabs>
        <w:ind w:left="3645" w:hanging="360"/>
      </w:pPr>
    </w:lvl>
    <w:lvl w:ilvl="5" w:tplc="0419001B" w:tentative="1">
      <w:start w:val="1"/>
      <w:numFmt w:val="lowerRoman"/>
      <w:lvlText w:val="%6."/>
      <w:lvlJc w:val="right"/>
      <w:pPr>
        <w:tabs>
          <w:tab w:val="num" w:pos="4365"/>
        </w:tabs>
        <w:ind w:left="4365" w:hanging="180"/>
      </w:pPr>
    </w:lvl>
    <w:lvl w:ilvl="6" w:tplc="0419000F" w:tentative="1">
      <w:start w:val="1"/>
      <w:numFmt w:val="decimal"/>
      <w:lvlText w:val="%7."/>
      <w:lvlJc w:val="left"/>
      <w:pPr>
        <w:tabs>
          <w:tab w:val="num" w:pos="5085"/>
        </w:tabs>
        <w:ind w:left="5085" w:hanging="360"/>
      </w:pPr>
    </w:lvl>
    <w:lvl w:ilvl="7" w:tplc="04190019" w:tentative="1">
      <w:start w:val="1"/>
      <w:numFmt w:val="lowerLetter"/>
      <w:lvlText w:val="%8."/>
      <w:lvlJc w:val="left"/>
      <w:pPr>
        <w:tabs>
          <w:tab w:val="num" w:pos="5805"/>
        </w:tabs>
        <w:ind w:left="5805" w:hanging="360"/>
      </w:pPr>
    </w:lvl>
    <w:lvl w:ilvl="8" w:tplc="0419001B" w:tentative="1">
      <w:start w:val="1"/>
      <w:numFmt w:val="lowerRoman"/>
      <w:lvlText w:val="%9."/>
      <w:lvlJc w:val="right"/>
      <w:pPr>
        <w:tabs>
          <w:tab w:val="num" w:pos="6525"/>
        </w:tabs>
        <w:ind w:left="6525" w:hanging="180"/>
      </w:pPr>
    </w:lvl>
  </w:abstractNum>
  <w:abstractNum w:abstractNumId="3">
    <w:nsid w:val="1ED208A1"/>
    <w:multiLevelType w:val="hybridMultilevel"/>
    <w:tmpl w:val="5C7ECD8C"/>
    <w:lvl w:ilvl="0" w:tplc="0419000F">
      <w:start w:val="1"/>
      <w:numFmt w:val="decimal"/>
      <w:lvlText w:val="%1."/>
      <w:lvlJc w:val="left"/>
      <w:pPr>
        <w:tabs>
          <w:tab w:val="num" w:pos="1485"/>
        </w:tabs>
        <w:ind w:left="1485" w:hanging="360"/>
      </w:pPr>
    </w:lvl>
    <w:lvl w:ilvl="1" w:tplc="04190019" w:tentative="1">
      <w:start w:val="1"/>
      <w:numFmt w:val="lowerLetter"/>
      <w:lvlText w:val="%2."/>
      <w:lvlJc w:val="left"/>
      <w:pPr>
        <w:tabs>
          <w:tab w:val="num" w:pos="2205"/>
        </w:tabs>
        <w:ind w:left="2205" w:hanging="360"/>
      </w:pPr>
    </w:lvl>
    <w:lvl w:ilvl="2" w:tplc="0419001B" w:tentative="1">
      <w:start w:val="1"/>
      <w:numFmt w:val="lowerRoman"/>
      <w:lvlText w:val="%3."/>
      <w:lvlJc w:val="right"/>
      <w:pPr>
        <w:tabs>
          <w:tab w:val="num" w:pos="2925"/>
        </w:tabs>
        <w:ind w:left="2925" w:hanging="180"/>
      </w:pPr>
    </w:lvl>
    <w:lvl w:ilvl="3" w:tplc="0419000F" w:tentative="1">
      <w:start w:val="1"/>
      <w:numFmt w:val="decimal"/>
      <w:lvlText w:val="%4."/>
      <w:lvlJc w:val="left"/>
      <w:pPr>
        <w:tabs>
          <w:tab w:val="num" w:pos="3645"/>
        </w:tabs>
        <w:ind w:left="3645" w:hanging="360"/>
      </w:pPr>
    </w:lvl>
    <w:lvl w:ilvl="4" w:tplc="04190019" w:tentative="1">
      <w:start w:val="1"/>
      <w:numFmt w:val="lowerLetter"/>
      <w:lvlText w:val="%5."/>
      <w:lvlJc w:val="left"/>
      <w:pPr>
        <w:tabs>
          <w:tab w:val="num" w:pos="4365"/>
        </w:tabs>
        <w:ind w:left="4365" w:hanging="360"/>
      </w:pPr>
    </w:lvl>
    <w:lvl w:ilvl="5" w:tplc="0419001B" w:tentative="1">
      <w:start w:val="1"/>
      <w:numFmt w:val="lowerRoman"/>
      <w:lvlText w:val="%6."/>
      <w:lvlJc w:val="right"/>
      <w:pPr>
        <w:tabs>
          <w:tab w:val="num" w:pos="5085"/>
        </w:tabs>
        <w:ind w:left="5085" w:hanging="180"/>
      </w:pPr>
    </w:lvl>
    <w:lvl w:ilvl="6" w:tplc="0419000F" w:tentative="1">
      <w:start w:val="1"/>
      <w:numFmt w:val="decimal"/>
      <w:lvlText w:val="%7."/>
      <w:lvlJc w:val="left"/>
      <w:pPr>
        <w:tabs>
          <w:tab w:val="num" w:pos="5805"/>
        </w:tabs>
        <w:ind w:left="5805" w:hanging="360"/>
      </w:pPr>
    </w:lvl>
    <w:lvl w:ilvl="7" w:tplc="04190019" w:tentative="1">
      <w:start w:val="1"/>
      <w:numFmt w:val="lowerLetter"/>
      <w:lvlText w:val="%8."/>
      <w:lvlJc w:val="left"/>
      <w:pPr>
        <w:tabs>
          <w:tab w:val="num" w:pos="6525"/>
        </w:tabs>
        <w:ind w:left="6525" w:hanging="360"/>
      </w:pPr>
    </w:lvl>
    <w:lvl w:ilvl="8" w:tplc="0419001B" w:tentative="1">
      <w:start w:val="1"/>
      <w:numFmt w:val="lowerRoman"/>
      <w:lvlText w:val="%9."/>
      <w:lvlJc w:val="right"/>
      <w:pPr>
        <w:tabs>
          <w:tab w:val="num" w:pos="7245"/>
        </w:tabs>
        <w:ind w:left="7245" w:hanging="180"/>
      </w:pPr>
    </w:lvl>
  </w:abstractNum>
  <w:abstractNum w:abstractNumId="4">
    <w:nsid w:val="487607F8"/>
    <w:multiLevelType w:val="hybridMultilevel"/>
    <w:tmpl w:val="D1625080"/>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5">
    <w:nsid w:val="4D910336"/>
    <w:multiLevelType w:val="hybridMultilevel"/>
    <w:tmpl w:val="AC20F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0FC7DD6"/>
    <w:multiLevelType w:val="hybridMultilevel"/>
    <w:tmpl w:val="B9FEC9B4"/>
    <w:lvl w:ilvl="0" w:tplc="0419000F">
      <w:start w:val="1"/>
      <w:numFmt w:val="decimal"/>
      <w:lvlText w:val="%1."/>
      <w:lvlJc w:val="left"/>
      <w:pPr>
        <w:tabs>
          <w:tab w:val="num" w:pos="1485"/>
        </w:tabs>
        <w:ind w:left="1485" w:hanging="360"/>
      </w:pPr>
    </w:lvl>
    <w:lvl w:ilvl="1" w:tplc="04190019" w:tentative="1">
      <w:start w:val="1"/>
      <w:numFmt w:val="lowerLetter"/>
      <w:lvlText w:val="%2."/>
      <w:lvlJc w:val="left"/>
      <w:pPr>
        <w:tabs>
          <w:tab w:val="num" w:pos="2205"/>
        </w:tabs>
        <w:ind w:left="2205" w:hanging="360"/>
      </w:pPr>
    </w:lvl>
    <w:lvl w:ilvl="2" w:tplc="0419001B" w:tentative="1">
      <w:start w:val="1"/>
      <w:numFmt w:val="lowerRoman"/>
      <w:lvlText w:val="%3."/>
      <w:lvlJc w:val="right"/>
      <w:pPr>
        <w:tabs>
          <w:tab w:val="num" w:pos="2925"/>
        </w:tabs>
        <w:ind w:left="2925" w:hanging="180"/>
      </w:pPr>
    </w:lvl>
    <w:lvl w:ilvl="3" w:tplc="0419000F" w:tentative="1">
      <w:start w:val="1"/>
      <w:numFmt w:val="decimal"/>
      <w:lvlText w:val="%4."/>
      <w:lvlJc w:val="left"/>
      <w:pPr>
        <w:tabs>
          <w:tab w:val="num" w:pos="3645"/>
        </w:tabs>
        <w:ind w:left="3645" w:hanging="360"/>
      </w:pPr>
    </w:lvl>
    <w:lvl w:ilvl="4" w:tplc="04190019" w:tentative="1">
      <w:start w:val="1"/>
      <w:numFmt w:val="lowerLetter"/>
      <w:lvlText w:val="%5."/>
      <w:lvlJc w:val="left"/>
      <w:pPr>
        <w:tabs>
          <w:tab w:val="num" w:pos="4365"/>
        </w:tabs>
        <w:ind w:left="4365" w:hanging="360"/>
      </w:pPr>
    </w:lvl>
    <w:lvl w:ilvl="5" w:tplc="0419001B" w:tentative="1">
      <w:start w:val="1"/>
      <w:numFmt w:val="lowerRoman"/>
      <w:lvlText w:val="%6."/>
      <w:lvlJc w:val="right"/>
      <w:pPr>
        <w:tabs>
          <w:tab w:val="num" w:pos="5085"/>
        </w:tabs>
        <w:ind w:left="5085" w:hanging="180"/>
      </w:pPr>
    </w:lvl>
    <w:lvl w:ilvl="6" w:tplc="0419000F" w:tentative="1">
      <w:start w:val="1"/>
      <w:numFmt w:val="decimal"/>
      <w:lvlText w:val="%7."/>
      <w:lvlJc w:val="left"/>
      <w:pPr>
        <w:tabs>
          <w:tab w:val="num" w:pos="5805"/>
        </w:tabs>
        <w:ind w:left="5805" w:hanging="360"/>
      </w:pPr>
    </w:lvl>
    <w:lvl w:ilvl="7" w:tplc="04190019" w:tentative="1">
      <w:start w:val="1"/>
      <w:numFmt w:val="lowerLetter"/>
      <w:lvlText w:val="%8."/>
      <w:lvlJc w:val="left"/>
      <w:pPr>
        <w:tabs>
          <w:tab w:val="num" w:pos="6525"/>
        </w:tabs>
        <w:ind w:left="6525" w:hanging="360"/>
      </w:pPr>
    </w:lvl>
    <w:lvl w:ilvl="8" w:tplc="0419001B" w:tentative="1">
      <w:start w:val="1"/>
      <w:numFmt w:val="lowerRoman"/>
      <w:lvlText w:val="%9."/>
      <w:lvlJc w:val="right"/>
      <w:pPr>
        <w:tabs>
          <w:tab w:val="num" w:pos="7245"/>
        </w:tabs>
        <w:ind w:left="7245" w:hanging="180"/>
      </w:pPr>
    </w:lvl>
  </w:abstractNum>
  <w:abstractNum w:abstractNumId="7">
    <w:nsid w:val="62384485"/>
    <w:multiLevelType w:val="multilevel"/>
    <w:tmpl w:val="AD8452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3"/>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BD86EC7-66FF-4AB5-B162-37EAD3D8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outlineLvl w:val="0"/>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customStyle="1" w:styleId="10">
    <w:name w:val="Обычный1"/>
    <w:pPr>
      <w:widowControl w:val="0"/>
      <w:snapToGrid w:val="0"/>
      <w:spacing w:line="300" w:lineRule="auto"/>
      <w:ind w:left="1080" w:hanging="360"/>
    </w:pPr>
    <w:rPr>
      <w:rFonts w:ascii="Times New Roman" w:hAnsi="Times New Roman"/>
      <w:sz w:val="24"/>
    </w:rPr>
  </w:style>
  <w:style w:type="paragraph" w:styleId="a4">
    <w:name w:val="Balloon Text"/>
    <w:basedOn w:val="a"/>
    <w:semiHidden/>
    <w:rPr>
      <w:rFonts w:ascii="Tahoma" w:hAnsi="Tahoma" w:cs="Tahoma"/>
      <w:sz w:val="16"/>
      <w:szCs w:val="16"/>
    </w:r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style>
  <w:style w:type="paragraph" w:customStyle="1" w:styleId="Default">
    <w:name w:val="Default"/>
    <w:pPr>
      <w:autoSpaceDE w:val="0"/>
      <w:autoSpaceDN w:val="0"/>
      <w:adjustRightInd w:val="0"/>
    </w:pPr>
    <w:rPr>
      <w:rFonts w:ascii="Times New Roman" w:eastAsia="Calibri" w:hAnsi="Times New Roman"/>
      <w:color w:val="000000"/>
      <w:sz w:val="24"/>
      <w:szCs w:val="24"/>
    </w:rPr>
  </w:style>
  <w:style w:type="paragraph" w:styleId="a9">
    <w:name w:val="Body Text"/>
    <w:basedOn w:val="a"/>
    <w:link w:val="aa"/>
    <w:pPr>
      <w:jc w:val="both"/>
    </w:pPr>
    <w:rPr>
      <w:rFonts w:ascii="Times New Roman" w:hAnsi="Times New Roman"/>
      <w:sz w:val="24"/>
    </w:rPr>
  </w:style>
  <w:style w:type="character" w:customStyle="1" w:styleId="aa">
    <w:name w:val="Основной текст Знак"/>
    <w:basedOn w:val="a0"/>
    <w:link w:val="a9"/>
    <w:rPr>
      <w:rFonts w:ascii="Times New Roman" w:hAnsi="Times New Roman"/>
      <w:sz w:val="24"/>
    </w:rPr>
  </w:style>
  <w:style w:type="paragraph" w:customStyle="1" w:styleId="2">
    <w:name w:val="Знак2 Знак Знак Знак Знак Знак Знак Знак Знак Знак"/>
    <w:basedOn w:val="a"/>
    <w:pPr>
      <w:widowControl w:val="0"/>
      <w:adjustRightInd w:val="0"/>
      <w:spacing w:after="160" w:line="240" w:lineRule="exact"/>
      <w:jc w:val="right"/>
    </w:pPr>
    <w:rPr>
      <w:rFonts w:ascii="Times New Roman" w:hAnsi="Times New Roman"/>
      <w:lang w:val="en-GB" w:eastAsia="en-US"/>
    </w:rPr>
  </w:style>
  <w:style w:type="character" w:customStyle="1" w:styleId="3Exact">
    <w:name w:val="Основной текст (3) Exact"/>
    <w:basedOn w:val="a0"/>
    <w:rPr>
      <w:rFonts w:ascii="Times New Roman" w:eastAsia="Times New Roman" w:hAnsi="Times New Roman" w:cs="Times New Roman"/>
      <w:b w:val="0"/>
      <w:bCs w:val="0"/>
      <w:i w:val="0"/>
      <w:iCs w:val="0"/>
      <w:smallCaps w:val="0"/>
      <w:strike w:val="0"/>
      <w:u w:val="none"/>
    </w:rPr>
  </w:style>
  <w:style w:type="character" w:customStyle="1" w:styleId="20">
    <w:name w:val="Основной текст (2)_"/>
    <w:basedOn w:val="a0"/>
    <w:link w:val="21"/>
    <w:rPr>
      <w:rFonts w:ascii="Times New Roman" w:hAnsi="Times New Roman"/>
      <w:shd w:val="clear" w:color="auto" w:fill="FFFFFF"/>
    </w:rPr>
  </w:style>
  <w:style w:type="character" w:customStyle="1" w:styleId="3">
    <w:name w:val="Основной текст (3)_"/>
    <w:basedOn w:val="a0"/>
    <w:link w:val="30"/>
    <w:rPr>
      <w:rFonts w:ascii="Times New Roman" w:hAnsi="Times New Roman"/>
      <w:shd w:val="clear" w:color="auto" w:fill="FFFFFF"/>
    </w:rPr>
  </w:style>
  <w:style w:type="paragraph" w:customStyle="1" w:styleId="30">
    <w:name w:val="Основной текст (3)"/>
    <w:basedOn w:val="a"/>
    <w:link w:val="3"/>
    <w:pPr>
      <w:widowControl w:val="0"/>
      <w:shd w:val="clear" w:color="auto" w:fill="FFFFFF"/>
      <w:spacing w:line="274" w:lineRule="exact"/>
      <w:jc w:val="both"/>
    </w:pPr>
    <w:rPr>
      <w:rFonts w:ascii="Times New Roman" w:hAnsi="Times New Roman"/>
    </w:rPr>
  </w:style>
  <w:style w:type="paragraph" w:customStyle="1" w:styleId="21">
    <w:name w:val="Основной текст (2)"/>
    <w:basedOn w:val="a"/>
    <w:link w:val="20"/>
    <w:pPr>
      <w:widowControl w:val="0"/>
      <w:shd w:val="clear" w:color="auto" w:fill="FFFFFF"/>
      <w:spacing w:line="274" w:lineRule="exact"/>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29010">
      <w:bodyDiv w:val="1"/>
      <w:marLeft w:val="0"/>
      <w:marRight w:val="0"/>
      <w:marTop w:val="0"/>
      <w:marBottom w:val="0"/>
      <w:divBdr>
        <w:top w:val="none" w:sz="0" w:space="0" w:color="auto"/>
        <w:left w:val="none" w:sz="0" w:space="0" w:color="auto"/>
        <w:bottom w:val="none" w:sz="0" w:space="0" w:color="auto"/>
        <w:right w:val="none" w:sz="0" w:space="0" w:color="auto"/>
      </w:divBdr>
    </w:div>
    <w:div w:id="698049456">
      <w:bodyDiv w:val="1"/>
      <w:marLeft w:val="0"/>
      <w:marRight w:val="0"/>
      <w:marTop w:val="0"/>
      <w:marBottom w:val="0"/>
      <w:divBdr>
        <w:top w:val="none" w:sz="0" w:space="0" w:color="auto"/>
        <w:left w:val="none" w:sz="0" w:space="0" w:color="auto"/>
        <w:bottom w:val="none" w:sz="0" w:space="0" w:color="auto"/>
        <w:right w:val="none" w:sz="0" w:space="0" w:color="auto"/>
      </w:divBdr>
    </w:div>
    <w:div w:id="1766344332">
      <w:bodyDiv w:val="1"/>
      <w:marLeft w:val="0"/>
      <w:marRight w:val="0"/>
      <w:marTop w:val="0"/>
      <w:marBottom w:val="0"/>
      <w:divBdr>
        <w:top w:val="none" w:sz="0" w:space="0" w:color="auto"/>
        <w:left w:val="none" w:sz="0" w:space="0" w:color="auto"/>
        <w:bottom w:val="none" w:sz="0" w:space="0" w:color="auto"/>
        <w:right w:val="none" w:sz="0" w:space="0" w:color="auto"/>
      </w:divBdr>
    </w:div>
    <w:div w:id="208767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X:\MSOFFICE\OFFICE97\&#1064;&#1040;&#1041;&#1051;&#1054;&#1053;&#1067;\&#1043;&#1054;_&#1055;&#1088;&#1080;&#1082;&#1072;&#107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FDB947-C971-4AC1-B172-3082621B1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ГО_Приказ.dot</Template>
  <TotalTime>341</TotalTime>
  <Pages>3</Pages>
  <Words>1585</Words>
  <Characters>9041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 Северска</Company>
  <LinksUpToDate>false</LinksUpToDate>
  <CharactersWithSpaces>10605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Egorova</dc:creator>
  <cp:lastModifiedBy>Купцова И.О.</cp:lastModifiedBy>
  <cp:revision>33</cp:revision>
  <cp:lastPrinted>2023-02-28T03:09:00Z</cp:lastPrinted>
  <dcterms:created xsi:type="dcterms:W3CDTF">2023-01-26T09:13:00Z</dcterms:created>
  <dcterms:modified xsi:type="dcterms:W3CDTF">2023-02-28T04:11:00Z</dcterms:modified>
</cp:coreProperties>
</file>