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АНАЛИТИЧЕСКАЯ ЗАПИСКА</w:t>
      </w:r>
    </w:p>
    <w:p>
      <w:pPr>
        <w:pStyle w:val="ConsPlusTitle"/>
        <w:spacing w:line="271" w:lineRule="auto"/>
        <w:ind w:firstLine="708"/>
        <w:jc w:val="center"/>
        <w:rPr>
          <w:b w:val="0"/>
        </w:rPr>
      </w:pPr>
      <w:proofErr w:type="gramStart"/>
      <w:r>
        <w:rPr>
          <w:b w:val="0"/>
        </w:rPr>
        <w:t>об</w:t>
      </w:r>
      <w:proofErr w:type="gramEnd"/>
      <w:r>
        <w:rPr>
          <w:b w:val="0"/>
        </w:rPr>
        <w:t xml:space="preserve"> оценке качества финансового менеджмента главных администраторов средств бюджета ЗАТО Северск  за 2021 год</w:t>
      </w:r>
    </w:p>
    <w:p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Title"/>
        <w:spacing w:line="271" w:lineRule="auto"/>
        <w:ind w:firstLine="709"/>
        <w:jc w:val="both"/>
        <w:rPr>
          <w:b w:val="0"/>
        </w:rPr>
      </w:pPr>
      <w:r>
        <w:rPr>
          <w:b w:val="0"/>
        </w:rPr>
        <w:t>Мониторинг оценки качества финансового менеджмента главных администраторов средств бюджета ЗАТО Северск (далее – ГАБС) за 2021 год проведен в отношении Администрации ЗАТО Северск и ее органов, наделённых правами юридического лица</w:t>
      </w:r>
      <w:r>
        <w:t xml:space="preserve">,  </w:t>
      </w:r>
      <w:r>
        <w:rPr>
          <w:b w:val="0"/>
        </w:rPr>
        <w:t>в соответствии с Порядком проведения Финансовым управлением Администрации ЗАТО Северск мониторинга качества финансового менеджмента, утвержденным приказом начальника Финансового управления Администрации ЗАТО Северск от 25.12.2019 № 119 «О мониторинге качества финансового менеджмента» (далее – Порядок), по шести направлениям: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бюджетное планирование;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исполнение бюджета ЗАТО Северск и формирование бюджетной отчетности;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управление деятельностью муниципальных учреждений;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качество исполнения бюджетного процесса во взаимосвязи с выявленными бюджетными нарушениями;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управление активами;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 осуществление ГАБС закупок товаров, работ и услуг для обеспечения муниципальных нужд.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Все ГАБС в соответствии с Порядком разделены на 3 группы: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группа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 - ГАБС, осуществляющие функции и полномочия учредителя в отношении муниципальных казенных, бюджетных и автономных учреждений;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группа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-  ГАБС, в ведении которых находятся муниципальные казенные учреждения;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группа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>I - прочие ГАБС.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В соответствии с Порядком итоговые значения полученных показателей ГАБС при расчете консолидированной оценки финансового менеджмента умножаются на корректировочные коэффициенты – коэффициенты сложности управления финансами, которые приведены в таблице 1:</w:t>
      </w:r>
    </w:p>
    <w:p>
      <w:pPr>
        <w:autoSpaceDE w:val="0"/>
        <w:autoSpaceDN w:val="0"/>
        <w:adjustRightInd w:val="0"/>
        <w:ind w:firstLine="709"/>
        <w:jc w:val="right"/>
        <w:outlineLvl w:val="1"/>
      </w:pPr>
      <w:r>
        <w:t>Таблица 1</w:t>
      </w:r>
    </w:p>
    <w:tbl>
      <w:tblPr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7938"/>
        <w:gridCol w:w="1417"/>
      </w:tblGrid>
      <w:tr>
        <w:trPr>
          <w:trHeight w:val="988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ГАБС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Коэффициент сложности управления финансами</w:t>
            </w:r>
          </w:p>
        </w:tc>
      </w:tr>
      <w:tr>
        <w:trPr>
          <w:trHeight w:val="138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3</w:t>
            </w:r>
          </w:p>
        </w:tc>
      </w:tr>
      <w:tr>
        <w:trPr>
          <w:trHeight w:val="138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rPr>
                <w:b/>
                <w:bCs/>
                <w:i/>
                <w:iCs/>
                <w:sz w:val="20"/>
                <w:szCs w:val="20"/>
              </w:rPr>
            </w:pPr>
            <w:proofErr w:type="gramStart"/>
            <w:r>
              <w:rPr>
                <w:b/>
                <w:bCs/>
                <w:i/>
                <w:iCs/>
                <w:sz w:val="20"/>
                <w:szCs w:val="20"/>
              </w:rPr>
              <w:t xml:space="preserve">Первая </w:t>
            </w:r>
            <w:r>
              <w:rPr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i/>
                <w:iCs/>
                <w:sz w:val="20"/>
                <w:szCs w:val="20"/>
              </w:rPr>
              <w:t>группа</w:t>
            </w:r>
            <w:proofErr w:type="gramEnd"/>
            <w:r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>
        <w:trPr>
          <w:trHeight w:val="499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образования Администрации ЗАТО Северск (далее – Управление образования)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1,15</w:t>
            </w:r>
          </w:p>
        </w:tc>
      </w:tr>
      <w:tr>
        <w:trPr>
          <w:trHeight w:val="40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b/>
                <w:bCs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культуры Администрации ЗАТО Северск (далее – Управление культуры)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1,15</w:t>
            </w:r>
          </w:p>
        </w:tc>
      </w:tr>
      <w:tr>
        <w:trPr>
          <w:trHeight w:val="48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Управление молодежной и семейной политике, физической культуры и спорта Администрации ЗАТО Северск (далее – УМСП </w:t>
            </w:r>
            <w:proofErr w:type="spellStart"/>
            <w:r>
              <w:rPr>
                <w:sz w:val="20"/>
                <w:szCs w:val="20"/>
              </w:rPr>
              <w:t>ФКиС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1,15</w:t>
            </w:r>
          </w:p>
        </w:tc>
      </w:tr>
      <w:tr>
        <w:trPr>
          <w:trHeight w:val="39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Управление жилищно-коммунального хозяйства, транспорта и связи (далее – УЖКХ </w:t>
            </w:r>
            <w:proofErr w:type="spellStart"/>
            <w:r>
              <w:rPr>
                <w:sz w:val="20"/>
                <w:szCs w:val="20"/>
              </w:rPr>
              <w:t>ТиС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1,15</w:t>
            </w:r>
          </w:p>
        </w:tc>
      </w:tr>
      <w:tr>
        <w:trPr>
          <w:trHeight w:val="133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rPr>
                <w:sz w:val="20"/>
                <w:szCs w:val="20"/>
              </w:rPr>
            </w:pPr>
            <w:proofErr w:type="gramStart"/>
            <w:r>
              <w:rPr>
                <w:b/>
                <w:bCs/>
                <w:i/>
                <w:iCs/>
                <w:sz w:val="20"/>
                <w:szCs w:val="20"/>
              </w:rPr>
              <w:t xml:space="preserve">Вторая  </w:t>
            </w:r>
            <w:r>
              <w:rPr>
                <w:b/>
                <w:bCs/>
                <w:i/>
                <w:iCs/>
                <w:sz w:val="20"/>
                <w:szCs w:val="20"/>
              </w:rPr>
              <w:t>группа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rPr>
          <w:trHeight w:val="133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ЗАТО Северск (далее – Администрация)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1,05</w:t>
            </w:r>
          </w:p>
        </w:tc>
      </w:tr>
      <w:tr>
        <w:trPr>
          <w:trHeight w:val="133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имущественных отношений Администрации ЗАТО Северск (далее – УИО)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1,05</w:t>
            </w:r>
          </w:p>
        </w:tc>
      </w:tr>
      <w:tr>
        <w:trPr>
          <w:trHeight w:val="124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 (далее – УЧС)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1,05</w:t>
            </w:r>
          </w:p>
        </w:tc>
      </w:tr>
      <w:tr>
        <w:trPr>
          <w:trHeight w:val="194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Третья </w:t>
            </w:r>
            <w:r>
              <w:rPr>
                <w:b/>
                <w:bCs/>
                <w:i/>
                <w:iCs/>
                <w:sz w:val="20"/>
                <w:szCs w:val="20"/>
              </w:rPr>
              <w:t>группа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>
        <w:trPr>
          <w:trHeight w:val="132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капитального строительства Администрации ЗАТО Северск (далее – УКС)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  <w:tr>
        <w:trPr>
          <w:trHeight w:val="14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внегородским территориям Администрации ЗАТО Северск (далее – УВГТ)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  <w:tr>
        <w:trPr>
          <w:trHeight w:val="129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управление Администрации ЗАТО Северск (далее – Финансовое управление)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sz w:val="16"/>
          <w:szCs w:val="16"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r>
        <w:rPr>
          <w:b/>
        </w:rPr>
        <w:lastRenderedPageBreak/>
        <w:t xml:space="preserve">1. Направление «Бюджетное планирование» 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Оценка качества выполнялась по трём показателям:</w:t>
      </w:r>
    </w:p>
    <w:p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-142" w:firstLine="851"/>
        <w:jc w:val="both"/>
        <w:outlineLvl w:val="1"/>
      </w:pPr>
      <w:r>
        <w:t>Показатель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>1.1.</w:t>
      </w:r>
      <w:r>
        <w:rPr>
          <w:sz w:val="22"/>
          <w:szCs w:val="22"/>
          <w:vertAlign w:val="subscript"/>
        </w:rPr>
        <w:t xml:space="preserve"> </w:t>
      </w:r>
      <w:r>
        <w:rPr>
          <w:sz w:val="22"/>
          <w:szCs w:val="22"/>
        </w:rPr>
        <w:t>«</w:t>
      </w:r>
      <w:r>
        <w:t>Доля бюджетных ассигнований ГАБС, формируемых в рамках программ, в общем объеме расходов ГАБС (без учета расходов на исполнение судебных актов и резервных фондов), в процентах».</w:t>
      </w:r>
    </w:p>
    <w:p>
      <w:pPr>
        <w:tabs>
          <w:tab w:val="left" w:pos="709"/>
        </w:tabs>
        <w:autoSpaceDE w:val="0"/>
        <w:autoSpaceDN w:val="0"/>
        <w:adjustRightInd w:val="0"/>
        <w:ind w:left="-142"/>
        <w:jc w:val="both"/>
        <w:outlineLvl w:val="1"/>
      </w:pPr>
      <w:r>
        <w:tab/>
        <w:t>Критерии определения количества баллов:</w:t>
      </w: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297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2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80% &lt;= А</w:t>
            </w:r>
            <w:r>
              <w:rPr>
                <w:vertAlign w:val="subscript"/>
              </w:rPr>
              <w:t>1.1</w:t>
            </w:r>
            <w:r>
              <w:t xml:space="preserve"> &lt;= 100%</w:t>
            </w:r>
          </w:p>
        </w:tc>
        <w:tc>
          <w:tcPr>
            <w:tcW w:w="22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10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80% &lt;= А</w:t>
            </w:r>
            <w:r>
              <w:rPr>
                <w:vertAlign w:val="subscript"/>
              </w:rPr>
              <w:t>1.1</w:t>
            </w:r>
            <w:r>
              <w:t xml:space="preserve"> &lt;= 50%</w:t>
            </w:r>
          </w:p>
        </w:tc>
        <w:tc>
          <w:tcPr>
            <w:tcW w:w="22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50% &lt;= А</w:t>
            </w:r>
            <w:r>
              <w:rPr>
                <w:vertAlign w:val="subscript"/>
              </w:rPr>
              <w:t>1.1</w:t>
            </w:r>
            <w:r>
              <w:t xml:space="preserve"> &lt;= 30%</w:t>
            </w:r>
          </w:p>
        </w:tc>
        <w:tc>
          <w:tcPr>
            <w:tcW w:w="22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А</w:t>
            </w:r>
            <w:r>
              <w:rPr>
                <w:vertAlign w:val="subscript"/>
              </w:rPr>
              <w:t>1.1</w:t>
            </w:r>
            <w:r>
              <w:t xml:space="preserve"> </w:t>
            </w:r>
            <w:proofErr w:type="gramStart"/>
            <w:r>
              <w:t>&lt; 30</w:t>
            </w:r>
            <w:proofErr w:type="gramEnd"/>
            <w:r>
              <w:t>%</w:t>
            </w:r>
          </w:p>
        </w:tc>
        <w:tc>
          <w:tcPr>
            <w:tcW w:w="22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А</w:t>
            </w:r>
            <w:r>
              <w:rPr>
                <w:vertAlign w:val="subscript"/>
              </w:rPr>
              <w:t>1.1</w:t>
            </w:r>
            <w:r>
              <w:t xml:space="preserve"> = 0%</w:t>
            </w:r>
          </w:p>
        </w:tc>
        <w:tc>
          <w:tcPr>
            <w:tcW w:w="22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tabs>
          <w:tab w:val="left" w:pos="993"/>
        </w:tabs>
        <w:autoSpaceDE w:val="0"/>
        <w:autoSpaceDN w:val="0"/>
        <w:adjustRightInd w:val="0"/>
        <w:ind w:left="709"/>
        <w:jc w:val="both"/>
        <w:outlineLvl w:val="1"/>
        <w:rPr>
          <w:sz w:val="16"/>
          <w:szCs w:val="16"/>
        </w:rPr>
      </w:pPr>
      <w:r>
        <w:rPr>
          <w:sz w:val="16"/>
          <w:szCs w:val="16"/>
        </w:rPr>
        <w:br w:type="textWrapping" w:clear="all"/>
      </w:r>
    </w:p>
    <w:p>
      <w:pPr>
        <w:tabs>
          <w:tab w:val="left" w:pos="993"/>
        </w:tabs>
        <w:autoSpaceDE w:val="0"/>
        <w:autoSpaceDN w:val="0"/>
        <w:adjustRightInd w:val="0"/>
        <w:jc w:val="both"/>
        <w:outlineLvl w:val="1"/>
      </w:pPr>
      <w:r>
        <w:tab/>
        <w:t xml:space="preserve">Максимальное количество баллов (10 баллов) по показателю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>1.1</w:t>
      </w:r>
      <w:proofErr w:type="gramStart"/>
      <w:r>
        <w:rPr>
          <w:b/>
          <w:sz w:val="22"/>
          <w:szCs w:val="22"/>
          <w:vertAlign w:val="subscript"/>
        </w:rPr>
        <w:t>.</w:t>
      </w:r>
      <w:r>
        <w:rPr>
          <w:sz w:val="22"/>
          <w:szCs w:val="22"/>
          <w:vertAlign w:val="subscript"/>
        </w:rPr>
        <w:t xml:space="preserve"> </w:t>
      </w:r>
      <w:r>
        <w:t>достигнуто</w:t>
      </w:r>
      <w:proofErr w:type="gramEnd"/>
      <w:r>
        <w:t xml:space="preserve"> по девяти ГАБС:  </w:t>
      </w:r>
    </w:p>
    <w:p>
      <w:pPr>
        <w:autoSpaceDE w:val="0"/>
        <w:autoSpaceDN w:val="0"/>
        <w:adjustRightInd w:val="0"/>
        <w:jc w:val="right"/>
        <w:outlineLvl w:val="1"/>
      </w:pPr>
      <w:r>
        <w:t xml:space="preserve">Таблица 2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2126"/>
        <w:gridCol w:w="2410"/>
        <w:gridCol w:w="1134"/>
        <w:gridCol w:w="981"/>
      </w:tblGrid>
      <w:tr>
        <w:trPr>
          <w:trHeight w:val="2170"/>
        </w:trPr>
        <w:tc>
          <w:tcPr>
            <w:tcW w:w="2802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ГАБС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исполнения расходов ГАБС в рамках программ (без учета расходов на исполнение судебных актов и резервных фондов),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исполнения расходов ГАБС (без учета расходов на исполнение судебных актов и резервных фондов),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 xml:space="preserve">1.1. % </w:t>
            </w:r>
            <w:r>
              <w:rPr>
                <w:sz w:val="22"/>
                <w:szCs w:val="22"/>
              </w:rPr>
              <w:t>(гр2/гр.3*100)</w:t>
            </w:r>
          </w:p>
        </w:tc>
        <w:tc>
          <w:tcPr>
            <w:tcW w:w="98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баллов, ед.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10" w:type="dxa"/>
            <w:vAlign w:val="center"/>
          </w:tcPr>
          <w:p>
            <w:pPr>
              <w:autoSpaceDE w:val="0"/>
              <w:autoSpaceDN w:val="0"/>
              <w:adjustRightInd w:val="0"/>
              <w:ind w:hanging="108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autoSpaceDE w:val="0"/>
              <w:autoSpaceDN w:val="0"/>
              <w:adjustRightInd w:val="0"/>
              <w:ind w:right="-108" w:hanging="196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8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2 429 590,84</w:t>
            </w:r>
          </w:p>
        </w:tc>
        <w:tc>
          <w:tcPr>
            <w:tcW w:w="241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2 430 953,53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99,9</w:t>
            </w: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546 801,60</w:t>
            </w:r>
          </w:p>
        </w:tc>
        <w:tc>
          <w:tcPr>
            <w:tcW w:w="241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546 801,60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506 660,27</w:t>
            </w:r>
          </w:p>
        </w:tc>
        <w:tc>
          <w:tcPr>
            <w:tcW w:w="241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506 660,27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492 958,30</w:t>
            </w:r>
          </w:p>
        </w:tc>
        <w:tc>
          <w:tcPr>
            <w:tcW w:w="241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492 958,30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116 466,68</w:t>
            </w:r>
          </w:p>
        </w:tc>
        <w:tc>
          <w:tcPr>
            <w:tcW w:w="241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316 103,81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36,8</w:t>
            </w: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88 681,94</w:t>
            </w:r>
          </w:p>
        </w:tc>
        <w:tc>
          <w:tcPr>
            <w:tcW w:w="241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88 681,94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25 610,45</w:t>
            </w:r>
          </w:p>
        </w:tc>
        <w:tc>
          <w:tcPr>
            <w:tcW w:w="2410" w:type="dxa"/>
            <w:vAlign w:val="center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25 610,45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402 721,74</w:t>
            </w:r>
          </w:p>
        </w:tc>
        <w:tc>
          <w:tcPr>
            <w:tcW w:w="241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402 721,74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79 199,16</w:t>
            </w:r>
          </w:p>
        </w:tc>
        <w:tc>
          <w:tcPr>
            <w:tcW w:w="241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79 199,16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41 593,65</w:t>
            </w:r>
          </w:p>
        </w:tc>
        <w:tc>
          <w:tcPr>
            <w:tcW w:w="241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41 593,65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2) Показатель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>1.2</w:t>
      </w:r>
      <w:r>
        <w:rPr>
          <w:b/>
          <w:vertAlign w:val="subscript"/>
        </w:rPr>
        <w:t>. </w:t>
      </w:r>
      <w:r>
        <w:t>«Соблюдение сроков утверждения муниципальных программ, по которым ГАБС является ответственным исполнителем, а также внесения изменений в них»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По показателю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 xml:space="preserve">1.2 </w:t>
      </w:r>
      <w:r>
        <w:t xml:space="preserve">максимальная оценка 3 балла получена Управлением </w:t>
      </w:r>
      <w:proofErr w:type="gramStart"/>
      <w:r>
        <w:t>образования,  УМСП</w:t>
      </w:r>
      <w:proofErr w:type="gramEnd"/>
      <w:r>
        <w:t xml:space="preserve"> </w:t>
      </w:r>
      <w:proofErr w:type="spellStart"/>
      <w:r>
        <w:t>ФКиС</w:t>
      </w:r>
      <w:proofErr w:type="spellEnd"/>
      <w:r>
        <w:t xml:space="preserve">, УЧС и Финансовым управлением. </w:t>
      </w:r>
    </w:p>
    <w:p>
      <w:pPr>
        <w:tabs>
          <w:tab w:val="left" w:pos="709"/>
        </w:tabs>
        <w:autoSpaceDE w:val="0"/>
        <w:autoSpaceDN w:val="0"/>
        <w:adjustRightInd w:val="0"/>
        <w:ind w:left="-142"/>
        <w:jc w:val="both"/>
        <w:outlineLvl w:val="1"/>
      </w:pPr>
      <w:r>
        <w:tab/>
        <w:t>Критерии определения количества баллов:</w:t>
      </w:r>
    </w:p>
    <w:tbl>
      <w:tblPr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8"/>
        <w:gridCol w:w="2112"/>
      </w:tblGrid>
      <w:tr>
        <w:tc>
          <w:tcPr>
            <w:tcW w:w="662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 xml:space="preserve">Значение 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</w:pPr>
            <w:proofErr w:type="gramStart"/>
            <w:r>
              <w:t>показателя</w:t>
            </w:r>
            <w:proofErr w:type="gramEnd"/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662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1.2</w:t>
            </w:r>
            <w:r>
              <w:rPr>
                <w:sz w:val="20"/>
                <w:szCs w:val="20"/>
              </w:rPr>
              <w:t xml:space="preserve"> = утверждаются своевременно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662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1.2</w:t>
            </w:r>
            <w:r>
              <w:rPr>
                <w:sz w:val="20"/>
                <w:szCs w:val="20"/>
              </w:rPr>
              <w:t xml:space="preserve"> = допускается несоблюдение сроков утверждения до 15 календарных дней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</w:t>
            </w:r>
          </w:p>
        </w:tc>
      </w:tr>
      <w:tr>
        <w:tc>
          <w:tcPr>
            <w:tcW w:w="662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1.2</w:t>
            </w:r>
            <w:r>
              <w:rPr>
                <w:sz w:val="20"/>
                <w:szCs w:val="20"/>
              </w:rPr>
              <w:t xml:space="preserve"> = допускается несоблюдение сроков утверждения свыше 15 календарных дней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Внесение изменений в муниципальные программы, в соответствии с Порядком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принятия решений о разработке муниципальных программ ЗАТО Северск </w:t>
      </w:r>
      <w:r>
        <w:rPr>
          <w:rFonts w:ascii="Times New Roman" w:hAnsi="Times New Roman" w:cs="Times New Roman"/>
          <w:sz w:val="24"/>
          <w:szCs w:val="24"/>
        </w:rPr>
        <w:t xml:space="preserve">производится дважды в год: не позднее 30 июля (по итогам первого полугодия) и не позднее 31 </w:t>
      </w:r>
      <w:proofErr w:type="gramStart"/>
      <w:r>
        <w:rPr>
          <w:rFonts w:ascii="Times New Roman" w:hAnsi="Times New Roman" w:cs="Times New Roman"/>
          <w:sz w:val="24"/>
          <w:szCs w:val="24"/>
        </w:rPr>
        <w:t>января  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по итогам года согласно Распоряжению Администрации ЗАТО Северск от 12.10.2021 № 1174-р). 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Пятью ответственными исполнителями –Управлением культуры, УЖКХ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Администрацией, УЧС, УИО более чем на 15 календарных дней позже установленных сроков внесены изменения в муниципальные программы; им присвоено 0 баллов. </w:t>
      </w:r>
      <w:r>
        <w:rPr>
          <w:rFonts w:ascii="Times New Roman" w:hAnsi="Times New Roman" w:cs="Times New Roman"/>
          <w:bCs/>
          <w:sz w:val="24"/>
          <w:szCs w:val="24"/>
        </w:rPr>
        <w:t xml:space="preserve">УКС не является </w:t>
      </w:r>
      <w:r>
        <w:rPr>
          <w:rFonts w:ascii="Times New Roman" w:hAnsi="Times New Roman" w:cs="Times New Roman"/>
          <w:sz w:val="24"/>
          <w:szCs w:val="24"/>
        </w:rPr>
        <w:t>ответственными исполнителем муниципальных программ и, соответственно, не издает правовые акты в отношении муниципальных программ, ему присвоено 0 баллов</w:t>
      </w:r>
    </w:p>
    <w:p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3</w:t>
      </w:r>
    </w:p>
    <w:tbl>
      <w:tblPr>
        <w:tblW w:w="95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2126"/>
        <w:gridCol w:w="2126"/>
        <w:gridCol w:w="1985"/>
        <w:gridCol w:w="1276"/>
      </w:tblGrid>
      <w:tr>
        <w:trPr>
          <w:trHeight w:val="675"/>
        </w:trPr>
        <w:tc>
          <w:tcPr>
            <w:tcW w:w="201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ГАБС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об утверждении МП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Изменения по сроку 30.07.2020</w:t>
            </w: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Изменения по сроку 26.02.2021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2014" w:type="dxa"/>
            <w:vAlign w:val="center"/>
          </w:tcPr>
          <w:p>
            <w:pPr>
              <w:autoSpaceDE w:val="0"/>
              <w:autoSpaceDN w:val="0"/>
              <w:adjustRightInd w:val="0"/>
              <w:ind w:left="-505" w:right="-648" w:firstLine="505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1         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014" w:type="dxa"/>
          </w:tcPr>
          <w:p>
            <w:pPr>
              <w:tabs>
                <w:tab w:val="left" w:pos="1906"/>
              </w:tabs>
              <w:autoSpaceDE w:val="0"/>
              <w:autoSpaceDN w:val="0"/>
              <w:adjustRightInd w:val="0"/>
              <w:ind w:right="-648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30.12.14 №3542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26.07.21 № 1671</w:t>
            </w: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28.01.22 № 120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30.12.20 № 2445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27.09.21 № 2122</w:t>
            </w: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15.02.22 № 224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21.12.20 № 2293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18.12.20 № 2292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30.07.21 № 1716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30.07.21 № 1726</w:t>
            </w: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28.01.22 № 118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28.01.22 № 119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29.01.21 № 121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25.01.21 № 85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30.12.20 № 2446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29.12.20 № 2428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31.10.17 № 1965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30.07.21 № 1727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25.08.21 № 1915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02.09.21 № 1975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30.09.21 № 2133</w:t>
            </w: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29.03.22 № 521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28.02.22 № 325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15.02.22 № 225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21.02.22 № 261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15.02.22 № 226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18.01.21 № 38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29.12.20 № 2429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22.12.20 № 2333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18.12.20 № 2288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15.02.2019 № 238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29.07.21 № 1689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22.09.21 № 2083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30.07.21 № 1725</w:t>
            </w: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03.02.22 № 158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31.01.22 № 137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28.01.22 № 116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04.02.22 № 172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19.12.21 №2718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01.12.20 № 2129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16.08.21 № 1815</w:t>
            </w: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17.03.22 № 437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18.12.20 № 2290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30.07.21 № 1728</w:t>
            </w: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28.01.22 № 117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19.01.21 № 48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22.09.21 № 2084</w:t>
            </w: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16.03.22 № 421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01.12.20 № 2128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26.07.21 № 1670</w:t>
            </w: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25.01.22 № 100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3) Показатель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>1.3.</w:t>
      </w:r>
      <w:r>
        <w:rPr>
          <w:sz w:val="22"/>
          <w:szCs w:val="22"/>
          <w:vertAlign w:val="subscript"/>
        </w:rPr>
        <w:t> </w:t>
      </w:r>
      <w:r>
        <w:rPr>
          <w:sz w:val="22"/>
          <w:szCs w:val="22"/>
        </w:rPr>
        <w:t>«</w:t>
      </w:r>
      <w:r>
        <w:t xml:space="preserve">Размещение на официальном сайте Администрации ЗАТО Северск муниципальных программ, разрабатываемых и реализуемых ГАБС, внесений изменений в них, а также отчетов об их реализации» </w:t>
      </w:r>
    </w:p>
    <w:p>
      <w:pPr>
        <w:autoSpaceDE w:val="0"/>
        <w:autoSpaceDN w:val="0"/>
        <w:adjustRightInd w:val="0"/>
        <w:ind w:left="709"/>
        <w:jc w:val="both"/>
        <w:outlineLvl w:val="1"/>
      </w:pPr>
      <w:r>
        <w:t>Критерии определения количества баллов:</w:t>
      </w:r>
    </w:p>
    <w:tbl>
      <w:tblPr>
        <w:tblW w:w="0" w:type="auto"/>
        <w:tblInd w:w="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7"/>
        <w:gridCol w:w="2694"/>
      </w:tblGrid>
      <w:tr>
        <w:tc>
          <w:tcPr>
            <w:tcW w:w="455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4557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1.3</w:t>
            </w:r>
            <w:r>
              <w:rPr>
                <w:sz w:val="20"/>
                <w:szCs w:val="20"/>
              </w:rPr>
              <w:t xml:space="preserve"> = Информация размещается в полном объеме</w:t>
            </w:r>
          </w:p>
        </w:tc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4557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1.3</w:t>
            </w:r>
            <w:r>
              <w:rPr>
                <w:sz w:val="20"/>
                <w:szCs w:val="20"/>
              </w:rPr>
              <w:t xml:space="preserve"> = Информация размещается частично</w:t>
            </w:r>
          </w:p>
        </w:tc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</w:t>
            </w:r>
          </w:p>
        </w:tc>
      </w:tr>
      <w:tr>
        <w:tc>
          <w:tcPr>
            <w:tcW w:w="4557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1.3</w:t>
            </w:r>
            <w:r>
              <w:rPr>
                <w:sz w:val="20"/>
                <w:szCs w:val="20"/>
              </w:rPr>
              <w:t xml:space="preserve"> = Информация не размещается</w:t>
            </w:r>
          </w:p>
        </w:tc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>По показателю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>1.3</w:t>
      </w:r>
      <w:proofErr w:type="gramStart"/>
      <w:r>
        <w:rPr>
          <w:b/>
          <w:sz w:val="22"/>
          <w:szCs w:val="22"/>
          <w:vertAlign w:val="subscript"/>
        </w:rPr>
        <w:t>.</w:t>
      </w:r>
      <w:r>
        <w:rPr>
          <w:sz w:val="22"/>
          <w:szCs w:val="22"/>
          <w:vertAlign w:val="subscript"/>
        </w:rPr>
        <w:t> </w:t>
      </w:r>
      <w:r>
        <w:t>положительная</w:t>
      </w:r>
      <w:proofErr w:type="gramEnd"/>
      <w:r>
        <w:t xml:space="preserve"> оценка с присвоением 5 баллов достигнута всеми ГАБС за исключением УКС, который не является ответственным исполнителем программ, в связи с чем ему присвоено 0 баллов.</w:t>
      </w:r>
    </w:p>
    <w:p>
      <w:pPr>
        <w:pStyle w:val="ac"/>
        <w:tabs>
          <w:tab w:val="left" w:pos="1134"/>
        </w:tabs>
        <w:ind w:left="709"/>
        <w:jc w:val="both"/>
      </w:pPr>
    </w:p>
    <w:p>
      <w:pP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1"/>
      </w:pPr>
      <w:r>
        <w:t xml:space="preserve">4) По показателю </w:t>
      </w:r>
      <w:r>
        <w:rPr>
          <w:b/>
        </w:rPr>
        <w:t>А</w:t>
      </w:r>
      <w:r>
        <w:rPr>
          <w:b/>
          <w:vertAlign w:val="subscript"/>
        </w:rPr>
        <w:t>1.4.  </w:t>
      </w:r>
      <w:r>
        <w:t>«Качество, полнота и своевременность представления реестра расходных обязательств, расчетов и обоснований к проекту бюджета ЗАТО Северск на очередной финансовый год» оценка проводится в соответствии со следующими показателями:</w:t>
      </w:r>
    </w:p>
    <w:tbl>
      <w:tblPr>
        <w:tblW w:w="0" w:type="auto"/>
        <w:tblInd w:w="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2"/>
        <w:gridCol w:w="3260"/>
      </w:tblGrid>
      <w:tr>
        <w:tc>
          <w:tcPr>
            <w:tcW w:w="41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32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410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1.4.</w:t>
            </w:r>
            <w:r>
              <w:rPr>
                <w:sz w:val="20"/>
                <w:szCs w:val="20"/>
              </w:rPr>
              <w:t xml:space="preserve"> - реестр расходных обязательств, расчеты и обоснования представлены своевременно, в полном объеме, без ошибок</w:t>
            </w:r>
          </w:p>
        </w:tc>
        <w:tc>
          <w:tcPr>
            <w:tcW w:w="32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410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1.4.</w:t>
            </w:r>
            <w:r>
              <w:rPr>
                <w:sz w:val="20"/>
                <w:szCs w:val="20"/>
              </w:rPr>
              <w:t xml:space="preserve"> - реестр расходных обязательств, расчеты и обоснования представлены несвоевременно/ не в полном объеме/ содержат ошибки</w:t>
            </w:r>
          </w:p>
        </w:tc>
        <w:tc>
          <w:tcPr>
            <w:tcW w:w="32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lastRenderedPageBreak/>
        <w:t>С</w:t>
      </w:r>
      <w:r>
        <w:t>воевременное представление документов было обеспечено четырьмя ГАБС: Управлением культуры, УКС, УВГТ, Финансовым управлением – им присвоено по 5 баллов. По остальным ГАБС – 0 баллов.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>
        <w:rPr>
          <w:b/>
          <w:i/>
        </w:rPr>
        <w:t>П</w:t>
      </w:r>
      <w:r>
        <w:rPr>
          <w:b/>
          <w:i/>
        </w:rPr>
        <w:t>о направлению «Бюджетное планирование»</w:t>
      </w:r>
      <w:r>
        <w:rPr>
          <w:b/>
          <w:i/>
        </w:rPr>
        <w:t xml:space="preserve"> максимальное количество баллов, по которым оценивалась деятельность ГАБС, - 23 балла присвоено Финансовому управлению. Также наибольшее количество баллов набрали: по 20 баллов -  Управление культуры, УВГТ, по 18 баллов – Управление образования, УМСП </w:t>
      </w:r>
      <w:proofErr w:type="spellStart"/>
      <w:r>
        <w:rPr>
          <w:b/>
          <w:i/>
        </w:rPr>
        <w:t>ФКиС</w:t>
      </w:r>
      <w:proofErr w:type="spellEnd"/>
      <w:r>
        <w:rPr>
          <w:b/>
          <w:i/>
        </w:rPr>
        <w:t>, УЧС.</w:t>
      </w:r>
    </w:p>
    <w:p>
      <w:pPr>
        <w:autoSpaceDE w:val="0"/>
        <w:autoSpaceDN w:val="0"/>
        <w:adjustRightInd w:val="0"/>
        <w:jc w:val="both"/>
        <w:outlineLvl w:val="1"/>
        <w:rPr>
          <w:b/>
          <w:i/>
        </w:rPr>
      </w:pPr>
      <w:r>
        <w:rPr>
          <w:noProof/>
        </w:rPr>
        <w:drawing>
          <wp:inline distT="0" distB="0" distL="0" distR="0">
            <wp:extent cx="5939790" cy="2404379"/>
            <wp:effectExtent l="0" t="0" r="0" b="0"/>
            <wp:docPr id="10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>
      <w:pPr>
        <w:autoSpaceDE w:val="0"/>
        <w:autoSpaceDN w:val="0"/>
        <w:adjustRightInd w:val="0"/>
        <w:ind w:left="-1701" w:firstLine="567"/>
        <w:jc w:val="center"/>
        <w:outlineLvl w:val="1"/>
        <w:rPr>
          <w:noProof/>
        </w:rPr>
      </w:pPr>
      <w:r>
        <w:rPr>
          <w:noProof/>
        </w:rPr>
        <w:t xml:space="preserve">Рисунок 1 – Итоговое количество баллов по разделу </w:t>
      </w:r>
      <w:r>
        <w:rPr>
          <w:noProof/>
          <w:lang w:val="en-US"/>
        </w:rPr>
        <w:t>I</w:t>
      </w:r>
    </w:p>
    <w:p>
      <w:pPr>
        <w:autoSpaceDE w:val="0"/>
        <w:autoSpaceDN w:val="0"/>
        <w:adjustRightInd w:val="0"/>
        <w:jc w:val="center"/>
        <w:outlineLvl w:val="1"/>
        <w:rPr>
          <w:sz w:val="16"/>
          <w:szCs w:val="16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r>
        <w:rPr>
          <w:b/>
        </w:rPr>
        <w:t>2. Направление «Исполнение бюджета ЗАТО Северск и формирование бюджетной отчетности»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Оценка качества выполнялась по восьми показателям:</w:t>
      </w:r>
    </w:p>
    <w:p>
      <w:pPr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1"/>
      </w:pPr>
      <w:r>
        <w:t>По показателю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>2.1</w:t>
      </w:r>
      <w:r>
        <w:rPr>
          <w:b/>
          <w:vertAlign w:val="subscript"/>
        </w:rPr>
        <w:t>.</w:t>
      </w:r>
      <w:r>
        <w:t> «Обеспечение собираемости доходов бюджета ЗАТО Северск, в процентах» критерии определения количества баллов:</w:t>
      </w:r>
    </w:p>
    <w:tbl>
      <w:tblPr>
        <w:tblW w:w="0" w:type="auto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3127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312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0% &lt;= А</w:t>
            </w:r>
            <w:r>
              <w:rPr>
                <w:vertAlign w:val="subscript"/>
              </w:rPr>
              <w:t>2.1</w:t>
            </w:r>
            <w:r>
              <w:t xml:space="preserve"> </w:t>
            </w:r>
            <w:proofErr w:type="gramStart"/>
            <w:r>
              <w:t>&lt; 5</w:t>
            </w:r>
            <w:proofErr w:type="gramEnd"/>
            <w:r>
              <w:t>%</w:t>
            </w:r>
          </w:p>
        </w:tc>
        <w:tc>
          <w:tcPr>
            <w:tcW w:w="312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5% &lt;= А</w:t>
            </w:r>
            <w:r>
              <w:rPr>
                <w:vertAlign w:val="subscript"/>
              </w:rPr>
              <w:t>2.1</w:t>
            </w:r>
            <w:r>
              <w:t xml:space="preserve"> </w:t>
            </w:r>
            <w:proofErr w:type="gramStart"/>
            <w:r>
              <w:t>&lt; 10</w:t>
            </w:r>
            <w:proofErr w:type="gramEnd"/>
            <w:r>
              <w:t>%</w:t>
            </w:r>
          </w:p>
        </w:tc>
        <w:tc>
          <w:tcPr>
            <w:tcW w:w="312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10% &lt;= А</w:t>
            </w:r>
            <w:r>
              <w:rPr>
                <w:vertAlign w:val="subscript"/>
              </w:rPr>
              <w:t>2.1</w:t>
            </w:r>
          </w:p>
        </w:tc>
        <w:tc>
          <w:tcPr>
            <w:tcW w:w="312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highlight w:val="yellow"/>
        </w:rPr>
      </w:pPr>
      <w:r>
        <w:t>М</w:t>
      </w:r>
      <w:r>
        <w:t xml:space="preserve">аксимальное количество баллов получено Управлением образования (3 балла). УЖКХ </w:t>
      </w:r>
      <w:proofErr w:type="spellStart"/>
      <w:r>
        <w:t>ТиС</w:t>
      </w:r>
      <w:proofErr w:type="spellEnd"/>
      <w:r>
        <w:t>, Администрацией, УИО, УКС допущены значительные отклонения фактического исполнения от первоначально утвержденного плана, остальными ГАБС планирование доходов не осуществлялось.</w:t>
      </w:r>
    </w:p>
    <w:p>
      <w:pPr>
        <w:autoSpaceDE w:val="0"/>
        <w:autoSpaceDN w:val="0"/>
        <w:adjustRightInd w:val="0"/>
        <w:jc w:val="right"/>
        <w:outlineLvl w:val="1"/>
      </w:pPr>
      <w:r>
        <w:t xml:space="preserve">Таблица 4                                                                                                               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64"/>
        <w:gridCol w:w="2268"/>
        <w:gridCol w:w="1701"/>
        <w:gridCol w:w="1247"/>
        <w:gridCol w:w="1276"/>
      </w:tblGrid>
      <w:tr>
        <w:trPr>
          <w:trHeight w:val="1073"/>
        </w:trPr>
        <w:tc>
          <w:tcPr>
            <w:tcW w:w="286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ГАБС </w:t>
            </w:r>
          </w:p>
        </w:tc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Первоначальный план по налоговым и неналоговым доходам,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 xml:space="preserve">Исполнение по налоговым и неналоговым доходам,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47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>2.1,   %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  <w:vertAlign w:val="subscript"/>
              </w:rPr>
            </w:pPr>
            <w:r>
              <w:rPr>
                <w:sz w:val="18"/>
                <w:szCs w:val="18"/>
                <w:vertAlign w:val="subscript"/>
              </w:rPr>
              <w:t>(гр.3/гр.2*100-100)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4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2268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2 223,76</w:t>
            </w:r>
          </w:p>
        </w:tc>
        <w:tc>
          <w:tcPr>
            <w:tcW w:w="1701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2 036,68</w:t>
            </w:r>
          </w:p>
        </w:tc>
        <w:tc>
          <w:tcPr>
            <w:tcW w:w="1247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8,41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2268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01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47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2268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01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47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2268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8 344,55</w:t>
            </w:r>
          </w:p>
        </w:tc>
        <w:tc>
          <w:tcPr>
            <w:tcW w:w="1701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17 709,60</w:t>
            </w:r>
          </w:p>
        </w:tc>
        <w:tc>
          <w:tcPr>
            <w:tcW w:w="1247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112,23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2268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6,00</w:t>
            </w:r>
          </w:p>
        </w:tc>
        <w:tc>
          <w:tcPr>
            <w:tcW w:w="1701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1 380,56</w:t>
            </w:r>
          </w:p>
        </w:tc>
        <w:tc>
          <w:tcPr>
            <w:tcW w:w="1247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22 909,33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2268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86 027,02</w:t>
            </w:r>
          </w:p>
        </w:tc>
        <w:tc>
          <w:tcPr>
            <w:tcW w:w="1701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142 099,10</w:t>
            </w:r>
          </w:p>
        </w:tc>
        <w:tc>
          <w:tcPr>
            <w:tcW w:w="1247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65,18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2268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01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47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2268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416,00</w:t>
            </w:r>
          </w:p>
        </w:tc>
        <w:tc>
          <w:tcPr>
            <w:tcW w:w="1701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295,37</w:t>
            </w:r>
          </w:p>
        </w:tc>
        <w:tc>
          <w:tcPr>
            <w:tcW w:w="1247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29,00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2268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01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247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2268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01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47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</w:tbl>
    <w:p>
      <w:pPr>
        <w:tabs>
          <w:tab w:val="left" w:pos="993"/>
        </w:tabs>
        <w:ind w:left="709"/>
        <w:jc w:val="both"/>
      </w:pPr>
    </w:p>
    <w:p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1"/>
      </w:pPr>
      <w:r>
        <w:lastRenderedPageBreak/>
        <w:t xml:space="preserve">2) По показателю </w:t>
      </w:r>
      <w:r>
        <w:rPr>
          <w:b/>
        </w:rPr>
        <w:t>А</w:t>
      </w:r>
      <w:r>
        <w:rPr>
          <w:b/>
          <w:vertAlign w:val="subscript"/>
        </w:rPr>
        <w:t>2.2. </w:t>
      </w:r>
      <w:r>
        <w:t>«Суммы невыясненных поступлений» оценка проводится в соответствии со следующими показателями:</w:t>
      </w:r>
    </w:p>
    <w:tbl>
      <w:tblPr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3000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300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А</w:t>
            </w:r>
            <w:r>
              <w:rPr>
                <w:vertAlign w:val="subscript"/>
              </w:rPr>
              <w:t>2.2</w:t>
            </w:r>
            <w:r>
              <w:t xml:space="preserve"> &lt;= 1%</w:t>
            </w:r>
          </w:p>
        </w:tc>
        <w:tc>
          <w:tcPr>
            <w:tcW w:w="300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 xml:space="preserve">1% </w:t>
            </w:r>
            <w:proofErr w:type="gramStart"/>
            <w:r>
              <w:t>&lt; А</w:t>
            </w:r>
            <w:r>
              <w:rPr>
                <w:vertAlign w:val="subscript"/>
              </w:rPr>
              <w:t>2.2</w:t>
            </w:r>
            <w:proofErr w:type="gramEnd"/>
            <w:r>
              <w:t xml:space="preserve"> &lt;= 5%</w:t>
            </w:r>
          </w:p>
        </w:tc>
        <w:tc>
          <w:tcPr>
            <w:tcW w:w="300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proofErr w:type="gramStart"/>
            <w:r>
              <w:t>А</w:t>
            </w:r>
            <w:r>
              <w:rPr>
                <w:vertAlign w:val="subscript"/>
              </w:rPr>
              <w:t>2.2</w:t>
            </w:r>
            <w:r>
              <w:t xml:space="preserve"> &gt;</w:t>
            </w:r>
            <w:proofErr w:type="gramEnd"/>
            <w:r>
              <w:t xml:space="preserve"> 5%</w:t>
            </w:r>
          </w:p>
        </w:tc>
        <w:tc>
          <w:tcPr>
            <w:tcW w:w="300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jc w:val="right"/>
        <w:outlineLvl w:val="1"/>
      </w:pP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П</w:t>
      </w:r>
      <w:r>
        <w:t xml:space="preserve">о состоянию на 01.01.2022 остатки невыясненных поступлений отсутствуют у всех ГАБС. Оценка показателя по всем ГАБС 5 баллов за исключением УЧС по причине отсутствия доходов, закрепленных за ГАБС в отчетном финансовом году. </w:t>
      </w:r>
    </w:p>
    <w:p>
      <w:pPr>
        <w:autoSpaceDE w:val="0"/>
        <w:autoSpaceDN w:val="0"/>
        <w:adjustRightInd w:val="0"/>
        <w:jc w:val="right"/>
        <w:outlineLvl w:val="1"/>
      </w:pPr>
      <w:r>
        <w:t xml:space="preserve">Таблица 5                                                                                                        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1814"/>
        <w:gridCol w:w="1597"/>
        <w:gridCol w:w="1571"/>
        <w:gridCol w:w="1276"/>
      </w:tblGrid>
      <w:tr>
        <w:trPr>
          <w:trHeight w:val="1232"/>
        </w:trPr>
        <w:tc>
          <w:tcPr>
            <w:tcW w:w="3240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ГАБС </w:t>
            </w:r>
          </w:p>
        </w:tc>
        <w:tc>
          <w:tcPr>
            <w:tcW w:w="181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остатка невыясненных поступлений,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97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 xml:space="preserve">Исполнено доходов,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7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>2.2,   %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  <w:vertAlign w:val="subscript"/>
              </w:rPr>
              <w:t>(100*гр.2/гр.3)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7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1814" w:type="dxa"/>
          </w:tcPr>
          <w:p>
            <w:pPr>
              <w:autoSpaceDE w:val="0"/>
              <w:autoSpaceDN w:val="0"/>
              <w:adjustRightInd w:val="0"/>
              <w:jc w:val="right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1 667 483,21</w:t>
            </w:r>
          </w:p>
        </w:tc>
        <w:tc>
          <w:tcPr>
            <w:tcW w:w="157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177 123,52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97 838,06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37 275,33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83 718,86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149 613,97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236 362,86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12 281,52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1 435 262,00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</w:tbl>
    <w:p>
      <w:pPr>
        <w:tabs>
          <w:tab w:val="left" w:pos="993"/>
        </w:tabs>
        <w:ind w:left="709"/>
        <w:jc w:val="both"/>
        <w:rPr>
          <w:color w:val="000000"/>
        </w:rPr>
      </w:pPr>
    </w:p>
    <w:p>
      <w:pPr>
        <w:tabs>
          <w:tab w:val="left" w:pos="993"/>
        </w:tabs>
        <w:ind w:firstLine="709"/>
        <w:jc w:val="both"/>
        <w:rPr>
          <w:color w:val="000000"/>
        </w:rPr>
      </w:pPr>
      <w:r>
        <w:t xml:space="preserve">3) По показателю </w:t>
      </w:r>
      <w:r>
        <w:rPr>
          <w:b/>
        </w:rPr>
        <w:t>А</w:t>
      </w:r>
      <w:r>
        <w:rPr>
          <w:b/>
          <w:vertAlign w:val="subscript"/>
        </w:rPr>
        <w:t>2.3. </w:t>
      </w:r>
      <w:r>
        <w:t>«Эффективность управления дебиторской задолженностью по расчетам с дебиторами по доходам» о</w:t>
      </w:r>
      <w:r>
        <w:t>ценка проводится в соответствии со следующими показателями:</w:t>
      </w:r>
    </w:p>
    <w:tbl>
      <w:tblPr>
        <w:tblpPr w:leftFromText="180" w:rightFromText="180" w:vertAnchor="text" w:horzAnchor="margin" w:tblpXSpec="center" w:tblpY="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41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241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А</w:t>
            </w:r>
            <w:r>
              <w:rPr>
                <w:vertAlign w:val="subscript"/>
              </w:rPr>
              <w:t>2.3</w:t>
            </w:r>
            <w:r>
              <w:t xml:space="preserve"> &lt;= 5%</w:t>
            </w:r>
          </w:p>
        </w:tc>
        <w:tc>
          <w:tcPr>
            <w:tcW w:w="241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 xml:space="preserve">5% </w:t>
            </w:r>
            <w:proofErr w:type="gramStart"/>
            <w:r>
              <w:t>&lt; А</w:t>
            </w:r>
            <w:r>
              <w:rPr>
                <w:vertAlign w:val="subscript"/>
              </w:rPr>
              <w:t>2.3</w:t>
            </w:r>
            <w:proofErr w:type="gramEnd"/>
            <w:r>
              <w:t xml:space="preserve"> &lt;= 30%</w:t>
            </w:r>
          </w:p>
        </w:tc>
        <w:tc>
          <w:tcPr>
            <w:tcW w:w="241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 xml:space="preserve">30% </w:t>
            </w:r>
            <w:proofErr w:type="gramStart"/>
            <w:r>
              <w:t>&lt; А</w:t>
            </w:r>
            <w:r>
              <w:rPr>
                <w:vertAlign w:val="subscript"/>
              </w:rPr>
              <w:t>2.3</w:t>
            </w:r>
            <w:proofErr w:type="gramEnd"/>
            <w:r>
              <w:t xml:space="preserve"> &lt;= 50%</w:t>
            </w:r>
          </w:p>
        </w:tc>
        <w:tc>
          <w:tcPr>
            <w:tcW w:w="241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proofErr w:type="gramStart"/>
            <w:r>
              <w:t>А</w:t>
            </w:r>
            <w:r>
              <w:rPr>
                <w:vertAlign w:val="subscript"/>
              </w:rPr>
              <w:t>2.3</w:t>
            </w:r>
            <w:r>
              <w:t xml:space="preserve"> &gt;</w:t>
            </w:r>
            <w:proofErr w:type="gramEnd"/>
            <w:r>
              <w:t xml:space="preserve"> 50%</w:t>
            </w:r>
          </w:p>
        </w:tc>
        <w:tc>
          <w:tcPr>
            <w:tcW w:w="241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tabs>
          <w:tab w:val="left" w:pos="993"/>
        </w:tabs>
        <w:jc w:val="both"/>
      </w:pPr>
    </w:p>
    <w:p>
      <w:pPr>
        <w:tabs>
          <w:tab w:val="left" w:pos="993"/>
        </w:tabs>
        <w:jc w:val="both"/>
      </w:pPr>
    </w:p>
    <w:p>
      <w:pPr>
        <w:tabs>
          <w:tab w:val="left" w:pos="993"/>
        </w:tabs>
        <w:jc w:val="both"/>
      </w:pPr>
    </w:p>
    <w:p>
      <w:pPr>
        <w:tabs>
          <w:tab w:val="left" w:pos="993"/>
        </w:tabs>
        <w:jc w:val="both"/>
      </w:pPr>
    </w:p>
    <w:p>
      <w:pPr>
        <w:tabs>
          <w:tab w:val="left" w:pos="993"/>
        </w:tabs>
        <w:jc w:val="both"/>
      </w:pPr>
    </w:p>
    <w:p>
      <w:pPr>
        <w:tabs>
          <w:tab w:val="left" w:pos="993"/>
        </w:tabs>
        <w:jc w:val="both"/>
      </w:pPr>
    </w:p>
    <w:p>
      <w:pPr>
        <w:tabs>
          <w:tab w:val="left" w:pos="993"/>
        </w:tabs>
        <w:ind w:firstLine="709"/>
        <w:jc w:val="both"/>
        <w:rPr>
          <w:color w:val="000000"/>
        </w:rPr>
      </w:pPr>
      <w:r>
        <w:t xml:space="preserve">Максимальная оценка 5 баллов присвоена семи ГАБС: Управлению образования, Управлению культуры, УМСП </w:t>
      </w:r>
      <w:proofErr w:type="spellStart"/>
      <w:r>
        <w:t>ФКиС</w:t>
      </w:r>
      <w:proofErr w:type="spellEnd"/>
      <w:r>
        <w:t xml:space="preserve">, Администрации, УКС, УВГТ, Финансовому управлению. Двум ГАБС снижена оценка по причине наличия дебиторской задолженности: до 3 баллов -  УЖКХ </w:t>
      </w:r>
      <w:proofErr w:type="spellStart"/>
      <w:r>
        <w:t>ТиС</w:t>
      </w:r>
      <w:proofErr w:type="spellEnd"/>
      <w:r>
        <w:t xml:space="preserve">, до 0 </w:t>
      </w:r>
      <w:proofErr w:type="gramStart"/>
      <w:r>
        <w:t>баллов  -</w:t>
      </w:r>
      <w:proofErr w:type="gramEnd"/>
      <w:r>
        <w:t xml:space="preserve"> УИО.  УЧС присвоено 0 баллов в виду отсутствия доходов, закрепленных за ГАБС в отчетном финансовом году. </w:t>
      </w:r>
    </w:p>
    <w:p>
      <w:pPr>
        <w:autoSpaceDE w:val="0"/>
        <w:autoSpaceDN w:val="0"/>
        <w:adjustRightInd w:val="0"/>
        <w:jc w:val="right"/>
        <w:outlineLvl w:val="1"/>
      </w:pPr>
      <w:r>
        <w:t xml:space="preserve">Таблица 6                                                                                                        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64"/>
        <w:gridCol w:w="2190"/>
        <w:gridCol w:w="1597"/>
        <w:gridCol w:w="1571"/>
        <w:gridCol w:w="1276"/>
      </w:tblGrid>
      <w:tr>
        <w:trPr>
          <w:trHeight w:val="1232"/>
        </w:trPr>
        <w:tc>
          <w:tcPr>
            <w:tcW w:w="286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ГАБС </w:t>
            </w:r>
          </w:p>
        </w:tc>
        <w:tc>
          <w:tcPr>
            <w:tcW w:w="2190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 дебиторской задолженности по расчетам с дебиторами по доходам в отчетном финансовом году,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97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 xml:space="preserve">Исполнено доходов,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7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>2.2,   %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  <w:vertAlign w:val="subscript"/>
              </w:rPr>
              <w:t>(100*гр.2/гр.3)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9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7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219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468,85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1 667 483,21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0,03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219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177 123,52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219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97 838,06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219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10 549,11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37 275,33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28,30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219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25,05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83 718,86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0,03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219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7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219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122 340,47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149 613,97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81,77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219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219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236 362,86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219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12 281,52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219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1 435 262,00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>
      <w:pPr>
        <w:tabs>
          <w:tab w:val="left" w:pos="993"/>
        </w:tabs>
        <w:ind w:left="709"/>
        <w:jc w:val="both"/>
        <w:rPr>
          <w:sz w:val="16"/>
          <w:szCs w:val="16"/>
        </w:rPr>
      </w:pPr>
    </w:p>
    <w:p>
      <w:pPr>
        <w:tabs>
          <w:tab w:val="left" w:pos="993"/>
        </w:tabs>
        <w:ind w:firstLine="709"/>
        <w:jc w:val="both"/>
      </w:pPr>
      <w:r>
        <w:t xml:space="preserve">4) По </w:t>
      </w:r>
      <w:proofErr w:type="gramStart"/>
      <w:r>
        <w:t xml:space="preserve">показателю  </w:t>
      </w:r>
      <w:r>
        <w:rPr>
          <w:b/>
        </w:rPr>
        <w:t>А</w:t>
      </w:r>
      <w:r>
        <w:rPr>
          <w:b/>
          <w:vertAlign w:val="subscript"/>
        </w:rPr>
        <w:t>2.4</w:t>
      </w:r>
      <w:proofErr w:type="gramEnd"/>
      <w:r>
        <w:rPr>
          <w:b/>
          <w:vertAlign w:val="subscript"/>
        </w:rPr>
        <w:t xml:space="preserve">. </w:t>
      </w:r>
      <w:r>
        <w:t xml:space="preserve"> «Эффективность управления просроченной кредиторской задолженностью по расчетам с поставщиками, подрядчиками и исполнителями» о</w:t>
      </w:r>
      <w:r>
        <w:t>ценка проводится в соответствии со следующими показателями:</w:t>
      </w:r>
    </w:p>
    <w:tbl>
      <w:tblPr>
        <w:tblpPr w:leftFromText="180" w:rightFromText="180" w:vertAnchor="text" w:horzAnchor="page" w:tblpX="2401" w:tblpY="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722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72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А</w:t>
            </w:r>
            <w:r>
              <w:rPr>
                <w:vertAlign w:val="subscript"/>
              </w:rPr>
              <w:t>2.4</w:t>
            </w:r>
            <w:r>
              <w:t xml:space="preserve"> = 0</w:t>
            </w:r>
          </w:p>
        </w:tc>
        <w:tc>
          <w:tcPr>
            <w:tcW w:w="272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 xml:space="preserve">0% </w:t>
            </w:r>
            <w:proofErr w:type="gramStart"/>
            <w:r>
              <w:t>&lt; А</w:t>
            </w:r>
            <w:r>
              <w:rPr>
                <w:vertAlign w:val="subscript"/>
              </w:rPr>
              <w:t>2.4</w:t>
            </w:r>
            <w:proofErr w:type="gramEnd"/>
            <w:r>
              <w:t xml:space="preserve"> &lt;= 0,2%</w:t>
            </w:r>
          </w:p>
        </w:tc>
        <w:tc>
          <w:tcPr>
            <w:tcW w:w="272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proofErr w:type="gramStart"/>
            <w:r>
              <w:t>А</w:t>
            </w:r>
            <w:r>
              <w:rPr>
                <w:vertAlign w:val="subscript"/>
              </w:rPr>
              <w:t>2.4</w:t>
            </w:r>
            <w:r>
              <w:t xml:space="preserve"> &gt;</w:t>
            </w:r>
            <w:proofErr w:type="gramEnd"/>
            <w:r>
              <w:t xml:space="preserve"> 0,2%</w:t>
            </w:r>
          </w:p>
        </w:tc>
        <w:tc>
          <w:tcPr>
            <w:tcW w:w="272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tabs>
          <w:tab w:val="left" w:pos="993"/>
        </w:tabs>
        <w:ind w:firstLine="709"/>
        <w:jc w:val="both"/>
      </w:pPr>
    </w:p>
    <w:p>
      <w:pPr>
        <w:tabs>
          <w:tab w:val="left" w:pos="993"/>
        </w:tabs>
        <w:ind w:firstLine="709"/>
        <w:jc w:val="both"/>
      </w:pPr>
    </w:p>
    <w:p>
      <w:pPr>
        <w:tabs>
          <w:tab w:val="left" w:pos="993"/>
        </w:tabs>
        <w:ind w:firstLine="709"/>
        <w:jc w:val="both"/>
      </w:pPr>
    </w:p>
    <w:p>
      <w:pPr>
        <w:tabs>
          <w:tab w:val="left" w:pos="993"/>
        </w:tabs>
        <w:ind w:firstLine="709"/>
        <w:jc w:val="both"/>
      </w:pPr>
    </w:p>
    <w:p>
      <w:pPr>
        <w:tabs>
          <w:tab w:val="left" w:pos="993"/>
        </w:tabs>
        <w:ind w:firstLine="709"/>
        <w:jc w:val="both"/>
      </w:pPr>
    </w:p>
    <w:p>
      <w:pPr>
        <w:tabs>
          <w:tab w:val="left" w:pos="993"/>
        </w:tabs>
        <w:ind w:firstLine="709"/>
        <w:jc w:val="both"/>
      </w:pPr>
      <w:r>
        <w:t xml:space="preserve">Просроченная кредиторская задолженность (без учета задолженности казенных, бюджетных, автономных учреждений) по состоянию на 01.01.2022 отсутствует у всех ГАБС. Оценка показателя – 5 баллов. </w:t>
      </w:r>
    </w:p>
    <w:p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По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показателю  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  <w:vertAlign w:val="subscript"/>
        </w:rPr>
        <w:t>2.5</w:t>
      </w:r>
      <w:proofErr w:type="gramEnd"/>
      <w:r>
        <w:rPr>
          <w:rFonts w:ascii="Times New Roman" w:hAnsi="Times New Roman" w:cs="Times New Roman"/>
          <w:b/>
          <w:sz w:val="24"/>
          <w:szCs w:val="24"/>
          <w:vertAlign w:val="subscript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«Соблюдение установленных сроков представления ГАБС годовой бюджетной/бухгалтерской отчетности в АИС «БАРС. </w:t>
      </w:r>
      <w:proofErr w:type="spellStart"/>
      <w:r>
        <w:rPr>
          <w:rFonts w:ascii="Times New Roman" w:hAnsi="Times New Roman" w:cs="Times New Roman"/>
          <w:sz w:val="24"/>
          <w:szCs w:val="24"/>
        </w:rPr>
        <w:t>Web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–бюджетный учет» о</w:t>
      </w:r>
      <w:r>
        <w:rPr>
          <w:rFonts w:ascii="Times New Roman" w:hAnsi="Times New Roman" w:cs="Times New Roman"/>
          <w:sz w:val="24"/>
          <w:szCs w:val="24"/>
        </w:rPr>
        <w:t>ценка проводится в соответствии со следующими показателями:</w:t>
      </w:r>
    </w:p>
    <w:tbl>
      <w:tblPr>
        <w:tblpPr w:leftFromText="180" w:rightFromText="180" w:vertAnchor="text" w:horzAnchor="page" w:tblpX="2437" w:tblpY="5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55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А</w:t>
            </w:r>
            <w:r>
              <w:rPr>
                <w:vertAlign w:val="subscript"/>
              </w:rPr>
              <w:t>2.5</w:t>
            </w:r>
            <w:r>
              <w:t xml:space="preserve"> = 0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 &lt; А</w:t>
            </w:r>
            <w:r>
              <w:rPr>
                <w:vertAlign w:val="subscript"/>
              </w:rPr>
              <w:t>2.5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всем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ГАБС  –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5 баллов.</w:t>
      </w:r>
    </w:p>
    <w:p>
      <w:pPr>
        <w:autoSpaceDE w:val="0"/>
        <w:autoSpaceDN w:val="0"/>
        <w:adjustRightInd w:val="0"/>
        <w:ind w:left="709"/>
        <w:jc w:val="both"/>
        <w:outlineLvl w:val="1"/>
        <w:rPr>
          <w:sz w:val="16"/>
          <w:szCs w:val="16"/>
        </w:rPr>
      </w:pPr>
    </w:p>
    <w:p>
      <w:pPr>
        <w:ind w:firstLine="709"/>
        <w:jc w:val="both"/>
      </w:pPr>
      <w:r>
        <w:t xml:space="preserve">6) Показатель </w:t>
      </w:r>
      <w:r>
        <w:rPr>
          <w:b/>
        </w:rPr>
        <w:t>А</w:t>
      </w:r>
      <w:r>
        <w:rPr>
          <w:b/>
          <w:vertAlign w:val="subscript"/>
        </w:rPr>
        <w:t>2.6.  </w:t>
      </w:r>
      <w:r>
        <w:t xml:space="preserve">«Качество формирования годовой бюджетной отчетности в АИС «БАРС. </w:t>
      </w:r>
      <w:proofErr w:type="spellStart"/>
      <w:r>
        <w:t>Web</w:t>
      </w:r>
      <w:proofErr w:type="spellEnd"/>
      <w:r>
        <w:t xml:space="preserve"> –бюджетный учет».</w:t>
      </w:r>
    </w:p>
    <w:p>
      <w:pPr>
        <w:ind w:firstLine="709"/>
        <w:jc w:val="both"/>
      </w:pPr>
      <w:r>
        <w:t>Максимальную оценку получили два ГАБС: Управление образования и Управление культуры. Остальные ГАБС получили оценку в зависимости от количества форм отчетности, представленных с ошибками.</w:t>
      </w:r>
    </w:p>
    <w:p>
      <w:pPr>
        <w:tabs>
          <w:tab w:val="left" w:pos="4962"/>
        </w:tabs>
        <w:ind w:left="-142"/>
        <w:jc w:val="center"/>
      </w:pPr>
      <w:r>
        <w:t xml:space="preserve">                                                                                                                                            Таблица 7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73"/>
        <w:gridCol w:w="1317"/>
        <w:gridCol w:w="1520"/>
        <w:gridCol w:w="1946"/>
      </w:tblGrid>
      <w:tr>
        <w:trPr>
          <w:trHeight w:val="787"/>
        </w:trPr>
        <w:tc>
          <w:tcPr>
            <w:tcW w:w="4573" w:type="dxa"/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Наименование ГАБС</w:t>
            </w:r>
          </w:p>
        </w:tc>
        <w:tc>
          <w:tcPr>
            <w:tcW w:w="1317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</w:t>
            </w:r>
            <w:proofErr w:type="gramStart"/>
            <w:r>
              <w:rPr>
                <w:sz w:val="22"/>
                <w:szCs w:val="22"/>
              </w:rPr>
              <w:t>форм  с</w:t>
            </w:r>
            <w:proofErr w:type="gramEnd"/>
            <w:r>
              <w:rPr>
                <w:sz w:val="22"/>
                <w:szCs w:val="22"/>
              </w:rPr>
              <w:t xml:space="preserve"> ошибками</w:t>
            </w:r>
          </w:p>
        </w:tc>
        <w:tc>
          <w:tcPr>
            <w:tcW w:w="1520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форм всего</w:t>
            </w:r>
          </w:p>
        </w:tc>
        <w:tc>
          <w:tcPr>
            <w:tcW w:w="1946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баллов, ед.</w:t>
            </w:r>
          </w:p>
          <w:p>
            <w:pPr>
              <w:jc w:val="center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  <w:vertAlign w:val="subscript"/>
              </w:rPr>
              <w:t xml:space="preserve"> 5-(2)/(3)*5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2,6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4,4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2,8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4,6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3,9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4,7</w:t>
            </w:r>
          </w:p>
        </w:tc>
      </w:tr>
    </w:tbl>
    <w:p>
      <w:pPr>
        <w:tabs>
          <w:tab w:val="left" w:pos="993"/>
        </w:tabs>
        <w:ind w:left="709"/>
        <w:jc w:val="both"/>
        <w:rPr>
          <w:sz w:val="16"/>
          <w:szCs w:val="16"/>
        </w:rPr>
      </w:pPr>
    </w:p>
    <w:p>
      <w:pPr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>
        <w:t xml:space="preserve">По </w:t>
      </w:r>
      <w:proofErr w:type="gramStart"/>
      <w:r>
        <w:t xml:space="preserve">показателю  </w:t>
      </w:r>
      <w:r>
        <w:rPr>
          <w:b/>
        </w:rPr>
        <w:t>А</w:t>
      </w:r>
      <w:r>
        <w:rPr>
          <w:b/>
          <w:vertAlign w:val="subscript"/>
        </w:rPr>
        <w:t>2.7</w:t>
      </w:r>
      <w:proofErr w:type="gramEnd"/>
      <w:r>
        <w:rPr>
          <w:b/>
          <w:vertAlign w:val="subscript"/>
        </w:rPr>
        <w:t xml:space="preserve">. </w:t>
      </w:r>
      <w:r>
        <w:t xml:space="preserve"> «Качество управления средствами бюджета в части межбюджетных трансфертов» отражается эффективность (полнота) использования средств межбюджетных трансфертов анализировалось управление целевыми межбюджетными трансфертами. </w:t>
      </w:r>
    </w:p>
    <w:p>
      <w:pPr>
        <w:autoSpaceDE w:val="0"/>
        <w:autoSpaceDN w:val="0"/>
        <w:adjustRightInd w:val="0"/>
        <w:ind w:left="720"/>
        <w:jc w:val="both"/>
        <w:outlineLvl w:val="1"/>
      </w:pPr>
    </w:p>
    <w:p>
      <w:pPr>
        <w:autoSpaceDE w:val="0"/>
        <w:autoSpaceDN w:val="0"/>
        <w:adjustRightInd w:val="0"/>
        <w:ind w:left="720"/>
        <w:jc w:val="both"/>
        <w:outlineLvl w:val="1"/>
      </w:pPr>
    </w:p>
    <w:p>
      <w:pPr>
        <w:autoSpaceDE w:val="0"/>
        <w:autoSpaceDN w:val="0"/>
        <w:adjustRightInd w:val="0"/>
        <w:ind w:left="720"/>
        <w:jc w:val="both"/>
        <w:outlineLvl w:val="1"/>
      </w:pPr>
      <w:r>
        <w:lastRenderedPageBreak/>
        <w:t>Оценка проводится в соответствии со следующими показателями:</w:t>
      </w:r>
    </w:p>
    <w:tbl>
      <w:tblPr>
        <w:tblW w:w="0" w:type="auto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418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А</w:t>
            </w:r>
            <w:r>
              <w:rPr>
                <w:vertAlign w:val="subscript"/>
              </w:rPr>
              <w:t>2.7</w:t>
            </w:r>
            <w:r>
              <w:t xml:space="preserve"> = 100%</w:t>
            </w:r>
          </w:p>
        </w:tc>
        <w:tc>
          <w:tcPr>
            <w:tcW w:w="2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 xml:space="preserve">80% </w:t>
            </w:r>
            <w:proofErr w:type="gramStart"/>
            <w:r>
              <w:t>&lt; А</w:t>
            </w:r>
            <w:r>
              <w:rPr>
                <w:vertAlign w:val="subscript"/>
              </w:rPr>
              <w:t>2.7</w:t>
            </w:r>
            <w:proofErr w:type="gramEnd"/>
            <w:r>
              <w:t xml:space="preserve"> &lt; 100%</w:t>
            </w:r>
          </w:p>
        </w:tc>
        <w:tc>
          <w:tcPr>
            <w:tcW w:w="2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 xml:space="preserve">50% </w:t>
            </w:r>
            <w:proofErr w:type="gramStart"/>
            <w:r>
              <w:t>&lt; А</w:t>
            </w:r>
            <w:r>
              <w:rPr>
                <w:vertAlign w:val="subscript"/>
              </w:rPr>
              <w:t>2.7</w:t>
            </w:r>
            <w:proofErr w:type="gramEnd"/>
            <w:r>
              <w:t xml:space="preserve"> &lt;= 80%</w:t>
            </w:r>
          </w:p>
        </w:tc>
        <w:tc>
          <w:tcPr>
            <w:tcW w:w="2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А</w:t>
            </w:r>
            <w:r>
              <w:rPr>
                <w:vertAlign w:val="subscript"/>
              </w:rPr>
              <w:t>2.7</w:t>
            </w:r>
            <w:r>
              <w:t xml:space="preserve"> &lt;= 50%</w:t>
            </w:r>
          </w:p>
        </w:tc>
        <w:tc>
          <w:tcPr>
            <w:tcW w:w="2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Максимальный показатель в 5 баллов достигнут </w:t>
      </w:r>
      <w:r>
        <w:t xml:space="preserve">Управлением культуры, </w:t>
      </w:r>
      <w:r>
        <w:t>УМСП</w:t>
      </w:r>
      <w:r>
        <w:t> </w:t>
      </w:r>
      <w:proofErr w:type="spellStart"/>
      <w:r>
        <w:t>ФКиС</w:t>
      </w:r>
      <w:proofErr w:type="spellEnd"/>
      <w:r>
        <w:t>,</w:t>
      </w:r>
      <w:r>
        <w:t xml:space="preserve"> УКС</w:t>
      </w:r>
      <w:r>
        <w:t xml:space="preserve"> и УВГТ</w:t>
      </w:r>
      <w:r>
        <w:t>.</w:t>
      </w:r>
    </w:p>
    <w:p>
      <w:pPr>
        <w:autoSpaceDE w:val="0"/>
        <w:autoSpaceDN w:val="0"/>
        <w:adjustRightInd w:val="0"/>
        <w:jc w:val="right"/>
        <w:outlineLvl w:val="1"/>
      </w:pPr>
      <w:r>
        <w:t xml:space="preserve"> Таблица 8                                                                                                               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1814"/>
        <w:gridCol w:w="1597"/>
        <w:gridCol w:w="1429"/>
        <w:gridCol w:w="1276"/>
      </w:tblGrid>
      <w:tr>
        <w:trPr>
          <w:trHeight w:val="874"/>
        </w:trPr>
        <w:tc>
          <w:tcPr>
            <w:tcW w:w="3240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ГАБС </w:t>
            </w:r>
          </w:p>
        </w:tc>
        <w:tc>
          <w:tcPr>
            <w:tcW w:w="181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Кассовый расход по средствам МБТ, </w:t>
            </w:r>
            <w:proofErr w:type="spellStart"/>
            <w:r>
              <w:rPr>
                <w:sz w:val="20"/>
                <w:szCs w:val="20"/>
              </w:rPr>
              <w:t>тыс.руб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597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</w:rPr>
              <w:t xml:space="preserve">Доведено МБТ, </w:t>
            </w:r>
            <w:proofErr w:type="spellStart"/>
            <w:r>
              <w:rPr>
                <w:sz w:val="20"/>
                <w:szCs w:val="20"/>
              </w:rPr>
              <w:t>тыс.руб</w:t>
            </w:r>
            <w:proofErr w:type="spellEnd"/>
            <w:r>
              <w:rPr>
                <w:sz w:val="20"/>
                <w:szCs w:val="20"/>
              </w:rPr>
              <w:t>. (бюджетные ассигнования)</w:t>
            </w:r>
          </w:p>
        </w:tc>
        <w:tc>
          <w:tcPr>
            <w:tcW w:w="1429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</w:rPr>
              <w:t>Значение показателя А</w:t>
            </w:r>
            <w:r>
              <w:rPr>
                <w:sz w:val="20"/>
                <w:szCs w:val="20"/>
                <w:vertAlign w:val="subscript"/>
              </w:rPr>
              <w:t>2.7,   %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(100*гр.2/гр.3)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2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1814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1 666 297,87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1 678 701,48</w:t>
            </w:r>
          </w:p>
        </w:tc>
        <w:tc>
          <w:tcPr>
            <w:tcW w:w="1429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99,3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1814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178 981,10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179 357,80</w:t>
            </w:r>
          </w:p>
        </w:tc>
        <w:tc>
          <w:tcPr>
            <w:tcW w:w="1429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1814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95 047,24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95 047,24</w:t>
            </w:r>
          </w:p>
        </w:tc>
        <w:tc>
          <w:tcPr>
            <w:tcW w:w="1429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814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23 643,85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29 314,98</w:t>
            </w:r>
          </w:p>
        </w:tc>
        <w:tc>
          <w:tcPr>
            <w:tcW w:w="1429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80,7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1814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78 437,96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84 194,56</w:t>
            </w:r>
          </w:p>
        </w:tc>
        <w:tc>
          <w:tcPr>
            <w:tcW w:w="1429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93,2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1814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9 648,40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10 101,13</w:t>
            </w:r>
          </w:p>
        </w:tc>
        <w:tc>
          <w:tcPr>
            <w:tcW w:w="1429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95,5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1814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429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1814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236 067,49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236 079,45</w:t>
            </w:r>
          </w:p>
        </w:tc>
        <w:tc>
          <w:tcPr>
            <w:tcW w:w="1429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1814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13 301,04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13 327,96</w:t>
            </w:r>
          </w:p>
        </w:tc>
        <w:tc>
          <w:tcPr>
            <w:tcW w:w="1429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1814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429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>
      <w:pPr>
        <w:ind w:firstLine="709"/>
        <w:jc w:val="both"/>
        <w:rPr>
          <w:sz w:val="16"/>
          <w:szCs w:val="16"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8) По показателю </w:t>
      </w:r>
      <w:r>
        <w:rPr>
          <w:b/>
        </w:rPr>
        <w:t>А</w:t>
      </w:r>
      <w:r>
        <w:rPr>
          <w:b/>
          <w:vertAlign w:val="subscript"/>
        </w:rPr>
        <w:t>2.8.  </w:t>
      </w:r>
      <w:r>
        <w:t>«Качество информации, представляемой участниками процесса ведения реестра источников доходов бюджета ЗАТО Северск» о</w:t>
      </w:r>
      <w:r>
        <w:t>ценка проводится в соответствии со следующими показателями:</w:t>
      </w:r>
    </w:p>
    <w:tbl>
      <w:tblPr>
        <w:tblpPr w:leftFromText="180" w:rightFromText="180" w:vertAnchor="text" w:horzAnchor="page" w:tblpX="2473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276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2.8</w:t>
            </w:r>
            <w:r>
              <w:t xml:space="preserve"> = 0</w:t>
            </w:r>
          </w:p>
        </w:tc>
        <w:tc>
          <w:tcPr>
            <w:tcW w:w="2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 xml:space="preserve">1 </w:t>
            </w:r>
            <w:proofErr w:type="gramStart"/>
            <w:r>
              <w:t>&lt; А</w:t>
            </w:r>
            <w:r>
              <w:rPr>
                <w:vertAlign w:val="subscript"/>
              </w:rPr>
              <w:t>2.8</w:t>
            </w:r>
            <w:proofErr w:type="gramEnd"/>
            <w:r>
              <w:t xml:space="preserve"> &lt; 5</w:t>
            </w:r>
          </w:p>
        </w:tc>
        <w:tc>
          <w:tcPr>
            <w:tcW w:w="2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rPr>
          <w:trHeight w:val="323"/>
        </w:trP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proofErr w:type="gramStart"/>
            <w:r>
              <w:t>А</w:t>
            </w:r>
            <w:r>
              <w:rPr>
                <w:vertAlign w:val="subscript"/>
              </w:rPr>
              <w:t>2.8</w:t>
            </w:r>
            <w:r>
              <w:t xml:space="preserve"> &gt;</w:t>
            </w:r>
            <w:proofErr w:type="gramEnd"/>
            <w:r>
              <w:t xml:space="preserve"> 5</w:t>
            </w:r>
          </w:p>
        </w:tc>
        <w:tc>
          <w:tcPr>
            <w:tcW w:w="2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  <w:rPr>
          <w:sz w:val="16"/>
          <w:szCs w:val="16"/>
        </w:rPr>
      </w:pPr>
    </w:p>
    <w:p>
      <w:pPr>
        <w:ind w:firstLine="709"/>
        <w:jc w:val="both"/>
      </w:pPr>
      <w:r>
        <w:t xml:space="preserve">Всеми </w:t>
      </w:r>
      <w:proofErr w:type="gramStart"/>
      <w:r>
        <w:t>ГАБС  получено</w:t>
      </w:r>
      <w:proofErr w:type="gramEnd"/>
      <w:r>
        <w:t xml:space="preserve"> по 5 баллов, отрицательные уведомления о результатах проверки этим ГАБС не направлялись. 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  <w:sz w:val="16"/>
          <w:szCs w:val="16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>
        <w:rPr>
          <w:b/>
          <w:i/>
        </w:rPr>
        <w:t>По направлению «Исполнение бюджета ЗАТО Северск и формирование бюджетной отчетности» оценивался менеджмент по 8 показателям. Максимальное количество баллов, возможное по данному направлению – 40 баллов. Наибольшее количество баллов присвоено Управлению образования (36 баллов), Управлению культуры (35 баллов) и  УКС (34,5 балла)</w:t>
      </w:r>
      <w:bookmarkStart w:id="0" w:name="_GoBack"/>
      <w:bookmarkEnd w:id="0"/>
      <w:r>
        <w:rPr>
          <w:b/>
          <w:i/>
        </w:rPr>
        <w:t>.</w:t>
      </w:r>
    </w:p>
    <w:p>
      <w:pPr>
        <w:autoSpaceDE w:val="0"/>
        <w:autoSpaceDN w:val="0"/>
        <w:adjustRightInd w:val="0"/>
        <w:jc w:val="both"/>
        <w:outlineLvl w:val="1"/>
        <w:rPr>
          <w:b/>
          <w:i/>
        </w:rPr>
      </w:pPr>
      <w:r>
        <w:rPr>
          <w:noProof/>
        </w:rPr>
        <w:drawing>
          <wp:inline distT="0" distB="0" distL="0" distR="0">
            <wp:extent cx="6233160" cy="2476500"/>
            <wp:effectExtent l="0" t="0" r="0" b="0"/>
            <wp:docPr id="11" name="Объект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>
      <w:pPr>
        <w:autoSpaceDE w:val="0"/>
        <w:autoSpaceDN w:val="0"/>
        <w:adjustRightInd w:val="0"/>
        <w:ind w:left="-284" w:firstLine="426"/>
        <w:jc w:val="center"/>
        <w:outlineLvl w:val="1"/>
      </w:pPr>
      <w:r>
        <w:rPr>
          <w:noProof/>
        </w:rPr>
        <w:t xml:space="preserve">Рисунок 2 – Итоговое количество баллов по разделу </w:t>
      </w:r>
      <w:r>
        <w:rPr>
          <w:noProof/>
          <w:lang w:val="en-US"/>
        </w:rPr>
        <w:t>I</w:t>
      </w:r>
      <w:r>
        <w:rPr>
          <w:noProof/>
        </w:rPr>
        <w:t>I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r>
        <w:rPr>
          <w:b/>
        </w:rPr>
        <w:lastRenderedPageBreak/>
        <w:t>3. Направление «Управлению деятельностью муниципальных учреждений»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По данному направлению оцениваются семь ГАБС, имеющие подведомственные муниципальные учреждения: Управление образования, Управление культуры, УМСП </w:t>
      </w:r>
      <w:proofErr w:type="spellStart"/>
      <w:r>
        <w:t>ФКиС</w:t>
      </w:r>
      <w:proofErr w:type="spellEnd"/>
      <w:r>
        <w:t xml:space="preserve">, УЖКХ </w:t>
      </w:r>
      <w:proofErr w:type="spellStart"/>
      <w:r>
        <w:t>ТиС</w:t>
      </w:r>
      <w:proofErr w:type="spellEnd"/>
      <w:r>
        <w:t xml:space="preserve">, Администрация, УИО, УЧС. 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Показатели, по вопросам, касающимся муниципальных заданий, оценены по четырем ГАБС, которые в 2021 году формировали муниципальные задания на оказание муниципальных услуг (работ): Управление образования, Управление культуры, УМСП </w:t>
      </w:r>
      <w:proofErr w:type="spellStart"/>
      <w:r>
        <w:t>ФКиС</w:t>
      </w:r>
      <w:proofErr w:type="spellEnd"/>
      <w:r>
        <w:t xml:space="preserve"> и УЖКХ </w:t>
      </w:r>
      <w:proofErr w:type="spellStart"/>
      <w:r>
        <w:t>ТиС</w:t>
      </w:r>
      <w:proofErr w:type="spellEnd"/>
      <w:r>
        <w:t xml:space="preserve">. 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Оценка качества выполнялась по девяти показателям.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1) По показателю </w:t>
      </w:r>
      <w:r>
        <w:rPr>
          <w:b/>
        </w:rPr>
        <w:t>А</w:t>
      </w:r>
      <w:r>
        <w:rPr>
          <w:b/>
          <w:vertAlign w:val="subscript"/>
        </w:rPr>
        <w:t xml:space="preserve">3.1. </w:t>
      </w:r>
      <w:r>
        <w:t>«Наличие результатов контроля за исполнением муниципальных заданий, оформленных по форме, утвержденной соответствующим приказом учредителя» на предоставление муниципальных услуг (выполнение работ) в соответствии с постановлением Администрации ЗАТО Северск от 02.11.2015 № 2457.</w:t>
      </w:r>
    </w:p>
    <w:p>
      <w:pPr>
        <w:autoSpaceDE w:val="0"/>
        <w:autoSpaceDN w:val="0"/>
        <w:adjustRightInd w:val="0"/>
        <w:ind w:left="720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418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3.1</w:t>
            </w:r>
            <w:r>
              <w:t xml:space="preserve"> = 100%</w:t>
            </w:r>
          </w:p>
        </w:tc>
        <w:tc>
          <w:tcPr>
            <w:tcW w:w="2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50% &lt;= А</w:t>
            </w:r>
            <w:r>
              <w:rPr>
                <w:vertAlign w:val="subscript"/>
              </w:rPr>
              <w:t>3.1</w:t>
            </w:r>
            <w:r>
              <w:t xml:space="preserve"> </w:t>
            </w:r>
            <w:proofErr w:type="gramStart"/>
            <w:r>
              <w:t>&lt; 100</w:t>
            </w:r>
            <w:proofErr w:type="gramEnd"/>
            <w:r>
              <w:t>%</w:t>
            </w:r>
          </w:p>
        </w:tc>
        <w:tc>
          <w:tcPr>
            <w:tcW w:w="2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3.1</w:t>
            </w:r>
            <w:r>
              <w:t xml:space="preserve"> </w:t>
            </w:r>
            <w:proofErr w:type="gramStart"/>
            <w:r>
              <w:t>&lt; 50</w:t>
            </w:r>
            <w:proofErr w:type="gramEnd"/>
            <w:r>
              <w:t>%</w:t>
            </w:r>
          </w:p>
        </w:tc>
        <w:tc>
          <w:tcPr>
            <w:tcW w:w="2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3.1</w:t>
            </w:r>
            <w:r>
              <w:t xml:space="preserve"> = 0%</w:t>
            </w:r>
          </w:p>
        </w:tc>
        <w:tc>
          <w:tcPr>
            <w:tcW w:w="2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sz w:val="16"/>
          <w:szCs w:val="16"/>
        </w:rPr>
      </w:pPr>
      <w:proofErr w:type="gramStart"/>
      <w:r>
        <w:t xml:space="preserve">Четыре </w:t>
      </w:r>
      <w:r>
        <w:t xml:space="preserve"> ГАБС</w:t>
      </w:r>
      <w:proofErr w:type="gramEnd"/>
      <w:r>
        <w:t xml:space="preserve"> получили максимальное количество баллов.  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2) По показателю </w:t>
      </w:r>
      <w:r>
        <w:rPr>
          <w:b/>
        </w:rPr>
        <w:t>А</w:t>
      </w:r>
      <w:r>
        <w:rPr>
          <w:b/>
          <w:vertAlign w:val="subscript"/>
        </w:rPr>
        <w:t xml:space="preserve">3.2. </w:t>
      </w:r>
      <w:r>
        <w:t>«Актуализация (усовершенствование) правовых актов ГАБС                           по вопросам, касающимся муниципальных заданий» оценка проводится в соответствии со следующими показателями:</w:t>
      </w:r>
    </w:p>
    <w:tbl>
      <w:tblPr>
        <w:tblW w:w="0" w:type="auto"/>
        <w:tblInd w:w="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00"/>
        <w:gridCol w:w="2552"/>
      </w:tblGrid>
      <w:tr>
        <w:tc>
          <w:tcPr>
            <w:tcW w:w="390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55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39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3.2</w:t>
            </w:r>
            <w:r>
              <w:rPr>
                <w:sz w:val="20"/>
                <w:szCs w:val="20"/>
              </w:rPr>
              <w:t xml:space="preserve"> = актуализируются своевременно</w:t>
            </w:r>
          </w:p>
        </w:tc>
        <w:tc>
          <w:tcPr>
            <w:tcW w:w="255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39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3.2</w:t>
            </w:r>
            <w:r>
              <w:rPr>
                <w:sz w:val="20"/>
                <w:szCs w:val="20"/>
              </w:rPr>
              <w:t xml:space="preserve"> = актуализируются несвоевременно</w:t>
            </w:r>
          </w:p>
        </w:tc>
        <w:tc>
          <w:tcPr>
            <w:tcW w:w="255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sz w:val="16"/>
          <w:szCs w:val="16"/>
        </w:rPr>
      </w:pPr>
      <w:r>
        <w:t xml:space="preserve">В 2021 году УЖКХ </w:t>
      </w:r>
      <w:proofErr w:type="spellStart"/>
      <w:r>
        <w:t>ТиС</w:t>
      </w:r>
      <w:proofErr w:type="spellEnd"/>
      <w:r>
        <w:t xml:space="preserve"> своевременно подготовлены правовые акты по вопросам, касающимся муниципальных заданий, соответственно, присвоено 3 балла. Управление образование, Управление культуры и УМСП </w:t>
      </w:r>
      <w:proofErr w:type="spellStart"/>
      <w:r>
        <w:t>ФКиС</w:t>
      </w:r>
      <w:proofErr w:type="spellEnd"/>
      <w:r>
        <w:t xml:space="preserve"> – 0 баллов. 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3) По показателю </w:t>
      </w:r>
      <w:r>
        <w:rPr>
          <w:b/>
        </w:rPr>
        <w:t>А</w:t>
      </w:r>
      <w:r>
        <w:rPr>
          <w:b/>
          <w:vertAlign w:val="subscript"/>
        </w:rPr>
        <w:t xml:space="preserve">3.3. </w:t>
      </w:r>
      <w:r>
        <w:t>«Использование результатов мониторинга выполнения муниципальных заданий при планировании бюджетных ассигнований и (или) определении объёма субсидий на выполнение муниципального задания…» оценка проводится в соответствии со следующими показателями:</w:t>
      </w:r>
    </w:p>
    <w:tbl>
      <w:tblPr>
        <w:tblW w:w="0" w:type="auto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15"/>
        <w:gridCol w:w="2552"/>
      </w:tblGrid>
      <w:tr>
        <w:tc>
          <w:tcPr>
            <w:tcW w:w="391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55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391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3.3</w:t>
            </w:r>
            <w:r>
              <w:rPr>
                <w:sz w:val="20"/>
                <w:szCs w:val="20"/>
              </w:rPr>
              <w:t xml:space="preserve"> = результаты используются</w:t>
            </w:r>
          </w:p>
        </w:tc>
        <w:tc>
          <w:tcPr>
            <w:tcW w:w="255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391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3.3</w:t>
            </w:r>
            <w:r>
              <w:rPr>
                <w:sz w:val="20"/>
                <w:szCs w:val="20"/>
              </w:rPr>
              <w:t xml:space="preserve"> = результаты не используются</w:t>
            </w:r>
          </w:p>
        </w:tc>
        <w:tc>
          <w:tcPr>
            <w:tcW w:w="255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>Использование результатов осуществлялось четырьмя ГАБС, которым присвоено 3 балла.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sz w:val="16"/>
          <w:szCs w:val="16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4) По показателю </w:t>
      </w:r>
      <w:r>
        <w:rPr>
          <w:b/>
        </w:rPr>
        <w:t>А</w:t>
      </w:r>
      <w:r>
        <w:rPr>
          <w:b/>
          <w:vertAlign w:val="subscript"/>
        </w:rPr>
        <w:t xml:space="preserve">3.4. </w:t>
      </w:r>
      <w:r>
        <w:t>«Качественное и своевременное формирование информации учреждениями по поступлениям и выплатам плановых и фактических показателей плана финансово-хозяйственной деятельности в ИС «АЦК-финансы»» оценка проводится в соответствии со следующими показателями:</w:t>
      </w:r>
    </w:p>
    <w:tbl>
      <w:tblPr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688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68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3.4</w:t>
            </w:r>
            <w:r>
              <w:t xml:space="preserve"> = 100%</w:t>
            </w:r>
          </w:p>
        </w:tc>
        <w:tc>
          <w:tcPr>
            <w:tcW w:w="268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80% &lt;= А</w:t>
            </w:r>
            <w:r>
              <w:rPr>
                <w:vertAlign w:val="subscript"/>
              </w:rPr>
              <w:t>3.4</w:t>
            </w:r>
            <w:r>
              <w:t xml:space="preserve"> </w:t>
            </w:r>
            <w:proofErr w:type="gramStart"/>
            <w:r>
              <w:t>&lt; 100</w:t>
            </w:r>
            <w:proofErr w:type="gramEnd"/>
            <w:r>
              <w:t>%</w:t>
            </w:r>
          </w:p>
        </w:tc>
        <w:tc>
          <w:tcPr>
            <w:tcW w:w="268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3.4</w:t>
            </w:r>
            <w:r>
              <w:t xml:space="preserve"> </w:t>
            </w:r>
            <w:proofErr w:type="gramStart"/>
            <w:r>
              <w:t>&lt; 80</w:t>
            </w:r>
            <w:proofErr w:type="gramEnd"/>
            <w:r>
              <w:t>%</w:t>
            </w:r>
          </w:p>
        </w:tc>
        <w:tc>
          <w:tcPr>
            <w:tcW w:w="268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>Формирования годовых отчетов осуществлялось своевременно и по установленным формам, количество присвоенных баллов - 5.</w:t>
      </w:r>
    </w:p>
    <w:p>
      <w:pPr>
        <w:autoSpaceDE w:val="0"/>
        <w:autoSpaceDN w:val="0"/>
        <w:adjustRightInd w:val="0"/>
        <w:ind w:firstLine="708"/>
        <w:jc w:val="both"/>
        <w:outlineLvl w:val="1"/>
        <w:rPr>
          <w:sz w:val="16"/>
          <w:szCs w:val="16"/>
        </w:rPr>
      </w:pPr>
    </w:p>
    <w:p>
      <w:pPr>
        <w:autoSpaceDE w:val="0"/>
        <w:autoSpaceDN w:val="0"/>
        <w:adjustRightInd w:val="0"/>
        <w:ind w:firstLine="708"/>
        <w:jc w:val="both"/>
        <w:outlineLvl w:val="1"/>
      </w:pPr>
      <w:r>
        <w:lastRenderedPageBreak/>
        <w:t>5) По показателю</w:t>
      </w:r>
      <w:r>
        <w:rPr>
          <w:b/>
        </w:rPr>
        <w:t xml:space="preserve"> А</w:t>
      </w:r>
      <w:r>
        <w:rPr>
          <w:b/>
          <w:vertAlign w:val="subscript"/>
        </w:rPr>
        <w:t xml:space="preserve">3.5. </w:t>
      </w:r>
      <w:r>
        <w:rPr>
          <w:b/>
        </w:rPr>
        <w:t xml:space="preserve"> </w:t>
      </w:r>
      <w:r>
        <w:t>«Размещение и своевременное обновление информации о муниципальных учреждениях на Официальном сайте bus.gov.ru» произведен мониторинг данных, размещенных на указанном сайте.</w:t>
      </w:r>
    </w:p>
    <w:p>
      <w:pPr>
        <w:autoSpaceDE w:val="0"/>
        <w:autoSpaceDN w:val="0"/>
        <w:adjustRightInd w:val="0"/>
        <w:ind w:firstLine="708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763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76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3.5</w:t>
            </w:r>
            <w:r>
              <w:t xml:space="preserve"> = 100%</w:t>
            </w:r>
          </w:p>
        </w:tc>
        <w:tc>
          <w:tcPr>
            <w:tcW w:w="276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3.5</w:t>
            </w:r>
            <w:r>
              <w:t xml:space="preserve"> </w:t>
            </w:r>
            <w:proofErr w:type="gramStart"/>
            <w:r>
              <w:t>&lt; 100</w:t>
            </w:r>
            <w:proofErr w:type="gramEnd"/>
            <w:r>
              <w:t>%</w:t>
            </w:r>
          </w:p>
        </w:tc>
        <w:tc>
          <w:tcPr>
            <w:tcW w:w="276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>Максимальное количество баллов у двух ГАБС: Управления культуры и УМСП </w:t>
      </w:r>
      <w:proofErr w:type="spellStart"/>
      <w:r>
        <w:t>ФКиС</w:t>
      </w:r>
      <w:proofErr w:type="spellEnd"/>
      <w:r>
        <w:t xml:space="preserve">. Управлению образования, УЖКХ </w:t>
      </w:r>
      <w:proofErr w:type="spellStart"/>
      <w:r>
        <w:t>ТиС</w:t>
      </w:r>
      <w:proofErr w:type="spellEnd"/>
      <w:r>
        <w:t>, УИО и УЧС необходимо усилить контроль за размещением подведомственными учреждениями информации на официальном сайте bus.gov.ru.</w:t>
      </w:r>
    </w:p>
    <w:p>
      <w:pPr>
        <w:autoSpaceDE w:val="0"/>
        <w:autoSpaceDN w:val="0"/>
        <w:adjustRightInd w:val="0"/>
        <w:jc w:val="right"/>
        <w:outlineLvl w:val="1"/>
      </w:pPr>
      <w:r>
        <w:t xml:space="preserve">Таблица 9                                                                                                               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2126"/>
        <w:gridCol w:w="1843"/>
        <w:gridCol w:w="1275"/>
        <w:gridCol w:w="1418"/>
      </w:tblGrid>
      <w:tr>
        <w:tc>
          <w:tcPr>
            <w:tcW w:w="269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ГАБС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учреждений, разместивших данные своевременно и в полном объеме</w:t>
            </w:r>
          </w:p>
        </w:tc>
        <w:tc>
          <w:tcPr>
            <w:tcW w:w="184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Общее число учреждений</w:t>
            </w:r>
          </w:p>
        </w:tc>
        <w:tc>
          <w:tcPr>
            <w:tcW w:w="127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>3.5</w:t>
            </w:r>
            <w:proofErr w:type="gramStart"/>
            <w:r>
              <w:rPr>
                <w:sz w:val="22"/>
                <w:szCs w:val="22"/>
                <w:vertAlign w:val="subscript"/>
              </w:rPr>
              <w:t xml:space="preserve">,  </w:t>
            </w:r>
            <w:r>
              <w:rPr>
                <w:sz w:val="22"/>
                <w:szCs w:val="22"/>
              </w:rPr>
              <w:t>,</w:t>
            </w:r>
            <w:proofErr w:type="gramEnd"/>
            <w:r>
              <w:rPr>
                <w:sz w:val="22"/>
                <w:szCs w:val="22"/>
              </w:rPr>
              <w:t xml:space="preserve">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  <w:vertAlign w:val="subscript"/>
              </w:rPr>
              <w:t>(гр. 2/гр. 3*100)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баллов, ед.</w:t>
            </w:r>
          </w:p>
        </w:tc>
      </w:tr>
      <w:tr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</w:tcPr>
          <w:p>
            <w:pPr>
              <w:autoSpaceDE w:val="0"/>
              <w:autoSpaceDN w:val="0"/>
              <w:adjustRightInd w:val="0"/>
              <w:ind w:right="-171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27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27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27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УИО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УЧС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sz w:val="16"/>
          <w:szCs w:val="16"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6) По показателю </w:t>
      </w:r>
      <w:r>
        <w:rPr>
          <w:b/>
        </w:rPr>
        <w:t>А</w:t>
      </w:r>
      <w:r>
        <w:rPr>
          <w:b/>
          <w:vertAlign w:val="subscript"/>
        </w:rPr>
        <w:t xml:space="preserve">3.6. </w:t>
      </w:r>
      <w:r>
        <w:rPr>
          <w:b/>
        </w:rPr>
        <w:t xml:space="preserve"> </w:t>
      </w:r>
      <w:r>
        <w:t>«Проведение оценки потребности в предоставлении муниципальных услуг, проводимой в соответствии с Порядком, определенным соответствующим приказом учредителя» оценка проводится в соответствии со следующими показателями:</w:t>
      </w:r>
    </w:p>
    <w:tbl>
      <w:tblPr>
        <w:tblW w:w="0" w:type="auto"/>
        <w:tblInd w:w="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4217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42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3.6</w:t>
            </w:r>
            <w:r>
              <w:t xml:space="preserve"> = 100%</w:t>
            </w:r>
          </w:p>
        </w:tc>
        <w:tc>
          <w:tcPr>
            <w:tcW w:w="42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3.6</w:t>
            </w:r>
            <w:r>
              <w:t xml:space="preserve"> </w:t>
            </w:r>
            <w:proofErr w:type="gramStart"/>
            <w:r>
              <w:t>&lt; 100</w:t>
            </w:r>
            <w:proofErr w:type="gramEnd"/>
            <w:r>
              <w:t>%</w:t>
            </w:r>
          </w:p>
        </w:tc>
        <w:tc>
          <w:tcPr>
            <w:tcW w:w="42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>Оценка потребности произведена Управлением образования, Управлением культуры и УМСП </w:t>
      </w:r>
      <w:proofErr w:type="spellStart"/>
      <w:r>
        <w:t>ФКиС</w:t>
      </w:r>
      <w:proofErr w:type="spellEnd"/>
      <w:r>
        <w:t>, им присвоено по 3 балла. В связи с отсутствием утвержденного порядка оценки потребности услуг (работ) в УЖКХ </w:t>
      </w:r>
      <w:proofErr w:type="spellStart"/>
      <w:r>
        <w:t>ТиС</w:t>
      </w:r>
      <w:proofErr w:type="spellEnd"/>
      <w:r>
        <w:t xml:space="preserve"> им присвоено 0 баллов.</w:t>
      </w:r>
    </w:p>
    <w:p>
      <w:pPr>
        <w:autoSpaceDE w:val="0"/>
        <w:autoSpaceDN w:val="0"/>
        <w:adjustRightInd w:val="0"/>
        <w:ind w:firstLine="708"/>
        <w:jc w:val="both"/>
        <w:outlineLvl w:val="1"/>
        <w:rPr>
          <w:sz w:val="16"/>
          <w:szCs w:val="16"/>
        </w:rPr>
      </w:pPr>
    </w:p>
    <w:p>
      <w:pPr>
        <w:autoSpaceDE w:val="0"/>
        <w:autoSpaceDN w:val="0"/>
        <w:adjustRightInd w:val="0"/>
        <w:ind w:firstLine="708"/>
        <w:jc w:val="both"/>
        <w:outlineLvl w:val="1"/>
      </w:pPr>
      <w:r>
        <w:t>7) По показателю</w:t>
      </w:r>
      <w:r>
        <w:rPr>
          <w:b/>
        </w:rPr>
        <w:t xml:space="preserve"> А</w:t>
      </w:r>
      <w:r>
        <w:rPr>
          <w:b/>
          <w:vertAlign w:val="subscript"/>
        </w:rPr>
        <w:t xml:space="preserve">3.7. </w:t>
      </w:r>
      <w:r>
        <w:rPr>
          <w:b/>
        </w:rPr>
        <w:t xml:space="preserve"> </w:t>
      </w:r>
      <w:r>
        <w:t>«Своевременность подписания Соглашений о предоставлении субсидии на выполнение муниципального задания» произведен мониторинг данных в системе «АЦК-Финансы», показавший, что двумя ГАБС (Управлением культуры, УЖКХ </w:t>
      </w:r>
      <w:proofErr w:type="spellStart"/>
      <w:r>
        <w:t>ТиС</w:t>
      </w:r>
      <w:proofErr w:type="spellEnd"/>
      <w:r>
        <w:t xml:space="preserve">) соглашения подписаны в срок, им присвоено по 3 балла. Управлением образования и УМСП </w:t>
      </w:r>
      <w:proofErr w:type="spellStart"/>
      <w:r>
        <w:t>ФКиС</w:t>
      </w:r>
      <w:proofErr w:type="spellEnd"/>
      <w:r>
        <w:t xml:space="preserve"> нарушены сроки подписаний Соглашений, им присвоено 0 баллов.</w:t>
      </w:r>
    </w:p>
    <w:p>
      <w:pPr>
        <w:autoSpaceDE w:val="0"/>
        <w:autoSpaceDN w:val="0"/>
        <w:adjustRightInd w:val="0"/>
        <w:ind w:left="709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4"/>
        <w:gridCol w:w="2268"/>
      </w:tblGrid>
      <w:tr>
        <w:tc>
          <w:tcPr>
            <w:tcW w:w="465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226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465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3.7</w:t>
            </w:r>
            <w:r>
              <w:rPr>
                <w:sz w:val="20"/>
                <w:szCs w:val="20"/>
              </w:rPr>
              <w:t xml:space="preserve"> = до 14 января отчетного года включительно</w:t>
            </w:r>
          </w:p>
        </w:tc>
        <w:tc>
          <w:tcPr>
            <w:tcW w:w="226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465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3.7</w:t>
            </w:r>
            <w:r>
              <w:rPr>
                <w:sz w:val="20"/>
                <w:szCs w:val="20"/>
              </w:rPr>
              <w:t xml:space="preserve"> = 15 января отчетного года и позднее</w:t>
            </w:r>
          </w:p>
        </w:tc>
        <w:tc>
          <w:tcPr>
            <w:tcW w:w="226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ind w:firstLine="709"/>
        <w:jc w:val="both"/>
        <w:rPr>
          <w:sz w:val="16"/>
          <w:szCs w:val="16"/>
          <w:highlight w:val="yellow"/>
        </w:rPr>
      </w:pPr>
    </w:p>
    <w:p>
      <w:pPr>
        <w:ind w:firstLine="709"/>
        <w:jc w:val="both"/>
      </w:pPr>
      <w:r>
        <w:t xml:space="preserve">8) Показатель </w:t>
      </w:r>
      <w:r>
        <w:rPr>
          <w:b/>
        </w:rPr>
        <w:t>А</w:t>
      </w:r>
      <w:r>
        <w:rPr>
          <w:b/>
          <w:vertAlign w:val="subscript"/>
        </w:rPr>
        <w:t>3.8.  </w:t>
      </w:r>
      <w:r>
        <w:t xml:space="preserve">«Качество формирования годовой бухгалтерской отчётности, представленной </w:t>
      </w:r>
      <w:proofErr w:type="gramStart"/>
      <w:r>
        <w:t>Учредителем  в</w:t>
      </w:r>
      <w:proofErr w:type="gramEnd"/>
      <w:r>
        <w:t xml:space="preserve"> АИС «БАРС. </w:t>
      </w:r>
      <w:proofErr w:type="spellStart"/>
      <w:r>
        <w:t>Web</w:t>
      </w:r>
      <w:proofErr w:type="spellEnd"/>
      <w:r>
        <w:t xml:space="preserve"> –бюджетный учет».                                                                                                                                          </w:t>
      </w:r>
    </w:p>
    <w:p>
      <w:pPr>
        <w:ind w:firstLine="709"/>
        <w:jc w:val="right"/>
      </w:pPr>
      <w:r>
        <w:t>Таблица 10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06"/>
        <w:gridCol w:w="1984"/>
        <w:gridCol w:w="1843"/>
        <w:gridCol w:w="2410"/>
      </w:tblGrid>
      <w:tr>
        <w:trPr>
          <w:trHeight w:val="612"/>
        </w:trPr>
        <w:tc>
          <w:tcPr>
            <w:tcW w:w="3006" w:type="dxa"/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Наименование ГАБС</w:t>
            </w:r>
          </w:p>
        </w:tc>
        <w:tc>
          <w:tcPr>
            <w:tcW w:w="1984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</w:t>
            </w:r>
            <w:proofErr w:type="gramStart"/>
            <w:r>
              <w:rPr>
                <w:sz w:val="22"/>
                <w:szCs w:val="22"/>
              </w:rPr>
              <w:t>форм  с</w:t>
            </w:r>
            <w:proofErr w:type="gramEnd"/>
            <w:r>
              <w:rPr>
                <w:sz w:val="22"/>
                <w:szCs w:val="22"/>
              </w:rPr>
              <w:t xml:space="preserve"> ошибками</w:t>
            </w:r>
          </w:p>
        </w:tc>
        <w:tc>
          <w:tcPr>
            <w:tcW w:w="1843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форм всего</w:t>
            </w:r>
          </w:p>
        </w:tc>
        <w:tc>
          <w:tcPr>
            <w:tcW w:w="2410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баллов, ед.</w:t>
            </w:r>
          </w:p>
          <w:p>
            <w:pPr>
              <w:jc w:val="center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  <w:vertAlign w:val="subscript"/>
              </w:rPr>
              <w:t xml:space="preserve"> 5-(2)/(3)*5</w:t>
            </w:r>
          </w:p>
        </w:tc>
      </w:tr>
      <w:tr>
        <w:trPr>
          <w:trHeight w:val="255"/>
        </w:trPr>
        <w:tc>
          <w:tcPr>
            <w:tcW w:w="3006" w:type="dxa"/>
            <w:shd w:val="clear" w:color="auto" w:fill="FFFFFF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4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410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>
        <w:trPr>
          <w:trHeight w:val="255"/>
        </w:trPr>
        <w:tc>
          <w:tcPr>
            <w:tcW w:w="3006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1984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2410" w:type="dxa"/>
            <w:shd w:val="clear" w:color="auto" w:fill="FFFFFF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4,4</w:t>
            </w:r>
          </w:p>
        </w:tc>
      </w:tr>
      <w:tr>
        <w:trPr>
          <w:trHeight w:val="255"/>
        </w:trPr>
        <w:tc>
          <w:tcPr>
            <w:tcW w:w="3006" w:type="dxa"/>
            <w:shd w:val="clear" w:color="auto" w:fill="FFFFFF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984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410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>
        <w:trPr>
          <w:trHeight w:val="255"/>
        </w:trPr>
        <w:tc>
          <w:tcPr>
            <w:tcW w:w="3006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1984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3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410" w:type="dxa"/>
            <w:shd w:val="clear" w:color="auto" w:fill="FFFFFF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3,3</w:t>
            </w:r>
          </w:p>
        </w:tc>
      </w:tr>
      <w:tr>
        <w:trPr>
          <w:trHeight w:val="255"/>
        </w:trPr>
        <w:tc>
          <w:tcPr>
            <w:tcW w:w="3006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1984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843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2410" w:type="dxa"/>
            <w:shd w:val="clear" w:color="auto" w:fill="FFFFFF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1,8</w:t>
            </w:r>
          </w:p>
        </w:tc>
      </w:tr>
      <w:tr>
        <w:trPr>
          <w:trHeight w:val="255"/>
        </w:trPr>
        <w:tc>
          <w:tcPr>
            <w:tcW w:w="3006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4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2410" w:type="dxa"/>
            <w:shd w:val="clear" w:color="auto" w:fill="FFFFFF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4,2</w:t>
            </w:r>
          </w:p>
        </w:tc>
      </w:tr>
      <w:tr>
        <w:trPr>
          <w:trHeight w:val="255"/>
        </w:trPr>
        <w:tc>
          <w:tcPr>
            <w:tcW w:w="3006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1984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410" w:type="dxa"/>
            <w:shd w:val="clear" w:color="auto" w:fill="FFFFFF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4,3</w:t>
            </w:r>
          </w:p>
        </w:tc>
      </w:tr>
      <w:tr>
        <w:trPr>
          <w:trHeight w:val="255"/>
        </w:trPr>
        <w:tc>
          <w:tcPr>
            <w:tcW w:w="3006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1984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2410" w:type="dxa"/>
            <w:shd w:val="clear" w:color="auto" w:fill="FFFFFF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4,6</w:t>
            </w:r>
          </w:p>
        </w:tc>
      </w:tr>
      <w:tr>
        <w:trPr>
          <w:trHeight w:val="255"/>
        </w:trPr>
        <w:tc>
          <w:tcPr>
            <w:tcW w:w="3006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1984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3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410" w:type="dxa"/>
            <w:shd w:val="clear" w:color="auto" w:fill="FFFFFF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4,0</w:t>
            </w:r>
          </w:p>
        </w:tc>
      </w:tr>
    </w:tbl>
    <w:p>
      <w:pPr>
        <w:ind w:firstLine="709"/>
        <w:jc w:val="both"/>
        <w:rPr>
          <w:sz w:val="16"/>
          <w:szCs w:val="16"/>
        </w:rPr>
      </w:pPr>
    </w:p>
    <w:p>
      <w:pPr>
        <w:ind w:firstLine="709"/>
        <w:jc w:val="both"/>
      </w:pPr>
      <w:r>
        <w:t xml:space="preserve">9) По показателю </w:t>
      </w:r>
      <w:r>
        <w:rPr>
          <w:b/>
        </w:rPr>
        <w:t>А</w:t>
      </w:r>
      <w:r>
        <w:rPr>
          <w:b/>
          <w:vertAlign w:val="subscript"/>
        </w:rPr>
        <w:t>3.9.  </w:t>
      </w:r>
      <w:r>
        <w:t>«Отсутствие просроченной кредиторской задолженности подведомственных муниципальных учреждений» оценка проводится в соответствии со следующими показателями:</w:t>
      </w:r>
    </w:p>
    <w:tbl>
      <w:tblPr>
        <w:tblW w:w="0" w:type="auto"/>
        <w:tblInd w:w="7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246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246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3.9</w:t>
            </w:r>
            <w:r>
              <w:t xml:space="preserve"> = 0</w:t>
            </w:r>
          </w:p>
        </w:tc>
        <w:tc>
          <w:tcPr>
            <w:tcW w:w="2246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 xml:space="preserve">3.9 </w:t>
            </w:r>
            <w:r>
              <w:t xml:space="preserve">&gt;0 </w:t>
            </w:r>
          </w:p>
        </w:tc>
        <w:tc>
          <w:tcPr>
            <w:tcW w:w="2246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Просроченная кредиторская задолженность отсутствует у подведомственных муниципальных учреждений, всем ГАБС – 5 баллов. 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>
        <w:rPr>
          <w:b/>
          <w:i/>
        </w:rPr>
        <w:t>Максимальное количество баллов, возможное по данному направлению (37 </w:t>
      </w:r>
      <w:proofErr w:type="gramStart"/>
      <w:r>
        <w:rPr>
          <w:b/>
          <w:i/>
        </w:rPr>
        <w:t xml:space="preserve">баллов) </w:t>
      </w:r>
      <w:r>
        <w:rPr>
          <w:b/>
        </w:rPr>
        <w:t xml:space="preserve"> </w:t>
      </w:r>
      <w:r>
        <w:rPr>
          <w:b/>
          <w:i/>
        </w:rPr>
        <w:t>не</w:t>
      </w:r>
      <w:proofErr w:type="gramEnd"/>
      <w:r>
        <w:rPr>
          <w:b/>
          <w:i/>
        </w:rPr>
        <w:t xml:space="preserve"> получил ни один ГАБС.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>
        <w:rPr>
          <w:b/>
          <w:i/>
        </w:rPr>
        <w:t>Наилучший результат достигнут Управлением культуры.</w:t>
      </w:r>
    </w:p>
    <w:p>
      <w:pPr>
        <w:autoSpaceDE w:val="0"/>
        <w:autoSpaceDN w:val="0"/>
        <w:adjustRightInd w:val="0"/>
        <w:ind w:left="1669"/>
        <w:jc w:val="both"/>
        <w:outlineLvl w:val="1"/>
      </w:pPr>
    </w:p>
    <w:p>
      <w:pPr>
        <w:jc w:val="center"/>
        <w:rPr>
          <w:noProof/>
          <w:color w:val="FF0000"/>
        </w:rPr>
      </w:pPr>
      <w:r>
        <w:rPr>
          <w:noProof/>
        </w:rPr>
        <w:drawing>
          <wp:inline distT="0" distB="0" distL="0" distR="0">
            <wp:extent cx="5646420" cy="2583180"/>
            <wp:effectExtent l="0" t="0" r="0" b="0"/>
            <wp:docPr id="3" name="Объект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>
      <w:pPr>
        <w:jc w:val="center"/>
      </w:pPr>
      <w:r>
        <w:rPr>
          <w:noProof/>
        </w:rPr>
        <w:t xml:space="preserve">Рисунок 3 – Итоговое количество баллов по разделу </w:t>
      </w:r>
      <w:r>
        <w:rPr>
          <w:noProof/>
          <w:lang w:val="en-US"/>
        </w:rPr>
        <w:t>I</w:t>
      </w:r>
      <w:r>
        <w:rPr>
          <w:noProof/>
        </w:rPr>
        <w:t>II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r>
        <w:rPr>
          <w:b/>
        </w:rPr>
        <w:t xml:space="preserve">4. Направление «Качество исполнения бюджетного процесса во взаимосвязи с выявленными бюджетными нарушениями» 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Максимальное количество баллов, по которым оценивалась деятельность                        ГАБС – 13 баллов. Оценка качества выполнялась по трем показателям: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1) По показателю </w:t>
      </w:r>
      <w:r>
        <w:rPr>
          <w:b/>
        </w:rPr>
        <w:t>А</w:t>
      </w:r>
      <w:r>
        <w:rPr>
          <w:b/>
          <w:vertAlign w:val="subscript"/>
        </w:rPr>
        <w:t>4.1.</w:t>
      </w:r>
      <w:r>
        <w:t xml:space="preserve"> «Нарушения, выявленные в ходе проведения контрольных мероприятий уполномоченным органом внутреннего муниципального финансового контроля в отчетном финансовом году» оценка проводится в соответствии со следующими показателями:</w:t>
      </w:r>
    </w:p>
    <w:tbl>
      <w:tblPr>
        <w:tblW w:w="0" w:type="auto"/>
        <w:tblInd w:w="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4"/>
        <w:gridCol w:w="2551"/>
      </w:tblGrid>
      <w:tr>
        <w:tc>
          <w:tcPr>
            <w:tcW w:w="424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42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4.1</w:t>
            </w:r>
            <w:r>
              <w:rPr>
                <w:sz w:val="20"/>
                <w:szCs w:val="20"/>
              </w:rPr>
              <w:t xml:space="preserve"> = нарушения отсутствуют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5</w:t>
            </w:r>
          </w:p>
        </w:tc>
      </w:tr>
      <w:tr>
        <w:tc>
          <w:tcPr>
            <w:tcW w:w="42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4.1</w:t>
            </w:r>
            <w:r>
              <w:rPr>
                <w:sz w:val="20"/>
                <w:szCs w:val="20"/>
              </w:rPr>
              <w:t xml:space="preserve"> = нарушения установлены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0</w:t>
            </w:r>
          </w:p>
        </w:tc>
      </w:tr>
    </w:tbl>
    <w:p>
      <w:pPr>
        <w:ind w:firstLine="709"/>
        <w:jc w:val="both"/>
      </w:pPr>
      <w:r>
        <w:t>В соответствии с пунктом 5 Порядка показатель А</w:t>
      </w:r>
      <w:r>
        <w:rPr>
          <w:vertAlign w:val="subscript"/>
        </w:rPr>
        <w:t>4.1</w:t>
      </w:r>
      <w:proofErr w:type="gramStart"/>
      <w:r>
        <w:rPr>
          <w:vertAlign w:val="subscript"/>
        </w:rPr>
        <w:t>.</w:t>
      </w:r>
      <w:r>
        <w:t xml:space="preserve"> при</w:t>
      </w:r>
      <w:proofErr w:type="gramEnd"/>
      <w:r>
        <w:t xml:space="preserve"> отсутствии в отчетном году внешних проверок, принимается равным нулю.</w:t>
      </w:r>
    </w:p>
    <w:p>
      <w:pPr>
        <w:spacing w:after="120"/>
        <w:ind w:firstLine="709"/>
        <w:jc w:val="both"/>
      </w:pPr>
      <w:r>
        <w:t xml:space="preserve">В соответствии с данными Комитета внутреннего муниципального финансового контроля и контроля в сфере закупок Администрации ЗАТО Северск по пяти ГАБС (Администрация, УИО, УЧС, УКС, Финансовое управление) проверки не проводились, им присвоено по 0 баллов. По результатам проверок установлены нарушения в УЖКХ </w:t>
      </w:r>
      <w:proofErr w:type="spellStart"/>
      <w:r>
        <w:t>ТиС</w:t>
      </w:r>
      <w:proofErr w:type="spellEnd"/>
      <w:r>
        <w:t xml:space="preserve"> </w:t>
      </w:r>
      <w:r>
        <w:lastRenderedPageBreak/>
        <w:t xml:space="preserve">и УВГТ, им присвоено 0 баллов. По Управлению образованию, Управлению культуры, УМСП </w:t>
      </w:r>
      <w:proofErr w:type="spellStart"/>
      <w:r>
        <w:t>ФКиС</w:t>
      </w:r>
      <w:proofErr w:type="spellEnd"/>
      <w:r>
        <w:t xml:space="preserve"> проведенными проверками установлены нарушения у подведомственных учреждений, соответственно, им также присвоено по 0 баллов. </w:t>
      </w:r>
    </w:p>
    <w:p>
      <w:pPr>
        <w:spacing w:after="120"/>
        <w:ind w:firstLine="709"/>
        <w:jc w:val="both"/>
      </w:pPr>
      <w:r>
        <w:t>2) По</w:t>
      </w:r>
      <w:r>
        <w:rPr>
          <w:b/>
        </w:rPr>
        <w:t xml:space="preserve"> </w:t>
      </w:r>
      <w:r>
        <w:t xml:space="preserve">показателю </w:t>
      </w:r>
      <w:r>
        <w:rPr>
          <w:b/>
        </w:rPr>
        <w:t>А</w:t>
      </w:r>
      <w:r>
        <w:rPr>
          <w:b/>
          <w:vertAlign w:val="subscript"/>
        </w:rPr>
        <w:t>4.2</w:t>
      </w:r>
      <w:r>
        <w:rPr>
          <w:vertAlign w:val="subscript"/>
        </w:rPr>
        <w:t xml:space="preserve"> </w:t>
      </w:r>
      <w:r>
        <w:t>«Полнота и своевременность исполнения представлений и предписаний уполномоченного органа внутреннего муниципального финансового контроля в отчетном финансовом году» оценка проводится в соответствии со следующими показателями:</w:t>
      </w:r>
    </w:p>
    <w:tbl>
      <w:tblPr>
        <w:tblW w:w="0" w:type="auto"/>
        <w:tblInd w:w="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55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4.2</w:t>
            </w:r>
            <w:r>
              <w:rPr>
                <w:sz w:val="20"/>
                <w:szCs w:val="20"/>
              </w:rPr>
              <w:t xml:space="preserve"> = исполнены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4.2</w:t>
            </w:r>
            <w:r>
              <w:rPr>
                <w:sz w:val="20"/>
                <w:szCs w:val="20"/>
              </w:rPr>
              <w:t xml:space="preserve"> = исполнены частично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4.2</w:t>
            </w:r>
            <w:r>
              <w:rPr>
                <w:sz w:val="20"/>
                <w:szCs w:val="20"/>
              </w:rPr>
              <w:t xml:space="preserve"> = не исполнены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ind w:firstLine="709"/>
        <w:jc w:val="both"/>
      </w:pPr>
    </w:p>
    <w:p>
      <w:pPr>
        <w:ind w:firstLine="709"/>
        <w:jc w:val="both"/>
      </w:pPr>
      <w:r>
        <w:t xml:space="preserve">В соответствии с пунктом 5 Порядка показатель </w:t>
      </w:r>
      <w:proofErr w:type="gramStart"/>
      <w:r>
        <w:t>А</w:t>
      </w:r>
      <w:r>
        <w:rPr>
          <w:vertAlign w:val="subscript"/>
        </w:rPr>
        <w:t>4.2.</w:t>
      </w:r>
      <w:r>
        <w:t>,</w:t>
      </w:r>
      <w:proofErr w:type="gramEnd"/>
      <w:r>
        <w:t xml:space="preserve"> при отсутствии в отчетном году внешних проверок, принимается равным нулю.</w:t>
      </w:r>
    </w:p>
    <w:p>
      <w:pPr>
        <w:ind w:firstLine="709"/>
        <w:jc w:val="both"/>
      </w:pPr>
      <w:r>
        <w:t xml:space="preserve">В соответствии с данными Комитета внутреннего муниципального финансового контроля и контроля в сфере закупок Администрации ЗАТО Северск по проверенным ГАБС (Управлению образования, Управлению культуры, УМСП </w:t>
      </w:r>
      <w:proofErr w:type="spellStart"/>
      <w:r>
        <w:t>ФКиС</w:t>
      </w:r>
      <w:proofErr w:type="spellEnd"/>
      <w:r>
        <w:t xml:space="preserve">, УЖКХ </w:t>
      </w:r>
      <w:proofErr w:type="spellStart"/>
      <w:r>
        <w:t>ТиС</w:t>
      </w:r>
      <w:proofErr w:type="spellEnd"/>
      <w:r>
        <w:t xml:space="preserve">, УВГТ) и их подведомственными учреждениями предписания исполнены, замечания устранены, им присвоено 3 балла. </w:t>
      </w:r>
    </w:p>
    <w:p>
      <w:pPr>
        <w:autoSpaceDE w:val="0"/>
        <w:autoSpaceDN w:val="0"/>
        <w:adjustRightInd w:val="0"/>
        <w:spacing w:before="120"/>
        <w:ind w:firstLine="709"/>
        <w:jc w:val="both"/>
        <w:outlineLvl w:val="1"/>
      </w:pPr>
      <w:r>
        <w:t xml:space="preserve">3) По показателю </w:t>
      </w:r>
      <w:r>
        <w:rPr>
          <w:b/>
        </w:rPr>
        <w:t>А</w:t>
      </w:r>
      <w:r>
        <w:rPr>
          <w:b/>
          <w:vertAlign w:val="subscript"/>
        </w:rPr>
        <w:t xml:space="preserve">4.3. </w:t>
      </w:r>
      <w:r>
        <w:rPr>
          <w:b/>
        </w:rPr>
        <w:t>«</w:t>
      </w:r>
      <w:r>
        <w:t>Судебные иски (в денежном выражении), подлежащие взысканию по исполнительным документам в отчётном финансовом году» оценка проводится в соответствии со следующими показателями:</w:t>
      </w:r>
    </w:p>
    <w:tbl>
      <w:tblPr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55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4.4</w:t>
            </w:r>
            <w:r>
              <w:t xml:space="preserve"> = 0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 xml:space="preserve">0 </w:t>
            </w:r>
            <w:proofErr w:type="gramStart"/>
            <w:r>
              <w:t>&lt; А</w:t>
            </w:r>
            <w:r>
              <w:rPr>
                <w:vertAlign w:val="subscript"/>
              </w:rPr>
              <w:t>4.4</w:t>
            </w:r>
            <w:proofErr w:type="gramEnd"/>
            <w:r>
              <w:t xml:space="preserve"> &lt;= 2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rPr>
          <w:trHeight w:val="267"/>
        </w:trP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proofErr w:type="gramStart"/>
            <w:r>
              <w:t>А</w:t>
            </w:r>
            <w:r>
              <w:rPr>
                <w:vertAlign w:val="subscript"/>
              </w:rPr>
              <w:t>4.4</w:t>
            </w:r>
            <w:r>
              <w:t xml:space="preserve"> &gt;</w:t>
            </w:r>
            <w:proofErr w:type="gramEnd"/>
            <w:r>
              <w:t xml:space="preserve"> 2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spacing w:before="100" w:beforeAutospacing="1"/>
        <w:ind w:firstLine="709"/>
        <w:jc w:val="both"/>
        <w:outlineLvl w:val="1"/>
      </w:pPr>
      <w:r>
        <w:t xml:space="preserve">По УЖКХ </w:t>
      </w:r>
      <w:proofErr w:type="spellStart"/>
      <w:r>
        <w:t>ТиС</w:t>
      </w:r>
      <w:proofErr w:type="spellEnd"/>
      <w:r>
        <w:t>, Администрации, УИО и УВГТ были произведены расходы по исполнительным документам за счет средств бюджета ЗАТО Северск, доля расходов на исполнение судебных актов составила до 2 %, соответственно присвоено 3 балла. По остальным ГАБС -  5 баллов.</w:t>
      </w:r>
    </w:p>
    <w:p>
      <w:pPr>
        <w:autoSpaceDE w:val="0"/>
        <w:autoSpaceDN w:val="0"/>
        <w:adjustRightInd w:val="0"/>
        <w:jc w:val="right"/>
        <w:outlineLvl w:val="1"/>
      </w:pPr>
      <w:r>
        <w:t xml:space="preserve">Таблица 11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3"/>
        <w:gridCol w:w="2285"/>
        <w:gridCol w:w="2082"/>
        <w:gridCol w:w="1427"/>
        <w:gridCol w:w="1317"/>
      </w:tblGrid>
      <w:tr>
        <w:trPr>
          <w:trHeight w:val="1907"/>
        </w:trPr>
        <w:tc>
          <w:tcPr>
            <w:tcW w:w="223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ГАБС</w:t>
            </w:r>
          </w:p>
        </w:tc>
        <w:tc>
          <w:tcPr>
            <w:tcW w:w="22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Сумма, взысканная по исполнительным документам за счёт средств бюджета ЗАТО Северск,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082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 xml:space="preserve">Общий объём бюджетных ассигнований ГАБС (без учёта МБТ и ПНО),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427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>4.3</w:t>
            </w:r>
            <w:proofErr w:type="gramStart"/>
            <w:r>
              <w:rPr>
                <w:sz w:val="22"/>
                <w:szCs w:val="22"/>
                <w:vertAlign w:val="subscript"/>
              </w:rPr>
              <w:t xml:space="preserve">, </w:t>
            </w:r>
            <w:r>
              <w:rPr>
                <w:sz w:val="22"/>
                <w:szCs w:val="22"/>
              </w:rPr>
              <w:t>,</w:t>
            </w:r>
            <w:proofErr w:type="gramEnd"/>
            <w:r>
              <w:rPr>
                <w:sz w:val="22"/>
                <w:szCs w:val="22"/>
              </w:rPr>
              <w:t xml:space="preserve">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  <w:vertAlign w:val="subscript"/>
              </w:rPr>
              <w:t>(гр.2/гр. 3*100)</w:t>
            </w:r>
          </w:p>
        </w:tc>
        <w:tc>
          <w:tcPr>
            <w:tcW w:w="1317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баллов, ед.</w:t>
            </w:r>
          </w:p>
        </w:tc>
      </w:tr>
      <w:tr>
        <w:tc>
          <w:tcPr>
            <w:tcW w:w="223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8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8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27" w:type="dxa"/>
          </w:tcPr>
          <w:p>
            <w:pPr>
              <w:autoSpaceDE w:val="0"/>
              <w:autoSpaceDN w:val="0"/>
              <w:adjustRightInd w:val="0"/>
              <w:ind w:right="-171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>
        <w:tc>
          <w:tcPr>
            <w:tcW w:w="2233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2285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9 030,08</w:t>
            </w:r>
          </w:p>
        </w:tc>
        <w:tc>
          <w:tcPr>
            <w:tcW w:w="2082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498 751,48</w:t>
            </w: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1,8</w:t>
            </w:r>
          </w:p>
        </w:tc>
        <w:tc>
          <w:tcPr>
            <w:tcW w:w="13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2233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 Администрация</w:t>
            </w:r>
          </w:p>
        </w:tc>
        <w:tc>
          <w:tcPr>
            <w:tcW w:w="2285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730,07</w:t>
            </w:r>
          </w:p>
        </w:tc>
        <w:tc>
          <w:tcPr>
            <w:tcW w:w="2082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231 804,90</w:t>
            </w: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3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2233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УИО</w:t>
            </w:r>
          </w:p>
        </w:tc>
        <w:tc>
          <w:tcPr>
            <w:tcW w:w="2285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160,11</w:t>
            </w:r>
          </w:p>
        </w:tc>
        <w:tc>
          <w:tcPr>
            <w:tcW w:w="2082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79 193,65</w:t>
            </w: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3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2233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УВГТ</w:t>
            </w:r>
          </w:p>
        </w:tc>
        <w:tc>
          <w:tcPr>
            <w:tcW w:w="2285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1 310,00</w:t>
            </w:r>
          </w:p>
        </w:tc>
        <w:tc>
          <w:tcPr>
            <w:tcW w:w="2082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67 981,50</w:t>
            </w: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1,9</w:t>
            </w:r>
          </w:p>
        </w:tc>
        <w:tc>
          <w:tcPr>
            <w:tcW w:w="13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>
        <w:rPr>
          <w:b/>
          <w:i/>
        </w:rPr>
        <w:lastRenderedPageBreak/>
        <w:t>Максимальную оценку по направлению «Контроль и финансовая дисциплина»</w:t>
      </w:r>
      <w:r>
        <w:rPr>
          <w:b/>
        </w:rPr>
        <w:t xml:space="preserve"> </w:t>
      </w:r>
      <w:r>
        <w:rPr>
          <w:b/>
          <w:i/>
        </w:rPr>
        <w:t xml:space="preserve">не получил ни один ГАБС. Наилучший результат с показателем в 8 баллов достигнут Управлением образования, Управлением культуры, УМСП </w:t>
      </w:r>
      <w:proofErr w:type="spellStart"/>
      <w:r>
        <w:rPr>
          <w:b/>
          <w:i/>
        </w:rPr>
        <w:t>ФКиС</w:t>
      </w:r>
      <w:proofErr w:type="spellEnd"/>
      <w:r>
        <w:rPr>
          <w:b/>
          <w:i/>
        </w:rPr>
        <w:t>.</w:t>
      </w:r>
    </w:p>
    <w:p>
      <w:pPr>
        <w:ind w:left="-1276" w:firstLine="708"/>
        <w:jc w:val="center"/>
      </w:pPr>
      <w:r>
        <w:rPr>
          <w:noProof/>
        </w:rPr>
        <w:drawing>
          <wp:inline distT="0" distB="0" distL="0" distR="0">
            <wp:extent cx="6667500" cy="2758440"/>
            <wp:effectExtent l="0" t="0" r="0" b="0"/>
            <wp:docPr id="4" name="Объект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>
        <w:t xml:space="preserve">                            </w:t>
      </w:r>
      <w:r>
        <w:rPr>
          <w:noProof/>
        </w:rPr>
        <w:t xml:space="preserve">Рисунок 4 – Итоговое количество баллов по разделу </w:t>
      </w:r>
      <w:r>
        <w:rPr>
          <w:noProof/>
          <w:lang w:val="en-US"/>
        </w:rPr>
        <w:t>IV</w:t>
      </w:r>
    </w:p>
    <w:p>
      <w:pPr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r>
        <w:rPr>
          <w:b/>
        </w:rPr>
        <w:t xml:space="preserve">5. Направление «Управление активами» 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Максимальное количество баллов, по которым оценивалась деятельность                        ГАБС – 10 баллов. Оценка качества выполнялась по двум показателям:</w:t>
      </w:r>
    </w:p>
    <w:p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1"/>
      </w:pPr>
      <w:r>
        <w:t xml:space="preserve">1) По показателю </w:t>
      </w:r>
      <w:r>
        <w:rPr>
          <w:b/>
        </w:rPr>
        <w:t>А</w:t>
      </w:r>
      <w:r>
        <w:rPr>
          <w:b/>
          <w:vertAlign w:val="subscript"/>
        </w:rPr>
        <w:t xml:space="preserve">5.1. </w:t>
      </w:r>
      <w:r>
        <w:t>«Проведение инвентаризации активов и обязательств» оценка проводится в соответствии со следующими показателями:</w:t>
      </w:r>
    </w:p>
    <w:tbl>
      <w:tblPr>
        <w:tblW w:w="0" w:type="auto"/>
        <w:tblInd w:w="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4"/>
        <w:gridCol w:w="2551"/>
      </w:tblGrid>
      <w:tr>
        <w:tc>
          <w:tcPr>
            <w:tcW w:w="424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4244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инвентаризация проводилась</w:t>
            </w:r>
          </w:p>
        </w:tc>
        <w:tc>
          <w:tcPr>
            <w:tcW w:w="25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4244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инвентаризация не проводилась</w:t>
            </w:r>
          </w:p>
        </w:tc>
        <w:tc>
          <w:tcPr>
            <w:tcW w:w="25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>
      <w:pPr>
        <w:tabs>
          <w:tab w:val="left" w:pos="993"/>
        </w:tabs>
        <w:autoSpaceDE w:val="0"/>
        <w:autoSpaceDN w:val="0"/>
        <w:adjustRightInd w:val="0"/>
        <w:ind w:left="709"/>
        <w:jc w:val="both"/>
        <w:outlineLvl w:val="1"/>
      </w:pPr>
      <w:r>
        <w:t>Всеми ГАБС получена оценка 5 баллов.</w:t>
      </w:r>
    </w:p>
    <w:p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1"/>
      </w:pPr>
    </w:p>
    <w:p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1"/>
      </w:pPr>
      <w:r>
        <w:t>2) По</w:t>
      </w:r>
      <w:r>
        <w:rPr>
          <w:b/>
        </w:rPr>
        <w:t xml:space="preserve"> </w:t>
      </w:r>
      <w:r>
        <w:t xml:space="preserve">показателю </w:t>
      </w:r>
      <w:r>
        <w:rPr>
          <w:b/>
        </w:rPr>
        <w:t>А</w:t>
      </w:r>
      <w:r>
        <w:rPr>
          <w:b/>
          <w:vertAlign w:val="subscript"/>
        </w:rPr>
        <w:t>5.2</w:t>
      </w:r>
      <w:r>
        <w:rPr>
          <w:vertAlign w:val="subscript"/>
        </w:rPr>
        <w:t xml:space="preserve"> </w:t>
      </w:r>
      <w:r>
        <w:t>«Недостачи и хищения муниципальной собственности оценка проводится в соответствии со следующими показателями:</w:t>
      </w:r>
    </w:p>
    <w:tbl>
      <w:tblPr>
        <w:tblW w:w="0" w:type="auto"/>
        <w:tblInd w:w="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4"/>
        <w:gridCol w:w="2551"/>
      </w:tblGrid>
      <w:tr>
        <w:tc>
          <w:tcPr>
            <w:tcW w:w="424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4244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отсутствуют</w:t>
            </w:r>
          </w:p>
        </w:tc>
        <w:tc>
          <w:tcPr>
            <w:tcW w:w="25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4244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присутствуют</w:t>
            </w:r>
          </w:p>
        </w:tc>
        <w:tc>
          <w:tcPr>
            <w:tcW w:w="25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1"/>
      </w:pPr>
      <w:r>
        <w:t>В</w:t>
      </w:r>
      <w:r>
        <w:t xml:space="preserve">семи ГАБС получена оценка 5 баллов за исключением УИО. Недостачи и хищения в годовой бюджетной отчетности по УИО отражены на сумму 111,89 </w:t>
      </w:r>
      <w:proofErr w:type="spellStart"/>
      <w:r>
        <w:t>тыс.руб</w:t>
      </w:r>
      <w:proofErr w:type="spellEnd"/>
      <w:r>
        <w:t>.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>
        <w:rPr>
          <w:b/>
          <w:i/>
        </w:rPr>
        <w:t>Максимальную оценку по данному направлению получили все ГАБС за исключением УИО.</w:t>
      </w:r>
    </w:p>
    <w:p>
      <w:pPr>
        <w:ind w:left="-1701" w:firstLine="567"/>
        <w:jc w:val="center"/>
      </w:pPr>
      <w:r>
        <w:rPr>
          <w:noProof/>
        </w:rPr>
        <w:drawing>
          <wp:inline distT="0" distB="0" distL="0" distR="0">
            <wp:extent cx="7002780" cy="2278380"/>
            <wp:effectExtent l="0" t="0" r="0" b="0"/>
            <wp:docPr id="5" name="Объект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>
        <w:rPr>
          <w:noProof/>
        </w:rPr>
        <w:t xml:space="preserve">Рисунок 5 – Итоговое количество баллов по разделу </w:t>
      </w:r>
      <w:r>
        <w:rPr>
          <w:noProof/>
          <w:lang w:val="en-US"/>
        </w:rPr>
        <w:t>V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r>
        <w:rPr>
          <w:b/>
        </w:rPr>
        <w:lastRenderedPageBreak/>
        <w:t>6. Направление «Осуществление ГАБС закупок товаров, работ и услуг для обеспечения муниципальных нужд»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Оценка качества выполнялась по трем показателям:</w:t>
      </w:r>
    </w:p>
    <w:p>
      <w:pPr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1"/>
      </w:pPr>
      <w:r>
        <w:t>По показателю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>6.1</w:t>
      </w:r>
      <w:r>
        <w:rPr>
          <w:b/>
          <w:vertAlign w:val="subscript"/>
        </w:rPr>
        <w:t>.</w:t>
      </w:r>
      <w:r>
        <w:t> «Доля закупок, проведенных конкурентными способами в общем количестве осуществленных закупок, в процентах» оценка проводится в соответствии со следующими показателями:</w:t>
      </w:r>
    </w:p>
    <w:tbl>
      <w:tblPr>
        <w:tblW w:w="0" w:type="auto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843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2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6.1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= 50 %</w:t>
            </w:r>
          </w:p>
        </w:tc>
        <w:tc>
          <w:tcPr>
            <w:tcW w:w="2843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2660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% &gt;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 30%</w:t>
            </w:r>
          </w:p>
        </w:tc>
        <w:tc>
          <w:tcPr>
            <w:tcW w:w="2843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>
        <w:tc>
          <w:tcPr>
            <w:tcW w:w="2660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&lt;  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843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>
      <w:pP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1"/>
        <w:rPr>
          <w:sz w:val="16"/>
          <w:szCs w:val="16"/>
        </w:rPr>
      </w:pPr>
    </w:p>
    <w:p>
      <w:pP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1"/>
      </w:pPr>
      <w:r>
        <w:t>М</w:t>
      </w:r>
      <w:r>
        <w:t xml:space="preserve">аксимальную оценку получили УЖКХ </w:t>
      </w:r>
      <w:proofErr w:type="spellStart"/>
      <w:r>
        <w:t>ТиС</w:t>
      </w:r>
      <w:proofErr w:type="spellEnd"/>
      <w:r>
        <w:t xml:space="preserve">, Администрация, УЧС, УКС, УВГТ и Финансовое управление – 5 баллов. УИО – 3 балла; Управление образования, Управление культуры, УМСП </w:t>
      </w:r>
      <w:proofErr w:type="spellStart"/>
      <w:proofErr w:type="gramStart"/>
      <w:r>
        <w:t>ФКиС</w:t>
      </w:r>
      <w:proofErr w:type="spellEnd"/>
      <w:r>
        <w:t xml:space="preserve">  -</w:t>
      </w:r>
      <w:proofErr w:type="gramEnd"/>
      <w:r>
        <w:t xml:space="preserve"> 0 баллов.</w:t>
      </w:r>
    </w:p>
    <w:p>
      <w:pPr>
        <w:autoSpaceDE w:val="0"/>
        <w:autoSpaceDN w:val="0"/>
        <w:adjustRightInd w:val="0"/>
        <w:jc w:val="right"/>
        <w:outlineLvl w:val="1"/>
      </w:pPr>
      <w:r>
        <w:t xml:space="preserve">Таблица 12                                                                                                        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1935"/>
        <w:gridCol w:w="1597"/>
        <w:gridCol w:w="1571"/>
        <w:gridCol w:w="1276"/>
      </w:tblGrid>
      <w:tr>
        <w:trPr>
          <w:trHeight w:val="1073"/>
        </w:trPr>
        <w:tc>
          <w:tcPr>
            <w:tcW w:w="3119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ГАБС </w:t>
            </w:r>
          </w:p>
        </w:tc>
        <w:tc>
          <w:tcPr>
            <w:tcW w:w="193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закупок, проведенных конкурентными способами</w:t>
            </w:r>
          </w:p>
        </w:tc>
        <w:tc>
          <w:tcPr>
            <w:tcW w:w="1597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Совокупный годовой объем закупок</w:t>
            </w:r>
          </w:p>
        </w:tc>
        <w:tc>
          <w:tcPr>
            <w:tcW w:w="157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>6.1,   %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  <w:vertAlign w:val="subscript"/>
              </w:rPr>
            </w:pPr>
            <w:r>
              <w:rPr>
                <w:sz w:val="18"/>
                <w:szCs w:val="18"/>
                <w:vertAlign w:val="subscript"/>
              </w:rPr>
              <w:t>(</w:t>
            </w:r>
            <w:proofErr w:type="gramStart"/>
            <w:r>
              <w:rPr>
                <w:sz w:val="18"/>
                <w:szCs w:val="18"/>
                <w:vertAlign w:val="subscript"/>
              </w:rPr>
              <w:t>гр.</w:t>
            </w:r>
            <w:proofErr w:type="gramEnd"/>
            <w:r>
              <w:rPr>
                <w:sz w:val="18"/>
                <w:szCs w:val="18"/>
                <w:vertAlign w:val="subscript"/>
              </w:rPr>
              <w:t>2/гр3*100)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3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7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1935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24 132,00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181 488,00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13,3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1935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88,01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916,58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9,6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1935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1 077,77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3 911,85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27,6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35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141 336,66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201 234,86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70,2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1935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39 549,85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49 226,47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80,3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1935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16 484,79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33 852,33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48,7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1935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642,90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941,23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68,3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1935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366 088,49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384 152,47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95,3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1935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18 775,30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23 096,51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81,3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1935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15 404,48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16 999,95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90,6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sz w:val="16"/>
          <w:szCs w:val="16"/>
          <w:highlight w:val="yellow"/>
        </w:rPr>
      </w:pPr>
    </w:p>
    <w:p>
      <w:pP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1"/>
      </w:pPr>
      <w:r>
        <w:t xml:space="preserve">2) По показателю </w:t>
      </w:r>
      <w:r>
        <w:rPr>
          <w:b/>
        </w:rPr>
        <w:t>А</w:t>
      </w:r>
      <w:r>
        <w:rPr>
          <w:b/>
          <w:vertAlign w:val="subscript"/>
        </w:rPr>
        <w:t>6.2. </w:t>
      </w:r>
      <w:r>
        <w:t>«Доля закупок, которые ГАБС осуществил у субъектов малого предпринимательства и социально ориентированных некоммерческих организаций в отчетном году, в совокупном годовом объеме закупок, рассчитанном за вычетом закупок, предусмотренных ч. 1.1 ст. 30 Федерального закона 44-ФЗ, в процентах» оценка проводится в соответствии со следующими показателями:</w:t>
      </w:r>
    </w:p>
    <w:tbl>
      <w:tblPr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291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229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6.2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15%</w:t>
            </w:r>
          </w:p>
        </w:tc>
        <w:tc>
          <w:tcPr>
            <w:tcW w:w="229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2660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&lt; 15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29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>
      <w:pP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1"/>
      </w:pPr>
      <w:r>
        <w:t>Максимальную оценку получили все ГАБС за исключением Управления образования и Управления культуры.</w:t>
      </w:r>
    </w:p>
    <w:p>
      <w:pPr>
        <w:autoSpaceDE w:val="0"/>
        <w:autoSpaceDN w:val="0"/>
        <w:adjustRightInd w:val="0"/>
        <w:jc w:val="right"/>
        <w:outlineLvl w:val="1"/>
      </w:pPr>
      <w:r>
        <w:t xml:space="preserve">Таблица 13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1588"/>
        <w:gridCol w:w="2381"/>
        <w:gridCol w:w="1418"/>
        <w:gridCol w:w="1276"/>
      </w:tblGrid>
      <w:tr>
        <w:trPr>
          <w:trHeight w:val="1088"/>
        </w:trPr>
        <w:tc>
          <w:tcPr>
            <w:tcW w:w="283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ГАБС </w:t>
            </w:r>
          </w:p>
        </w:tc>
        <w:tc>
          <w:tcPr>
            <w:tcW w:w="158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закупок, который ГАБС осуществил у СМП, </w:t>
            </w:r>
            <w:proofErr w:type="spellStart"/>
            <w:r>
              <w:rPr>
                <w:sz w:val="20"/>
                <w:szCs w:val="20"/>
              </w:rPr>
              <w:t>соц.ориентир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неком</w:t>
            </w:r>
            <w:proofErr w:type="spellEnd"/>
            <w:r>
              <w:rPr>
                <w:sz w:val="20"/>
                <w:szCs w:val="20"/>
              </w:rPr>
              <w:t>. орг.</w:t>
            </w:r>
          </w:p>
        </w:tc>
        <w:tc>
          <w:tcPr>
            <w:tcW w:w="238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</w:rPr>
              <w:t>Совокупный годовой объем закупок, рассчитанный за вычетом закупок, предусмотренных частью 1.1 статьи 30 Федерального закона от 05.04.2013 № 44-ФЗ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</w:rPr>
              <w:t>Значение показателя А</w:t>
            </w:r>
            <w:r>
              <w:rPr>
                <w:sz w:val="20"/>
                <w:szCs w:val="20"/>
                <w:vertAlign w:val="subscript"/>
              </w:rPr>
              <w:t>6.2,   %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гр.</w:t>
            </w:r>
            <w:proofErr w:type="gramEnd"/>
            <w:r>
              <w:rPr>
                <w:sz w:val="20"/>
                <w:szCs w:val="20"/>
              </w:rPr>
              <w:t>2/гр3*100)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8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158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15 165,00</w:t>
            </w:r>
          </w:p>
        </w:tc>
        <w:tc>
          <w:tcPr>
            <w:tcW w:w="238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181 488,00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8,4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158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150,90</w:t>
            </w:r>
          </w:p>
        </w:tc>
        <w:tc>
          <w:tcPr>
            <w:tcW w:w="238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1 200,68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12,6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158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740,02</w:t>
            </w:r>
          </w:p>
        </w:tc>
        <w:tc>
          <w:tcPr>
            <w:tcW w:w="238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1 077,77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58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62 404,13</w:t>
            </w:r>
          </w:p>
        </w:tc>
        <w:tc>
          <w:tcPr>
            <w:tcW w:w="238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165 255,78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37,8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158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9 779,81</w:t>
            </w:r>
          </w:p>
        </w:tc>
        <w:tc>
          <w:tcPr>
            <w:tcW w:w="238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17 577,67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55,6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158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4 107,11</w:t>
            </w:r>
          </w:p>
        </w:tc>
        <w:tc>
          <w:tcPr>
            <w:tcW w:w="238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12 624,29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32,5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8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158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642,90</w:t>
            </w:r>
          </w:p>
        </w:tc>
        <w:tc>
          <w:tcPr>
            <w:tcW w:w="238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941,23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68,3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158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88 734,97</w:t>
            </w:r>
          </w:p>
        </w:tc>
        <w:tc>
          <w:tcPr>
            <w:tcW w:w="238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366 088,49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24,2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158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3 464,48</w:t>
            </w:r>
          </w:p>
        </w:tc>
        <w:tc>
          <w:tcPr>
            <w:tcW w:w="238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19 632,04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17,6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158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493,00</w:t>
            </w:r>
          </w:p>
        </w:tc>
        <w:tc>
          <w:tcPr>
            <w:tcW w:w="238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493,00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>
      <w:pPr>
        <w:pStyle w:val="ac"/>
        <w:tabs>
          <w:tab w:val="left" w:pos="1134"/>
        </w:tabs>
        <w:autoSpaceDE w:val="0"/>
        <w:autoSpaceDN w:val="0"/>
        <w:adjustRightInd w:val="0"/>
        <w:ind w:left="709"/>
        <w:jc w:val="both"/>
        <w:outlineLvl w:val="1"/>
        <w:rPr>
          <w:sz w:val="16"/>
          <w:szCs w:val="16"/>
        </w:rPr>
      </w:pPr>
    </w:p>
    <w:p>
      <w:pP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1"/>
      </w:pPr>
      <w:r>
        <w:t xml:space="preserve">3) По показателю </w:t>
      </w:r>
      <w:r>
        <w:rPr>
          <w:b/>
        </w:rPr>
        <w:t>А</w:t>
      </w:r>
      <w:r>
        <w:rPr>
          <w:b/>
          <w:vertAlign w:val="subscript"/>
        </w:rPr>
        <w:t>6.3. </w:t>
      </w:r>
      <w:r>
        <w:t>«Эффективность расходов на содержание ГАБС» оценка проводится в соответствии со следующими показателями:</w:t>
      </w:r>
    </w:p>
    <w:tbl>
      <w:tblPr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575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257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&lt;  =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257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2660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6.3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257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>
      <w:pP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1"/>
        <w:rPr>
          <w:sz w:val="16"/>
          <w:szCs w:val="16"/>
        </w:rPr>
      </w:pPr>
    </w:p>
    <w:p>
      <w:pP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1"/>
      </w:pPr>
      <w:r>
        <w:t xml:space="preserve">Максимальную оценку получили Управление образования, Управление культуры, УЖКХ </w:t>
      </w:r>
      <w:proofErr w:type="spellStart"/>
      <w:r>
        <w:t>тиС</w:t>
      </w:r>
      <w:proofErr w:type="spellEnd"/>
      <w:r>
        <w:t xml:space="preserve">, УЧС, УКС и Финансовое управление – 5 баллов, по остальным </w:t>
      </w:r>
      <w:proofErr w:type="gramStart"/>
      <w:r>
        <w:t>ГАБС  -</w:t>
      </w:r>
      <w:proofErr w:type="gramEnd"/>
      <w:r>
        <w:t xml:space="preserve"> 0 баллов.</w:t>
      </w:r>
    </w:p>
    <w:p>
      <w:pPr>
        <w:autoSpaceDE w:val="0"/>
        <w:autoSpaceDN w:val="0"/>
        <w:adjustRightInd w:val="0"/>
        <w:jc w:val="right"/>
        <w:outlineLvl w:val="1"/>
      </w:pPr>
      <w:r>
        <w:t xml:space="preserve">Таблица 13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1730"/>
        <w:gridCol w:w="1843"/>
        <w:gridCol w:w="1814"/>
        <w:gridCol w:w="1276"/>
      </w:tblGrid>
      <w:tr>
        <w:trPr>
          <w:trHeight w:val="1088"/>
        </w:trPr>
        <w:tc>
          <w:tcPr>
            <w:tcW w:w="283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ГАБС </w:t>
            </w:r>
          </w:p>
        </w:tc>
        <w:tc>
          <w:tcPr>
            <w:tcW w:w="1730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Кассовые расходы на содержание ГАБС ВР 244 (за исключением расходов по КОСГУ 296)</w:t>
            </w:r>
          </w:p>
        </w:tc>
        <w:tc>
          <w:tcPr>
            <w:tcW w:w="184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</w:rPr>
              <w:t>Фактическая численность работников ГАБС на последнее число отчетного финансового года</w:t>
            </w:r>
          </w:p>
        </w:tc>
        <w:tc>
          <w:tcPr>
            <w:tcW w:w="181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</w:rPr>
              <w:t>Значение показателя А</w:t>
            </w:r>
            <w:r>
              <w:rPr>
                <w:sz w:val="20"/>
                <w:szCs w:val="20"/>
                <w:vertAlign w:val="subscript"/>
              </w:rPr>
              <w:t>6.3,   %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гр.</w:t>
            </w:r>
            <w:proofErr w:type="gramEnd"/>
            <w:r>
              <w:rPr>
                <w:sz w:val="20"/>
                <w:szCs w:val="20"/>
              </w:rPr>
              <w:t>2/гр3- гр.2/гр3(по соотв. группе))/ гр.2/гр3(по соотв. группе)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3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1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Первая  группа</w:t>
            </w:r>
            <w:proofErr w:type="gramEnd"/>
            <w:r>
              <w:rPr>
                <w:sz w:val="22"/>
                <w:szCs w:val="22"/>
              </w:rPr>
              <w:t xml:space="preserve"> (I), всего</w:t>
            </w:r>
          </w:p>
        </w:tc>
        <w:tc>
          <w:tcPr>
            <w:tcW w:w="173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4 969,11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91,52</w:t>
            </w:r>
          </w:p>
        </w:tc>
        <w:tc>
          <w:tcPr>
            <w:tcW w:w="1814" w:type="dxa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173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442,48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25,30</w:t>
            </w:r>
          </w:p>
        </w:tc>
        <w:tc>
          <w:tcPr>
            <w:tcW w:w="1814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-67,8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173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477,22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13,67</w:t>
            </w:r>
          </w:p>
        </w:tc>
        <w:tc>
          <w:tcPr>
            <w:tcW w:w="1814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-35,7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173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2 075,13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16,32</w:t>
            </w:r>
          </w:p>
        </w:tc>
        <w:tc>
          <w:tcPr>
            <w:tcW w:w="1814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134,2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73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1 974,28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36,23</w:t>
            </w:r>
          </w:p>
        </w:tc>
        <w:tc>
          <w:tcPr>
            <w:tcW w:w="1814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Вторая  группа</w:t>
            </w:r>
            <w:proofErr w:type="gramEnd"/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I</w:t>
            </w:r>
            <w:r>
              <w:rPr>
                <w:sz w:val="22"/>
                <w:szCs w:val="22"/>
              </w:rPr>
              <w:t>I), всего</w:t>
            </w:r>
          </w:p>
        </w:tc>
        <w:tc>
          <w:tcPr>
            <w:tcW w:w="173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18 376,11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224,77</w:t>
            </w:r>
          </w:p>
        </w:tc>
        <w:tc>
          <w:tcPr>
            <w:tcW w:w="1814" w:type="dxa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173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15 558,16</w:t>
            </w:r>
          </w:p>
        </w:tc>
        <w:tc>
          <w:tcPr>
            <w:tcW w:w="1843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171,69</w:t>
            </w:r>
          </w:p>
        </w:tc>
        <w:tc>
          <w:tcPr>
            <w:tcW w:w="181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10,8%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173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2 504,03</w:t>
            </w:r>
          </w:p>
        </w:tc>
        <w:tc>
          <w:tcPr>
            <w:tcW w:w="1843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40,50</w:t>
            </w:r>
          </w:p>
        </w:tc>
        <w:tc>
          <w:tcPr>
            <w:tcW w:w="181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-24,4%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173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313,92</w:t>
            </w:r>
          </w:p>
        </w:tc>
        <w:tc>
          <w:tcPr>
            <w:tcW w:w="1843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12,58</w:t>
            </w:r>
          </w:p>
        </w:tc>
        <w:tc>
          <w:tcPr>
            <w:tcW w:w="181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-69,5%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Третья  группа</w:t>
            </w:r>
            <w:proofErr w:type="gramEnd"/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I</w:t>
            </w:r>
            <w:r>
              <w:rPr>
                <w:sz w:val="22"/>
                <w:szCs w:val="22"/>
              </w:rPr>
              <w:t>I), всего</w:t>
            </w:r>
          </w:p>
        </w:tc>
        <w:tc>
          <w:tcPr>
            <w:tcW w:w="173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4 241,20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68,39</w:t>
            </w:r>
          </w:p>
        </w:tc>
        <w:tc>
          <w:tcPr>
            <w:tcW w:w="1814" w:type="dxa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173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1 121,93</w:t>
            </w:r>
          </w:p>
        </w:tc>
        <w:tc>
          <w:tcPr>
            <w:tcW w:w="1843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29,98</w:t>
            </w:r>
          </w:p>
        </w:tc>
        <w:tc>
          <w:tcPr>
            <w:tcW w:w="181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-39,7%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173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2 458,72</w:t>
            </w:r>
          </w:p>
        </w:tc>
        <w:tc>
          <w:tcPr>
            <w:tcW w:w="1843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13,08</w:t>
            </w:r>
          </w:p>
        </w:tc>
        <w:tc>
          <w:tcPr>
            <w:tcW w:w="181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203,1%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173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660,55</w:t>
            </w:r>
          </w:p>
        </w:tc>
        <w:tc>
          <w:tcPr>
            <w:tcW w:w="1843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25,33</w:t>
            </w:r>
          </w:p>
        </w:tc>
        <w:tc>
          <w:tcPr>
            <w:tcW w:w="181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-57,9%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  <w:sz w:val="16"/>
          <w:szCs w:val="16"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>
        <w:rPr>
          <w:b/>
          <w:i/>
        </w:rPr>
        <w:t>Максимальное количество баллов, возможное по данному разделу - 15 баллов. Максимальную оценку по данному направлению получили УЧС, УКС и Финансовое управление.</w:t>
      </w:r>
    </w:p>
    <w:p>
      <w:pPr>
        <w:autoSpaceDE w:val="0"/>
        <w:autoSpaceDN w:val="0"/>
        <w:adjustRightInd w:val="0"/>
        <w:jc w:val="right"/>
        <w:outlineLvl w:val="1"/>
      </w:pPr>
      <w:r>
        <w:rPr>
          <w:noProof/>
        </w:rPr>
        <w:drawing>
          <wp:inline distT="0" distB="0" distL="0" distR="0">
            <wp:extent cx="6156960" cy="2392680"/>
            <wp:effectExtent l="0" t="0" r="0" b="0"/>
            <wp:docPr id="6" name="Объект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>
      <w:pPr>
        <w:tabs>
          <w:tab w:val="left" w:pos="993"/>
        </w:tabs>
        <w:autoSpaceDE w:val="0"/>
        <w:autoSpaceDN w:val="0"/>
        <w:adjustRightInd w:val="0"/>
        <w:ind w:left="-1701" w:firstLine="708"/>
        <w:jc w:val="both"/>
        <w:outlineLvl w:val="1"/>
        <w:rPr>
          <w:highlight w:val="yellow"/>
        </w:rPr>
      </w:pPr>
    </w:p>
    <w:p>
      <w:pPr>
        <w:tabs>
          <w:tab w:val="left" w:pos="851"/>
        </w:tabs>
        <w:jc w:val="center"/>
        <w:rPr>
          <w:noProof/>
        </w:rPr>
      </w:pPr>
      <w:r>
        <w:rPr>
          <w:noProof/>
        </w:rPr>
        <w:t xml:space="preserve">Рисунок 6 – Итоговое количество баллов по разделу </w:t>
      </w:r>
      <w:r>
        <w:rPr>
          <w:noProof/>
          <w:lang w:val="en-US"/>
        </w:rPr>
        <w:t>VI</w:t>
      </w:r>
    </w:p>
    <w:p>
      <w:pPr>
        <w:tabs>
          <w:tab w:val="left" w:pos="709"/>
        </w:tabs>
        <w:spacing w:after="120"/>
        <w:jc w:val="center"/>
        <w:rPr>
          <w:b/>
          <w:sz w:val="16"/>
          <w:szCs w:val="16"/>
        </w:rPr>
      </w:pPr>
    </w:p>
    <w:p>
      <w:pPr>
        <w:tabs>
          <w:tab w:val="left" w:pos="709"/>
        </w:tabs>
        <w:spacing w:after="120"/>
        <w:jc w:val="center"/>
        <w:rPr>
          <w:b/>
        </w:rPr>
      </w:pPr>
      <w:r>
        <w:rPr>
          <w:b/>
        </w:rPr>
        <w:lastRenderedPageBreak/>
        <w:t>Консолидированная оценка качества финансового менеджмента</w:t>
      </w:r>
    </w:p>
    <w:p>
      <w:pPr>
        <w:ind w:firstLine="708"/>
        <w:jc w:val="both"/>
      </w:pPr>
      <w:r>
        <w:t xml:space="preserve">В соответствии с проведенной оценкой качества финансового </w:t>
      </w:r>
      <w:proofErr w:type="gramStart"/>
      <w:r>
        <w:t>менеджмента  ГАБС</w:t>
      </w:r>
      <w:proofErr w:type="gramEnd"/>
      <w:r>
        <w:t xml:space="preserve"> (приложение 1 к аналитической записке) произведено ранжирование ГАБС по форме, установленной согласно Приложению 2 к Порядку (приложение 2 к аналитической записке).</w:t>
      </w:r>
    </w:p>
    <w:p>
      <w:pPr>
        <w:ind w:firstLine="708"/>
        <w:jc w:val="both"/>
      </w:pPr>
      <w:r>
        <w:t>В соответствии с утвержденным Порядком:</w:t>
      </w:r>
    </w:p>
    <w:p>
      <w:pPr>
        <w:ind w:firstLine="708"/>
        <w:jc w:val="both"/>
      </w:pPr>
      <w:proofErr w:type="gramStart"/>
      <w:r>
        <w:rPr>
          <w:lang w:val="en-US"/>
        </w:rPr>
        <w:t>I</w:t>
      </w:r>
      <w:r>
        <w:t xml:space="preserve">  место</w:t>
      </w:r>
      <w:proofErr w:type="gramEnd"/>
      <w:r>
        <w:t xml:space="preserve"> в группе I  - Управление культуры;</w:t>
      </w:r>
      <w:r>
        <w:rPr>
          <w:noProof/>
        </w:rPr>
        <w:t xml:space="preserve"> </w:t>
      </w:r>
    </w:p>
    <w:p>
      <w:pPr>
        <w:ind w:firstLine="70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1403985</wp:posOffset>
                </wp:positionH>
                <wp:positionV relativeFrom="paragraph">
                  <wp:posOffset>1905</wp:posOffset>
                </wp:positionV>
                <wp:extent cx="373380" cy="1653540"/>
                <wp:effectExtent l="685800" t="0" r="693420" b="0"/>
                <wp:wrapNone/>
                <wp:docPr id="17" name="Левая фигурная скобка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1653540"/>
                        </a:xfrm>
                        <a:prstGeom prst="lef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>
                            <a:rot lat="0" lon="0" rev="16200000"/>
                          </a:camera>
                          <a:lightRig rig="threePt" dir="t"/>
                        </a:scene3d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Левая фигурная скобка 17" o:spid="_x0000_s1026" type="#_x0000_t87" style="position:absolute;margin-left:110.55pt;margin-top:.15pt;width:29.4pt;height:130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" adj="406" strokecolor="black [3213]"/>
            </w:pict>
          </mc:Fallback>
        </mc:AlternateContent>
      </w:r>
      <w:r>
        <w:rPr>
          <w:lang w:val="en-US"/>
        </w:rPr>
        <w:t>I</w:t>
      </w:r>
      <w:r>
        <w:t xml:space="preserve"> место в группе </w:t>
      </w:r>
      <w:proofErr w:type="gramStart"/>
      <w:r>
        <w:t>II  -</w:t>
      </w:r>
      <w:proofErr w:type="gramEnd"/>
      <w:r>
        <w:t xml:space="preserve"> УЧС;</w:t>
      </w:r>
      <w:r>
        <w:rPr>
          <w:noProof/>
        </w:rPr>
        <w:t xml:space="preserve"> </w:t>
      </w:r>
    </w:p>
    <w:p>
      <w:pPr>
        <w:ind w:firstLine="708"/>
        <w:jc w:val="both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327660" cy="1386840"/>
                <wp:effectExtent l="590550" t="0" r="586740" b="0"/>
                <wp:wrapNone/>
                <wp:docPr id="16" name="Левая фигурная скобка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138684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  <a:scene3d>
                          <a:camera prst="orthographicFront">
                            <a:rot lat="0" lon="0" rev="16200000"/>
                          </a:camera>
                          <a:lightRig rig="threePt" dir="t"/>
                        </a:scene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Левая фигурная скобка 16" o:spid="_x0000_s1026" type="#_x0000_t87" style="position:absolute;margin-left:-25.4pt;margin-top:.55pt;width:25.8pt;height:109.2pt;z-index:25166540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" adj="425" strokecolor="windowTex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9525</wp:posOffset>
                </wp:positionV>
                <wp:extent cx="327660" cy="1386840"/>
                <wp:effectExtent l="590550" t="0" r="586740" b="0"/>
                <wp:wrapNone/>
                <wp:docPr id="14" name="Левая фигурная скобка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1386840"/>
                        </a:xfrm>
                        <a:prstGeom prst="lef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>
                            <a:rot lat="0" lon="0" rev="16200000"/>
                          </a:camera>
                          <a:lightRig rig="threePt" dir="t"/>
                        </a:scene3d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Левая фигурная скобка 14" o:spid="_x0000_s1026" type="#_x0000_t87" style="position:absolute;margin-left:264.15pt;margin-top:.75pt;width:25.8pt;height:109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" adj="425" strokecolor="black [3213]"/>
            </w:pict>
          </mc:Fallback>
        </mc:AlternateContent>
      </w:r>
      <w:r>
        <w:rPr>
          <w:lang w:val="en-US"/>
        </w:rPr>
        <w:t>I</w:t>
      </w:r>
      <w:r>
        <w:t xml:space="preserve"> место в группе </w:t>
      </w:r>
      <w:proofErr w:type="gramStart"/>
      <w:r>
        <w:rPr>
          <w:lang w:val="en-US"/>
        </w:rPr>
        <w:t>I</w:t>
      </w:r>
      <w:r>
        <w:t>II  -</w:t>
      </w:r>
      <w:proofErr w:type="gramEnd"/>
      <w:r>
        <w:t xml:space="preserve"> Финансовое управление.</w:t>
      </w:r>
      <w:r>
        <w:rPr>
          <w:noProof/>
        </w:rPr>
        <w:t xml:space="preserve"> </w:t>
      </w:r>
    </w:p>
    <w:p>
      <w:pPr>
        <w:ind w:firstLine="70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6" behindDoc="0" locked="0" layoutInCell="1" allowOverlap="1">
                <wp:simplePos x="0" y="0"/>
                <wp:positionH relativeFrom="leftMargin">
                  <wp:posOffset>5842635</wp:posOffset>
                </wp:positionH>
                <wp:positionV relativeFrom="paragraph">
                  <wp:posOffset>6985</wp:posOffset>
                </wp:positionV>
                <wp:extent cx="891540" cy="350520"/>
                <wp:effectExtent l="0" t="0" r="22860" b="1143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540" cy="3505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III</w:t>
                            </w: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группа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26" style="position:absolute;left:0;text-align:left;margin-left:460.05pt;margin-top:.55pt;width:70.2pt;height:27.6pt;z-index:25165516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" fillcolor="window" strokecolor="window" strokeweight="2pt">
                <v:textbox>
                  <w:txbxContent>
                    <w:p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III</w:t>
                      </w: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группа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1" behindDoc="0" locked="0" layoutInCell="1" allowOverlap="1">
                <wp:simplePos x="0" y="0"/>
                <wp:positionH relativeFrom="leftMargin">
                  <wp:posOffset>4084320</wp:posOffset>
                </wp:positionH>
                <wp:positionV relativeFrom="paragraph">
                  <wp:posOffset>1905</wp:posOffset>
                </wp:positionV>
                <wp:extent cx="891540" cy="350520"/>
                <wp:effectExtent l="0" t="0" r="22860" b="1143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540" cy="3505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II</w:t>
                            </w: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группа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27" style="position:absolute;left:0;text-align:left;margin-left:321.6pt;margin-top:.15pt;width:70.2pt;height:27.6pt;z-index:251654141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" fillcolor="window" strokecolor="window" strokeweight="2pt">
                <v:textbox>
                  <w:txbxContent>
                    <w:p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II</w:t>
                      </w: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группа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1" behindDoc="0" locked="0" layoutInCell="1" allowOverlap="1">
                <wp:simplePos x="0" y="0"/>
                <wp:positionH relativeFrom="leftMargin">
                  <wp:posOffset>2270760</wp:posOffset>
                </wp:positionH>
                <wp:positionV relativeFrom="paragraph">
                  <wp:posOffset>1905</wp:posOffset>
                </wp:positionV>
                <wp:extent cx="746760" cy="350520"/>
                <wp:effectExtent l="0" t="0" r="15240" b="1143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6760" cy="350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группа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28" style="position:absolute;left:0;text-align:left;margin-left:178.8pt;margin-top:.15pt;width:58.8pt;height:27.6pt;z-index:251656191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" fillcolor="white [3212]" strokecolor="white [3212]" strokeweight="2pt">
                <v:textbox>
                  <w:txbxContent>
                    <w:p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группа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>
      <w:pPr>
        <w:ind w:firstLine="708"/>
        <w:jc w:val="both"/>
        <w:rPr>
          <w:highlight w:val="yellow"/>
        </w:rPr>
      </w:pPr>
      <w:r>
        <w:rPr>
          <w:highlight w:val="yellow"/>
        </w:rPr>
        <w:t xml:space="preserve"> </w:t>
      </w:r>
    </w:p>
    <w:p>
      <w:pPr>
        <w:ind w:left="-284" w:hanging="567"/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692150</wp:posOffset>
                </wp:positionV>
                <wp:extent cx="5541645" cy="20955"/>
                <wp:effectExtent l="0" t="0" r="20955" b="36195"/>
                <wp:wrapNone/>
                <wp:docPr id="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41645" cy="209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385.15pt;margin-top:54.5pt;width:436.35pt;height:1.65pt;flip:y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" strokecolor="red">
                <w10:wrap anchorx="margin"/>
              </v:shape>
            </w:pict>
          </mc:Fallback>
        </mc:AlternateContent>
      </w: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4692015</wp:posOffset>
                </wp:positionH>
                <wp:positionV relativeFrom="paragraph">
                  <wp:posOffset>2130425</wp:posOffset>
                </wp:positionV>
                <wp:extent cx="1514475" cy="831215"/>
                <wp:effectExtent l="0" t="0" r="28575" b="26670"/>
                <wp:wrapNone/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831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Среднее значение оценки качества финансового менеджмента составило 95 баллов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9" type="#_x0000_t202" style="position:absolute;left:0;text-align:left;margin-left:369.45pt;margin-top:167.75pt;width:119.25pt;height:65.45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" strokecolor="#c00000">
                <v:textbox style="mso-fit-shape-to-text:t">
                  <w:txbxContent>
                    <w:p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Среднее значение оценки качества финансового менеджмента составило 95 баллов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-866775</wp:posOffset>
                </wp:positionH>
                <wp:positionV relativeFrom="paragraph">
                  <wp:posOffset>2966085</wp:posOffset>
                </wp:positionV>
                <wp:extent cx="1988820" cy="914400"/>
                <wp:effectExtent l="0" t="0" r="0" b="0"/>
                <wp:wrapNone/>
                <wp:docPr id="2" name="Левая фигурная скобка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820" cy="914400"/>
                        </a:xfrm>
                        <a:prstGeom prst="leftBrace">
                          <a:avLst/>
                        </a:prstGeom>
                        <a:scene3d>
                          <a:camera prst="orthographicFront">
                            <a:rot lat="0" lon="5400000" rev="0"/>
                          </a:camera>
                          <a:lightRig rig="threePt" dir="t"/>
                        </a:scene3d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Левая фигурная скобка 2" o:spid="_x0000_s1026" type="#_x0000_t87" style="position:absolute;margin-left:-68.25pt;margin-top:233.55pt;width:156.6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" strokecolor="#4579b8 [3044]"/>
            </w:pict>
          </mc:Fallback>
        </mc:AlternateContent>
      </w:r>
      <w:r>
        <w:rPr>
          <w:noProof/>
        </w:rPr>
        <w:drawing>
          <wp:inline distT="0" distB="0" distL="0" distR="0">
            <wp:extent cx="6905625" cy="2948940"/>
            <wp:effectExtent l="0" t="0" r="9525" b="3810"/>
            <wp:docPr id="7" name="Объект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>
        <w:rPr>
          <w:noProof/>
        </w:rPr>
        <w:t xml:space="preserve"> Рисунок 7 – Консолидированая оценка качества</w:t>
      </w:r>
    </w:p>
    <w:p>
      <w:pPr>
        <w:jc w:val="center"/>
        <w:rPr>
          <w:noProof/>
        </w:rPr>
      </w:pPr>
      <w:r>
        <w:rPr>
          <w:noProof/>
        </w:rPr>
        <w:t>финансового менеджмента ГАБС за 2021 год</w:t>
      </w:r>
    </w:p>
    <w:p>
      <w:pPr>
        <w:ind w:firstLine="709"/>
        <w:jc w:val="both"/>
        <w:rPr>
          <w:noProof/>
        </w:rPr>
      </w:pPr>
    </w:p>
    <w:p>
      <w:pPr>
        <w:jc w:val="center"/>
        <w:rPr>
          <w:noProof/>
          <w:color w:val="FF0000"/>
        </w:rPr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  <w:r>
        <w:t xml:space="preserve">Начальник Финансового управления                                                                      </w:t>
      </w:r>
      <w:proofErr w:type="spellStart"/>
      <w:r>
        <w:t>Л.И.Овчаренко</w:t>
      </w:r>
      <w:proofErr w:type="spellEnd"/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  <w:r>
        <w:t>Кириллова О.Н.</w:t>
      </w:r>
    </w:p>
    <w:p>
      <w:pPr>
        <w:jc w:val="both"/>
      </w:pPr>
      <w:r>
        <w:t>77 38 60</w:t>
      </w:r>
    </w:p>
    <w:sectPr>
      <w:footerReference w:type="even" r:id="rId15"/>
      <w:footerReference w:type="default" r:id="rId16"/>
      <w:pgSz w:w="11906" w:h="16838" w:code="9"/>
      <w:pgMar w:top="737" w:right="851" w:bottom="28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13</w:t>
    </w:r>
    <w:r>
      <w:rPr>
        <w:rStyle w:val="a7"/>
      </w:rPr>
      <w:fldChar w:fldCharType="end"/>
    </w:r>
  </w:p>
  <w:p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5D0A05"/>
    <w:multiLevelType w:val="hybridMultilevel"/>
    <w:tmpl w:val="A9CEB1E6"/>
    <w:lvl w:ilvl="0" w:tplc="16FE615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F0A1BFB"/>
    <w:multiLevelType w:val="hybridMultilevel"/>
    <w:tmpl w:val="435480C4"/>
    <w:lvl w:ilvl="0" w:tplc="0419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E979FA"/>
    <w:multiLevelType w:val="hybridMultilevel"/>
    <w:tmpl w:val="BAC23A16"/>
    <w:lvl w:ilvl="0" w:tplc="D4542AC2">
      <w:start w:val="1"/>
      <w:numFmt w:val="decimal"/>
      <w:lvlText w:val="%1)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115067"/>
    <w:multiLevelType w:val="hybridMultilevel"/>
    <w:tmpl w:val="428E9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F3E12"/>
    <w:multiLevelType w:val="hybridMultilevel"/>
    <w:tmpl w:val="D9C27248"/>
    <w:lvl w:ilvl="0" w:tplc="9956F64E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2B8C98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41419C2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F5AFF1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1CA5F4C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4A20A7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BC699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732ED46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7DCAEF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1BAB36A8"/>
    <w:multiLevelType w:val="hybridMultilevel"/>
    <w:tmpl w:val="8B1AFF14"/>
    <w:lvl w:ilvl="0" w:tplc="4692C72C">
      <w:start w:val="1"/>
      <w:numFmt w:val="decimal"/>
      <w:lvlText w:val="%1)"/>
      <w:lvlJc w:val="left"/>
      <w:pPr>
        <w:tabs>
          <w:tab w:val="num" w:pos="2004"/>
        </w:tabs>
        <w:ind w:left="200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1CB15CDD"/>
    <w:multiLevelType w:val="hybridMultilevel"/>
    <w:tmpl w:val="90DCBDB6"/>
    <w:lvl w:ilvl="0" w:tplc="2EFA7470">
      <w:start w:val="1"/>
      <w:numFmt w:val="decimal"/>
      <w:lvlText w:val="%1)"/>
      <w:lvlJc w:val="left"/>
      <w:pPr>
        <w:ind w:left="8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01908BD"/>
    <w:multiLevelType w:val="hybridMultilevel"/>
    <w:tmpl w:val="421454E2"/>
    <w:lvl w:ilvl="0" w:tplc="8506B81A">
      <w:start w:val="1"/>
      <w:numFmt w:val="decimal"/>
      <w:lvlText w:val="%1)"/>
      <w:lvlJc w:val="left"/>
      <w:pPr>
        <w:ind w:left="1669" w:hanging="9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166DCC"/>
    <w:multiLevelType w:val="hybridMultilevel"/>
    <w:tmpl w:val="3D1CC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2517E3"/>
    <w:multiLevelType w:val="hybridMultilevel"/>
    <w:tmpl w:val="7B54D886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B52C21"/>
    <w:multiLevelType w:val="hybridMultilevel"/>
    <w:tmpl w:val="EAB48F04"/>
    <w:lvl w:ilvl="0" w:tplc="C8E0C5BA">
      <w:start w:val="1"/>
      <w:numFmt w:val="decimal"/>
      <w:lvlText w:val="%1)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C5B247F"/>
    <w:multiLevelType w:val="hybridMultilevel"/>
    <w:tmpl w:val="75F60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080C5C"/>
    <w:multiLevelType w:val="hybridMultilevel"/>
    <w:tmpl w:val="29F022F8"/>
    <w:lvl w:ilvl="0" w:tplc="8912FF2E">
      <w:start w:val="1"/>
      <w:numFmt w:val="decimal"/>
      <w:lvlText w:val="%1)"/>
      <w:lvlJc w:val="left"/>
      <w:pPr>
        <w:ind w:left="7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09F4A15"/>
    <w:multiLevelType w:val="hybridMultilevel"/>
    <w:tmpl w:val="DC869EF8"/>
    <w:lvl w:ilvl="0" w:tplc="B0124546">
      <w:start w:val="1"/>
      <w:numFmt w:val="decimal"/>
      <w:lvlText w:val="%1)"/>
      <w:lvlJc w:val="left"/>
      <w:pPr>
        <w:ind w:left="719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8" w:hanging="360"/>
      </w:pPr>
    </w:lvl>
    <w:lvl w:ilvl="2" w:tplc="0419001B" w:tentative="1">
      <w:start w:val="1"/>
      <w:numFmt w:val="lowerRoman"/>
      <w:lvlText w:val="%3."/>
      <w:lvlJc w:val="right"/>
      <w:pPr>
        <w:ind w:left="8038" w:hanging="180"/>
      </w:pPr>
    </w:lvl>
    <w:lvl w:ilvl="3" w:tplc="0419000F" w:tentative="1">
      <w:start w:val="1"/>
      <w:numFmt w:val="decimal"/>
      <w:lvlText w:val="%4."/>
      <w:lvlJc w:val="left"/>
      <w:pPr>
        <w:ind w:left="8758" w:hanging="360"/>
      </w:pPr>
    </w:lvl>
    <w:lvl w:ilvl="4" w:tplc="04190019" w:tentative="1">
      <w:start w:val="1"/>
      <w:numFmt w:val="lowerLetter"/>
      <w:lvlText w:val="%5."/>
      <w:lvlJc w:val="left"/>
      <w:pPr>
        <w:ind w:left="9478" w:hanging="360"/>
      </w:pPr>
    </w:lvl>
    <w:lvl w:ilvl="5" w:tplc="0419001B" w:tentative="1">
      <w:start w:val="1"/>
      <w:numFmt w:val="lowerRoman"/>
      <w:lvlText w:val="%6."/>
      <w:lvlJc w:val="right"/>
      <w:pPr>
        <w:ind w:left="10198" w:hanging="180"/>
      </w:pPr>
    </w:lvl>
    <w:lvl w:ilvl="6" w:tplc="0419000F" w:tentative="1">
      <w:start w:val="1"/>
      <w:numFmt w:val="decimal"/>
      <w:lvlText w:val="%7."/>
      <w:lvlJc w:val="left"/>
      <w:pPr>
        <w:ind w:left="10918" w:hanging="360"/>
      </w:pPr>
    </w:lvl>
    <w:lvl w:ilvl="7" w:tplc="04190019" w:tentative="1">
      <w:start w:val="1"/>
      <w:numFmt w:val="lowerLetter"/>
      <w:lvlText w:val="%8."/>
      <w:lvlJc w:val="left"/>
      <w:pPr>
        <w:ind w:left="11638" w:hanging="360"/>
      </w:pPr>
    </w:lvl>
    <w:lvl w:ilvl="8" w:tplc="0419001B" w:tentative="1">
      <w:start w:val="1"/>
      <w:numFmt w:val="lowerRoman"/>
      <w:lvlText w:val="%9."/>
      <w:lvlJc w:val="right"/>
      <w:pPr>
        <w:ind w:left="12358" w:hanging="180"/>
      </w:pPr>
    </w:lvl>
  </w:abstractNum>
  <w:abstractNum w:abstractNumId="14">
    <w:nsid w:val="653C0634"/>
    <w:multiLevelType w:val="hybridMultilevel"/>
    <w:tmpl w:val="29F022F8"/>
    <w:lvl w:ilvl="0" w:tplc="8912FF2E">
      <w:start w:val="1"/>
      <w:numFmt w:val="decimal"/>
      <w:lvlText w:val="%1)"/>
      <w:lvlJc w:val="left"/>
      <w:pPr>
        <w:ind w:left="7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D51722B"/>
    <w:multiLevelType w:val="hybridMultilevel"/>
    <w:tmpl w:val="DAE89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4"/>
  </w:num>
  <w:num w:numId="5">
    <w:abstractNumId w:val="8"/>
  </w:num>
  <w:num w:numId="6">
    <w:abstractNumId w:val="15"/>
  </w:num>
  <w:num w:numId="7">
    <w:abstractNumId w:val="11"/>
  </w:num>
  <w:num w:numId="8">
    <w:abstractNumId w:val="3"/>
  </w:num>
  <w:num w:numId="9">
    <w:abstractNumId w:val="10"/>
  </w:num>
  <w:num w:numId="10">
    <w:abstractNumId w:val="2"/>
  </w:num>
  <w:num w:numId="11">
    <w:abstractNumId w:val="1"/>
  </w:num>
  <w:num w:numId="12">
    <w:abstractNumId w:val="13"/>
  </w:num>
  <w:num w:numId="13">
    <w:abstractNumId w:val="6"/>
  </w:num>
  <w:num w:numId="14">
    <w:abstractNumId w:val="12"/>
  </w:num>
  <w:num w:numId="15">
    <w:abstractNumId w:val="9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1119643-E1AB-4454-8CE7-A54C74E5F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 Знак Знак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ody Text"/>
    <w:basedOn w:val="a"/>
    <w:pPr>
      <w:jc w:val="both"/>
    </w:p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character" w:styleId="a7">
    <w:name w:val="page number"/>
    <w:basedOn w:val="a0"/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Pr>
      <w:sz w:val="24"/>
      <w:szCs w:val="24"/>
    </w:rPr>
  </w:style>
  <w:style w:type="paragraph" w:styleId="aa">
    <w:name w:val="Balloon Text"/>
    <w:basedOn w:val="a"/>
    <w:link w:val="a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39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5248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37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37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93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7.xlsx"/><Relationship Id="rId1" Type="http://schemas.openxmlformats.org/officeDocument/2006/relationships/themeOverride" Target="../theme/themeOverrid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 w="6350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rgbClr val="ED7D31"/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 w="22054">
                <a:noFill/>
              </a:ln>
            </c:spPr>
            <c:txPr>
              <a:bodyPr/>
              <a:lstStyle/>
              <a:p>
                <a:pPr>
                  <a:defRPr sz="955" b="0" i="0" u="none" strike="noStrike" baseline="0">
                    <a:solidFill>
                      <a:srgbClr val="333333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Лист1!$A$3:$A$12</c:f>
              <c:strCache>
                <c:ptCount val="10"/>
                <c:pt idx="0">
                  <c:v>Управление образования </c:v>
                </c:pt>
                <c:pt idx="1">
                  <c:v>Управление культуры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Администрация</c:v>
                </c:pt>
                <c:pt idx="5">
                  <c:v>УИО</c:v>
                </c:pt>
                <c:pt idx="6">
                  <c:v>УЧС</c:v>
                </c:pt>
                <c:pt idx="7">
                  <c:v>УКС</c:v>
                </c:pt>
                <c:pt idx="8">
                  <c:v>УВГТ</c:v>
                </c:pt>
                <c:pt idx="9">
                  <c:v>Фин. управление</c:v>
                </c:pt>
              </c:strCache>
            </c:strRef>
          </c:cat>
          <c:val>
            <c:numRef>
              <c:f>Лист1!$B$3:$B$12</c:f>
              <c:numCache>
                <c:formatCode>General</c:formatCode>
                <c:ptCount val="10"/>
                <c:pt idx="0">
                  <c:v>18</c:v>
                </c:pt>
                <c:pt idx="1">
                  <c:v>20</c:v>
                </c:pt>
                <c:pt idx="2">
                  <c:v>18</c:v>
                </c:pt>
                <c:pt idx="3">
                  <c:v>15</c:v>
                </c:pt>
                <c:pt idx="4">
                  <c:v>8</c:v>
                </c:pt>
                <c:pt idx="5">
                  <c:v>15</c:v>
                </c:pt>
                <c:pt idx="6">
                  <c:v>18</c:v>
                </c:pt>
                <c:pt idx="7">
                  <c:v>15</c:v>
                </c:pt>
                <c:pt idx="8">
                  <c:v>20</c:v>
                </c:pt>
                <c:pt idx="9">
                  <c:v>23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47664440"/>
        <c:axId val="247664832"/>
        <c:axId val="0"/>
      </c:bar3DChart>
      <c:catAx>
        <c:axId val="2476644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1027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2700000" vert="horz"/>
          <a:lstStyle/>
          <a:p>
            <a:pPr>
              <a:defRPr sz="912" b="0" i="0" u="none" strike="noStrike" baseline="0">
                <a:solidFill>
                  <a:srgbClr val="333333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47664832"/>
        <c:crosses val="autoZero"/>
        <c:auto val="1"/>
        <c:lblAlgn val="ctr"/>
        <c:lblOffset val="100"/>
        <c:noMultiLvlLbl val="0"/>
      </c:catAx>
      <c:valAx>
        <c:axId val="247664832"/>
        <c:scaling>
          <c:orientation val="minMax"/>
        </c:scaling>
        <c:delete val="0"/>
        <c:axPos val="l"/>
        <c:majorGridlines>
          <c:spPr>
            <a:ln w="8270" cap="flat" cmpd="sng" algn="ctr">
              <a:solidFill>
                <a:srgbClr val="5B9BD5">
                  <a:lumMod val="60000"/>
                  <a:lumOff val="40000"/>
                </a:srgb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5513">
            <a:noFill/>
          </a:ln>
        </c:spPr>
        <c:txPr>
          <a:bodyPr rot="0" vert="horz"/>
          <a:lstStyle/>
          <a:p>
            <a:pPr>
              <a:defRPr sz="781" b="0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47664440"/>
        <c:crosses val="autoZero"/>
        <c:crossBetween val="between"/>
      </c:valAx>
      <c:spPr>
        <a:noFill/>
        <a:ln w="22054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81" b="0" i="0" u="none" strike="noStrike" baseline="0">
          <a:solidFill>
            <a:srgbClr val="333399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 w="6350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rgbClr val="70AD47">
                <a:lumMod val="75000"/>
              </a:srgb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 w="20247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103" b="0" i="0" u="none" strike="noStrike" baseline="0">
                    <a:solidFill>
                      <a:srgbClr val="333333"/>
                    </a:solidFill>
                    <a:latin typeface="Times New Roman" panose="02020603050405020304" pitchFamily="18" charset="0"/>
                    <a:ea typeface="Calibri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Лист1!$A$3:$A$12</c:f>
              <c:strCache>
                <c:ptCount val="10"/>
                <c:pt idx="0">
                  <c:v>Управление образования </c:v>
                </c:pt>
                <c:pt idx="1">
                  <c:v>Управление культуры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Администрация</c:v>
                </c:pt>
                <c:pt idx="5">
                  <c:v>УИО</c:v>
                </c:pt>
                <c:pt idx="6">
                  <c:v>УЧС</c:v>
                </c:pt>
                <c:pt idx="7">
                  <c:v>УКС</c:v>
                </c:pt>
                <c:pt idx="8">
                  <c:v>УВГТ</c:v>
                </c:pt>
                <c:pt idx="9">
                  <c:v>Фин. управление</c:v>
                </c:pt>
              </c:strCache>
            </c:strRef>
          </c:cat>
          <c:val>
            <c:numRef>
              <c:f>Лист1!$B$3:$B$12</c:f>
              <c:numCache>
                <c:formatCode>#,##0.0</c:formatCode>
                <c:ptCount val="10"/>
                <c:pt idx="0">
                  <c:v>36</c:v>
                </c:pt>
                <c:pt idx="1">
                  <c:v>35</c:v>
                </c:pt>
                <c:pt idx="2">
                  <c:v>32.6</c:v>
                </c:pt>
                <c:pt idx="3">
                  <c:v>30.4</c:v>
                </c:pt>
                <c:pt idx="4">
                  <c:v>30.8</c:v>
                </c:pt>
                <c:pt idx="5">
                  <c:v>26.7</c:v>
                </c:pt>
                <c:pt idx="6">
                  <c:v>19.600000000000001</c:v>
                </c:pt>
                <c:pt idx="7">
                  <c:v>34.5</c:v>
                </c:pt>
                <c:pt idx="8">
                  <c:v>33.9</c:v>
                </c:pt>
                <c:pt idx="9">
                  <c:v>29.7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47665224"/>
        <c:axId val="247665616"/>
        <c:axId val="0"/>
      </c:bar3DChart>
      <c:catAx>
        <c:axId val="2476652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0124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2700000" vert="horz"/>
          <a:lstStyle/>
          <a:p>
            <a:pPr>
              <a:defRPr sz="1011" b="0" i="0" u="none" strike="noStrike" baseline="0">
                <a:solidFill>
                  <a:srgbClr val="333333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47665616"/>
        <c:crosses val="autoZero"/>
        <c:auto val="1"/>
        <c:lblAlgn val="ctr"/>
        <c:lblOffset val="100"/>
        <c:noMultiLvlLbl val="0"/>
      </c:catAx>
      <c:valAx>
        <c:axId val="247665616"/>
        <c:scaling>
          <c:orientation val="minMax"/>
        </c:scaling>
        <c:delete val="0"/>
        <c:axPos val="l"/>
        <c:majorGridlines>
          <c:spPr>
            <a:ln w="7592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" sourceLinked="1"/>
        <c:majorTickMark val="none"/>
        <c:minorTickMark val="none"/>
        <c:tickLblPos val="nextTo"/>
        <c:spPr>
          <a:ln w="5062">
            <a:noFill/>
          </a:ln>
        </c:spPr>
        <c:txPr>
          <a:bodyPr rot="0" vert="horz"/>
          <a:lstStyle/>
          <a:p>
            <a:pPr>
              <a:defRPr sz="717" b="0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47665224"/>
        <c:crosses val="autoZero"/>
        <c:crossBetween val="between"/>
      </c:valAx>
      <c:spPr>
        <a:noFill/>
        <a:ln w="23355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17" b="0" i="0" u="none" strike="noStrike" baseline="0">
          <a:solidFill>
            <a:srgbClr val="333399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 w="6350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rgbClr val="A5A5A5">
                <a:lumMod val="75000"/>
              </a:srgb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0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Лист1!$A$3:$A$9</c:f>
              <c:strCache>
                <c:ptCount val="7"/>
                <c:pt idx="0">
                  <c:v>Управление образования</c:v>
                </c:pt>
                <c:pt idx="1">
                  <c:v>Управление культуры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Администрация </c:v>
                </c:pt>
                <c:pt idx="5">
                  <c:v>УИО</c:v>
                </c:pt>
                <c:pt idx="6">
                  <c:v>УЧС</c:v>
                </c:pt>
              </c:strCache>
            </c:strRef>
          </c:cat>
          <c:val>
            <c:numRef>
              <c:f>Лист1!$B$3:$B$9</c:f>
              <c:numCache>
                <c:formatCode>General</c:formatCode>
                <c:ptCount val="7"/>
                <c:pt idx="0">
                  <c:v>25.4</c:v>
                </c:pt>
                <c:pt idx="1">
                  <c:v>32.299999999999997</c:v>
                </c:pt>
                <c:pt idx="2">
                  <c:v>27.8</c:v>
                </c:pt>
                <c:pt idx="3">
                  <c:v>28.2</c:v>
                </c:pt>
                <c:pt idx="4">
                  <c:v>9.3000000000000007</c:v>
                </c:pt>
                <c:pt idx="5">
                  <c:v>9.6</c:v>
                </c:pt>
                <c:pt idx="6">
                  <c:v>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250712392"/>
        <c:axId val="250712784"/>
        <c:axId val="0"/>
      </c:bar3DChart>
      <c:catAx>
        <c:axId val="2507123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1026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1620000" vert="horz"/>
          <a:lstStyle/>
          <a:p>
            <a:pPr>
              <a:defRPr sz="912" b="0" i="0" u="none" strike="noStrike" baseline="0">
                <a:solidFill>
                  <a:srgbClr val="333333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50712784"/>
        <c:crosses val="autoZero"/>
        <c:auto val="1"/>
        <c:lblAlgn val="ctr"/>
        <c:lblOffset val="100"/>
        <c:noMultiLvlLbl val="0"/>
      </c:catAx>
      <c:valAx>
        <c:axId val="250712784"/>
        <c:scaling>
          <c:orientation val="minMax"/>
        </c:scaling>
        <c:delete val="0"/>
        <c:axPos val="l"/>
        <c:majorGridlines>
          <c:spPr>
            <a:ln w="8270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5513">
            <a:noFill/>
          </a:ln>
        </c:spPr>
        <c:txPr>
          <a:bodyPr rot="0" vert="horz"/>
          <a:lstStyle/>
          <a:p>
            <a:pPr>
              <a:defRPr sz="781" b="0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50712392"/>
        <c:crosses val="autoZero"/>
        <c:crossBetween val="between"/>
      </c:valAx>
      <c:spPr>
        <a:noFill/>
        <a:ln w="22052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68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 w="6350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rgbClr val="5B9BD5">
                <a:lumMod val="75000"/>
              </a:srgb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 w="22013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040" b="0" i="0" u="none" strike="noStrike" baseline="0">
                    <a:solidFill>
                      <a:srgbClr val="333333"/>
                    </a:solidFill>
                    <a:latin typeface="Times New Roman" panose="02020603050405020304" pitchFamily="18" charset="0"/>
                    <a:ea typeface="Calibri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Лист1!$A$3:$A$12</c:f>
              <c:strCache>
                <c:ptCount val="10"/>
                <c:pt idx="0">
                  <c:v>Управление образования</c:v>
                </c:pt>
                <c:pt idx="1">
                  <c:v>Управление культуры 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Администрация</c:v>
                </c:pt>
                <c:pt idx="5">
                  <c:v>УИО</c:v>
                </c:pt>
                <c:pt idx="6">
                  <c:v>УЧС</c:v>
                </c:pt>
                <c:pt idx="7">
                  <c:v>УКС</c:v>
                </c:pt>
                <c:pt idx="8">
                  <c:v>УВГТ</c:v>
                </c:pt>
                <c:pt idx="9">
                  <c:v>Фин. управление</c:v>
                </c:pt>
              </c:strCache>
            </c:strRef>
          </c:cat>
          <c:val>
            <c:numRef>
              <c:f>Лист1!$B$3:$B$12</c:f>
              <c:numCache>
                <c:formatCode>General</c:formatCode>
                <c:ptCount val="10"/>
                <c:pt idx="0">
                  <c:v>8</c:v>
                </c:pt>
                <c:pt idx="1">
                  <c:v>8</c:v>
                </c:pt>
                <c:pt idx="2">
                  <c:v>8</c:v>
                </c:pt>
                <c:pt idx="3">
                  <c:v>6</c:v>
                </c:pt>
                <c:pt idx="4">
                  <c:v>3</c:v>
                </c:pt>
                <c:pt idx="5">
                  <c:v>3</c:v>
                </c:pt>
                <c:pt idx="6">
                  <c:v>5</c:v>
                </c:pt>
                <c:pt idx="7">
                  <c:v>5</c:v>
                </c:pt>
                <c:pt idx="8">
                  <c:v>6</c:v>
                </c:pt>
                <c:pt idx="9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50713568"/>
        <c:axId val="250713960"/>
        <c:axId val="0"/>
      </c:bar3DChart>
      <c:catAx>
        <c:axId val="250713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1006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2700000" vert="horz"/>
          <a:lstStyle/>
          <a:p>
            <a:pPr>
              <a:defRPr sz="953" b="0" i="0" u="none" strike="noStrike" baseline="0">
                <a:solidFill>
                  <a:srgbClr val="333333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50713960"/>
        <c:crosses val="autoZero"/>
        <c:auto val="1"/>
        <c:lblAlgn val="ctr"/>
        <c:lblOffset val="100"/>
        <c:noMultiLvlLbl val="0"/>
      </c:catAx>
      <c:valAx>
        <c:axId val="250713960"/>
        <c:scaling>
          <c:orientation val="minMax"/>
        </c:scaling>
        <c:delete val="0"/>
        <c:axPos val="l"/>
        <c:majorGridlines>
          <c:spPr>
            <a:ln w="8255" cap="flat" cmpd="sng" algn="ctr">
              <a:solidFill>
                <a:srgbClr val="5B9BD5">
                  <a:lumMod val="60000"/>
                  <a:lumOff val="40000"/>
                </a:srgb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5503">
            <a:noFill/>
          </a:ln>
        </c:spPr>
        <c:txPr>
          <a:bodyPr rot="0" vert="horz"/>
          <a:lstStyle/>
          <a:p>
            <a:pPr>
              <a:defRPr sz="780" b="0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50713568"/>
        <c:crosses val="autoZero"/>
        <c:crossBetween val="between"/>
      </c:valAx>
      <c:spPr>
        <a:noFill/>
        <a:ln w="22013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80" b="0" i="0" u="none" strike="noStrike" baseline="0">
          <a:solidFill>
            <a:srgbClr val="333399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 w="6350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rgbClr val="FFFF00"/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 w="22019">
                <a:noFill/>
              </a:ln>
            </c:spPr>
            <c:txPr>
              <a:bodyPr/>
              <a:lstStyle/>
              <a:p>
                <a:pPr>
                  <a:defRPr sz="1040" b="0" i="0" u="none" strike="noStrike" baseline="0">
                    <a:solidFill>
                      <a:srgbClr val="333333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Лист1!$A$3:$A$12</c:f>
              <c:strCache>
                <c:ptCount val="10"/>
                <c:pt idx="0">
                  <c:v>Управление образования </c:v>
                </c:pt>
                <c:pt idx="1">
                  <c:v>Управление культуры 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Администрация</c:v>
                </c:pt>
                <c:pt idx="5">
                  <c:v>УИО</c:v>
                </c:pt>
                <c:pt idx="6">
                  <c:v>УЧС</c:v>
                </c:pt>
                <c:pt idx="7">
                  <c:v>УКС</c:v>
                </c:pt>
                <c:pt idx="8">
                  <c:v>УВГТ</c:v>
                </c:pt>
                <c:pt idx="9">
                  <c:v>Фин. управление</c:v>
                </c:pt>
              </c:strCache>
            </c:strRef>
          </c:cat>
          <c:val>
            <c:numRef>
              <c:f>Лист1!$B$3:$B$12</c:f>
              <c:numCache>
                <c:formatCode>General</c:formatCode>
                <c:ptCount val="10"/>
                <c:pt idx="0">
                  <c:v>10</c:v>
                </c:pt>
                <c:pt idx="1">
                  <c:v>10</c:v>
                </c:pt>
                <c:pt idx="2">
                  <c:v>10</c:v>
                </c:pt>
                <c:pt idx="3">
                  <c:v>10</c:v>
                </c:pt>
                <c:pt idx="4">
                  <c:v>10</c:v>
                </c:pt>
                <c:pt idx="5">
                  <c:v>5</c:v>
                </c:pt>
                <c:pt idx="6">
                  <c:v>10</c:v>
                </c:pt>
                <c:pt idx="7">
                  <c:v>10</c:v>
                </c:pt>
                <c:pt idx="8">
                  <c:v>10</c:v>
                </c:pt>
                <c:pt idx="9">
                  <c:v>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66994344"/>
        <c:axId val="266994736"/>
        <c:axId val="0"/>
      </c:bar3DChart>
      <c:catAx>
        <c:axId val="2669943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1009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2700000" vert="horz"/>
          <a:lstStyle/>
          <a:p>
            <a:pPr>
              <a:defRPr sz="910" b="0" i="0" u="none" strike="noStrike" baseline="0">
                <a:solidFill>
                  <a:srgbClr val="333333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66994736"/>
        <c:crosses val="autoZero"/>
        <c:auto val="1"/>
        <c:lblAlgn val="ctr"/>
        <c:lblOffset val="100"/>
        <c:noMultiLvlLbl val="0"/>
      </c:catAx>
      <c:valAx>
        <c:axId val="266994736"/>
        <c:scaling>
          <c:orientation val="minMax"/>
        </c:scaling>
        <c:delete val="0"/>
        <c:axPos val="l"/>
        <c:majorGridlines>
          <c:spPr>
            <a:ln w="8257" cap="flat" cmpd="sng" algn="ctr">
              <a:solidFill>
                <a:srgbClr val="5B9BD5">
                  <a:lumMod val="60000"/>
                  <a:lumOff val="40000"/>
                </a:srgb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5505">
            <a:noFill/>
          </a:ln>
        </c:spPr>
        <c:txPr>
          <a:bodyPr rot="0" vert="horz"/>
          <a:lstStyle/>
          <a:p>
            <a:pPr>
              <a:defRPr sz="780" b="0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66994344"/>
        <c:crosses val="autoZero"/>
        <c:crossBetween val="between"/>
      </c:valAx>
      <c:spPr>
        <a:noFill/>
        <a:ln w="22019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80" b="0" i="0" u="none" strike="noStrike" baseline="0">
          <a:solidFill>
            <a:srgbClr val="333399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 w="6350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rgbClr val="FFC000">
                <a:lumMod val="50000"/>
              </a:srgb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 w="22048">
                <a:noFill/>
              </a:ln>
            </c:spPr>
            <c:txPr>
              <a:bodyPr/>
              <a:lstStyle/>
              <a:p>
                <a:pPr>
                  <a:defRPr sz="1042" b="0" i="0" u="none" strike="noStrike" baseline="0">
                    <a:solidFill>
                      <a:srgbClr val="333333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Лист1!$A$3:$A$12</c:f>
              <c:strCache>
                <c:ptCount val="10"/>
                <c:pt idx="0">
                  <c:v>Управление образования </c:v>
                </c:pt>
                <c:pt idx="1">
                  <c:v>Управление культуры 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Администрация</c:v>
                </c:pt>
                <c:pt idx="5">
                  <c:v>УИО</c:v>
                </c:pt>
                <c:pt idx="6">
                  <c:v>УЧС</c:v>
                </c:pt>
                <c:pt idx="7">
                  <c:v>УКС</c:v>
                </c:pt>
                <c:pt idx="8">
                  <c:v>УВГТ</c:v>
                </c:pt>
                <c:pt idx="9">
                  <c:v>Фин. управление</c:v>
                </c:pt>
              </c:strCache>
            </c:strRef>
          </c:cat>
          <c:val>
            <c:numRef>
              <c:f>Лист1!$B$3:$B$12</c:f>
              <c:numCache>
                <c:formatCode>General</c:formatCode>
                <c:ptCount val="10"/>
                <c:pt idx="0">
                  <c:v>5</c:v>
                </c:pt>
                <c:pt idx="1">
                  <c:v>5</c:v>
                </c:pt>
                <c:pt idx="2">
                  <c:v>5</c:v>
                </c:pt>
                <c:pt idx="3">
                  <c:v>10</c:v>
                </c:pt>
                <c:pt idx="4">
                  <c:v>10</c:v>
                </c:pt>
                <c:pt idx="5">
                  <c:v>13</c:v>
                </c:pt>
                <c:pt idx="6">
                  <c:v>15</c:v>
                </c:pt>
                <c:pt idx="7">
                  <c:v>15</c:v>
                </c:pt>
                <c:pt idx="8">
                  <c:v>10</c:v>
                </c:pt>
                <c:pt idx="9">
                  <c:v>15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45165936"/>
        <c:axId val="245166328"/>
        <c:axId val="0"/>
      </c:bar3DChart>
      <c:catAx>
        <c:axId val="2451659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1024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2700000" vert="horz"/>
          <a:lstStyle/>
          <a:p>
            <a:pPr>
              <a:defRPr sz="911" b="0" i="0" u="none" strike="noStrike" baseline="0">
                <a:solidFill>
                  <a:srgbClr val="333333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45166328"/>
        <c:crosses val="autoZero"/>
        <c:auto val="1"/>
        <c:lblAlgn val="ctr"/>
        <c:lblOffset val="100"/>
        <c:noMultiLvlLbl val="0"/>
      </c:catAx>
      <c:valAx>
        <c:axId val="245166328"/>
        <c:scaling>
          <c:orientation val="minMax"/>
        </c:scaling>
        <c:delete val="0"/>
        <c:axPos val="l"/>
        <c:majorGridlines>
          <c:spPr>
            <a:ln w="8268" cap="flat" cmpd="sng" algn="ctr">
              <a:solidFill>
                <a:srgbClr val="5B9BD5">
                  <a:lumMod val="60000"/>
                  <a:lumOff val="40000"/>
                </a:srgb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5512">
            <a:noFill/>
          </a:ln>
        </c:spPr>
        <c:txPr>
          <a:bodyPr rot="0" vert="horz"/>
          <a:lstStyle/>
          <a:p>
            <a:pPr>
              <a:defRPr sz="781" b="0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45165936"/>
        <c:crosses val="autoZero"/>
        <c:crossBetween val="between"/>
      </c:valAx>
      <c:spPr>
        <a:noFill/>
        <a:ln w="2204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81" b="0" i="0" u="none" strike="noStrike" baseline="0">
          <a:solidFill>
            <a:srgbClr val="333399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 w="6350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7.344577947803696E-2"/>
          <c:y val="4.9283154121863806E-2"/>
          <c:w val="0.90493472366661709"/>
          <c:h val="0.49450088900177808"/>
        </c:manualLayout>
      </c:layout>
      <c:bar3DChart>
        <c:barDir val="col"/>
        <c:grouping val="stacked"/>
        <c:varyColors val="0"/>
        <c:ser>
          <c:idx val="0"/>
          <c:order val="0"/>
          <c:spPr>
            <a:solidFill>
              <a:srgbClr val="ED7D31">
                <a:lumMod val="75000"/>
              </a:srgbClr>
            </a:solidFill>
            <a:ln>
              <a:noFill/>
            </a:ln>
            <a:effectLst/>
            <a:sp3d/>
          </c:spPr>
          <c:invertIfNegative val="0"/>
          <c:cat>
            <c:strRef>
              <c:f>'рейтинг (2)'!$B$7:$B$16</c:f>
              <c:strCache>
                <c:ptCount val="10"/>
                <c:pt idx="0">
                  <c:v>Управление культуры</c:v>
                </c:pt>
                <c:pt idx="1">
                  <c:v>Управление образования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УЧС</c:v>
                </c:pt>
                <c:pt idx="5">
                  <c:v>УИО</c:v>
                </c:pt>
                <c:pt idx="6">
                  <c:v>Администрация</c:v>
                </c:pt>
                <c:pt idx="7">
                  <c:v>Финансовое управление</c:v>
                </c:pt>
                <c:pt idx="8">
                  <c:v>УВГТ</c:v>
                </c:pt>
                <c:pt idx="9">
                  <c:v>УКС</c:v>
                </c:pt>
              </c:strCache>
            </c:strRef>
          </c:cat>
          <c:val>
            <c:numRef>
              <c:f>'рейтинг (2)'!$C$7:$C$16</c:f>
              <c:numCache>
                <c:formatCode>#,##0.0</c:formatCode>
                <c:ptCount val="10"/>
                <c:pt idx="0">
                  <c:v>20</c:v>
                </c:pt>
                <c:pt idx="1">
                  <c:v>18</c:v>
                </c:pt>
                <c:pt idx="2">
                  <c:v>18</c:v>
                </c:pt>
                <c:pt idx="3">
                  <c:v>15</c:v>
                </c:pt>
                <c:pt idx="4">
                  <c:v>18</c:v>
                </c:pt>
                <c:pt idx="5">
                  <c:v>15</c:v>
                </c:pt>
                <c:pt idx="6">
                  <c:v>8</c:v>
                </c:pt>
                <c:pt idx="7">
                  <c:v>23</c:v>
                </c:pt>
                <c:pt idx="8">
                  <c:v>20</c:v>
                </c:pt>
                <c:pt idx="9">
                  <c:v>15</c:v>
                </c:pt>
              </c:numCache>
            </c:numRef>
          </c:val>
        </c:ser>
        <c:ser>
          <c:idx val="1"/>
          <c:order val="1"/>
          <c:spPr>
            <a:solidFill>
              <a:srgbClr val="70AD47">
                <a:lumMod val="75000"/>
              </a:srgbClr>
            </a:solidFill>
            <a:ln>
              <a:noFill/>
            </a:ln>
            <a:effectLst/>
            <a:sp3d/>
          </c:spPr>
          <c:invertIfNegative val="0"/>
          <c:cat>
            <c:strRef>
              <c:f>'рейтинг (2)'!$B$7:$B$16</c:f>
              <c:strCache>
                <c:ptCount val="10"/>
                <c:pt idx="0">
                  <c:v>Управление культуры</c:v>
                </c:pt>
                <c:pt idx="1">
                  <c:v>Управление образования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УЧС</c:v>
                </c:pt>
                <c:pt idx="5">
                  <c:v>УИО</c:v>
                </c:pt>
                <c:pt idx="6">
                  <c:v>Администрация</c:v>
                </c:pt>
                <c:pt idx="7">
                  <c:v>Финансовое управление</c:v>
                </c:pt>
                <c:pt idx="8">
                  <c:v>УВГТ</c:v>
                </c:pt>
                <c:pt idx="9">
                  <c:v>УКС</c:v>
                </c:pt>
              </c:strCache>
            </c:strRef>
          </c:cat>
          <c:val>
            <c:numRef>
              <c:f>'рейтинг (2)'!$D$7:$D$16</c:f>
              <c:numCache>
                <c:formatCode>#,##0.0</c:formatCode>
                <c:ptCount val="10"/>
                <c:pt idx="0">
                  <c:v>35</c:v>
                </c:pt>
                <c:pt idx="1">
                  <c:v>36</c:v>
                </c:pt>
                <c:pt idx="2">
                  <c:v>32.6</c:v>
                </c:pt>
                <c:pt idx="3">
                  <c:v>30.4</c:v>
                </c:pt>
                <c:pt idx="4">
                  <c:v>19.600000000000001</c:v>
                </c:pt>
                <c:pt idx="5">
                  <c:v>26.7</c:v>
                </c:pt>
                <c:pt idx="6">
                  <c:v>30.8</c:v>
                </c:pt>
                <c:pt idx="7">
                  <c:v>29.7</c:v>
                </c:pt>
                <c:pt idx="8">
                  <c:v>33.9</c:v>
                </c:pt>
                <c:pt idx="9">
                  <c:v>34.5</c:v>
                </c:pt>
              </c:numCache>
            </c:numRef>
          </c:val>
        </c:ser>
        <c:ser>
          <c:idx val="2"/>
          <c:order val="2"/>
          <c:spPr>
            <a:solidFill>
              <a:schemeClr val="bg1">
                <a:lumMod val="65000"/>
              </a:schemeClr>
            </a:solidFill>
            <a:ln>
              <a:noFill/>
            </a:ln>
            <a:effectLst/>
            <a:sp3d/>
          </c:spPr>
          <c:invertIfNegative val="0"/>
          <c:cat>
            <c:strRef>
              <c:f>'рейтинг (2)'!$B$7:$B$16</c:f>
              <c:strCache>
                <c:ptCount val="10"/>
                <c:pt idx="0">
                  <c:v>Управление культуры</c:v>
                </c:pt>
                <c:pt idx="1">
                  <c:v>Управление образования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УЧС</c:v>
                </c:pt>
                <c:pt idx="5">
                  <c:v>УИО</c:v>
                </c:pt>
                <c:pt idx="6">
                  <c:v>Администрация</c:v>
                </c:pt>
                <c:pt idx="7">
                  <c:v>Финансовое управление</c:v>
                </c:pt>
                <c:pt idx="8">
                  <c:v>УВГТ</c:v>
                </c:pt>
                <c:pt idx="9">
                  <c:v>УКС</c:v>
                </c:pt>
              </c:strCache>
            </c:strRef>
          </c:cat>
          <c:val>
            <c:numRef>
              <c:f>'рейтинг (2)'!$E$7:$E$16</c:f>
              <c:numCache>
                <c:formatCode>#,##0.0</c:formatCode>
                <c:ptCount val="10"/>
                <c:pt idx="0">
                  <c:v>32.299999999999997</c:v>
                </c:pt>
                <c:pt idx="1">
                  <c:v>25.4</c:v>
                </c:pt>
                <c:pt idx="2">
                  <c:v>27.8</c:v>
                </c:pt>
                <c:pt idx="3">
                  <c:v>28.2</c:v>
                </c:pt>
                <c:pt idx="4">
                  <c:v>9</c:v>
                </c:pt>
                <c:pt idx="5">
                  <c:v>9.6</c:v>
                </c:pt>
                <c:pt idx="6">
                  <c:v>9.3000000000000007</c:v>
                </c:pt>
              </c:numCache>
            </c:numRef>
          </c:val>
        </c:ser>
        <c:ser>
          <c:idx val="3"/>
          <c:order val="3"/>
          <c:spPr>
            <a:solidFill>
              <a:srgbClr val="5B9BD5">
                <a:lumMod val="75000"/>
              </a:srgbClr>
            </a:solidFill>
            <a:ln>
              <a:noFill/>
            </a:ln>
            <a:effectLst/>
            <a:sp3d/>
          </c:spPr>
          <c:invertIfNegative val="0"/>
          <c:cat>
            <c:strRef>
              <c:f>'рейтинг (2)'!$B$7:$B$16</c:f>
              <c:strCache>
                <c:ptCount val="10"/>
                <c:pt idx="0">
                  <c:v>Управление культуры</c:v>
                </c:pt>
                <c:pt idx="1">
                  <c:v>Управление образования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УЧС</c:v>
                </c:pt>
                <c:pt idx="5">
                  <c:v>УИО</c:v>
                </c:pt>
                <c:pt idx="6">
                  <c:v>Администрация</c:v>
                </c:pt>
                <c:pt idx="7">
                  <c:v>Финансовое управление</c:v>
                </c:pt>
                <c:pt idx="8">
                  <c:v>УВГТ</c:v>
                </c:pt>
                <c:pt idx="9">
                  <c:v>УКС</c:v>
                </c:pt>
              </c:strCache>
            </c:strRef>
          </c:cat>
          <c:val>
            <c:numRef>
              <c:f>'рейтинг (2)'!$F$7:$F$16</c:f>
              <c:numCache>
                <c:formatCode>#,##0.0</c:formatCode>
                <c:ptCount val="10"/>
                <c:pt idx="0">
                  <c:v>8</c:v>
                </c:pt>
                <c:pt idx="1">
                  <c:v>8</c:v>
                </c:pt>
                <c:pt idx="2">
                  <c:v>8</c:v>
                </c:pt>
                <c:pt idx="3">
                  <c:v>6</c:v>
                </c:pt>
                <c:pt idx="4">
                  <c:v>5</c:v>
                </c:pt>
                <c:pt idx="5">
                  <c:v>3</c:v>
                </c:pt>
                <c:pt idx="6">
                  <c:v>3</c:v>
                </c:pt>
                <c:pt idx="7">
                  <c:v>5</c:v>
                </c:pt>
                <c:pt idx="8">
                  <c:v>6</c:v>
                </c:pt>
                <c:pt idx="9">
                  <c:v>5</c:v>
                </c:pt>
              </c:numCache>
            </c:numRef>
          </c:val>
        </c:ser>
        <c:ser>
          <c:idx val="4"/>
          <c:order val="4"/>
          <c:spPr>
            <a:solidFill>
              <a:srgbClr val="FFFF00"/>
            </a:solidFill>
            <a:ln w="25407">
              <a:noFill/>
            </a:ln>
          </c:spPr>
          <c:invertIfNegative val="0"/>
          <c:dLbls>
            <c:dLbl>
              <c:idx val="0"/>
              <c:layout>
                <c:manualLayout>
                  <c:x val="4.6609828943795818E-3"/>
                  <c:y val="-8.8054908363236456E-2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126,8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  <c15:layout/>
                </c:ext>
              </c:extLst>
            </c:dLbl>
            <c:dLbl>
              <c:idx val="1"/>
              <c:layout>
                <c:manualLayout>
                  <c:x val="8.4021359399040294E-3"/>
                  <c:y val="-8.97915168011406E-2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117,8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475854828491266E-2"/>
                      <c:h val="4.6765561712193385E-2"/>
                    </c:manualLayout>
                  </c15:layout>
                </c:ext>
              </c:extLst>
            </c:dLbl>
            <c:dLbl>
              <c:idx val="2"/>
              <c:layout>
                <c:manualLayout>
                  <c:x val="1.5660132138655011E-2"/>
                  <c:y val="-8.3565665402935765E-2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116,6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6469037921983892E-2"/>
                      <c:h val="5.0057742782152234E-2"/>
                    </c:manualLayout>
                  </c15:layout>
                </c:ext>
              </c:extLst>
            </c:dLbl>
            <c:dLbl>
              <c:idx val="3"/>
              <c:layout>
                <c:manualLayout>
                  <c:x val="1.9022463571363918E-2"/>
                  <c:y val="-0.12015138848384693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114,5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6.5664440220834452E-2"/>
                      <c:h val="5.0057742782152234E-2"/>
                    </c:manualLayout>
                  </c15:layout>
                </c:ext>
              </c:extLst>
            </c:dLbl>
            <c:dLbl>
              <c:idx val="4"/>
              <c:layout>
                <c:manualLayout>
                  <c:x val="1.8670286903792199E-3"/>
                  <c:y val="-0.12911182398496485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80,4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1.9654088050314465E-3"/>
                  <c:y val="-0.11200716845878141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75,9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9.7007874015746683E-3"/>
                  <c:y val="-0.10224344257183839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74,7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4.3098198932030049E-3"/>
                  <c:y val="-0.1247674411068987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82,7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  <c15:layout/>
                </c:ext>
              </c:extLst>
            </c:dLbl>
            <c:dLbl>
              <c:idx val="8"/>
              <c:layout>
                <c:manualLayout>
                  <c:x val="1.0493908951036293E-2"/>
                  <c:y val="-0.13267619325362107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79,9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2790877002443663E-2"/>
                      <c:h val="5.0057742782152234E-2"/>
                    </c:manualLayout>
                  </c15:layout>
                </c:ext>
              </c:extLst>
            </c:dLbl>
            <c:dLbl>
              <c:idx val="9"/>
              <c:layout>
                <c:manualLayout>
                  <c:x val="1.7941315956194998E-2"/>
                  <c:y val="-0.127007938822462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79,5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6.1986279301294238E-2"/>
                      <c:h val="5.0057742782152234E-2"/>
                    </c:manualLayout>
                  </c15:layout>
                </c:ext>
              </c:extLst>
            </c:dLbl>
            <c:dLbl>
              <c:idx val="10"/>
              <c:layout>
                <c:manualLayout>
                  <c:x val="1.7688679245283029E-2"/>
                  <c:y val="-8.5125448028673889E-2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44,2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407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'рейтинг (2)'!$B$7:$B$16</c:f>
              <c:strCache>
                <c:ptCount val="10"/>
                <c:pt idx="0">
                  <c:v>Управление культуры</c:v>
                </c:pt>
                <c:pt idx="1">
                  <c:v>Управление образования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УЧС</c:v>
                </c:pt>
                <c:pt idx="5">
                  <c:v>УИО</c:v>
                </c:pt>
                <c:pt idx="6">
                  <c:v>Администрация</c:v>
                </c:pt>
                <c:pt idx="7">
                  <c:v>Финансовое управление</c:v>
                </c:pt>
                <c:pt idx="8">
                  <c:v>УВГТ</c:v>
                </c:pt>
                <c:pt idx="9">
                  <c:v>УКС</c:v>
                </c:pt>
              </c:strCache>
            </c:strRef>
          </c:cat>
          <c:val>
            <c:numRef>
              <c:f>'рейтинг (2)'!$G$7:$G$16</c:f>
              <c:numCache>
                <c:formatCode>#,##0.0</c:formatCode>
                <c:ptCount val="10"/>
                <c:pt idx="0">
                  <c:v>10</c:v>
                </c:pt>
                <c:pt idx="1">
                  <c:v>10</c:v>
                </c:pt>
                <c:pt idx="2">
                  <c:v>10</c:v>
                </c:pt>
                <c:pt idx="3">
                  <c:v>10</c:v>
                </c:pt>
                <c:pt idx="4">
                  <c:v>10</c:v>
                </c:pt>
                <c:pt idx="5">
                  <c:v>5</c:v>
                </c:pt>
                <c:pt idx="6">
                  <c:v>10</c:v>
                </c:pt>
                <c:pt idx="7">
                  <c:v>10</c:v>
                </c:pt>
                <c:pt idx="8">
                  <c:v>10</c:v>
                </c:pt>
                <c:pt idx="9">
                  <c:v>10</c:v>
                </c:pt>
              </c:numCache>
            </c:numRef>
          </c:val>
        </c:ser>
        <c:ser>
          <c:idx val="5"/>
          <c:order val="5"/>
          <c:spPr>
            <a:solidFill>
              <a:srgbClr val="ED7D31">
                <a:lumMod val="50000"/>
              </a:srgbClr>
            </a:solidFill>
            <a:ln>
              <a:noFill/>
            </a:ln>
            <a:effectLst/>
            <a:sp3d/>
          </c:spPr>
          <c:invertIfNegative val="0"/>
          <c:cat>
            <c:strRef>
              <c:f>'рейтинг (2)'!$B$7:$B$16</c:f>
              <c:strCache>
                <c:ptCount val="10"/>
                <c:pt idx="0">
                  <c:v>Управление культуры</c:v>
                </c:pt>
                <c:pt idx="1">
                  <c:v>Управление образования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УЧС</c:v>
                </c:pt>
                <c:pt idx="5">
                  <c:v>УИО</c:v>
                </c:pt>
                <c:pt idx="6">
                  <c:v>Администрация</c:v>
                </c:pt>
                <c:pt idx="7">
                  <c:v>Финансовое управление</c:v>
                </c:pt>
                <c:pt idx="8">
                  <c:v>УВГТ</c:v>
                </c:pt>
                <c:pt idx="9">
                  <c:v>УКС</c:v>
                </c:pt>
              </c:strCache>
            </c:strRef>
          </c:cat>
          <c:val>
            <c:numRef>
              <c:f>'рейтинг (2)'!$H$7:$H$16</c:f>
              <c:numCache>
                <c:formatCode>#,##0.0</c:formatCode>
                <c:ptCount val="10"/>
                <c:pt idx="0">
                  <c:v>5</c:v>
                </c:pt>
                <c:pt idx="1">
                  <c:v>5</c:v>
                </c:pt>
                <c:pt idx="2">
                  <c:v>5</c:v>
                </c:pt>
                <c:pt idx="3">
                  <c:v>10</c:v>
                </c:pt>
                <c:pt idx="4">
                  <c:v>15</c:v>
                </c:pt>
                <c:pt idx="5">
                  <c:v>13</c:v>
                </c:pt>
                <c:pt idx="6">
                  <c:v>10</c:v>
                </c:pt>
                <c:pt idx="7">
                  <c:v>15</c:v>
                </c:pt>
                <c:pt idx="8">
                  <c:v>10</c:v>
                </c:pt>
                <c:pt idx="9">
                  <c:v>15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45167504"/>
        <c:axId val="251774640"/>
        <c:axId val="0"/>
      </c:bar3DChart>
      <c:catAx>
        <c:axId val="2451675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 w="6352">
            <a:noFill/>
          </a:ln>
        </c:spPr>
        <c:txPr>
          <a:bodyPr rot="-2700000" vert="horz"/>
          <a:lstStyle/>
          <a:p>
            <a:pPr>
              <a:defRPr sz="1100" b="0" i="0" u="none" strike="noStrike" baseline="0">
                <a:solidFill>
                  <a:srgbClr val="333333"/>
                </a:solidFill>
                <a:latin typeface="Times New Roman" panose="02020603050405020304" pitchFamily="18" charset="0"/>
                <a:ea typeface="Calibri"/>
                <a:cs typeface="Times New Roman" panose="02020603050405020304" pitchFamily="18" charset="0"/>
              </a:defRPr>
            </a:pPr>
            <a:endParaRPr lang="ru-RU"/>
          </a:p>
        </c:txPr>
        <c:crossAx val="251774640"/>
        <c:crosses val="autoZero"/>
        <c:auto val="1"/>
        <c:lblAlgn val="ctr"/>
        <c:lblOffset val="100"/>
        <c:noMultiLvlLbl val="0"/>
      </c:catAx>
      <c:valAx>
        <c:axId val="251774640"/>
        <c:scaling>
          <c:orientation val="minMax"/>
          <c:max val="140"/>
          <c:min val="0"/>
        </c:scaling>
        <c:delete val="0"/>
        <c:axPos val="l"/>
        <c:majorGridlines>
          <c:spPr>
            <a:ln w="9528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" sourceLinked="1"/>
        <c:majorTickMark val="none"/>
        <c:minorTickMark val="none"/>
        <c:tickLblPos val="nextTo"/>
        <c:spPr>
          <a:ln w="6352">
            <a:noFill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45167504"/>
        <c:crosses val="autoZero"/>
        <c:crossBetween val="between"/>
        <c:majorUnit val="10"/>
      </c:valAx>
      <c:spPr>
        <a:noFill/>
        <a:ln w="25407">
          <a:noFill/>
        </a:ln>
      </c:spPr>
    </c:plotArea>
    <c:plotVisOnly val="1"/>
    <c:dispBlanksAs val="gap"/>
    <c:showDLblsOverMax val="0"/>
  </c:chart>
  <c:spPr>
    <a:solidFill>
      <a:schemeClr val="bg1"/>
    </a:solidFill>
    <a:ln w="9528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62487-7A27-487B-818B-D1BDF5A2F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15</Pages>
  <Words>4333</Words>
  <Characters>26904</Characters>
  <Application>Microsoft Office Word</Application>
  <DocSecurity>0</DocSecurity>
  <Lines>224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АНАЛИТИЧЕСКАЯ ЗАПИСКА</vt:lpstr>
    </vt:vector>
  </TitlesOfParts>
  <Company>WIN7XP</Company>
  <LinksUpToDate>false</LinksUpToDate>
  <CharactersWithSpaces>31175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АНАЛИТИЧЕСКАЯ ЗАПИСКА</dc:title>
  <dc:subject/>
  <dc:creator>Ovcharenko</dc:creator>
  <cp:keywords/>
  <dc:description/>
  <cp:lastModifiedBy>Кириллова О.Н.</cp:lastModifiedBy>
  <cp:revision>19</cp:revision>
  <cp:lastPrinted>2022-05-27T07:33:00Z</cp:lastPrinted>
  <dcterms:created xsi:type="dcterms:W3CDTF">2022-05-27T03:54:00Z</dcterms:created>
  <dcterms:modified xsi:type="dcterms:W3CDTF">2022-05-27T09:43:00Z</dcterms:modified>
</cp:coreProperties>
</file>