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spacing w:line="264" w:lineRule="auto"/>
        <w:jc w:val="center"/>
        <w:rPr>
          <w:b/>
          <w:sz w:val="28"/>
          <w:szCs w:val="28"/>
        </w:rPr>
      </w:pPr>
      <w:bookmarkStart w:id="0" w:name="_GoBack"/>
      <w:bookmarkEnd w:id="0"/>
      <w:r>
        <w:rPr>
          <w:b/>
          <w:sz w:val="28"/>
          <w:szCs w:val="28"/>
        </w:rPr>
        <w:t xml:space="preserve">ПОЯСНИТЕЛЬНАЯ ЗАПИСКА </w:t>
      </w:r>
    </w:p>
    <w:p>
      <w:pPr>
        <w:spacing w:line="264" w:lineRule="auto"/>
        <w:ind w:right="55"/>
        <w:jc w:val="center"/>
        <w:rPr>
          <w:b/>
          <w:bCs/>
          <w:sz w:val="28"/>
          <w:szCs w:val="28"/>
        </w:rPr>
      </w:pPr>
      <w:r>
        <w:rPr>
          <w:b/>
          <w:bCs/>
          <w:sz w:val="28"/>
          <w:szCs w:val="28"/>
        </w:rPr>
        <w:t>об исполнении бюджета ЗАТО Северск за 2021 год</w:t>
      </w:r>
    </w:p>
    <w:p>
      <w:pPr>
        <w:spacing w:line="264" w:lineRule="auto"/>
        <w:jc w:val="center"/>
        <w:rPr>
          <w:b/>
          <w:sz w:val="16"/>
          <w:szCs w:val="16"/>
        </w:rPr>
      </w:pPr>
    </w:p>
    <w:p>
      <w:pPr>
        <w:spacing w:line="264" w:lineRule="auto"/>
        <w:ind w:left="708" w:right="55" w:hanging="708"/>
        <w:jc w:val="center"/>
        <w:rPr>
          <w:b/>
          <w:bCs/>
          <w:sz w:val="24"/>
          <w:szCs w:val="24"/>
        </w:rPr>
      </w:pPr>
      <w:smartTag w:uri="urn:schemas-microsoft-com:office:smarttags" w:element="place">
        <w:r>
          <w:rPr>
            <w:b/>
            <w:bCs/>
            <w:sz w:val="24"/>
            <w:szCs w:val="24"/>
            <w:lang w:val="en-US"/>
          </w:rPr>
          <w:t>I</w:t>
        </w:r>
        <w:r>
          <w:rPr>
            <w:b/>
            <w:bCs/>
            <w:sz w:val="24"/>
            <w:szCs w:val="24"/>
          </w:rPr>
          <w:t>.</w:t>
        </w:r>
      </w:smartTag>
      <w:r>
        <w:rPr>
          <w:b/>
          <w:bCs/>
          <w:sz w:val="24"/>
          <w:szCs w:val="24"/>
        </w:rPr>
        <w:t xml:space="preserve"> ОБЩИЕ ПОЛОЖЕНИЯ</w:t>
      </w:r>
    </w:p>
    <w:p>
      <w:pPr>
        <w:pStyle w:val="20"/>
        <w:rPr>
          <w:sz w:val="16"/>
          <w:szCs w:val="16"/>
        </w:rPr>
      </w:pPr>
    </w:p>
    <w:p>
      <w:pPr>
        <w:autoSpaceDE w:val="0"/>
        <w:autoSpaceDN w:val="0"/>
        <w:adjustRightInd w:val="0"/>
        <w:ind w:firstLine="709"/>
        <w:jc w:val="both"/>
        <w:rPr>
          <w:rFonts w:ascii="Times New Roman CYR" w:hAnsi="Times New Roman CYR"/>
          <w:sz w:val="24"/>
          <w:szCs w:val="24"/>
        </w:rPr>
      </w:pPr>
      <w:r>
        <w:rPr>
          <w:rFonts w:ascii="Times New Roman CYR" w:hAnsi="Times New Roman CYR"/>
          <w:sz w:val="24"/>
          <w:szCs w:val="24"/>
        </w:rPr>
        <w:t>Бюджет ЗАТО Северск на 2021 год был утвержден Решением Думы ЗАТО Северск                  09.12.2020 № 5/1 по доходам в сумме 4 103 897,51 тыс. руб., по расходам в сумме 4 152 406,02 тыс. руб., дефицит ЗАТО Северск в сумме 48 508,51 тыс. руб.</w:t>
      </w:r>
    </w:p>
    <w:p>
      <w:pPr>
        <w:ind w:firstLine="709"/>
        <w:jc w:val="both"/>
        <w:rPr>
          <w:rFonts w:ascii="Times New Roman CYR" w:hAnsi="Times New Roman CYR"/>
          <w:sz w:val="24"/>
          <w:szCs w:val="24"/>
        </w:rPr>
      </w:pPr>
      <w:r>
        <w:rPr>
          <w:rFonts w:ascii="Times New Roman CYR" w:hAnsi="Times New Roman CYR"/>
          <w:sz w:val="24"/>
          <w:szCs w:val="24"/>
        </w:rPr>
        <w:t>За 2021 год плановые параметры бюджета увеличились по доходам на 851 373,68 тыс.руб., по расходам – на 920 944,08 тыс.руб., дефицит – на 69 570,40 тыс.руб.</w:t>
      </w:r>
    </w:p>
    <w:p>
      <w:pPr>
        <w:ind w:firstLine="709"/>
        <w:jc w:val="both"/>
        <w:rPr>
          <w:rFonts w:ascii="Times New Roman CYR" w:hAnsi="Times New Roman CYR"/>
          <w:sz w:val="24"/>
          <w:szCs w:val="24"/>
        </w:rPr>
      </w:pPr>
      <w:r>
        <w:rPr>
          <w:rFonts w:ascii="Times New Roman CYR" w:hAnsi="Times New Roman CYR"/>
          <w:sz w:val="24"/>
          <w:szCs w:val="24"/>
        </w:rPr>
        <w:t>За отчетный финансовый год в бюджет ЗАТО Северск поступили доходы в сумме 4 970 007,41</w:t>
      </w:r>
      <w:r>
        <w:rPr>
          <w:rFonts w:ascii="Times New Roman CYR" w:hAnsi="Times New Roman CYR"/>
          <w:sz w:val="24"/>
          <w:szCs w:val="24"/>
          <w:lang w:val="en-US"/>
        </w:rPr>
        <w:t> </w:t>
      </w:r>
      <w:r>
        <w:rPr>
          <w:rFonts w:ascii="Times New Roman CYR" w:hAnsi="Times New Roman CYR"/>
          <w:sz w:val="24"/>
          <w:szCs w:val="24"/>
        </w:rPr>
        <w:t xml:space="preserve">тыс.руб. или 100,3% к годовому прогнозу поступлений; расходы составили 5 025 604,81 тыс.руб. или 99,1% к годовому плану. </w:t>
      </w:r>
    </w:p>
    <w:p>
      <w:pPr>
        <w:spacing w:before="120"/>
        <w:ind w:firstLine="709"/>
        <w:jc w:val="both"/>
        <w:rPr>
          <w:rFonts w:ascii="Times New Roman CYR" w:hAnsi="Times New Roman CYR"/>
          <w:sz w:val="24"/>
          <w:szCs w:val="24"/>
        </w:rPr>
      </w:pPr>
      <w:r>
        <w:rPr>
          <w:rFonts w:ascii="Times New Roman CYR" w:hAnsi="Times New Roman CYR"/>
          <w:sz w:val="24"/>
          <w:szCs w:val="24"/>
        </w:rPr>
        <w:t xml:space="preserve">Бюджет ЗАТО Северск исполнен с дефицитом в сумме 55 597,40 тыс.руб. </w:t>
      </w:r>
    </w:p>
    <w:p>
      <w:pPr>
        <w:pStyle w:val="31"/>
        <w:spacing w:before="120" w:after="60"/>
        <w:ind w:right="0" w:firstLine="567"/>
        <w:rPr>
          <w:spacing w:val="-4"/>
          <w:sz w:val="24"/>
          <w:szCs w:val="24"/>
        </w:rPr>
      </w:pPr>
      <w:r>
        <w:rPr>
          <w:spacing w:val="-4"/>
          <w:sz w:val="24"/>
          <w:szCs w:val="24"/>
        </w:rPr>
        <w:t>Таблица 1. Исполнение основных параметров бюджета ЗАТО Северск</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701"/>
        <w:gridCol w:w="1559"/>
        <w:gridCol w:w="1560"/>
        <w:gridCol w:w="1417"/>
        <w:gridCol w:w="1418"/>
      </w:tblGrid>
      <w:tr>
        <w:tc>
          <w:tcPr>
            <w:tcW w:w="1843" w:type="dxa"/>
            <w:vAlign w:val="center"/>
          </w:tcPr>
          <w:p>
            <w:pPr>
              <w:jc w:val="center"/>
              <w:rPr>
                <w:spacing w:val="-4"/>
              </w:rPr>
            </w:pPr>
            <w:r>
              <w:rPr>
                <w:spacing w:val="-4"/>
              </w:rPr>
              <w:t>Наименование</w:t>
            </w:r>
          </w:p>
        </w:tc>
        <w:tc>
          <w:tcPr>
            <w:tcW w:w="1701" w:type="dxa"/>
            <w:vAlign w:val="center"/>
          </w:tcPr>
          <w:p>
            <w:pPr>
              <w:jc w:val="center"/>
              <w:rPr>
                <w:spacing w:val="-4"/>
              </w:rPr>
            </w:pPr>
            <w:r>
              <w:rPr>
                <w:spacing w:val="-4"/>
              </w:rPr>
              <w:t>Первоначальный план, тыс.руб.</w:t>
            </w:r>
          </w:p>
        </w:tc>
        <w:tc>
          <w:tcPr>
            <w:tcW w:w="1559" w:type="dxa"/>
            <w:vAlign w:val="center"/>
          </w:tcPr>
          <w:p>
            <w:pPr>
              <w:jc w:val="center"/>
              <w:rPr>
                <w:spacing w:val="-4"/>
              </w:rPr>
            </w:pPr>
            <w:r>
              <w:rPr>
                <w:spacing w:val="-4"/>
              </w:rPr>
              <w:t>Уточненный план, тыс.руб.</w:t>
            </w:r>
          </w:p>
        </w:tc>
        <w:tc>
          <w:tcPr>
            <w:tcW w:w="1560" w:type="dxa"/>
            <w:vAlign w:val="center"/>
          </w:tcPr>
          <w:p>
            <w:pPr>
              <w:jc w:val="center"/>
              <w:rPr>
                <w:spacing w:val="-4"/>
              </w:rPr>
            </w:pPr>
            <w:r>
              <w:rPr>
                <w:spacing w:val="-4"/>
              </w:rPr>
              <w:t>Исполнено, тыс.руб.</w:t>
            </w:r>
          </w:p>
        </w:tc>
        <w:tc>
          <w:tcPr>
            <w:tcW w:w="1417" w:type="dxa"/>
            <w:vAlign w:val="center"/>
          </w:tcPr>
          <w:p>
            <w:pPr>
              <w:jc w:val="center"/>
              <w:rPr>
                <w:spacing w:val="-4"/>
              </w:rPr>
            </w:pPr>
            <w:r>
              <w:rPr>
                <w:spacing w:val="-4"/>
              </w:rPr>
              <w:t>Отклонение, тыс.руб.</w:t>
            </w:r>
          </w:p>
        </w:tc>
        <w:tc>
          <w:tcPr>
            <w:tcW w:w="1418" w:type="dxa"/>
            <w:vAlign w:val="center"/>
          </w:tcPr>
          <w:p>
            <w:pPr>
              <w:ind w:left="-57" w:right="-57"/>
              <w:jc w:val="center"/>
              <w:rPr>
                <w:spacing w:val="-4"/>
              </w:rPr>
            </w:pPr>
            <w:r>
              <w:rPr>
                <w:spacing w:val="-4"/>
              </w:rPr>
              <w:t>% исполнения</w:t>
            </w:r>
          </w:p>
        </w:tc>
      </w:tr>
      <w:tr>
        <w:trPr>
          <w:trHeight w:hRule="exact" w:val="284"/>
        </w:trPr>
        <w:tc>
          <w:tcPr>
            <w:tcW w:w="1843" w:type="dxa"/>
            <w:vAlign w:val="center"/>
          </w:tcPr>
          <w:p>
            <w:pPr>
              <w:jc w:val="both"/>
              <w:rPr>
                <w:spacing w:val="-4"/>
              </w:rPr>
            </w:pPr>
            <w:r>
              <w:rPr>
                <w:spacing w:val="-4"/>
              </w:rPr>
              <w:t>Доходы</w:t>
            </w:r>
          </w:p>
        </w:tc>
        <w:tc>
          <w:tcPr>
            <w:tcW w:w="1701" w:type="dxa"/>
            <w:vAlign w:val="center"/>
          </w:tcPr>
          <w:p>
            <w:pPr>
              <w:jc w:val="right"/>
              <w:rPr>
                <w:spacing w:val="-4"/>
              </w:rPr>
            </w:pPr>
            <w:r>
              <w:t>4 103 897,51</w:t>
            </w:r>
          </w:p>
        </w:tc>
        <w:tc>
          <w:tcPr>
            <w:tcW w:w="1559" w:type="dxa"/>
            <w:vAlign w:val="center"/>
          </w:tcPr>
          <w:p>
            <w:pPr>
              <w:jc w:val="right"/>
              <w:rPr>
                <w:spacing w:val="-4"/>
              </w:rPr>
            </w:pPr>
            <w:r>
              <w:t>4 955 271,19</w:t>
            </w:r>
          </w:p>
        </w:tc>
        <w:tc>
          <w:tcPr>
            <w:tcW w:w="1560" w:type="dxa"/>
            <w:vAlign w:val="center"/>
          </w:tcPr>
          <w:p>
            <w:pPr>
              <w:jc w:val="right"/>
              <w:rPr>
                <w:spacing w:val="-4"/>
              </w:rPr>
            </w:pPr>
            <w:r>
              <w:rPr>
                <w:spacing w:val="-4"/>
              </w:rPr>
              <w:t>4  970 007,41</w:t>
            </w:r>
          </w:p>
        </w:tc>
        <w:tc>
          <w:tcPr>
            <w:tcW w:w="1417" w:type="dxa"/>
            <w:vAlign w:val="center"/>
          </w:tcPr>
          <w:p>
            <w:pPr>
              <w:jc w:val="right"/>
              <w:rPr>
                <w:spacing w:val="-4"/>
              </w:rPr>
            </w:pPr>
            <w:r>
              <w:rPr>
                <w:spacing w:val="-4"/>
              </w:rPr>
              <w:t>14 736,22</w:t>
            </w:r>
          </w:p>
        </w:tc>
        <w:tc>
          <w:tcPr>
            <w:tcW w:w="1418" w:type="dxa"/>
            <w:vAlign w:val="center"/>
          </w:tcPr>
          <w:p>
            <w:pPr>
              <w:jc w:val="center"/>
              <w:rPr>
                <w:spacing w:val="-4"/>
              </w:rPr>
            </w:pPr>
            <w:r>
              <w:rPr>
                <w:spacing w:val="-4"/>
              </w:rPr>
              <w:t>100,3</w:t>
            </w:r>
          </w:p>
        </w:tc>
      </w:tr>
      <w:tr>
        <w:tc>
          <w:tcPr>
            <w:tcW w:w="1843" w:type="dxa"/>
            <w:vAlign w:val="center"/>
          </w:tcPr>
          <w:p>
            <w:pPr>
              <w:rPr>
                <w:spacing w:val="-4"/>
              </w:rPr>
            </w:pPr>
            <w:r>
              <w:rPr>
                <w:spacing w:val="-4"/>
              </w:rPr>
              <w:t>в т.ч. налоговые и неналоговые</w:t>
            </w:r>
          </w:p>
        </w:tc>
        <w:tc>
          <w:tcPr>
            <w:tcW w:w="1701" w:type="dxa"/>
            <w:vAlign w:val="center"/>
          </w:tcPr>
          <w:p>
            <w:pPr>
              <w:jc w:val="right"/>
              <w:rPr>
                <w:spacing w:val="-4"/>
              </w:rPr>
            </w:pPr>
            <w:r>
              <w:t>1 111 540,51</w:t>
            </w:r>
          </w:p>
        </w:tc>
        <w:tc>
          <w:tcPr>
            <w:tcW w:w="1559" w:type="dxa"/>
            <w:vAlign w:val="center"/>
          </w:tcPr>
          <w:p>
            <w:pPr>
              <w:jc w:val="right"/>
              <w:rPr>
                <w:spacing w:val="-4"/>
              </w:rPr>
            </w:pPr>
            <w:r>
              <w:t>1 213 449,47</w:t>
            </w:r>
          </w:p>
        </w:tc>
        <w:tc>
          <w:tcPr>
            <w:tcW w:w="1560" w:type="dxa"/>
            <w:vAlign w:val="center"/>
          </w:tcPr>
          <w:p>
            <w:pPr>
              <w:jc w:val="right"/>
              <w:rPr>
                <w:spacing w:val="-4"/>
              </w:rPr>
            </w:pPr>
            <w:r>
              <w:rPr>
                <w:spacing w:val="-4"/>
              </w:rPr>
              <w:t>1 236 571,40</w:t>
            </w:r>
          </w:p>
        </w:tc>
        <w:tc>
          <w:tcPr>
            <w:tcW w:w="1417" w:type="dxa"/>
            <w:vAlign w:val="center"/>
          </w:tcPr>
          <w:p>
            <w:pPr>
              <w:jc w:val="right"/>
              <w:rPr>
                <w:spacing w:val="-4"/>
              </w:rPr>
            </w:pPr>
            <w:r>
              <w:rPr>
                <w:spacing w:val="-4"/>
              </w:rPr>
              <w:t>23 121,93</w:t>
            </w:r>
          </w:p>
        </w:tc>
        <w:tc>
          <w:tcPr>
            <w:tcW w:w="1418" w:type="dxa"/>
            <w:vAlign w:val="center"/>
          </w:tcPr>
          <w:p>
            <w:pPr>
              <w:jc w:val="center"/>
              <w:rPr>
                <w:spacing w:val="-4"/>
              </w:rPr>
            </w:pPr>
            <w:r>
              <w:rPr>
                <w:spacing w:val="-4"/>
              </w:rPr>
              <w:t>101,9</w:t>
            </w:r>
          </w:p>
        </w:tc>
      </w:tr>
      <w:tr>
        <w:tc>
          <w:tcPr>
            <w:tcW w:w="1843" w:type="dxa"/>
            <w:shd w:val="clear" w:color="auto" w:fill="auto"/>
            <w:vAlign w:val="center"/>
          </w:tcPr>
          <w:p>
            <w:pPr>
              <w:rPr>
                <w:spacing w:val="-4"/>
              </w:rPr>
            </w:pPr>
            <w:r>
              <w:rPr>
                <w:spacing w:val="-4"/>
              </w:rPr>
              <w:t>Безвозмездные поступления</w:t>
            </w:r>
          </w:p>
        </w:tc>
        <w:tc>
          <w:tcPr>
            <w:tcW w:w="1701" w:type="dxa"/>
            <w:shd w:val="clear" w:color="auto" w:fill="auto"/>
            <w:vAlign w:val="center"/>
          </w:tcPr>
          <w:p>
            <w:pPr>
              <w:jc w:val="right"/>
              <w:rPr>
                <w:spacing w:val="-4"/>
              </w:rPr>
            </w:pPr>
            <w:r>
              <w:rPr>
                <w:spacing w:val="-4"/>
              </w:rPr>
              <w:t>2 992 357,00</w:t>
            </w:r>
          </w:p>
        </w:tc>
        <w:tc>
          <w:tcPr>
            <w:tcW w:w="1559" w:type="dxa"/>
            <w:shd w:val="clear" w:color="auto" w:fill="auto"/>
            <w:vAlign w:val="center"/>
          </w:tcPr>
          <w:p>
            <w:pPr>
              <w:jc w:val="right"/>
              <w:rPr>
                <w:spacing w:val="-4"/>
              </w:rPr>
            </w:pPr>
            <w:r>
              <w:rPr>
                <w:spacing w:val="-4"/>
              </w:rPr>
              <w:t>3 741 821,72</w:t>
            </w:r>
          </w:p>
        </w:tc>
        <w:tc>
          <w:tcPr>
            <w:tcW w:w="1560" w:type="dxa"/>
            <w:shd w:val="clear" w:color="auto" w:fill="auto"/>
            <w:vAlign w:val="center"/>
          </w:tcPr>
          <w:p>
            <w:pPr>
              <w:jc w:val="right"/>
              <w:rPr>
                <w:spacing w:val="-4"/>
              </w:rPr>
            </w:pPr>
            <w:r>
              <w:rPr>
                <w:spacing w:val="-4"/>
              </w:rPr>
              <w:t>3 733 436,01</w:t>
            </w:r>
          </w:p>
        </w:tc>
        <w:tc>
          <w:tcPr>
            <w:tcW w:w="1417" w:type="dxa"/>
            <w:shd w:val="clear" w:color="auto" w:fill="auto"/>
            <w:vAlign w:val="center"/>
          </w:tcPr>
          <w:p>
            <w:pPr>
              <w:jc w:val="right"/>
              <w:rPr>
                <w:spacing w:val="-4"/>
              </w:rPr>
            </w:pPr>
            <w:r>
              <w:rPr>
                <w:spacing w:val="-4"/>
              </w:rPr>
              <w:t>-8 385,71</w:t>
            </w:r>
          </w:p>
        </w:tc>
        <w:tc>
          <w:tcPr>
            <w:tcW w:w="1418" w:type="dxa"/>
            <w:shd w:val="clear" w:color="auto" w:fill="auto"/>
            <w:vAlign w:val="center"/>
          </w:tcPr>
          <w:p>
            <w:pPr>
              <w:jc w:val="center"/>
              <w:rPr>
                <w:spacing w:val="-4"/>
              </w:rPr>
            </w:pPr>
            <w:r>
              <w:rPr>
                <w:spacing w:val="-4"/>
              </w:rPr>
              <w:t>99,8</w:t>
            </w:r>
          </w:p>
        </w:tc>
      </w:tr>
      <w:tr>
        <w:trPr>
          <w:trHeight w:hRule="exact" w:val="284"/>
        </w:trPr>
        <w:tc>
          <w:tcPr>
            <w:tcW w:w="1843" w:type="dxa"/>
            <w:shd w:val="clear" w:color="auto" w:fill="auto"/>
            <w:vAlign w:val="center"/>
          </w:tcPr>
          <w:p>
            <w:pPr>
              <w:rPr>
                <w:spacing w:val="-4"/>
              </w:rPr>
            </w:pPr>
            <w:r>
              <w:rPr>
                <w:spacing w:val="-4"/>
              </w:rPr>
              <w:t>Расходы</w:t>
            </w:r>
          </w:p>
        </w:tc>
        <w:tc>
          <w:tcPr>
            <w:tcW w:w="1701" w:type="dxa"/>
            <w:shd w:val="clear" w:color="auto" w:fill="auto"/>
            <w:vAlign w:val="center"/>
          </w:tcPr>
          <w:p>
            <w:pPr>
              <w:jc w:val="right"/>
              <w:rPr>
                <w:spacing w:val="-4"/>
              </w:rPr>
            </w:pPr>
            <w:r>
              <w:t>4 152 406,02</w:t>
            </w:r>
          </w:p>
        </w:tc>
        <w:tc>
          <w:tcPr>
            <w:tcW w:w="1559" w:type="dxa"/>
            <w:shd w:val="clear" w:color="auto" w:fill="auto"/>
            <w:vAlign w:val="center"/>
          </w:tcPr>
          <w:p>
            <w:pPr>
              <w:jc w:val="right"/>
              <w:rPr>
                <w:spacing w:val="-4"/>
              </w:rPr>
            </w:pPr>
            <w:r>
              <w:t>5 073 350,10</w:t>
            </w:r>
          </w:p>
        </w:tc>
        <w:tc>
          <w:tcPr>
            <w:tcW w:w="1560" w:type="dxa"/>
            <w:shd w:val="clear" w:color="auto" w:fill="auto"/>
            <w:vAlign w:val="center"/>
          </w:tcPr>
          <w:p>
            <w:pPr>
              <w:jc w:val="right"/>
              <w:rPr>
                <w:spacing w:val="-4"/>
              </w:rPr>
            </w:pPr>
            <w:r>
              <w:t>5 025 604,81</w:t>
            </w:r>
          </w:p>
        </w:tc>
        <w:tc>
          <w:tcPr>
            <w:tcW w:w="1417" w:type="dxa"/>
            <w:shd w:val="clear" w:color="auto" w:fill="auto"/>
            <w:vAlign w:val="center"/>
          </w:tcPr>
          <w:p>
            <w:pPr>
              <w:jc w:val="right"/>
              <w:rPr>
                <w:spacing w:val="-4"/>
                <w:highlight w:val="yellow"/>
              </w:rPr>
            </w:pPr>
            <w:r>
              <w:rPr>
                <w:spacing w:val="-4"/>
              </w:rPr>
              <w:t>- 47 745,29</w:t>
            </w:r>
          </w:p>
        </w:tc>
        <w:tc>
          <w:tcPr>
            <w:tcW w:w="1418" w:type="dxa"/>
            <w:shd w:val="clear" w:color="auto" w:fill="auto"/>
            <w:vAlign w:val="center"/>
          </w:tcPr>
          <w:p>
            <w:pPr>
              <w:jc w:val="center"/>
              <w:rPr>
                <w:spacing w:val="-4"/>
                <w:highlight w:val="yellow"/>
              </w:rPr>
            </w:pPr>
            <w:r>
              <w:rPr>
                <w:spacing w:val="-4"/>
              </w:rPr>
              <w:t>99,1</w:t>
            </w:r>
          </w:p>
        </w:tc>
      </w:tr>
      <w:tr>
        <w:trPr>
          <w:trHeight w:hRule="exact" w:val="284"/>
        </w:trPr>
        <w:tc>
          <w:tcPr>
            <w:tcW w:w="1843" w:type="dxa"/>
            <w:shd w:val="clear" w:color="auto" w:fill="auto"/>
            <w:vAlign w:val="center"/>
          </w:tcPr>
          <w:p>
            <w:pPr>
              <w:rPr>
                <w:spacing w:val="-4"/>
              </w:rPr>
            </w:pPr>
            <w:r>
              <w:rPr>
                <w:spacing w:val="-4"/>
              </w:rPr>
              <w:t xml:space="preserve">Дефицит </w:t>
            </w:r>
          </w:p>
        </w:tc>
        <w:tc>
          <w:tcPr>
            <w:tcW w:w="1701" w:type="dxa"/>
            <w:shd w:val="clear" w:color="auto" w:fill="auto"/>
            <w:vAlign w:val="center"/>
          </w:tcPr>
          <w:p>
            <w:pPr>
              <w:jc w:val="right"/>
              <w:rPr>
                <w:spacing w:val="-4"/>
              </w:rPr>
            </w:pPr>
            <w:r>
              <w:rPr>
                <w:spacing w:val="-4"/>
              </w:rPr>
              <w:t>-48 508,51</w:t>
            </w:r>
          </w:p>
        </w:tc>
        <w:tc>
          <w:tcPr>
            <w:tcW w:w="1559" w:type="dxa"/>
            <w:shd w:val="clear" w:color="auto" w:fill="auto"/>
            <w:vAlign w:val="center"/>
          </w:tcPr>
          <w:p>
            <w:pPr>
              <w:jc w:val="right"/>
              <w:rPr>
                <w:spacing w:val="-4"/>
              </w:rPr>
            </w:pPr>
            <w:r>
              <w:t>-118 078,91</w:t>
            </w:r>
          </w:p>
        </w:tc>
        <w:tc>
          <w:tcPr>
            <w:tcW w:w="1560" w:type="dxa"/>
            <w:shd w:val="clear" w:color="auto" w:fill="auto"/>
            <w:vAlign w:val="center"/>
          </w:tcPr>
          <w:p>
            <w:pPr>
              <w:jc w:val="right"/>
              <w:rPr>
                <w:spacing w:val="-4"/>
              </w:rPr>
            </w:pPr>
            <w:r>
              <w:t>- 55 597,40</w:t>
            </w:r>
          </w:p>
        </w:tc>
        <w:tc>
          <w:tcPr>
            <w:tcW w:w="1417" w:type="dxa"/>
            <w:shd w:val="clear" w:color="auto" w:fill="auto"/>
            <w:vAlign w:val="center"/>
          </w:tcPr>
          <w:p>
            <w:pPr>
              <w:jc w:val="right"/>
              <w:rPr>
                <w:spacing w:val="-4"/>
              </w:rPr>
            </w:pPr>
            <w:r>
              <w:rPr>
                <w:spacing w:val="-4"/>
              </w:rPr>
              <w:t>+ 62 481,51</w:t>
            </w:r>
          </w:p>
        </w:tc>
        <w:tc>
          <w:tcPr>
            <w:tcW w:w="1418" w:type="dxa"/>
            <w:shd w:val="clear" w:color="auto" w:fill="auto"/>
            <w:vAlign w:val="center"/>
          </w:tcPr>
          <w:p>
            <w:pPr>
              <w:jc w:val="center"/>
              <w:rPr>
                <w:spacing w:val="-4"/>
                <w:highlight w:val="yellow"/>
              </w:rPr>
            </w:pPr>
            <w:r>
              <w:rPr>
                <w:spacing w:val="-4"/>
              </w:rPr>
              <w:t>47,1</w:t>
            </w:r>
          </w:p>
        </w:tc>
      </w:tr>
    </w:tbl>
    <w:p>
      <w:pPr>
        <w:pStyle w:val="20"/>
        <w:rPr>
          <w:sz w:val="16"/>
          <w:szCs w:val="16"/>
          <w:highlight w:val="yellow"/>
        </w:rPr>
      </w:pPr>
    </w:p>
    <w:p>
      <w:pPr>
        <w:ind w:firstLine="709"/>
        <w:jc w:val="both"/>
        <w:rPr>
          <w:sz w:val="24"/>
          <w:szCs w:val="24"/>
        </w:rPr>
      </w:pPr>
      <w:r>
        <w:rPr>
          <w:sz w:val="24"/>
          <w:szCs w:val="24"/>
        </w:rPr>
        <w:t>Муниципальный долг на 01.01.2022 составил 283 226,09 тыс.руб.</w:t>
      </w:r>
    </w:p>
    <w:p>
      <w:pPr>
        <w:pStyle w:val="20"/>
        <w:ind w:right="0" w:firstLine="709"/>
        <w:rPr>
          <w:szCs w:val="24"/>
        </w:rPr>
      </w:pPr>
      <w:r>
        <w:rPr>
          <w:spacing w:val="-4"/>
          <w:szCs w:val="24"/>
        </w:rPr>
        <w:t>Для покрытия дефицита и погашения долговых обязательств в 2021 году в результате электронного аукциона осуществлены заимствования</w:t>
      </w:r>
      <w:r>
        <w:rPr>
          <w:spacing w:val="-1"/>
          <w:szCs w:val="24"/>
        </w:rPr>
        <w:t xml:space="preserve"> у коммерческого банка на сумму </w:t>
      </w:r>
      <w:r>
        <w:rPr>
          <w:spacing w:val="-1"/>
          <w:szCs w:val="24"/>
          <w:lang w:val="ru-RU"/>
        </w:rPr>
        <w:t>113 406,12</w:t>
      </w:r>
      <w:r>
        <w:rPr>
          <w:spacing w:val="-1"/>
          <w:szCs w:val="24"/>
        </w:rPr>
        <w:t xml:space="preserve"> тыс.руб. и у Департамента финансов Томской области в сумме </w:t>
      </w:r>
      <w:r>
        <w:rPr>
          <w:spacing w:val="-1"/>
          <w:szCs w:val="24"/>
          <w:lang w:val="ru-RU"/>
        </w:rPr>
        <w:t>80 311,68</w:t>
      </w:r>
      <w:r>
        <w:rPr>
          <w:spacing w:val="-1"/>
          <w:szCs w:val="24"/>
        </w:rPr>
        <w:t> </w:t>
      </w:r>
      <w:r>
        <w:rPr>
          <w:szCs w:val="24"/>
        </w:rPr>
        <w:t>тыс.руб.</w:t>
      </w:r>
    </w:p>
    <w:p>
      <w:pPr>
        <w:pStyle w:val="20"/>
        <w:ind w:right="0" w:firstLine="709"/>
        <w:rPr>
          <w:szCs w:val="24"/>
          <w:lang w:val="ru-RU"/>
        </w:rPr>
      </w:pPr>
      <w:r>
        <w:rPr>
          <w:szCs w:val="24"/>
          <w:lang w:val="ru-RU"/>
        </w:rPr>
        <w:t>В последние годы отмечается положительная динамика роста доходной и расходной частей бюджета. В период с 2019 года по 2021 год доходы бюджета ЗАТО Северск увеличились 433,5 тыс.руб., расходы на 421,4 тыс.руб.</w:t>
      </w:r>
    </w:p>
    <w:p>
      <w:pPr>
        <w:pStyle w:val="20"/>
        <w:ind w:right="0"/>
        <w:rPr>
          <w:szCs w:val="24"/>
          <w:lang w:val="ru-RU"/>
        </w:rPr>
      </w:pPr>
      <w:r>
        <w:rPr>
          <w:noProof/>
          <w:lang w:val="ru-RU" w:eastAsia="ru-RU"/>
        </w:rPr>
        <mc:AlternateContent>
          <mc:Choice Requires="wps">
            <w:drawing>
              <wp:anchor distT="0" distB="0" distL="114300" distR="114300" simplePos="0" relativeHeight="251666432" behindDoc="0" locked="0" layoutInCell="1" allowOverlap="1">
                <wp:simplePos x="0" y="0"/>
                <wp:positionH relativeFrom="column">
                  <wp:posOffset>3945255</wp:posOffset>
                </wp:positionH>
                <wp:positionV relativeFrom="paragraph">
                  <wp:posOffset>385445</wp:posOffset>
                </wp:positionV>
                <wp:extent cx="617220" cy="227965"/>
                <wp:effectExtent l="0" t="0" r="0" b="0"/>
                <wp:wrapNone/>
                <wp:docPr id="3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 cy="227965"/>
                        </a:xfrm>
                        <a:prstGeom prst="rect">
                          <a:avLst/>
                        </a:prstGeom>
                      </wps:spPr>
                      <wps:txbx>
                        <w:txbxContent>
                          <w:p>
                            <w:pPr>
                              <w:pStyle w:val="afc"/>
                              <w:spacing w:before="0" w:beforeAutospacing="0" w:after="0" w:afterAutospacing="0"/>
                            </w:pPr>
                            <w:r>
                              <w:rPr>
                                <w:sz w:val="20"/>
                                <w:szCs w:val="20"/>
                              </w:rPr>
                              <w:t>+301,9</w:t>
                            </w:r>
                          </w:p>
                        </w:txbxContent>
                      </wps:txbx>
                      <wps:bodyPr wrap="square" rtlCol="0"/>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1" o:spid="_x0000_s1026" type="#_x0000_t202" style="position:absolute;left:0;text-align:left;margin-left:310.65pt;margin-top:30.35pt;width:48.6pt;height:17.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" filled="f" stroked="f">
                <v:path arrowok="t"/>
                <v:textbox>
                  <w:txbxContent>
                    <w:p>
                      <w:pPr>
                        <w:pStyle w:val="afc"/>
                        <w:spacing w:before="0" w:beforeAutospacing="0" w:after="0" w:afterAutospacing="0"/>
                      </w:pPr>
                      <w:r>
                        <w:rPr>
                          <w:sz w:val="20"/>
                          <w:szCs w:val="20"/>
                        </w:rPr>
                        <w:t>+301,9</w:t>
                      </w:r>
                    </w:p>
                  </w:txbxContent>
                </v:textbox>
              </v:shape>
            </w:pict>
          </mc:Fallback>
        </mc:AlternateContent>
      </w:r>
      <w:r>
        <w:rPr>
          <w:noProof/>
          <w:lang w:val="ru-RU" w:eastAsia="ru-RU"/>
        </w:rPr>
        <mc:AlternateContent>
          <mc:Choice Requires="wps">
            <w:drawing>
              <wp:anchor distT="0" distB="0" distL="114300" distR="114300" simplePos="0" relativeHeight="251660288" behindDoc="0" locked="0" layoutInCell="1" allowOverlap="1">
                <wp:simplePos x="0" y="0"/>
                <wp:positionH relativeFrom="column">
                  <wp:posOffset>4232910</wp:posOffset>
                </wp:positionH>
                <wp:positionV relativeFrom="paragraph">
                  <wp:posOffset>545465</wp:posOffset>
                </wp:positionV>
                <wp:extent cx="320040" cy="160020"/>
                <wp:effectExtent l="0" t="38100" r="60960" b="30480"/>
                <wp:wrapNone/>
                <wp:docPr id="30"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0040" cy="1600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333.3pt;margin-top:42.95pt;width:25.2pt;height:12.6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" strokecolor="windowText" strokeweight=".5pt">
                <v:stroke endarrow="block" joinstyle="miter"/>
                <o:lock v:ext="edit" shapetype="f"/>
              </v:shape>
            </w:pict>
          </mc:Fallback>
        </mc:AlternateContent>
      </w:r>
      <w:r>
        <w:rPr>
          <w:noProof/>
          <w:lang w:val="ru-RU" w:eastAsia="ru-RU"/>
        </w:rPr>
        <mc:AlternateContent>
          <mc:Choice Requires="wps">
            <w:drawing>
              <wp:anchor distT="0" distB="0" distL="114300" distR="114300" simplePos="0" relativeHeight="251667456" behindDoc="0" locked="0" layoutInCell="1" allowOverlap="1">
                <wp:simplePos x="0" y="0"/>
                <wp:positionH relativeFrom="column">
                  <wp:posOffset>3564890</wp:posOffset>
                </wp:positionH>
                <wp:positionV relativeFrom="paragraph">
                  <wp:posOffset>765175</wp:posOffset>
                </wp:positionV>
                <wp:extent cx="617220" cy="227965"/>
                <wp:effectExtent l="0" t="0" r="0" b="0"/>
                <wp:wrapNone/>
                <wp:docPr id="29"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 cy="227965"/>
                        </a:xfrm>
                        <a:prstGeom prst="rect">
                          <a:avLst/>
                        </a:prstGeom>
                      </wps:spPr>
                      <wps:txbx>
                        <w:txbxContent>
                          <w:p>
                            <w:pPr>
                              <w:pStyle w:val="afc"/>
                              <w:spacing w:before="0" w:beforeAutospacing="0" w:after="0" w:afterAutospacing="0"/>
                            </w:pPr>
                            <w:r>
                              <w:rPr>
                                <w:sz w:val="20"/>
                                <w:szCs w:val="20"/>
                              </w:rPr>
                              <w:t>+119,5</w:t>
                            </w:r>
                          </w:p>
                        </w:txbxContent>
                      </wps:txbx>
                      <wps:bodyPr wrap="square" rtlCol="0"/>
                    </wps:wsp>
                  </a:graphicData>
                </a:graphic>
                <wp14:sizeRelH relativeFrom="page">
                  <wp14:pctWidth>0</wp14:pctWidth>
                </wp14:sizeRelH>
                <wp14:sizeRelV relativeFrom="page">
                  <wp14:pctHeight>0</wp14:pctHeight>
                </wp14:sizeRelV>
              </wp:anchor>
            </w:drawing>
          </mc:Choice>
          <mc:Fallback>
            <w:pict>
              <v:shape id="_x0000_s1027" type="#_x0000_t202" style="position:absolute;left:0;text-align:left;margin-left:280.7pt;margin-top:60.25pt;width:48.6pt;height:17.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" filled="f" stroked="f">
                <v:path arrowok="t"/>
                <v:textbox>
                  <w:txbxContent>
                    <w:p>
                      <w:pPr>
                        <w:pStyle w:val="afc"/>
                        <w:spacing w:before="0" w:beforeAutospacing="0" w:after="0" w:afterAutospacing="0"/>
                      </w:pPr>
                      <w:r>
                        <w:rPr>
                          <w:sz w:val="20"/>
                          <w:szCs w:val="20"/>
                        </w:rPr>
                        <w:t>+119,5</w:t>
                      </w:r>
                    </w:p>
                  </w:txbxContent>
                </v:textbox>
              </v:shape>
            </w:pict>
          </mc:Fallback>
        </mc:AlternateContent>
      </w:r>
      <w:r>
        <w:rPr>
          <w:noProof/>
          <w:lang w:val="ru-RU" w:eastAsia="ru-RU"/>
        </w:rPr>
        <mc:AlternateContent>
          <mc:Choice Requires="wps">
            <w:drawing>
              <wp:anchor distT="0" distB="0" distL="114300" distR="114300" simplePos="0" relativeHeight="251661312" behindDoc="0" locked="0" layoutInCell="1" allowOverlap="1">
                <wp:simplePos x="0" y="0"/>
                <wp:positionH relativeFrom="column">
                  <wp:posOffset>3903345</wp:posOffset>
                </wp:positionH>
                <wp:positionV relativeFrom="paragraph">
                  <wp:posOffset>929640</wp:posOffset>
                </wp:positionV>
                <wp:extent cx="320040" cy="160020"/>
                <wp:effectExtent l="0" t="38100" r="60960" b="30480"/>
                <wp:wrapNone/>
                <wp:docPr id="28"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0040" cy="1600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307.35pt;margin-top:73.2pt;width:25.2pt;height:12.6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" strokecolor="windowText" strokeweight=".5pt">
                <v:stroke endarrow="block" joinstyle="miter"/>
                <o:lock v:ext="edit" shapetype="f"/>
              </v:shape>
            </w:pict>
          </mc:Fallback>
        </mc:AlternateContent>
      </w:r>
      <w:r>
        <w:rPr>
          <w:noProof/>
          <w:lang w:val="ru-RU" w:eastAsia="ru-RU"/>
        </w:rPr>
        <mc:AlternateContent>
          <mc:Choice Requires="wps">
            <w:drawing>
              <wp:anchor distT="0" distB="0" distL="114300" distR="114300" simplePos="0" relativeHeight="251663360" behindDoc="0" locked="0" layoutInCell="1" allowOverlap="1">
                <wp:simplePos x="0" y="0"/>
                <wp:positionH relativeFrom="column">
                  <wp:posOffset>1897380</wp:posOffset>
                </wp:positionH>
                <wp:positionV relativeFrom="paragraph">
                  <wp:posOffset>1036320</wp:posOffset>
                </wp:positionV>
                <wp:extent cx="320040" cy="160020"/>
                <wp:effectExtent l="0" t="38100" r="60960" b="30480"/>
                <wp:wrapNone/>
                <wp:docPr id="27"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0040" cy="1600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49.4pt;margin-top:81.6pt;width:25.2pt;height:12.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" strokecolor="windowText" strokeweight=".5pt">
                <v:stroke endarrow="block" joinstyle="miter"/>
                <o:lock v:ext="edit" shapetype="f"/>
              </v:shape>
            </w:pict>
          </mc:Fallback>
        </mc:AlternateContent>
      </w:r>
      <w:r>
        <w:rPr>
          <w:noProof/>
          <w:lang w:val="ru-RU" w:eastAsia="ru-RU"/>
        </w:rPr>
        <mc:AlternateContent>
          <mc:Choice Requires="wps">
            <w:drawing>
              <wp:anchor distT="0" distB="0" distL="114300" distR="114300" simplePos="0" relativeHeight="251664384" behindDoc="0" locked="0" layoutInCell="1" allowOverlap="1">
                <wp:simplePos x="0" y="0"/>
                <wp:positionH relativeFrom="column">
                  <wp:posOffset>2048510</wp:posOffset>
                </wp:positionH>
                <wp:positionV relativeFrom="paragraph">
                  <wp:posOffset>494665</wp:posOffset>
                </wp:positionV>
                <wp:extent cx="617220" cy="227965"/>
                <wp:effectExtent l="0" t="0" r="0" b="0"/>
                <wp:wrapNone/>
                <wp:docPr id="26"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 cy="227965"/>
                        </a:xfrm>
                        <a:prstGeom prst="rect">
                          <a:avLst/>
                        </a:prstGeom>
                      </wps:spPr>
                      <wps:txbx>
                        <w:txbxContent>
                          <w:p>
                            <w:pPr>
                              <w:pStyle w:val="afc"/>
                              <w:spacing w:before="0" w:beforeAutospacing="0" w:after="0" w:afterAutospacing="0"/>
                            </w:pPr>
                            <w:r>
                              <w:rPr>
                                <w:sz w:val="20"/>
                                <w:szCs w:val="20"/>
                              </w:rPr>
                              <w:t>+290,3</w:t>
                            </w:r>
                          </w:p>
                        </w:txbxContent>
                      </wps:txbx>
                      <wps:bodyPr wrap="square" rtlCol="0"/>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161.3pt;margin-top:38.95pt;width:48.6pt;height:1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" filled="f" stroked="f">
                <v:path arrowok="t"/>
                <v:textbox>
                  <w:txbxContent>
                    <w:p>
                      <w:pPr>
                        <w:pStyle w:val="afc"/>
                        <w:spacing w:before="0" w:beforeAutospacing="0" w:after="0" w:afterAutospacing="0"/>
                      </w:pPr>
                      <w:r>
                        <w:rPr>
                          <w:sz w:val="20"/>
                          <w:szCs w:val="20"/>
                        </w:rPr>
                        <w:t>+290,3</w:t>
                      </w:r>
                    </w:p>
                  </w:txbxContent>
                </v:textbox>
              </v:shape>
            </w:pict>
          </mc:Fallback>
        </mc:AlternateContent>
      </w:r>
      <w:r>
        <w:rPr>
          <w:noProof/>
          <w:lang w:val="ru-RU" w:eastAsia="ru-RU"/>
        </w:rPr>
        <mc:AlternateContent>
          <mc:Choice Requires="wps">
            <w:drawing>
              <wp:anchor distT="0" distB="0" distL="114300" distR="114300" simplePos="0" relativeHeight="251662336" behindDoc="0" locked="0" layoutInCell="1" allowOverlap="1">
                <wp:simplePos x="0" y="0"/>
                <wp:positionH relativeFrom="column">
                  <wp:posOffset>2278380</wp:posOffset>
                </wp:positionH>
                <wp:positionV relativeFrom="paragraph">
                  <wp:posOffset>673100</wp:posOffset>
                </wp:positionV>
                <wp:extent cx="320040" cy="160020"/>
                <wp:effectExtent l="0" t="38100" r="60960" b="30480"/>
                <wp:wrapNone/>
                <wp:docPr id="2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320040" cy="16002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179.4pt;margin-top:53pt;width:25.2pt;height:12.6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" strokecolor="windowText" strokeweight=".5pt">
                <v:stroke endarrow="block" joinstyle="miter"/>
                <o:lock v:ext="edit" shapetype="f"/>
              </v:shape>
            </w:pict>
          </mc:Fallback>
        </mc:AlternateContent>
      </w:r>
      <w:r>
        <w:rPr>
          <w:noProof/>
          <w:lang w:val="ru-RU" w:eastAsia="ru-RU"/>
        </w:rPr>
        <mc:AlternateContent>
          <mc:Choice Requires="wps">
            <w:drawing>
              <wp:anchor distT="0" distB="0" distL="114300" distR="114300" simplePos="0" relativeHeight="251665408" behindDoc="0" locked="0" layoutInCell="1" allowOverlap="1">
                <wp:simplePos x="0" y="0"/>
                <wp:positionH relativeFrom="column">
                  <wp:posOffset>1600200</wp:posOffset>
                </wp:positionH>
                <wp:positionV relativeFrom="paragraph">
                  <wp:posOffset>833120</wp:posOffset>
                </wp:positionV>
                <wp:extent cx="617220" cy="227965"/>
                <wp:effectExtent l="0" t="0" r="0" b="0"/>
                <wp:wrapNone/>
                <wp:docPr id="2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7220" cy="227965"/>
                        </a:xfrm>
                        <a:prstGeom prst="rect">
                          <a:avLst/>
                        </a:prstGeom>
                      </wps:spPr>
                      <wps:txbx>
                        <w:txbxContent>
                          <w:p>
                            <w:pPr>
                              <w:pStyle w:val="afc"/>
                              <w:spacing w:before="0" w:beforeAutospacing="0" w:after="0" w:afterAutospacing="0"/>
                            </w:pPr>
                            <w:r>
                              <w:rPr>
                                <w:sz w:val="20"/>
                                <w:szCs w:val="20"/>
                              </w:rPr>
                              <w:t>+143,2</w:t>
                            </w:r>
                          </w:p>
                        </w:txbxContent>
                      </wps:txbx>
                      <wps:bodyPr wrap="square" rtlCol="0"/>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126pt;margin-top:65.6pt;width:48.6pt;height:17.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" filled="f" stroked="f">
                <v:path arrowok="t"/>
                <v:textbox>
                  <w:txbxContent>
                    <w:p>
                      <w:pPr>
                        <w:pStyle w:val="afc"/>
                        <w:spacing w:before="0" w:beforeAutospacing="0" w:after="0" w:afterAutospacing="0"/>
                      </w:pPr>
                      <w:r>
                        <w:rPr>
                          <w:sz w:val="20"/>
                          <w:szCs w:val="20"/>
                        </w:rPr>
                        <w:t>+143,2</w:t>
                      </w:r>
                    </w:p>
                  </w:txbxContent>
                </v:textbox>
              </v:shape>
            </w:pict>
          </mc:Fallback>
        </mc:AlternateContent>
      </w:r>
      <w:r>
        <w:rPr>
          <w:szCs w:val="24"/>
          <w:lang w:val="ru-RU"/>
        </w:rPr>
        <w:object w:dxaOrig="9514" w:dyaOrig="5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6.65pt;height:262.65pt" o:ole="">
            <v:imagedata r:id="rId8" o:title=""/>
          </v:shape>
          <o:OLEObject Type="Embed" ProgID="Excel.Sheet.12" ShapeID="_x0000_i1025" DrawAspect="Content" ObjectID="_1707991218" r:id="rId9"/>
        </w:object>
      </w:r>
    </w:p>
    <w:p>
      <w:pPr>
        <w:shd w:val="clear" w:color="auto" w:fill="FFFFFF"/>
        <w:spacing w:after="120"/>
        <w:ind w:right="57"/>
        <w:jc w:val="center"/>
        <w:rPr>
          <w:spacing w:val="-4"/>
          <w:sz w:val="24"/>
          <w:szCs w:val="24"/>
        </w:rPr>
      </w:pPr>
      <w:r>
        <w:rPr>
          <w:spacing w:val="-4"/>
          <w:sz w:val="24"/>
          <w:szCs w:val="24"/>
        </w:rPr>
        <w:t>Рисунок 1. Динамика изменения основных параметров бюджета (млн руб.)</w:t>
      </w:r>
    </w:p>
    <w:p>
      <w:pPr>
        <w:pStyle w:val="20"/>
        <w:ind w:right="0" w:firstLine="709"/>
        <w:rPr>
          <w:szCs w:val="24"/>
        </w:rPr>
      </w:pPr>
      <w:r>
        <w:lastRenderedPageBreak/>
        <w:t xml:space="preserve">При исполнении бюджета ЗАТО Северск обеспечивалось выполнение обязательств, </w:t>
      </w:r>
      <w:r>
        <w:rPr>
          <w:szCs w:val="24"/>
        </w:rPr>
        <w:t>установленных:</w:t>
      </w:r>
    </w:p>
    <w:p>
      <w:pPr>
        <w:pStyle w:val="20"/>
        <w:tabs>
          <w:tab w:val="left" w:pos="851"/>
        </w:tabs>
        <w:ind w:right="0" w:firstLine="709"/>
        <w:rPr>
          <w:szCs w:val="24"/>
        </w:rPr>
      </w:pPr>
      <w:r>
        <w:rPr>
          <w:szCs w:val="24"/>
        </w:rPr>
        <w:t>1. Соглашением между Министерством финансов Российской Федерации, Администрацией Томской области и ЗАТО Северск от 13.06.2018 № 01-01-06/06-262 «О предоставлении и обеспечении эффективного использования межбюджетных трансфертов, выделяемых из федерального бюджета бюджету Томской области</w:t>
      </w:r>
      <w:r>
        <w:rPr>
          <w:b/>
          <w:szCs w:val="24"/>
        </w:rPr>
        <w:t xml:space="preserve"> </w:t>
      </w:r>
      <w:r>
        <w:rPr>
          <w:szCs w:val="24"/>
        </w:rPr>
        <w:t>для предоставления бюджету закрытого административно – территориального образования Северск Томской области дотации на компенсацию дополнительных расходов и (или) потерь бюджетов закрытых административно – территориальных образований, связанных с особым режимом безопасного функционирования» (далее – трехсторонне Соглашение);</w:t>
      </w:r>
    </w:p>
    <w:p>
      <w:pPr>
        <w:ind w:firstLine="709"/>
        <w:jc w:val="both"/>
        <w:rPr>
          <w:sz w:val="24"/>
          <w:szCs w:val="24"/>
        </w:rPr>
      </w:pPr>
      <w:r>
        <w:rPr>
          <w:sz w:val="24"/>
          <w:szCs w:val="24"/>
        </w:rPr>
        <w:t>2. Соглашением с Департаментом финансов Томской области от 16.02.2021 № 20-С</w:t>
      </w:r>
      <w:r>
        <w:rPr>
          <w:b/>
          <w:sz w:val="24"/>
          <w:szCs w:val="24"/>
        </w:rPr>
        <w:t xml:space="preserve"> </w:t>
      </w:r>
      <w:r>
        <w:rPr>
          <w:sz w:val="24"/>
          <w:szCs w:val="24"/>
        </w:rPr>
        <w:t>«О мерах по социально-экономическому развитию и оздоровлению муниципальных финансов муниципального образования «Городской округ ЗАТО Северск»</w:t>
      </w:r>
    </w:p>
    <w:p>
      <w:pPr>
        <w:pStyle w:val="20"/>
        <w:ind w:right="0" w:firstLine="709"/>
        <w:rPr>
          <w:szCs w:val="24"/>
        </w:rPr>
      </w:pPr>
      <w:r>
        <w:rPr>
          <w:szCs w:val="24"/>
        </w:rPr>
        <w:t>3. Соглашениями с отраслевыми департаментами Администрации Томской области.</w:t>
      </w:r>
    </w:p>
    <w:p>
      <w:pPr>
        <w:pStyle w:val="20"/>
        <w:ind w:right="0" w:firstLine="709"/>
        <w:rPr>
          <w:szCs w:val="24"/>
        </w:rPr>
      </w:pPr>
      <w:r>
        <w:rPr>
          <w:szCs w:val="24"/>
        </w:rPr>
        <w:t xml:space="preserve">В целях обеспечения устойчивости и сбалансированности бюджета при его исполнении реализовывались мероприятия, </w:t>
      </w:r>
      <w:r>
        <w:rPr>
          <w:szCs w:val="24"/>
          <w:lang w:val="ru-RU"/>
        </w:rPr>
        <w:t>утвержденные</w:t>
      </w:r>
      <w:r>
        <w:rPr>
          <w:szCs w:val="24"/>
        </w:rPr>
        <w:t>:</w:t>
      </w:r>
    </w:p>
    <w:p>
      <w:pPr>
        <w:tabs>
          <w:tab w:val="left" w:pos="993"/>
        </w:tabs>
        <w:ind w:firstLine="709"/>
        <w:jc w:val="both"/>
        <w:rPr>
          <w:sz w:val="24"/>
          <w:szCs w:val="24"/>
        </w:rPr>
      </w:pPr>
      <w:r>
        <w:rPr>
          <w:sz w:val="24"/>
          <w:szCs w:val="24"/>
        </w:rPr>
        <w:t xml:space="preserve">- постановлением Администрации ЗАТО Северск от 18.03.2021 № 550 </w:t>
      </w:r>
      <w:r>
        <w:rPr>
          <w:sz w:val="24"/>
          <w:szCs w:val="24"/>
        </w:rPr>
        <w:br/>
        <w:t>«Об утверждении Сводного плана мероприятий по мобилизации доходов бюджета ЗАТО Северск»;</w:t>
      </w:r>
    </w:p>
    <w:p>
      <w:pPr>
        <w:pStyle w:val="20"/>
        <w:ind w:right="0" w:firstLine="709"/>
      </w:pPr>
      <w:r>
        <w:t>- планом мероприятий по повышению эффективности использования бюджетных средств, увеличения налоговых и неналоговых доходов и совершенствованию долговой политики бюджета ЗАТО Северск в 20</w:t>
      </w:r>
      <w:r>
        <w:rPr>
          <w:lang w:val="ru-RU"/>
        </w:rPr>
        <w:t>21</w:t>
      </w:r>
      <w:r>
        <w:t>-202</w:t>
      </w:r>
      <w:r>
        <w:rPr>
          <w:lang w:val="ru-RU"/>
        </w:rPr>
        <w:t>3</w:t>
      </w:r>
      <w:r>
        <w:t xml:space="preserve"> годах (утвержден в рамках трехстороннего Соглашения от 13.06.2018 № 01-01-06/06-262);</w:t>
      </w:r>
    </w:p>
    <w:p>
      <w:pPr>
        <w:pStyle w:val="20"/>
        <w:tabs>
          <w:tab w:val="left" w:pos="567"/>
        </w:tabs>
        <w:ind w:right="0" w:firstLine="709"/>
        <w:rPr>
          <w:szCs w:val="24"/>
        </w:rPr>
      </w:pPr>
      <w:r>
        <w:rPr>
          <w:szCs w:val="24"/>
        </w:rPr>
        <w:t xml:space="preserve">- распоряжением Администрации ЗАТО Северск от </w:t>
      </w:r>
      <w:r>
        <w:rPr>
          <w:szCs w:val="24"/>
          <w:lang w:val="ru-RU"/>
        </w:rPr>
        <w:t>22.01.2021</w:t>
      </w:r>
      <w:r>
        <w:rPr>
          <w:szCs w:val="24"/>
        </w:rPr>
        <w:t xml:space="preserve"> № </w:t>
      </w:r>
      <w:r>
        <w:rPr>
          <w:szCs w:val="24"/>
          <w:lang w:val="ru-RU"/>
        </w:rPr>
        <w:t>50</w:t>
      </w:r>
      <w:r>
        <w:rPr>
          <w:szCs w:val="24"/>
        </w:rPr>
        <w:t>-р «О мерах по исполнению бюджета ЗАТО Северск на 202</w:t>
      </w:r>
      <w:r>
        <w:rPr>
          <w:szCs w:val="24"/>
          <w:lang w:val="ru-RU"/>
        </w:rPr>
        <w:t>1</w:t>
      </w:r>
      <w:r>
        <w:rPr>
          <w:szCs w:val="24"/>
        </w:rPr>
        <w:t xml:space="preserve"> год и на плановый период 202</w:t>
      </w:r>
      <w:r>
        <w:rPr>
          <w:szCs w:val="24"/>
          <w:lang w:val="ru-RU"/>
        </w:rPr>
        <w:t>2</w:t>
      </w:r>
      <w:r>
        <w:rPr>
          <w:szCs w:val="24"/>
        </w:rPr>
        <w:t xml:space="preserve"> и 202</w:t>
      </w:r>
      <w:r>
        <w:rPr>
          <w:szCs w:val="24"/>
          <w:lang w:val="ru-RU"/>
        </w:rPr>
        <w:t>3</w:t>
      </w:r>
      <w:r>
        <w:rPr>
          <w:szCs w:val="24"/>
        </w:rPr>
        <w:t xml:space="preserve"> годов»;</w:t>
      </w:r>
    </w:p>
    <w:p>
      <w:pPr>
        <w:tabs>
          <w:tab w:val="left" w:pos="993"/>
        </w:tabs>
        <w:ind w:firstLine="709"/>
        <w:jc w:val="both"/>
        <w:rPr>
          <w:sz w:val="24"/>
          <w:szCs w:val="24"/>
        </w:rPr>
      </w:pPr>
      <w:r>
        <w:rPr>
          <w:sz w:val="24"/>
          <w:szCs w:val="24"/>
        </w:rPr>
        <w:t>- распоряжениями Администрации ЗАТО Северск от 24.05.2021 № 598-р, от 14.12.2021 № 1403-р «Об осуществлении муниципальных внутренних заимствований».</w:t>
      </w:r>
    </w:p>
    <w:p>
      <w:pPr>
        <w:tabs>
          <w:tab w:val="left" w:pos="993"/>
        </w:tabs>
        <w:ind w:firstLine="709"/>
        <w:jc w:val="both"/>
        <w:rPr>
          <w:sz w:val="24"/>
          <w:szCs w:val="24"/>
        </w:rPr>
      </w:pPr>
    </w:p>
    <w:p>
      <w:pPr>
        <w:pStyle w:val="af8"/>
        <w:numPr>
          <w:ilvl w:val="1"/>
          <w:numId w:val="17"/>
        </w:numPr>
        <w:jc w:val="center"/>
        <w:rPr>
          <w:b/>
          <w:sz w:val="24"/>
          <w:szCs w:val="24"/>
          <w:shd w:val="clear" w:color="auto" w:fill="FFFFFF"/>
        </w:rPr>
      </w:pPr>
      <w:r>
        <w:rPr>
          <w:b/>
          <w:sz w:val="24"/>
          <w:szCs w:val="24"/>
          <w:shd w:val="clear" w:color="auto" w:fill="FFFFFF"/>
        </w:rPr>
        <w:t>Информация о консолидации бюджета ЗАТО Северск в бюджет Томской области</w:t>
      </w:r>
    </w:p>
    <w:p>
      <w:pPr>
        <w:pStyle w:val="af8"/>
        <w:ind w:left="1068"/>
        <w:rPr>
          <w:b/>
          <w:sz w:val="10"/>
          <w:szCs w:val="10"/>
          <w:highlight w:val="yellow"/>
          <w:shd w:val="clear" w:color="auto" w:fill="FFFFFF"/>
        </w:rPr>
      </w:pPr>
    </w:p>
    <w:p>
      <w:pPr>
        <w:ind w:firstLine="708"/>
        <w:jc w:val="both"/>
        <w:rPr>
          <w:spacing w:val="-4"/>
          <w:sz w:val="24"/>
          <w:szCs w:val="24"/>
        </w:rPr>
      </w:pPr>
      <w:r>
        <w:rPr>
          <w:sz w:val="24"/>
          <w:szCs w:val="24"/>
        </w:rPr>
        <w:t>Доходная часть консолидированного бюджета Томской области исполнена на 95,1%, по бюджету ЗАТО Северск доходы исполнены на 100,3%</w:t>
      </w:r>
      <w:r>
        <w:rPr>
          <w:spacing w:val="-4"/>
          <w:sz w:val="24"/>
          <w:szCs w:val="24"/>
        </w:rPr>
        <w:t xml:space="preserve">. </w:t>
      </w:r>
      <w:r>
        <w:rPr>
          <w:sz w:val="24"/>
          <w:szCs w:val="24"/>
          <w:shd w:val="clear" w:color="auto" w:fill="FFFFFF"/>
        </w:rPr>
        <w:t xml:space="preserve">Доля бюджета ЗАТО Северск в консолидированных доходах Томской области составляет 5,0%. </w:t>
      </w:r>
      <w:r>
        <w:rPr>
          <w:spacing w:val="-4"/>
          <w:sz w:val="24"/>
          <w:szCs w:val="24"/>
        </w:rPr>
        <w:t>По сравнению с 2020 годом произошло сокращение доли бюджета ЗАТО Северск в консолидированных доходах областного бюджета с 5,3% в 2020 году до 5,0% в 2021 году.</w:t>
      </w:r>
    </w:p>
    <w:p>
      <w:pPr>
        <w:ind w:firstLine="708"/>
        <w:jc w:val="both"/>
        <w:rPr>
          <w:spacing w:val="-4"/>
          <w:sz w:val="24"/>
          <w:szCs w:val="24"/>
        </w:rPr>
      </w:pPr>
      <w:r>
        <w:rPr>
          <w:sz w:val="24"/>
          <w:szCs w:val="24"/>
        </w:rPr>
        <w:t>Расходная часть консолидированного бюджета Томской области исполнена на 91,8%, по бюджету ЗАТО Северск - на 99,1%</w:t>
      </w:r>
      <w:r>
        <w:rPr>
          <w:spacing w:val="-4"/>
          <w:sz w:val="24"/>
          <w:szCs w:val="24"/>
        </w:rPr>
        <w:t xml:space="preserve">. </w:t>
      </w:r>
      <w:r>
        <w:rPr>
          <w:sz w:val="24"/>
          <w:szCs w:val="24"/>
          <w:shd w:val="clear" w:color="auto" w:fill="FFFFFF"/>
        </w:rPr>
        <w:t>Доля бюджета ЗАТО Северск в консолидированных</w:t>
      </w:r>
      <w:r>
        <w:rPr>
          <w:spacing w:val="-4"/>
          <w:sz w:val="24"/>
          <w:szCs w:val="24"/>
        </w:rPr>
        <w:t xml:space="preserve"> </w:t>
      </w:r>
      <w:r>
        <w:rPr>
          <w:sz w:val="24"/>
          <w:szCs w:val="24"/>
          <w:shd w:val="clear" w:color="auto" w:fill="FFFFFF"/>
        </w:rPr>
        <w:t>расходах Томской области – 4,8%.</w:t>
      </w:r>
      <w:r>
        <w:rPr>
          <w:sz w:val="24"/>
          <w:szCs w:val="24"/>
        </w:rPr>
        <w:t xml:space="preserve"> </w:t>
      </w:r>
      <w:r>
        <w:rPr>
          <w:spacing w:val="-4"/>
          <w:sz w:val="24"/>
          <w:szCs w:val="24"/>
        </w:rPr>
        <w:t>По сравнению с 2020 годом изменения доли бюджета ЗАТО Северск в консолидированных расходах областного бюджета не произошло.</w:t>
      </w:r>
    </w:p>
    <w:p>
      <w:pPr>
        <w:ind w:firstLine="709"/>
        <w:jc w:val="both"/>
        <w:rPr>
          <w:sz w:val="24"/>
          <w:szCs w:val="24"/>
        </w:rPr>
      </w:pPr>
      <w:r>
        <w:rPr>
          <w:sz w:val="24"/>
          <w:szCs w:val="24"/>
        </w:rPr>
        <w:t xml:space="preserve">Сравнительный анализ исполнения консолидированного бюджета Томской области, бюджетов городских округов и бюджета ЗАТО Северск приведен в таблице 2. </w:t>
      </w:r>
    </w:p>
    <w:p>
      <w:pPr>
        <w:tabs>
          <w:tab w:val="left" w:pos="709"/>
        </w:tabs>
        <w:spacing w:before="120" w:after="60"/>
        <w:jc w:val="both"/>
        <w:rPr>
          <w:sz w:val="24"/>
          <w:szCs w:val="24"/>
        </w:rPr>
      </w:pPr>
      <w:r>
        <w:rPr>
          <w:sz w:val="24"/>
          <w:szCs w:val="24"/>
        </w:rPr>
        <w:tab/>
        <w:t>Таблица 2. Анализ исполнения доходной и расходной частей консолидированного бюджета Томской области и городских округов за 2020 - 2021 годы</w:t>
      </w:r>
    </w:p>
    <w:tbl>
      <w:tblPr>
        <w:tblW w:w="949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134"/>
        <w:gridCol w:w="1276"/>
        <w:gridCol w:w="1134"/>
        <w:gridCol w:w="1021"/>
        <w:gridCol w:w="1134"/>
        <w:gridCol w:w="846"/>
        <w:gridCol w:w="962"/>
      </w:tblGrid>
      <w:tr>
        <w:trPr>
          <w:cantSplit/>
          <w:trHeight w:val="1240"/>
        </w:trPr>
        <w:tc>
          <w:tcPr>
            <w:tcW w:w="1985" w:type="dxa"/>
            <w:shd w:val="clear" w:color="auto" w:fill="auto"/>
          </w:tcPr>
          <w:p>
            <w:pPr>
              <w:tabs>
                <w:tab w:val="left" w:pos="284"/>
              </w:tabs>
              <w:jc w:val="center"/>
            </w:pPr>
            <w:r>
              <w:t>Показатели</w:t>
            </w:r>
          </w:p>
        </w:tc>
        <w:tc>
          <w:tcPr>
            <w:tcW w:w="1134" w:type="dxa"/>
            <w:shd w:val="clear" w:color="auto" w:fill="auto"/>
          </w:tcPr>
          <w:p>
            <w:pPr>
              <w:tabs>
                <w:tab w:val="left" w:pos="284"/>
              </w:tabs>
              <w:jc w:val="center"/>
            </w:pPr>
            <w:r>
              <w:t>1. Бюджет Томской области, всего</w:t>
            </w:r>
          </w:p>
        </w:tc>
        <w:tc>
          <w:tcPr>
            <w:tcW w:w="1276" w:type="dxa"/>
            <w:shd w:val="clear" w:color="auto" w:fill="auto"/>
          </w:tcPr>
          <w:p>
            <w:pPr>
              <w:tabs>
                <w:tab w:val="left" w:pos="284"/>
              </w:tabs>
              <w:ind w:left="-108" w:firstLine="108"/>
              <w:jc w:val="center"/>
            </w:pPr>
            <w:r>
              <w:t>2.Мун. образования, всего</w:t>
            </w:r>
          </w:p>
        </w:tc>
        <w:tc>
          <w:tcPr>
            <w:tcW w:w="1134" w:type="dxa"/>
            <w:shd w:val="clear" w:color="auto" w:fill="auto"/>
          </w:tcPr>
          <w:p>
            <w:pPr>
              <w:tabs>
                <w:tab w:val="left" w:pos="284"/>
              </w:tabs>
              <w:jc w:val="center"/>
            </w:pPr>
            <w:r>
              <w:t>3. Городс-кие округа, всего</w:t>
            </w:r>
          </w:p>
        </w:tc>
        <w:tc>
          <w:tcPr>
            <w:tcW w:w="1021" w:type="dxa"/>
            <w:shd w:val="clear" w:color="auto" w:fill="auto"/>
            <w:textDirection w:val="btLr"/>
            <w:vAlign w:val="center"/>
          </w:tcPr>
          <w:p>
            <w:pPr>
              <w:tabs>
                <w:tab w:val="left" w:pos="284"/>
              </w:tabs>
              <w:ind w:left="113" w:right="113"/>
              <w:jc w:val="center"/>
            </w:pPr>
            <w:r>
              <w:t>3.1. Томск</w:t>
            </w:r>
          </w:p>
        </w:tc>
        <w:tc>
          <w:tcPr>
            <w:tcW w:w="1134" w:type="dxa"/>
            <w:shd w:val="clear" w:color="auto" w:fill="auto"/>
            <w:textDirection w:val="btLr"/>
            <w:vAlign w:val="center"/>
          </w:tcPr>
          <w:p>
            <w:pPr>
              <w:tabs>
                <w:tab w:val="left" w:pos="284"/>
              </w:tabs>
              <w:ind w:left="113" w:right="113"/>
              <w:jc w:val="center"/>
            </w:pPr>
            <w:r>
              <w:t>3.2. Стрежевой</w:t>
            </w:r>
          </w:p>
        </w:tc>
        <w:tc>
          <w:tcPr>
            <w:tcW w:w="846" w:type="dxa"/>
            <w:shd w:val="clear" w:color="auto" w:fill="auto"/>
            <w:textDirection w:val="btLr"/>
            <w:vAlign w:val="center"/>
          </w:tcPr>
          <w:p>
            <w:pPr>
              <w:ind w:left="113" w:right="113"/>
              <w:jc w:val="center"/>
            </w:pPr>
            <w:r>
              <w:t>3.3. Кедровый</w:t>
            </w:r>
          </w:p>
        </w:tc>
        <w:tc>
          <w:tcPr>
            <w:tcW w:w="962" w:type="dxa"/>
            <w:shd w:val="clear" w:color="auto" w:fill="auto"/>
            <w:textDirection w:val="btLr"/>
            <w:vAlign w:val="center"/>
          </w:tcPr>
          <w:p>
            <w:pPr>
              <w:ind w:left="113" w:right="113"/>
              <w:jc w:val="center"/>
            </w:pPr>
            <w:r>
              <w:rPr>
                <w:b/>
              </w:rPr>
              <w:t>3.4. ЗАТО Северск</w:t>
            </w:r>
          </w:p>
        </w:tc>
      </w:tr>
      <w:tr>
        <w:trPr>
          <w:cantSplit/>
          <w:trHeight w:val="63"/>
        </w:trPr>
        <w:tc>
          <w:tcPr>
            <w:tcW w:w="1985" w:type="dxa"/>
            <w:shd w:val="clear" w:color="auto" w:fill="auto"/>
          </w:tcPr>
          <w:p>
            <w:pPr>
              <w:tabs>
                <w:tab w:val="left" w:pos="284"/>
              </w:tabs>
              <w:jc w:val="center"/>
            </w:pPr>
            <w:r>
              <w:t>1</w:t>
            </w:r>
          </w:p>
        </w:tc>
        <w:tc>
          <w:tcPr>
            <w:tcW w:w="1134" w:type="dxa"/>
            <w:shd w:val="clear" w:color="auto" w:fill="auto"/>
          </w:tcPr>
          <w:p>
            <w:pPr>
              <w:tabs>
                <w:tab w:val="left" w:pos="284"/>
              </w:tabs>
              <w:jc w:val="center"/>
            </w:pPr>
            <w:r>
              <w:t>2</w:t>
            </w:r>
          </w:p>
        </w:tc>
        <w:tc>
          <w:tcPr>
            <w:tcW w:w="1276" w:type="dxa"/>
            <w:shd w:val="clear" w:color="auto" w:fill="auto"/>
          </w:tcPr>
          <w:p>
            <w:pPr>
              <w:tabs>
                <w:tab w:val="left" w:pos="284"/>
              </w:tabs>
              <w:ind w:left="-108" w:firstLine="108"/>
              <w:jc w:val="center"/>
            </w:pPr>
            <w:r>
              <w:t>3</w:t>
            </w:r>
          </w:p>
        </w:tc>
        <w:tc>
          <w:tcPr>
            <w:tcW w:w="1134" w:type="dxa"/>
            <w:shd w:val="clear" w:color="auto" w:fill="auto"/>
          </w:tcPr>
          <w:p>
            <w:pPr>
              <w:tabs>
                <w:tab w:val="left" w:pos="284"/>
              </w:tabs>
              <w:jc w:val="center"/>
            </w:pPr>
            <w:r>
              <w:t>4</w:t>
            </w:r>
          </w:p>
        </w:tc>
        <w:tc>
          <w:tcPr>
            <w:tcW w:w="1021" w:type="dxa"/>
            <w:shd w:val="clear" w:color="auto" w:fill="auto"/>
            <w:vAlign w:val="center"/>
          </w:tcPr>
          <w:p>
            <w:pPr>
              <w:tabs>
                <w:tab w:val="left" w:pos="284"/>
              </w:tabs>
              <w:jc w:val="center"/>
            </w:pPr>
            <w:r>
              <w:t>5</w:t>
            </w:r>
          </w:p>
        </w:tc>
        <w:tc>
          <w:tcPr>
            <w:tcW w:w="1134" w:type="dxa"/>
            <w:shd w:val="clear" w:color="auto" w:fill="auto"/>
            <w:vAlign w:val="center"/>
          </w:tcPr>
          <w:p>
            <w:pPr>
              <w:tabs>
                <w:tab w:val="left" w:pos="284"/>
              </w:tabs>
              <w:jc w:val="center"/>
            </w:pPr>
            <w:r>
              <w:t>6</w:t>
            </w:r>
          </w:p>
        </w:tc>
        <w:tc>
          <w:tcPr>
            <w:tcW w:w="846" w:type="dxa"/>
            <w:shd w:val="clear" w:color="auto" w:fill="auto"/>
            <w:vAlign w:val="center"/>
          </w:tcPr>
          <w:p>
            <w:pPr>
              <w:jc w:val="center"/>
            </w:pPr>
            <w:r>
              <w:t>7</w:t>
            </w:r>
          </w:p>
        </w:tc>
        <w:tc>
          <w:tcPr>
            <w:tcW w:w="962" w:type="dxa"/>
            <w:shd w:val="clear" w:color="auto" w:fill="auto"/>
            <w:vAlign w:val="center"/>
          </w:tcPr>
          <w:p>
            <w:pPr>
              <w:jc w:val="center"/>
              <w:rPr>
                <w:b/>
              </w:rPr>
            </w:pPr>
            <w:r>
              <w:rPr>
                <w:b/>
              </w:rPr>
              <w:t>8</w:t>
            </w:r>
          </w:p>
        </w:tc>
      </w:tr>
      <w:tr>
        <w:tc>
          <w:tcPr>
            <w:tcW w:w="9492" w:type="dxa"/>
            <w:gridSpan w:val="8"/>
            <w:shd w:val="clear" w:color="auto" w:fill="auto"/>
          </w:tcPr>
          <w:p>
            <w:pPr>
              <w:tabs>
                <w:tab w:val="left" w:pos="284"/>
              </w:tabs>
              <w:jc w:val="center"/>
              <w:rPr>
                <w:b/>
              </w:rPr>
            </w:pPr>
            <w:r>
              <w:rPr>
                <w:b/>
              </w:rPr>
              <w:t>Доходы</w:t>
            </w:r>
          </w:p>
        </w:tc>
      </w:tr>
      <w:tr>
        <w:tc>
          <w:tcPr>
            <w:tcW w:w="1985" w:type="dxa"/>
            <w:shd w:val="clear" w:color="auto" w:fill="auto"/>
          </w:tcPr>
          <w:p>
            <w:r>
              <w:t>Факт 2020, млн руб.</w:t>
            </w:r>
          </w:p>
        </w:tc>
        <w:tc>
          <w:tcPr>
            <w:tcW w:w="1134" w:type="dxa"/>
            <w:shd w:val="clear" w:color="auto" w:fill="auto"/>
            <w:vAlign w:val="center"/>
          </w:tcPr>
          <w:p>
            <w:pPr>
              <w:jc w:val="right"/>
              <w:rPr>
                <w:color w:val="000000"/>
              </w:rPr>
            </w:pPr>
            <w:r>
              <w:rPr>
                <w:color w:val="000000"/>
              </w:rPr>
              <w:t>88 212,21</w:t>
            </w:r>
          </w:p>
        </w:tc>
        <w:tc>
          <w:tcPr>
            <w:tcW w:w="1276" w:type="dxa"/>
            <w:shd w:val="clear" w:color="auto" w:fill="auto"/>
            <w:vAlign w:val="center"/>
          </w:tcPr>
          <w:p>
            <w:pPr>
              <w:jc w:val="right"/>
              <w:rPr>
                <w:color w:val="000000"/>
              </w:rPr>
            </w:pPr>
            <w:r>
              <w:rPr>
                <w:color w:val="000000"/>
              </w:rPr>
              <w:t>43 413,15</w:t>
            </w:r>
          </w:p>
        </w:tc>
        <w:tc>
          <w:tcPr>
            <w:tcW w:w="1134" w:type="dxa"/>
            <w:shd w:val="clear" w:color="auto" w:fill="auto"/>
            <w:vAlign w:val="center"/>
          </w:tcPr>
          <w:p>
            <w:pPr>
              <w:jc w:val="right"/>
              <w:rPr>
                <w:color w:val="000000"/>
              </w:rPr>
            </w:pPr>
            <w:r>
              <w:rPr>
                <w:color w:val="000000"/>
              </w:rPr>
              <w:t>23 666,84</w:t>
            </w:r>
          </w:p>
        </w:tc>
        <w:tc>
          <w:tcPr>
            <w:tcW w:w="1021" w:type="dxa"/>
            <w:shd w:val="clear" w:color="auto" w:fill="auto"/>
            <w:vAlign w:val="center"/>
          </w:tcPr>
          <w:p>
            <w:pPr>
              <w:jc w:val="right"/>
              <w:rPr>
                <w:color w:val="000000"/>
              </w:rPr>
            </w:pPr>
            <w:r>
              <w:rPr>
                <w:color w:val="000000"/>
              </w:rPr>
              <w:t>16 603,30</w:t>
            </w:r>
          </w:p>
        </w:tc>
        <w:tc>
          <w:tcPr>
            <w:tcW w:w="1134" w:type="dxa"/>
            <w:shd w:val="clear" w:color="auto" w:fill="auto"/>
            <w:vAlign w:val="center"/>
          </w:tcPr>
          <w:p>
            <w:pPr>
              <w:jc w:val="right"/>
              <w:rPr>
                <w:color w:val="000000"/>
              </w:rPr>
            </w:pPr>
            <w:r>
              <w:rPr>
                <w:color w:val="000000"/>
              </w:rPr>
              <w:t>2 144,19</w:t>
            </w:r>
          </w:p>
        </w:tc>
        <w:tc>
          <w:tcPr>
            <w:tcW w:w="846" w:type="dxa"/>
            <w:shd w:val="clear" w:color="auto" w:fill="auto"/>
            <w:vAlign w:val="center"/>
          </w:tcPr>
          <w:p>
            <w:pPr>
              <w:jc w:val="right"/>
              <w:rPr>
                <w:color w:val="000000"/>
              </w:rPr>
            </w:pPr>
            <w:r>
              <w:rPr>
                <w:color w:val="000000"/>
              </w:rPr>
              <w:t>239,70</w:t>
            </w:r>
          </w:p>
        </w:tc>
        <w:tc>
          <w:tcPr>
            <w:tcW w:w="962" w:type="dxa"/>
            <w:shd w:val="clear" w:color="auto" w:fill="auto"/>
            <w:vAlign w:val="center"/>
          </w:tcPr>
          <w:p>
            <w:pPr>
              <w:jc w:val="right"/>
              <w:rPr>
                <w:b/>
                <w:bCs/>
                <w:color w:val="000000"/>
              </w:rPr>
            </w:pPr>
            <w:r>
              <w:rPr>
                <w:b/>
                <w:bCs/>
                <w:color w:val="000000"/>
              </w:rPr>
              <w:t>4 679,65</w:t>
            </w:r>
          </w:p>
        </w:tc>
      </w:tr>
      <w:tr>
        <w:tc>
          <w:tcPr>
            <w:tcW w:w="1985" w:type="dxa"/>
            <w:shd w:val="clear" w:color="auto" w:fill="auto"/>
          </w:tcPr>
          <w:p>
            <w:pPr>
              <w:tabs>
                <w:tab w:val="left" w:pos="284"/>
              </w:tabs>
              <w:jc w:val="center"/>
            </w:pPr>
            <w:r>
              <w:t>1</w:t>
            </w:r>
          </w:p>
        </w:tc>
        <w:tc>
          <w:tcPr>
            <w:tcW w:w="1134" w:type="dxa"/>
            <w:shd w:val="clear" w:color="auto" w:fill="auto"/>
          </w:tcPr>
          <w:p>
            <w:pPr>
              <w:tabs>
                <w:tab w:val="left" w:pos="284"/>
              </w:tabs>
              <w:jc w:val="center"/>
            </w:pPr>
            <w:r>
              <w:t>2</w:t>
            </w:r>
          </w:p>
        </w:tc>
        <w:tc>
          <w:tcPr>
            <w:tcW w:w="1276" w:type="dxa"/>
            <w:shd w:val="clear" w:color="auto" w:fill="auto"/>
          </w:tcPr>
          <w:p>
            <w:pPr>
              <w:tabs>
                <w:tab w:val="left" w:pos="284"/>
              </w:tabs>
              <w:ind w:left="-108" w:firstLine="108"/>
              <w:jc w:val="center"/>
            </w:pPr>
            <w:r>
              <w:t>3</w:t>
            </w:r>
          </w:p>
        </w:tc>
        <w:tc>
          <w:tcPr>
            <w:tcW w:w="1134" w:type="dxa"/>
            <w:shd w:val="clear" w:color="auto" w:fill="auto"/>
          </w:tcPr>
          <w:p>
            <w:pPr>
              <w:tabs>
                <w:tab w:val="left" w:pos="284"/>
              </w:tabs>
              <w:jc w:val="center"/>
            </w:pPr>
            <w:r>
              <w:t>4</w:t>
            </w:r>
          </w:p>
        </w:tc>
        <w:tc>
          <w:tcPr>
            <w:tcW w:w="1021" w:type="dxa"/>
            <w:shd w:val="clear" w:color="auto" w:fill="auto"/>
            <w:vAlign w:val="center"/>
          </w:tcPr>
          <w:p>
            <w:pPr>
              <w:tabs>
                <w:tab w:val="left" w:pos="284"/>
              </w:tabs>
              <w:jc w:val="center"/>
            </w:pPr>
            <w:r>
              <w:t>5</w:t>
            </w:r>
          </w:p>
        </w:tc>
        <w:tc>
          <w:tcPr>
            <w:tcW w:w="1134" w:type="dxa"/>
            <w:shd w:val="clear" w:color="auto" w:fill="auto"/>
            <w:vAlign w:val="center"/>
          </w:tcPr>
          <w:p>
            <w:pPr>
              <w:tabs>
                <w:tab w:val="left" w:pos="284"/>
              </w:tabs>
              <w:jc w:val="center"/>
            </w:pPr>
            <w:r>
              <w:t>6</w:t>
            </w:r>
          </w:p>
        </w:tc>
        <w:tc>
          <w:tcPr>
            <w:tcW w:w="846" w:type="dxa"/>
            <w:shd w:val="clear" w:color="auto" w:fill="auto"/>
            <w:vAlign w:val="center"/>
          </w:tcPr>
          <w:p>
            <w:pPr>
              <w:jc w:val="center"/>
            </w:pPr>
            <w:r>
              <w:t>7</w:t>
            </w:r>
          </w:p>
        </w:tc>
        <w:tc>
          <w:tcPr>
            <w:tcW w:w="962" w:type="dxa"/>
            <w:shd w:val="clear" w:color="auto" w:fill="auto"/>
            <w:vAlign w:val="center"/>
          </w:tcPr>
          <w:p>
            <w:pPr>
              <w:jc w:val="center"/>
              <w:rPr>
                <w:b/>
              </w:rPr>
            </w:pPr>
            <w:r>
              <w:rPr>
                <w:b/>
              </w:rPr>
              <w:t>8</w:t>
            </w:r>
          </w:p>
        </w:tc>
      </w:tr>
      <w:tr>
        <w:tc>
          <w:tcPr>
            <w:tcW w:w="1985" w:type="dxa"/>
            <w:shd w:val="clear" w:color="auto" w:fill="auto"/>
          </w:tcPr>
          <w:p>
            <w:pPr>
              <w:tabs>
                <w:tab w:val="left" w:pos="284"/>
              </w:tabs>
              <w:jc w:val="both"/>
            </w:pPr>
            <w:r>
              <w:t>Темп роста 2020 к 2019,%</w:t>
            </w:r>
          </w:p>
        </w:tc>
        <w:tc>
          <w:tcPr>
            <w:tcW w:w="1134" w:type="dxa"/>
            <w:shd w:val="clear" w:color="auto" w:fill="auto"/>
            <w:vAlign w:val="center"/>
          </w:tcPr>
          <w:p>
            <w:pPr>
              <w:jc w:val="right"/>
              <w:rPr>
                <w:color w:val="000000"/>
              </w:rPr>
            </w:pPr>
            <w:r>
              <w:rPr>
                <w:color w:val="000000"/>
              </w:rPr>
              <w:t>110,4</w:t>
            </w:r>
          </w:p>
        </w:tc>
        <w:tc>
          <w:tcPr>
            <w:tcW w:w="1276" w:type="dxa"/>
            <w:shd w:val="clear" w:color="auto" w:fill="auto"/>
            <w:vAlign w:val="center"/>
          </w:tcPr>
          <w:p>
            <w:pPr>
              <w:jc w:val="right"/>
              <w:rPr>
                <w:color w:val="000000"/>
              </w:rPr>
            </w:pPr>
            <w:r>
              <w:rPr>
                <w:color w:val="000000"/>
              </w:rPr>
              <w:t>100,5</w:t>
            </w:r>
          </w:p>
        </w:tc>
        <w:tc>
          <w:tcPr>
            <w:tcW w:w="1134" w:type="dxa"/>
            <w:shd w:val="clear" w:color="auto" w:fill="auto"/>
            <w:vAlign w:val="center"/>
          </w:tcPr>
          <w:p>
            <w:pPr>
              <w:jc w:val="right"/>
              <w:rPr>
                <w:color w:val="000000"/>
              </w:rPr>
            </w:pPr>
            <w:r>
              <w:rPr>
                <w:color w:val="000000"/>
              </w:rPr>
              <w:t>93,5</w:t>
            </w:r>
          </w:p>
        </w:tc>
        <w:tc>
          <w:tcPr>
            <w:tcW w:w="1021" w:type="dxa"/>
            <w:shd w:val="clear" w:color="auto" w:fill="auto"/>
            <w:vAlign w:val="center"/>
          </w:tcPr>
          <w:p>
            <w:pPr>
              <w:jc w:val="right"/>
              <w:rPr>
                <w:color w:val="000000"/>
              </w:rPr>
            </w:pPr>
            <w:r>
              <w:rPr>
                <w:color w:val="000000"/>
              </w:rPr>
              <w:t>90,2</w:t>
            </w:r>
          </w:p>
        </w:tc>
        <w:tc>
          <w:tcPr>
            <w:tcW w:w="1134" w:type="dxa"/>
            <w:shd w:val="clear" w:color="auto" w:fill="auto"/>
            <w:vAlign w:val="center"/>
          </w:tcPr>
          <w:p>
            <w:pPr>
              <w:jc w:val="right"/>
              <w:rPr>
                <w:color w:val="000000"/>
              </w:rPr>
            </w:pPr>
            <w:r>
              <w:rPr>
                <w:color w:val="000000"/>
              </w:rPr>
              <w:t>100,3</w:t>
            </w:r>
          </w:p>
        </w:tc>
        <w:tc>
          <w:tcPr>
            <w:tcW w:w="846" w:type="dxa"/>
            <w:shd w:val="clear" w:color="auto" w:fill="auto"/>
            <w:vAlign w:val="center"/>
          </w:tcPr>
          <w:p>
            <w:pPr>
              <w:jc w:val="right"/>
              <w:rPr>
                <w:color w:val="000000"/>
              </w:rPr>
            </w:pPr>
            <w:r>
              <w:rPr>
                <w:color w:val="000000"/>
              </w:rPr>
              <w:t>111,0</w:t>
            </w:r>
          </w:p>
        </w:tc>
        <w:tc>
          <w:tcPr>
            <w:tcW w:w="962" w:type="dxa"/>
            <w:shd w:val="clear" w:color="auto" w:fill="auto"/>
            <w:vAlign w:val="center"/>
          </w:tcPr>
          <w:p>
            <w:pPr>
              <w:jc w:val="right"/>
              <w:rPr>
                <w:b/>
                <w:bCs/>
                <w:color w:val="000000"/>
              </w:rPr>
            </w:pPr>
            <w:r>
              <w:rPr>
                <w:b/>
                <w:bCs/>
                <w:color w:val="000000"/>
              </w:rPr>
              <w:t>103,2</w:t>
            </w:r>
          </w:p>
        </w:tc>
      </w:tr>
      <w:tr>
        <w:tc>
          <w:tcPr>
            <w:tcW w:w="1985" w:type="dxa"/>
            <w:shd w:val="clear" w:color="auto" w:fill="auto"/>
            <w:vAlign w:val="center"/>
          </w:tcPr>
          <w:p>
            <w:pPr>
              <w:rPr>
                <w:color w:val="000000"/>
              </w:rPr>
            </w:pPr>
            <w:r>
              <w:rPr>
                <w:color w:val="000000"/>
              </w:rPr>
              <w:lastRenderedPageBreak/>
              <w:t>Факт 2021, млн руб.</w:t>
            </w:r>
          </w:p>
        </w:tc>
        <w:tc>
          <w:tcPr>
            <w:tcW w:w="1134" w:type="dxa"/>
            <w:shd w:val="clear" w:color="auto" w:fill="auto"/>
            <w:vAlign w:val="center"/>
          </w:tcPr>
          <w:p>
            <w:pPr>
              <w:jc w:val="right"/>
              <w:rPr>
                <w:color w:val="000000"/>
              </w:rPr>
            </w:pPr>
            <w:r>
              <w:rPr>
                <w:color w:val="000000"/>
              </w:rPr>
              <w:t>99 721,78</w:t>
            </w:r>
          </w:p>
        </w:tc>
        <w:tc>
          <w:tcPr>
            <w:tcW w:w="1276" w:type="dxa"/>
            <w:shd w:val="clear" w:color="auto" w:fill="auto"/>
            <w:vAlign w:val="center"/>
          </w:tcPr>
          <w:p>
            <w:pPr>
              <w:jc w:val="right"/>
              <w:rPr>
                <w:color w:val="000000"/>
              </w:rPr>
            </w:pPr>
            <w:r>
              <w:rPr>
                <w:color w:val="000000"/>
              </w:rPr>
              <w:t>45 897,78</w:t>
            </w:r>
          </w:p>
        </w:tc>
        <w:tc>
          <w:tcPr>
            <w:tcW w:w="1134" w:type="dxa"/>
            <w:shd w:val="clear" w:color="auto" w:fill="auto"/>
            <w:vAlign w:val="center"/>
          </w:tcPr>
          <w:p>
            <w:pPr>
              <w:jc w:val="right"/>
              <w:rPr>
                <w:color w:val="000000"/>
              </w:rPr>
            </w:pPr>
            <w:r>
              <w:rPr>
                <w:color w:val="000000"/>
              </w:rPr>
              <w:t>27 216,09</w:t>
            </w:r>
          </w:p>
        </w:tc>
        <w:tc>
          <w:tcPr>
            <w:tcW w:w="1021" w:type="dxa"/>
            <w:shd w:val="clear" w:color="auto" w:fill="auto"/>
            <w:vAlign w:val="center"/>
          </w:tcPr>
          <w:p>
            <w:pPr>
              <w:jc w:val="right"/>
              <w:rPr>
                <w:color w:val="000000"/>
              </w:rPr>
            </w:pPr>
            <w:r>
              <w:rPr>
                <w:color w:val="000000"/>
              </w:rPr>
              <w:t>19 761,34</w:t>
            </w:r>
          </w:p>
        </w:tc>
        <w:tc>
          <w:tcPr>
            <w:tcW w:w="1134" w:type="dxa"/>
            <w:shd w:val="clear" w:color="auto" w:fill="auto"/>
            <w:vAlign w:val="center"/>
          </w:tcPr>
          <w:p>
            <w:pPr>
              <w:jc w:val="right"/>
              <w:rPr>
                <w:color w:val="000000"/>
              </w:rPr>
            </w:pPr>
            <w:r>
              <w:rPr>
                <w:color w:val="000000"/>
              </w:rPr>
              <w:t>2 263,85</w:t>
            </w:r>
          </w:p>
        </w:tc>
        <w:tc>
          <w:tcPr>
            <w:tcW w:w="846" w:type="dxa"/>
            <w:shd w:val="clear" w:color="auto" w:fill="auto"/>
            <w:vAlign w:val="center"/>
          </w:tcPr>
          <w:p>
            <w:pPr>
              <w:jc w:val="right"/>
              <w:rPr>
                <w:color w:val="000000"/>
              </w:rPr>
            </w:pPr>
            <w:r>
              <w:rPr>
                <w:color w:val="000000"/>
              </w:rPr>
              <w:t>220,89</w:t>
            </w:r>
          </w:p>
        </w:tc>
        <w:tc>
          <w:tcPr>
            <w:tcW w:w="962" w:type="dxa"/>
            <w:shd w:val="clear" w:color="auto" w:fill="auto"/>
            <w:vAlign w:val="center"/>
          </w:tcPr>
          <w:p>
            <w:pPr>
              <w:jc w:val="right"/>
              <w:rPr>
                <w:b/>
                <w:bCs/>
                <w:color w:val="000000"/>
              </w:rPr>
            </w:pPr>
            <w:r>
              <w:rPr>
                <w:b/>
                <w:bCs/>
                <w:color w:val="000000"/>
              </w:rPr>
              <w:t>4 970,01</w:t>
            </w:r>
          </w:p>
        </w:tc>
      </w:tr>
      <w:tr>
        <w:tc>
          <w:tcPr>
            <w:tcW w:w="1985" w:type="dxa"/>
            <w:shd w:val="clear" w:color="auto" w:fill="auto"/>
            <w:vAlign w:val="center"/>
          </w:tcPr>
          <w:p>
            <w:pPr>
              <w:jc w:val="both"/>
              <w:rPr>
                <w:color w:val="000000"/>
              </w:rPr>
            </w:pPr>
            <w:r>
              <w:rPr>
                <w:color w:val="000000"/>
              </w:rPr>
              <w:t>Темп роста 2021 к 2020,%</w:t>
            </w:r>
          </w:p>
        </w:tc>
        <w:tc>
          <w:tcPr>
            <w:tcW w:w="1134" w:type="dxa"/>
            <w:shd w:val="clear" w:color="auto" w:fill="auto"/>
            <w:vAlign w:val="center"/>
          </w:tcPr>
          <w:p>
            <w:pPr>
              <w:jc w:val="right"/>
              <w:rPr>
                <w:color w:val="000000"/>
              </w:rPr>
            </w:pPr>
            <w:r>
              <w:rPr>
                <w:color w:val="000000"/>
              </w:rPr>
              <w:t>113,0</w:t>
            </w:r>
          </w:p>
        </w:tc>
        <w:tc>
          <w:tcPr>
            <w:tcW w:w="1276" w:type="dxa"/>
            <w:shd w:val="clear" w:color="auto" w:fill="auto"/>
            <w:vAlign w:val="center"/>
          </w:tcPr>
          <w:p>
            <w:pPr>
              <w:jc w:val="right"/>
              <w:rPr>
                <w:color w:val="000000"/>
              </w:rPr>
            </w:pPr>
            <w:r>
              <w:rPr>
                <w:color w:val="000000"/>
              </w:rPr>
              <w:t>105,7</w:t>
            </w:r>
          </w:p>
        </w:tc>
        <w:tc>
          <w:tcPr>
            <w:tcW w:w="1134" w:type="dxa"/>
            <w:shd w:val="clear" w:color="auto" w:fill="auto"/>
            <w:vAlign w:val="center"/>
          </w:tcPr>
          <w:p>
            <w:pPr>
              <w:jc w:val="right"/>
              <w:rPr>
                <w:color w:val="000000"/>
              </w:rPr>
            </w:pPr>
            <w:r>
              <w:rPr>
                <w:color w:val="000000"/>
              </w:rPr>
              <w:t>115,0</w:t>
            </w:r>
          </w:p>
        </w:tc>
        <w:tc>
          <w:tcPr>
            <w:tcW w:w="1021" w:type="dxa"/>
            <w:shd w:val="clear" w:color="auto" w:fill="auto"/>
            <w:vAlign w:val="center"/>
          </w:tcPr>
          <w:p>
            <w:pPr>
              <w:jc w:val="right"/>
              <w:rPr>
                <w:color w:val="000000"/>
              </w:rPr>
            </w:pPr>
            <w:r>
              <w:rPr>
                <w:color w:val="000000"/>
              </w:rPr>
              <w:t>119,0</w:t>
            </w:r>
          </w:p>
        </w:tc>
        <w:tc>
          <w:tcPr>
            <w:tcW w:w="1134" w:type="dxa"/>
            <w:shd w:val="clear" w:color="auto" w:fill="auto"/>
            <w:vAlign w:val="center"/>
          </w:tcPr>
          <w:p>
            <w:pPr>
              <w:jc w:val="right"/>
              <w:rPr>
                <w:color w:val="000000"/>
              </w:rPr>
            </w:pPr>
            <w:r>
              <w:rPr>
                <w:color w:val="000000"/>
              </w:rPr>
              <w:t>105,6</w:t>
            </w:r>
          </w:p>
        </w:tc>
        <w:tc>
          <w:tcPr>
            <w:tcW w:w="846" w:type="dxa"/>
            <w:shd w:val="clear" w:color="auto" w:fill="auto"/>
            <w:vAlign w:val="center"/>
          </w:tcPr>
          <w:p>
            <w:pPr>
              <w:jc w:val="right"/>
              <w:rPr>
                <w:color w:val="000000"/>
              </w:rPr>
            </w:pPr>
            <w:r>
              <w:rPr>
                <w:color w:val="000000"/>
              </w:rPr>
              <w:t>92,2</w:t>
            </w:r>
          </w:p>
        </w:tc>
        <w:tc>
          <w:tcPr>
            <w:tcW w:w="962" w:type="dxa"/>
            <w:shd w:val="clear" w:color="auto" w:fill="auto"/>
            <w:vAlign w:val="center"/>
          </w:tcPr>
          <w:p>
            <w:pPr>
              <w:jc w:val="right"/>
              <w:rPr>
                <w:b/>
                <w:bCs/>
                <w:color w:val="000000"/>
              </w:rPr>
            </w:pPr>
            <w:r>
              <w:rPr>
                <w:b/>
                <w:bCs/>
                <w:color w:val="000000"/>
              </w:rPr>
              <w:t>106,2</w:t>
            </w:r>
          </w:p>
        </w:tc>
      </w:tr>
      <w:tr>
        <w:tc>
          <w:tcPr>
            <w:tcW w:w="9492" w:type="dxa"/>
            <w:gridSpan w:val="8"/>
            <w:shd w:val="clear" w:color="auto" w:fill="auto"/>
          </w:tcPr>
          <w:p>
            <w:pPr>
              <w:tabs>
                <w:tab w:val="left" w:pos="284"/>
              </w:tabs>
              <w:ind w:left="-108"/>
              <w:jc w:val="center"/>
              <w:rPr>
                <w:b/>
              </w:rPr>
            </w:pPr>
            <w:r>
              <w:rPr>
                <w:b/>
              </w:rPr>
              <w:t>Расходы</w:t>
            </w:r>
          </w:p>
        </w:tc>
      </w:tr>
      <w:tr>
        <w:tc>
          <w:tcPr>
            <w:tcW w:w="1985" w:type="dxa"/>
            <w:shd w:val="clear" w:color="auto" w:fill="auto"/>
          </w:tcPr>
          <w:p>
            <w:r>
              <w:t>Факт 2020, млн руб.</w:t>
            </w:r>
          </w:p>
        </w:tc>
        <w:tc>
          <w:tcPr>
            <w:tcW w:w="1134" w:type="dxa"/>
            <w:shd w:val="clear" w:color="auto" w:fill="auto"/>
            <w:vAlign w:val="center"/>
          </w:tcPr>
          <w:p>
            <w:pPr>
              <w:jc w:val="right"/>
              <w:rPr>
                <w:color w:val="000000"/>
              </w:rPr>
            </w:pPr>
            <w:r>
              <w:rPr>
                <w:color w:val="000000"/>
              </w:rPr>
              <w:t>98 472,61</w:t>
            </w:r>
          </w:p>
        </w:tc>
        <w:tc>
          <w:tcPr>
            <w:tcW w:w="1276" w:type="dxa"/>
            <w:shd w:val="clear" w:color="auto" w:fill="auto"/>
            <w:vAlign w:val="center"/>
          </w:tcPr>
          <w:p>
            <w:pPr>
              <w:jc w:val="right"/>
              <w:rPr>
                <w:color w:val="000000"/>
              </w:rPr>
            </w:pPr>
            <w:r>
              <w:rPr>
                <w:color w:val="000000"/>
              </w:rPr>
              <w:t>43 654,20</w:t>
            </w:r>
          </w:p>
        </w:tc>
        <w:tc>
          <w:tcPr>
            <w:tcW w:w="1134" w:type="dxa"/>
            <w:shd w:val="clear" w:color="auto" w:fill="auto"/>
            <w:vAlign w:val="center"/>
          </w:tcPr>
          <w:p>
            <w:pPr>
              <w:jc w:val="right"/>
              <w:rPr>
                <w:color w:val="000000"/>
              </w:rPr>
            </w:pPr>
            <w:r>
              <w:rPr>
                <w:color w:val="000000"/>
              </w:rPr>
              <w:t>24 152,80</w:t>
            </w:r>
          </w:p>
        </w:tc>
        <w:tc>
          <w:tcPr>
            <w:tcW w:w="1021" w:type="dxa"/>
            <w:shd w:val="clear" w:color="auto" w:fill="auto"/>
            <w:vAlign w:val="center"/>
          </w:tcPr>
          <w:p>
            <w:pPr>
              <w:jc w:val="right"/>
              <w:rPr>
                <w:color w:val="000000"/>
              </w:rPr>
            </w:pPr>
            <w:r>
              <w:rPr>
                <w:color w:val="000000"/>
              </w:rPr>
              <w:t>17 044,36</w:t>
            </w:r>
          </w:p>
        </w:tc>
        <w:tc>
          <w:tcPr>
            <w:tcW w:w="1134" w:type="dxa"/>
            <w:shd w:val="clear" w:color="auto" w:fill="auto"/>
            <w:vAlign w:val="center"/>
          </w:tcPr>
          <w:p>
            <w:pPr>
              <w:jc w:val="right"/>
              <w:rPr>
                <w:color w:val="000000"/>
              </w:rPr>
            </w:pPr>
            <w:r>
              <w:rPr>
                <w:color w:val="000000"/>
              </w:rPr>
              <w:t>2 139,77</w:t>
            </w:r>
          </w:p>
        </w:tc>
        <w:tc>
          <w:tcPr>
            <w:tcW w:w="846" w:type="dxa"/>
            <w:shd w:val="clear" w:color="auto" w:fill="auto"/>
            <w:vAlign w:val="center"/>
          </w:tcPr>
          <w:p>
            <w:pPr>
              <w:jc w:val="right"/>
              <w:rPr>
                <w:color w:val="000000"/>
              </w:rPr>
            </w:pPr>
            <w:r>
              <w:rPr>
                <w:color w:val="000000"/>
              </w:rPr>
              <w:t>245,00</w:t>
            </w:r>
          </w:p>
        </w:tc>
        <w:tc>
          <w:tcPr>
            <w:tcW w:w="962" w:type="dxa"/>
            <w:shd w:val="clear" w:color="auto" w:fill="auto"/>
            <w:vAlign w:val="center"/>
          </w:tcPr>
          <w:p>
            <w:pPr>
              <w:jc w:val="right"/>
              <w:rPr>
                <w:b/>
                <w:bCs/>
                <w:color w:val="000000"/>
              </w:rPr>
            </w:pPr>
            <w:r>
              <w:rPr>
                <w:b/>
                <w:bCs/>
                <w:color w:val="000000"/>
              </w:rPr>
              <w:t>4 723,67</w:t>
            </w:r>
          </w:p>
        </w:tc>
      </w:tr>
      <w:tr>
        <w:tc>
          <w:tcPr>
            <w:tcW w:w="1985" w:type="dxa"/>
            <w:shd w:val="clear" w:color="auto" w:fill="auto"/>
          </w:tcPr>
          <w:p>
            <w:pPr>
              <w:tabs>
                <w:tab w:val="left" w:pos="284"/>
              </w:tabs>
              <w:jc w:val="both"/>
            </w:pPr>
            <w:r>
              <w:t>Темп роста 2020 к 2019,%</w:t>
            </w:r>
          </w:p>
        </w:tc>
        <w:tc>
          <w:tcPr>
            <w:tcW w:w="1134" w:type="dxa"/>
            <w:shd w:val="clear" w:color="auto" w:fill="auto"/>
            <w:vAlign w:val="center"/>
          </w:tcPr>
          <w:p>
            <w:pPr>
              <w:jc w:val="right"/>
              <w:rPr>
                <w:color w:val="000000"/>
              </w:rPr>
            </w:pPr>
            <w:r>
              <w:rPr>
                <w:color w:val="000000"/>
              </w:rPr>
              <w:t>118,1</w:t>
            </w:r>
          </w:p>
        </w:tc>
        <w:tc>
          <w:tcPr>
            <w:tcW w:w="1276" w:type="dxa"/>
            <w:shd w:val="clear" w:color="auto" w:fill="auto"/>
            <w:vAlign w:val="center"/>
          </w:tcPr>
          <w:p>
            <w:pPr>
              <w:jc w:val="right"/>
              <w:rPr>
                <w:color w:val="000000"/>
              </w:rPr>
            </w:pPr>
            <w:r>
              <w:rPr>
                <w:color w:val="000000"/>
              </w:rPr>
              <w:t>100,9</w:t>
            </w:r>
          </w:p>
        </w:tc>
        <w:tc>
          <w:tcPr>
            <w:tcW w:w="1134" w:type="dxa"/>
            <w:shd w:val="clear" w:color="auto" w:fill="auto"/>
            <w:vAlign w:val="center"/>
          </w:tcPr>
          <w:p>
            <w:pPr>
              <w:jc w:val="right"/>
              <w:rPr>
                <w:color w:val="000000"/>
              </w:rPr>
            </w:pPr>
            <w:r>
              <w:rPr>
                <w:color w:val="000000"/>
              </w:rPr>
              <w:t>94,7</w:t>
            </w:r>
          </w:p>
        </w:tc>
        <w:tc>
          <w:tcPr>
            <w:tcW w:w="1021" w:type="dxa"/>
            <w:shd w:val="clear" w:color="auto" w:fill="auto"/>
            <w:vAlign w:val="center"/>
          </w:tcPr>
          <w:p>
            <w:pPr>
              <w:jc w:val="right"/>
              <w:rPr>
                <w:color w:val="000000"/>
              </w:rPr>
            </w:pPr>
            <w:r>
              <w:rPr>
                <w:color w:val="000000"/>
              </w:rPr>
              <w:t>91,6</w:t>
            </w:r>
          </w:p>
        </w:tc>
        <w:tc>
          <w:tcPr>
            <w:tcW w:w="1134" w:type="dxa"/>
            <w:shd w:val="clear" w:color="auto" w:fill="auto"/>
            <w:vAlign w:val="center"/>
          </w:tcPr>
          <w:p>
            <w:pPr>
              <w:jc w:val="right"/>
              <w:rPr>
                <w:color w:val="000000"/>
              </w:rPr>
            </w:pPr>
            <w:r>
              <w:rPr>
                <w:color w:val="000000"/>
              </w:rPr>
              <w:t>102,5</w:t>
            </w:r>
          </w:p>
        </w:tc>
        <w:tc>
          <w:tcPr>
            <w:tcW w:w="846" w:type="dxa"/>
            <w:shd w:val="clear" w:color="auto" w:fill="auto"/>
            <w:vAlign w:val="center"/>
          </w:tcPr>
          <w:p>
            <w:pPr>
              <w:jc w:val="right"/>
              <w:rPr>
                <w:color w:val="000000"/>
              </w:rPr>
            </w:pPr>
            <w:r>
              <w:rPr>
                <w:color w:val="000000"/>
              </w:rPr>
              <w:t>122,1</w:t>
            </w:r>
          </w:p>
        </w:tc>
        <w:tc>
          <w:tcPr>
            <w:tcW w:w="962" w:type="dxa"/>
            <w:shd w:val="clear" w:color="auto" w:fill="auto"/>
            <w:vAlign w:val="center"/>
          </w:tcPr>
          <w:p>
            <w:pPr>
              <w:jc w:val="right"/>
              <w:rPr>
                <w:b/>
                <w:bCs/>
                <w:color w:val="000000"/>
              </w:rPr>
            </w:pPr>
            <w:r>
              <w:rPr>
                <w:b/>
                <w:bCs/>
                <w:color w:val="000000"/>
              </w:rPr>
              <w:t>102,6</w:t>
            </w:r>
          </w:p>
        </w:tc>
      </w:tr>
      <w:tr>
        <w:tc>
          <w:tcPr>
            <w:tcW w:w="1985" w:type="dxa"/>
            <w:shd w:val="clear" w:color="auto" w:fill="auto"/>
            <w:vAlign w:val="center"/>
          </w:tcPr>
          <w:p>
            <w:pPr>
              <w:rPr>
                <w:color w:val="000000"/>
              </w:rPr>
            </w:pPr>
            <w:r>
              <w:rPr>
                <w:color w:val="000000"/>
              </w:rPr>
              <w:t>Факт 2021, млн руб.</w:t>
            </w:r>
          </w:p>
        </w:tc>
        <w:tc>
          <w:tcPr>
            <w:tcW w:w="1134" w:type="dxa"/>
            <w:shd w:val="clear" w:color="auto" w:fill="auto"/>
            <w:vAlign w:val="center"/>
          </w:tcPr>
          <w:p>
            <w:pPr>
              <w:jc w:val="right"/>
              <w:rPr>
                <w:color w:val="000000"/>
              </w:rPr>
            </w:pPr>
            <w:r>
              <w:rPr>
                <w:color w:val="000000"/>
              </w:rPr>
              <w:t>104 259,54</w:t>
            </w:r>
          </w:p>
        </w:tc>
        <w:tc>
          <w:tcPr>
            <w:tcW w:w="1276" w:type="dxa"/>
            <w:shd w:val="clear" w:color="auto" w:fill="auto"/>
            <w:vAlign w:val="center"/>
          </w:tcPr>
          <w:p>
            <w:pPr>
              <w:jc w:val="right"/>
              <w:rPr>
                <w:color w:val="000000"/>
              </w:rPr>
            </w:pPr>
            <w:r>
              <w:rPr>
                <w:color w:val="000000"/>
              </w:rPr>
              <w:t>46 033,30</w:t>
            </w:r>
          </w:p>
        </w:tc>
        <w:tc>
          <w:tcPr>
            <w:tcW w:w="1134" w:type="dxa"/>
            <w:shd w:val="clear" w:color="auto" w:fill="auto"/>
            <w:vAlign w:val="center"/>
          </w:tcPr>
          <w:p>
            <w:pPr>
              <w:jc w:val="right"/>
              <w:rPr>
                <w:color w:val="000000"/>
              </w:rPr>
            </w:pPr>
            <w:r>
              <w:rPr>
                <w:color w:val="000000"/>
              </w:rPr>
              <w:t>27 089,23</w:t>
            </w:r>
          </w:p>
        </w:tc>
        <w:tc>
          <w:tcPr>
            <w:tcW w:w="1021" w:type="dxa"/>
            <w:shd w:val="clear" w:color="auto" w:fill="auto"/>
            <w:vAlign w:val="center"/>
          </w:tcPr>
          <w:p>
            <w:pPr>
              <w:jc w:val="right"/>
              <w:rPr>
                <w:color w:val="000000"/>
              </w:rPr>
            </w:pPr>
            <w:r>
              <w:rPr>
                <w:color w:val="000000"/>
              </w:rPr>
              <w:t>19 525,91</w:t>
            </w:r>
          </w:p>
        </w:tc>
        <w:tc>
          <w:tcPr>
            <w:tcW w:w="1134" w:type="dxa"/>
            <w:shd w:val="clear" w:color="auto" w:fill="auto"/>
            <w:vAlign w:val="center"/>
          </w:tcPr>
          <w:p>
            <w:pPr>
              <w:jc w:val="right"/>
              <w:rPr>
                <w:color w:val="000000"/>
              </w:rPr>
            </w:pPr>
            <w:r>
              <w:rPr>
                <w:color w:val="000000"/>
              </w:rPr>
              <w:t>2 317,99</w:t>
            </w:r>
          </w:p>
        </w:tc>
        <w:tc>
          <w:tcPr>
            <w:tcW w:w="846" w:type="dxa"/>
            <w:shd w:val="clear" w:color="auto" w:fill="auto"/>
            <w:vAlign w:val="center"/>
          </w:tcPr>
          <w:p>
            <w:pPr>
              <w:jc w:val="right"/>
              <w:rPr>
                <w:color w:val="000000"/>
              </w:rPr>
            </w:pPr>
            <w:r>
              <w:rPr>
                <w:color w:val="000000"/>
              </w:rPr>
              <w:t>219,73</w:t>
            </w:r>
          </w:p>
        </w:tc>
        <w:tc>
          <w:tcPr>
            <w:tcW w:w="962" w:type="dxa"/>
            <w:shd w:val="clear" w:color="auto" w:fill="auto"/>
            <w:vAlign w:val="center"/>
          </w:tcPr>
          <w:p>
            <w:pPr>
              <w:jc w:val="right"/>
              <w:rPr>
                <w:b/>
                <w:bCs/>
                <w:color w:val="000000"/>
              </w:rPr>
            </w:pPr>
            <w:r>
              <w:rPr>
                <w:b/>
                <w:bCs/>
                <w:color w:val="000000"/>
              </w:rPr>
              <w:t>5 025,60</w:t>
            </w:r>
          </w:p>
        </w:tc>
      </w:tr>
      <w:tr>
        <w:tc>
          <w:tcPr>
            <w:tcW w:w="1985" w:type="dxa"/>
            <w:shd w:val="clear" w:color="auto" w:fill="auto"/>
            <w:vAlign w:val="center"/>
          </w:tcPr>
          <w:p>
            <w:pPr>
              <w:jc w:val="both"/>
              <w:rPr>
                <w:color w:val="000000"/>
              </w:rPr>
            </w:pPr>
            <w:r>
              <w:rPr>
                <w:color w:val="000000"/>
              </w:rPr>
              <w:t>Темп роста 2021 к 2020,%</w:t>
            </w:r>
          </w:p>
        </w:tc>
        <w:tc>
          <w:tcPr>
            <w:tcW w:w="1134" w:type="dxa"/>
            <w:shd w:val="clear" w:color="auto" w:fill="auto"/>
            <w:vAlign w:val="center"/>
          </w:tcPr>
          <w:p>
            <w:pPr>
              <w:jc w:val="right"/>
              <w:rPr>
                <w:color w:val="000000"/>
              </w:rPr>
            </w:pPr>
            <w:r>
              <w:rPr>
                <w:color w:val="000000"/>
              </w:rPr>
              <w:t>105,9</w:t>
            </w:r>
          </w:p>
        </w:tc>
        <w:tc>
          <w:tcPr>
            <w:tcW w:w="1276" w:type="dxa"/>
            <w:shd w:val="clear" w:color="auto" w:fill="auto"/>
            <w:vAlign w:val="center"/>
          </w:tcPr>
          <w:p>
            <w:pPr>
              <w:jc w:val="right"/>
              <w:rPr>
                <w:color w:val="000000"/>
              </w:rPr>
            </w:pPr>
            <w:r>
              <w:rPr>
                <w:color w:val="000000"/>
              </w:rPr>
              <w:t>105,4</w:t>
            </w:r>
          </w:p>
        </w:tc>
        <w:tc>
          <w:tcPr>
            <w:tcW w:w="1134" w:type="dxa"/>
            <w:shd w:val="clear" w:color="auto" w:fill="auto"/>
            <w:vAlign w:val="center"/>
          </w:tcPr>
          <w:p>
            <w:pPr>
              <w:jc w:val="right"/>
              <w:rPr>
                <w:color w:val="000000"/>
              </w:rPr>
            </w:pPr>
            <w:r>
              <w:rPr>
                <w:color w:val="000000"/>
              </w:rPr>
              <w:t>112,2</w:t>
            </w:r>
          </w:p>
        </w:tc>
        <w:tc>
          <w:tcPr>
            <w:tcW w:w="1021" w:type="dxa"/>
            <w:shd w:val="clear" w:color="auto" w:fill="auto"/>
            <w:vAlign w:val="center"/>
          </w:tcPr>
          <w:p>
            <w:pPr>
              <w:jc w:val="right"/>
              <w:rPr>
                <w:color w:val="000000"/>
              </w:rPr>
            </w:pPr>
            <w:r>
              <w:rPr>
                <w:color w:val="000000"/>
              </w:rPr>
              <w:t>114,6</w:t>
            </w:r>
          </w:p>
        </w:tc>
        <w:tc>
          <w:tcPr>
            <w:tcW w:w="1134" w:type="dxa"/>
            <w:shd w:val="clear" w:color="auto" w:fill="auto"/>
            <w:vAlign w:val="center"/>
          </w:tcPr>
          <w:p>
            <w:pPr>
              <w:jc w:val="right"/>
              <w:rPr>
                <w:color w:val="000000"/>
              </w:rPr>
            </w:pPr>
            <w:r>
              <w:rPr>
                <w:color w:val="000000"/>
              </w:rPr>
              <w:t>108,3</w:t>
            </w:r>
          </w:p>
        </w:tc>
        <w:tc>
          <w:tcPr>
            <w:tcW w:w="846" w:type="dxa"/>
            <w:shd w:val="clear" w:color="auto" w:fill="auto"/>
            <w:vAlign w:val="center"/>
          </w:tcPr>
          <w:p>
            <w:pPr>
              <w:jc w:val="right"/>
              <w:rPr>
                <w:color w:val="000000"/>
              </w:rPr>
            </w:pPr>
            <w:r>
              <w:rPr>
                <w:color w:val="000000"/>
              </w:rPr>
              <w:t>89,7</w:t>
            </w:r>
          </w:p>
        </w:tc>
        <w:tc>
          <w:tcPr>
            <w:tcW w:w="962" w:type="dxa"/>
            <w:shd w:val="clear" w:color="auto" w:fill="auto"/>
            <w:vAlign w:val="center"/>
          </w:tcPr>
          <w:p>
            <w:pPr>
              <w:jc w:val="right"/>
              <w:rPr>
                <w:b/>
                <w:bCs/>
                <w:color w:val="000000"/>
              </w:rPr>
            </w:pPr>
            <w:r>
              <w:rPr>
                <w:b/>
                <w:bCs/>
                <w:color w:val="000000"/>
              </w:rPr>
              <w:t>106,4</w:t>
            </w:r>
          </w:p>
        </w:tc>
      </w:tr>
    </w:tbl>
    <w:p>
      <w:pPr>
        <w:tabs>
          <w:tab w:val="left" w:pos="284"/>
        </w:tabs>
        <w:jc w:val="both"/>
        <w:rPr>
          <w:sz w:val="24"/>
          <w:szCs w:val="24"/>
          <w:highlight w:val="yellow"/>
        </w:rPr>
      </w:pPr>
    </w:p>
    <w:p>
      <w:pPr>
        <w:ind w:firstLine="709"/>
        <w:jc w:val="both"/>
        <w:rPr>
          <w:spacing w:val="-4"/>
          <w:sz w:val="24"/>
          <w:szCs w:val="24"/>
        </w:rPr>
      </w:pPr>
      <w:r>
        <w:rPr>
          <w:spacing w:val="-4"/>
          <w:sz w:val="24"/>
          <w:szCs w:val="24"/>
        </w:rPr>
        <w:t xml:space="preserve">В сравнении с 2020 годом в отчетном периоде доходная и расходная части бюджета ЗАТО Северск исполнены с ростом на 6,2% и на 6,4% соответственно. </w:t>
      </w:r>
    </w:p>
    <w:p>
      <w:pPr>
        <w:ind w:firstLine="709"/>
        <w:jc w:val="both"/>
        <w:rPr>
          <w:spacing w:val="-4"/>
          <w:sz w:val="24"/>
          <w:szCs w:val="24"/>
        </w:rPr>
      </w:pPr>
      <w:r>
        <w:rPr>
          <w:spacing w:val="-4"/>
          <w:sz w:val="24"/>
          <w:szCs w:val="24"/>
        </w:rPr>
        <w:t xml:space="preserve">В целом исполнение консолидированных бюджетов городских округов Томской области возросло в сравнении с 2020 годом (за исключением г. Кедрового). Наибольший рост показателей наблюдается по г. Томску. </w:t>
      </w:r>
    </w:p>
    <w:p>
      <w:pPr>
        <w:ind w:firstLine="708"/>
        <w:jc w:val="both"/>
        <w:rPr>
          <w:sz w:val="24"/>
          <w:szCs w:val="24"/>
        </w:rPr>
      </w:pPr>
      <w:r>
        <w:rPr>
          <w:sz w:val="24"/>
          <w:szCs w:val="24"/>
        </w:rPr>
        <w:t xml:space="preserve">Консолидированный бюджет Томской области за 2021 год исполнен с дефицитом 4 537,8 млн руб., что составило 51,9% от утвержденного планового показателя. </w:t>
      </w:r>
    </w:p>
    <w:p>
      <w:pPr>
        <w:ind w:firstLine="709"/>
        <w:jc w:val="both"/>
        <w:rPr>
          <w:sz w:val="24"/>
          <w:szCs w:val="24"/>
        </w:rPr>
      </w:pPr>
      <w:r>
        <w:rPr>
          <w:sz w:val="24"/>
          <w:szCs w:val="24"/>
        </w:rPr>
        <w:t>Из 20 муниципальных образований Томской области дефицит бюджета по итогам исполнения 2021 года получен по 11-ти, включая ЗАТО Северск. Дефицит бюджета ЗАТО Северск составил 55 597,4 тыс.руб. или 47,1% от утвержденного планового показателя.</w:t>
      </w:r>
    </w:p>
    <w:p>
      <w:pPr>
        <w:spacing w:before="120" w:after="60"/>
        <w:jc w:val="both"/>
        <w:rPr>
          <w:sz w:val="24"/>
          <w:szCs w:val="24"/>
        </w:rPr>
      </w:pPr>
      <w:r>
        <w:rPr>
          <w:sz w:val="24"/>
          <w:szCs w:val="24"/>
        </w:rPr>
        <w:tab/>
        <w:t>Таблица 3. Показатели дефицита/профицита консолидированного бюджета Томской области и городских округов</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1134"/>
        <w:gridCol w:w="1134"/>
        <w:gridCol w:w="1275"/>
        <w:gridCol w:w="1106"/>
        <w:gridCol w:w="964"/>
        <w:gridCol w:w="737"/>
        <w:gridCol w:w="992"/>
      </w:tblGrid>
      <w:tr>
        <w:trPr>
          <w:cantSplit/>
          <w:trHeight w:val="1119"/>
        </w:trPr>
        <w:tc>
          <w:tcPr>
            <w:tcW w:w="2122" w:type="dxa"/>
            <w:shd w:val="clear" w:color="auto" w:fill="auto"/>
            <w:vAlign w:val="center"/>
          </w:tcPr>
          <w:p>
            <w:pPr>
              <w:tabs>
                <w:tab w:val="left" w:pos="284"/>
              </w:tabs>
              <w:jc w:val="center"/>
            </w:pPr>
            <w:r>
              <w:t>Показатели</w:t>
            </w:r>
          </w:p>
        </w:tc>
        <w:tc>
          <w:tcPr>
            <w:tcW w:w="1134" w:type="dxa"/>
            <w:shd w:val="clear" w:color="auto" w:fill="auto"/>
            <w:vAlign w:val="center"/>
          </w:tcPr>
          <w:p>
            <w:pPr>
              <w:tabs>
                <w:tab w:val="left" w:pos="-108"/>
              </w:tabs>
              <w:ind w:right="-108" w:firstLine="34"/>
              <w:jc w:val="center"/>
            </w:pPr>
            <w:r>
              <w:t>1. Бюджет Томской области, всего</w:t>
            </w:r>
          </w:p>
        </w:tc>
        <w:tc>
          <w:tcPr>
            <w:tcW w:w="1134" w:type="dxa"/>
            <w:shd w:val="clear" w:color="auto" w:fill="auto"/>
            <w:vAlign w:val="center"/>
          </w:tcPr>
          <w:p>
            <w:pPr>
              <w:tabs>
                <w:tab w:val="left" w:pos="284"/>
              </w:tabs>
              <w:ind w:left="-108" w:right="-108" w:firstLine="108"/>
              <w:jc w:val="center"/>
            </w:pPr>
            <w:r>
              <w:t>2.Мун. образования, всего</w:t>
            </w:r>
          </w:p>
        </w:tc>
        <w:tc>
          <w:tcPr>
            <w:tcW w:w="1275" w:type="dxa"/>
            <w:shd w:val="clear" w:color="auto" w:fill="auto"/>
            <w:vAlign w:val="center"/>
          </w:tcPr>
          <w:p>
            <w:pPr>
              <w:tabs>
                <w:tab w:val="left" w:pos="284"/>
              </w:tabs>
              <w:ind w:right="-108"/>
              <w:jc w:val="center"/>
            </w:pPr>
            <w:r>
              <w:t xml:space="preserve">3. Городские округа, </w:t>
            </w:r>
          </w:p>
          <w:p>
            <w:pPr>
              <w:tabs>
                <w:tab w:val="left" w:pos="284"/>
              </w:tabs>
              <w:ind w:right="-108"/>
              <w:jc w:val="center"/>
            </w:pPr>
            <w:r>
              <w:t>всего</w:t>
            </w:r>
          </w:p>
        </w:tc>
        <w:tc>
          <w:tcPr>
            <w:tcW w:w="1106" w:type="dxa"/>
            <w:shd w:val="clear" w:color="auto" w:fill="auto"/>
            <w:textDirection w:val="btLr"/>
            <w:vAlign w:val="center"/>
          </w:tcPr>
          <w:p>
            <w:pPr>
              <w:tabs>
                <w:tab w:val="left" w:pos="284"/>
              </w:tabs>
              <w:ind w:left="113" w:right="113"/>
              <w:jc w:val="center"/>
            </w:pPr>
            <w:r>
              <w:t>3.1. Томск</w:t>
            </w:r>
          </w:p>
        </w:tc>
        <w:tc>
          <w:tcPr>
            <w:tcW w:w="964" w:type="dxa"/>
            <w:shd w:val="clear" w:color="auto" w:fill="auto"/>
            <w:textDirection w:val="btLr"/>
            <w:vAlign w:val="center"/>
          </w:tcPr>
          <w:p>
            <w:pPr>
              <w:tabs>
                <w:tab w:val="left" w:pos="284"/>
              </w:tabs>
              <w:ind w:left="113" w:right="113"/>
            </w:pPr>
            <w:r>
              <w:t>3.2.Стре-жевой</w:t>
            </w:r>
          </w:p>
        </w:tc>
        <w:tc>
          <w:tcPr>
            <w:tcW w:w="737" w:type="dxa"/>
            <w:shd w:val="clear" w:color="auto" w:fill="auto"/>
            <w:textDirection w:val="btLr"/>
            <w:vAlign w:val="center"/>
          </w:tcPr>
          <w:p>
            <w:pPr>
              <w:ind w:left="113" w:right="113"/>
            </w:pPr>
            <w:r>
              <w:t>3.3.Кед-ровый</w:t>
            </w:r>
          </w:p>
        </w:tc>
        <w:tc>
          <w:tcPr>
            <w:tcW w:w="992" w:type="dxa"/>
            <w:shd w:val="clear" w:color="auto" w:fill="auto"/>
            <w:textDirection w:val="btLr"/>
            <w:vAlign w:val="center"/>
          </w:tcPr>
          <w:p>
            <w:pPr>
              <w:ind w:left="113" w:right="113"/>
              <w:jc w:val="center"/>
            </w:pPr>
            <w:r>
              <w:t>3.4. ЗАТО Северск</w:t>
            </w:r>
          </w:p>
        </w:tc>
      </w:tr>
      <w:tr>
        <w:tc>
          <w:tcPr>
            <w:tcW w:w="9464" w:type="dxa"/>
            <w:gridSpan w:val="8"/>
            <w:shd w:val="clear" w:color="auto" w:fill="auto"/>
            <w:vAlign w:val="center"/>
          </w:tcPr>
          <w:p>
            <w:pPr>
              <w:tabs>
                <w:tab w:val="left" w:pos="284"/>
              </w:tabs>
              <w:jc w:val="center"/>
            </w:pPr>
            <w:r>
              <w:t>Дефицит (-)/профицит (+)</w:t>
            </w:r>
          </w:p>
        </w:tc>
      </w:tr>
      <w:tr>
        <w:tc>
          <w:tcPr>
            <w:tcW w:w="2122" w:type="dxa"/>
            <w:shd w:val="clear" w:color="auto" w:fill="auto"/>
            <w:vAlign w:val="center"/>
          </w:tcPr>
          <w:p>
            <w:pPr>
              <w:rPr>
                <w:color w:val="000000"/>
              </w:rPr>
            </w:pPr>
            <w:r>
              <w:rPr>
                <w:color w:val="000000"/>
              </w:rPr>
              <w:t>Факт 2020г., млн руб.</w:t>
            </w:r>
          </w:p>
        </w:tc>
        <w:tc>
          <w:tcPr>
            <w:tcW w:w="1134" w:type="dxa"/>
            <w:shd w:val="clear" w:color="auto" w:fill="auto"/>
            <w:vAlign w:val="center"/>
          </w:tcPr>
          <w:p>
            <w:pPr>
              <w:jc w:val="right"/>
              <w:rPr>
                <w:color w:val="000000"/>
              </w:rPr>
            </w:pPr>
            <w:r>
              <w:rPr>
                <w:color w:val="000000"/>
              </w:rPr>
              <w:t>-10260,40</w:t>
            </w:r>
          </w:p>
        </w:tc>
        <w:tc>
          <w:tcPr>
            <w:tcW w:w="1134" w:type="dxa"/>
            <w:shd w:val="clear" w:color="auto" w:fill="auto"/>
            <w:vAlign w:val="center"/>
          </w:tcPr>
          <w:p>
            <w:pPr>
              <w:jc w:val="center"/>
              <w:rPr>
                <w:color w:val="000000"/>
              </w:rPr>
            </w:pPr>
            <w:r>
              <w:rPr>
                <w:color w:val="000000"/>
              </w:rPr>
              <w:t>-241,06</w:t>
            </w:r>
          </w:p>
        </w:tc>
        <w:tc>
          <w:tcPr>
            <w:tcW w:w="1275" w:type="dxa"/>
            <w:shd w:val="clear" w:color="auto" w:fill="auto"/>
            <w:vAlign w:val="center"/>
          </w:tcPr>
          <w:p>
            <w:pPr>
              <w:jc w:val="center"/>
              <w:rPr>
                <w:color w:val="000000"/>
              </w:rPr>
            </w:pPr>
            <w:r>
              <w:rPr>
                <w:color w:val="000000"/>
              </w:rPr>
              <w:t>-485,96</w:t>
            </w:r>
          </w:p>
        </w:tc>
        <w:tc>
          <w:tcPr>
            <w:tcW w:w="1106" w:type="dxa"/>
            <w:shd w:val="clear" w:color="auto" w:fill="auto"/>
            <w:vAlign w:val="center"/>
          </w:tcPr>
          <w:p>
            <w:pPr>
              <w:jc w:val="center"/>
              <w:rPr>
                <w:color w:val="000000"/>
              </w:rPr>
            </w:pPr>
            <w:r>
              <w:rPr>
                <w:color w:val="000000"/>
                <w:spacing w:val="-4"/>
              </w:rPr>
              <w:t>-441,06</w:t>
            </w:r>
          </w:p>
        </w:tc>
        <w:tc>
          <w:tcPr>
            <w:tcW w:w="964" w:type="dxa"/>
            <w:shd w:val="clear" w:color="auto" w:fill="auto"/>
            <w:vAlign w:val="center"/>
          </w:tcPr>
          <w:p>
            <w:pPr>
              <w:jc w:val="center"/>
              <w:rPr>
                <w:color w:val="000000"/>
              </w:rPr>
            </w:pPr>
            <w:r>
              <w:rPr>
                <w:color w:val="000000"/>
                <w:spacing w:val="-4"/>
              </w:rPr>
              <w:t>4,42</w:t>
            </w:r>
          </w:p>
        </w:tc>
        <w:tc>
          <w:tcPr>
            <w:tcW w:w="737" w:type="dxa"/>
            <w:shd w:val="clear" w:color="auto" w:fill="auto"/>
            <w:vAlign w:val="center"/>
          </w:tcPr>
          <w:p>
            <w:pPr>
              <w:jc w:val="center"/>
              <w:rPr>
                <w:color w:val="000000"/>
              </w:rPr>
            </w:pPr>
            <w:r>
              <w:rPr>
                <w:color w:val="000000"/>
                <w:spacing w:val="-4"/>
              </w:rPr>
              <w:t>-5,30</w:t>
            </w:r>
          </w:p>
        </w:tc>
        <w:tc>
          <w:tcPr>
            <w:tcW w:w="992" w:type="dxa"/>
            <w:shd w:val="clear" w:color="auto" w:fill="auto"/>
            <w:vAlign w:val="center"/>
          </w:tcPr>
          <w:p>
            <w:pPr>
              <w:jc w:val="center"/>
              <w:rPr>
                <w:bCs/>
                <w:color w:val="000000"/>
              </w:rPr>
            </w:pPr>
            <w:r>
              <w:rPr>
                <w:bCs/>
                <w:color w:val="000000"/>
              </w:rPr>
              <w:t>-44,03</w:t>
            </w:r>
          </w:p>
        </w:tc>
      </w:tr>
      <w:tr>
        <w:tc>
          <w:tcPr>
            <w:tcW w:w="2122" w:type="dxa"/>
            <w:shd w:val="clear" w:color="auto" w:fill="auto"/>
            <w:vAlign w:val="center"/>
          </w:tcPr>
          <w:p>
            <w:pPr>
              <w:jc w:val="both"/>
              <w:rPr>
                <w:color w:val="000000"/>
              </w:rPr>
            </w:pPr>
            <w:r>
              <w:rPr>
                <w:color w:val="000000"/>
              </w:rPr>
              <w:t xml:space="preserve">Темп роста 2020 </w:t>
            </w:r>
          </w:p>
          <w:p>
            <w:pPr>
              <w:jc w:val="both"/>
              <w:rPr>
                <w:color w:val="000000"/>
              </w:rPr>
            </w:pPr>
            <w:r>
              <w:rPr>
                <w:color w:val="000000"/>
              </w:rPr>
              <w:t>к 2019,%</w:t>
            </w:r>
          </w:p>
        </w:tc>
        <w:tc>
          <w:tcPr>
            <w:tcW w:w="1134" w:type="dxa"/>
            <w:shd w:val="clear" w:color="auto" w:fill="auto"/>
            <w:vAlign w:val="center"/>
          </w:tcPr>
          <w:p>
            <w:pPr>
              <w:ind w:left="-108" w:right="-108"/>
              <w:jc w:val="both"/>
              <w:rPr>
                <w:color w:val="000000"/>
              </w:rPr>
            </w:pPr>
            <w:r>
              <w:rPr>
                <w:noProof/>
              </w:rPr>
              <mc:AlternateContent>
                <mc:Choice Requires="wps">
                  <w:drawing>
                    <wp:anchor distT="0" distB="0" distL="114300" distR="114300" simplePos="0" relativeHeight="251648000" behindDoc="0" locked="0" layoutInCell="1" allowOverlap="1">
                      <wp:simplePos x="0" y="0"/>
                      <wp:positionH relativeFrom="column">
                        <wp:posOffset>435610</wp:posOffset>
                      </wp:positionH>
                      <wp:positionV relativeFrom="paragraph">
                        <wp:posOffset>-31115</wp:posOffset>
                      </wp:positionV>
                      <wp:extent cx="6350" cy="152400"/>
                      <wp:effectExtent l="76200" t="38100" r="69850" b="19050"/>
                      <wp:wrapNone/>
                      <wp:docPr id="23" name="AutoShap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1" o:spid="_x0000_s1026" type="#_x0000_t32" style="position:absolute;margin-left:34.3pt;margin-top:-2.45pt;width:.5pt;height:12pt;flip:y;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">
                      <v:stroke endarrow="block"/>
                    </v:shape>
                  </w:pict>
                </mc:Fallback>
              </mc:AlternateContent>
            </w:r>
            <w:r>
              <w:rPr>
                <w:color w:val="000000"/>
              </w:rPr>
              <w:t xml:space="preserve">  в 3раза</w:t>
            </w:r>
          </w:p>
        </w:tc>
        <w:tc>
          <w:tcPr>
            <w:tcW w:w="1134" w:type="dxa"/>
            <w:shd w:val="clear" w:color="auto" w:fill="auto"/>
            <w:vAlign w:val="center"/>
          </w:tcPr>
          <w:p>
            <w:pPr>
              <w:jc w:val="center"/>
              <w:rPr>
                <w:color w:val="000000"/>
              </w:rPr>
            </w:pPr>
            <w:r>
              <w:rPr>
                <w:noProof/>
              </w:rPr>
              <mc:AlternateContent>
                <mc:Choice Requires="wps">
                  <w:drawing>
                    <wp:anchor distT="0" distB="0" distL="114300" distR="114300" simplePos="0" relativeHeight="251649024" behindDoc="0" locked="0" layoutInCell="1" allowOverlap="1">
                      <wp:simplePos x="0" y="0"/>
                      <wp:positionH relativeFrom="column">
                        <wp:posOffset>530860</wp:posOffset>
                      </wp:positionH>
                      <wp:positionV relativeFrom="paragraph">
                        <wp:posOffset>-31115</wp:posOffset>
                      </wp:positionV>
                      <wp:extent cx="6350" cy="152400"/>
                      <wp:effectExtent l="76200" t="38100" r="69850" b="19050"/>
                      <wp:wrapNone/>
                      <wp:docPr id="22"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41.8pt;margin-top:-2.45pt;width:.5pt;height:12pt;flip:y;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X0BPwIAAGsEAAAOAAAAZHJzL2Uyb0RvYy54bWysVE2P2yAQvVfqf0DcE3+sk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">
                      <v:stroke endarrow="block"/>
                    </v:shape>
                  </w:pict>
                </mc:Fallback>
              </mc:AlternateContent>
            </w:r>
            <w:r>
              <w:rPr>
                <w:color w:val="000000"/>
              </w:rPr>
              <w:t xml:space="preserve">в 3раза </w:t>
            </w:r>
          </w:p>
        </w:tc>
        <w:tc>
          <w:tcPr>
            <w:tcW w:w="1275" w:type="dxa"/>
            <w:shd w:val="clear" w:color="auto" w:fill="auto"/>
            <w:vAlign w:val="center"/>
          </w:tcPr>
          <w:p>
            <w:pPr>
              <w:jc w:val="center"/>
              <w:rPr>
                <w:color w:val="000000"/>
              </w:rPr>
            </w:pPr>
            <w:r>
              <w:rPr>
                <w:noProof/>
              </w:rPr>
              <mc:AlternateContent>
                <mc:Choice Requires="wps">
                  <w:drawing>
                    <wp:anchor distT="0" distB="0" distL="114300" distR="114300" simplePos="0" relativeHeight="251650048" behindDoc="0" locked="0" layoutInCell="1" allowOverlap="1">
                      <wp:simplePos x="0" y="0"/>
                      <wp:positionH relativeFrom="column">
                        <wp:posOffset>626110</wp:posOffset>
                      </wp:positionH>
                      <wp:positionV relativeFrom="paragraph">
                        <wp:posOffset>-21590</wp:posOffset>
                      </wp:positionV>
                      <wp:extent cx="6350" cy="152400"/>
                      <wp:effectExtent l="76200" t="38100" r="69850" b="19050"/>
                      <wp:wrapNone/>
                      <wp:docPr id="21" name="AutoShap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5" o:spid="_x0000_s1026" type="#_x0000_t32" style="position:absolute;margin-left:49.3pt;margin-top:-1.7pt;width:.5pt;height:12pt;flip:y;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">
                      <v:stroke endarrow="block"/>
                    </v:shape>
                  </w:pict>
                </mc:Fallback>
              </mc:AlternateContent>
            </w:r>
            <w:r>
              <w:rPr>
                <w:color w:val="000000"/>
              </w:rPr>
              <w:t>в 2,6 раза</w:t>
            </w:r>
          </w:p>
        </w:tc>
        <w:tc>
          <w:tcPr>
            <w:tcW w:w="1106" w:type="dxa"/>
            <w:shd w:val="clear" w:color="auto" w:fill="auto"/>
            <w:vAlign w:val="center"/>
          </w:tcPr>
          <w:p>
            <w:pPr>
              <w:jc w:val="center"/>
              <w:rPr>
                <w:color w:val="000000"/>
              </w:rPr>
            </w:pPr>
            <w:r>
              <w:rPr>
                <w:noProof/>
              </w:rPr>
              <mc:AlternateContent>
                <mc:Choice Requires="wps">
                  <w:drawing>
                    <wp:anchor distT="0" distB="0" distL="114300" distR="114300" simplePos="0" relativeHeight="251646976" behindDoc="0" locked="0" layoutInCell="1" allowOverlap="1">
                      <wp:simplePos x="0" y="0"/>
                      <wp:positionH relativeFrom="column">
                        <wp:posOffset>537210</wp:posOffset>
                      </wp:positionH>
                      <wp:positionV relativeFrom="paragraph">
                        <wp:posOffset>-24130</wp:posOffset>
                      </wp:positionV>
                      <wp:extent cx="6350" cy="152400"/>
                      <wp:effectExtent l="76200" t="38100" r="69850" b="19050"/>
                      <wp:wrapNone/>
                      <wp:docPr id="20" name="AutoShap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0" o:spid="_x0000_s1026" type="#_x0000_t32" style="position:absolute;margin-left:42.3pt;margin-top:-1.9pt;width:.5pt;height:12pt;flip:y;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">
                      <v:stroke endarrow="block"/>
                    </v:shape>
                  </w:pict>
                </mc:Fallback>
              </mc:AlternateContent>
            </w:r>
            <w:r>
              <w:rPr>
                <w:color w:val="000000"/>
              </w:rPr>
              <w:t>в 2,4 раза</w:t>
            </w:r>
          </w:p>
        </w:tc>
        <w:tc>
          <w:tcPr>
            <w:tcW w:w="964" w:type="dxa"/>
            <w:shd w:val="clear" w:color="auto" w:fill="auto"/>
            <w:vAlign w:val="center"/>
          </w:tcPr>
          <w:p>
            <w:pPr>
              <w:jc w:val="center"/>
              <w:rPr>
                <w:color w:val="000000"/>
              </w:rPr>
            </w:pPr>
            <w:r>
              <w:rPr>
                <w:noProof/>
              </w:rPr>
              <mc:AlternateContent>
                <mc:Choice Requires="wps">
                  <w:drawing>
                    <wp:anchor distT="0" distB="0" distL="114299" distR="114299" simplePos="0" relativeHeight="251645952" behindDoc="0" locked="0" layoutInCell="1" allowOverlap="1">
                      <wp:simplePos x="0" y="0"/>
                      <wp:positionH relativeFrom="column">
                        <wp:posOffset>378459</wp:posOffset>
                      </wp:positionH>
                      <wp:positionV relativeFrom="paragraph">
                        <wp:posOffset>142240</wp:posOffset>
                      </wp:positionV>
                      <wp:extent cx="0" cy="146050"/>
                      <wp:effectExtent l="76200" t="0" r="57150" b="63500"/>
                      <wp:wrapNone/>
                      <wp:docPr id="16"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9" o:spid="_x0000_s1026" type="#_x0000_t32" style="position:absolute;margin-left:29.8pt;margin-top:11.2pt;width:0;height:11.5pt;z-index:251645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AHiNA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">
                      <v:stroke endarrow="block"/>
                    </v:shape>
                  </w:pict>
                </mc:Fallback>
              </mc:AlternateContent>
            </w:r>
            <w:r>
              <w:rPr>
                <w:color w:val="000000"/>
              </w:rPr>
              <w:t>в 11,2 раза</w:t>
            </w:r>
          </w:p>
        </w:tc>
        <w:tc>
          <w:tcPr>
            <w:tcW w:w="737" w:type="dxa"/>
            <w:shd w:val="clear" w:color="auto" w:fill="auto"/>
            <w:vAlign w:val="center"/>
          </w:tcPr>
          <w:p>
            <w:pPr>
              <w:jc w:val="center"/>
              <w:rPr>
                <w:color w:val="000000"/>
              </w:rPr>
            </w:pPr>
            <w:r>
              <w:rPr>
                <w:color w:val="000000"/>
              </w:rPr>
              <w:t>-</w:t>
            </w:r>
          </w:p>
        </w:tc>
        <w:tc>
          <w:tcPr>
            <w:tcW w:w="992" w:type="dxa"/>
            <w:shd w:val="clear" w:color="auto" w:fill="auto"/>
            <w:vAlign w:val="center"/>
          </w:tcPr>
          <w:p>
            <w:pPr>
              <w:ind w:left="-103" w:right="-2"/>
              <w:jc w:val="center"/>
              <w:rPr>
                <w:bCs/>
                <w:color w:val="000000"/>
              </w:rPr>
            </w:pPr>
            <w:r>
              <w:rPr>
                <w:noProof/>
              </w:rPr>
              <mc:AlternateContent>
                <mc:Choice Requires="wps">
                  <w:drawing>
                    <wp:anchor distT="0" distB="0" distL="114299" distR="114299" simplePos="0" relativeHeight="251651072" behindDoc="0" locked="0" layoutInCell="1" allowOverlap="1">
                      <wp:simplePos x="0" y="0"/>
                      <wp:positionH relativeFrom="column">
                        <wp:posOffset>472439</wp:posOffset>
                      </wp:positionH>
                      <wp:positionV relativeFrom="paragraph">
                        <wp:posOffset>19685</wp:posOffset>
                      </wp:positionV>
                      <wp:extent cx="0" cy="146050"/>
                      <wp:effectExtent l="76200" t="0" r="57150" b="63500"/>
                      <wp:wrapNone/>
                      <wp:docPr id="14"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37.2pt;margin-top:1.55pt;width:0;height:11.5pt;z-index:25165107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XMWNA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">
                      <v:stroke endarrow="block"/>
                    </v:shape>
                  </w:pict>
                </mc:Fallback>
              </mc:AlternateContent>
            </w:r>
            <w:r>
              <w:rPr>
                <w:bCs/>
                <w:color w:val="000000"/>
              </w:rPr>
              <w:t xml:space="preserve">в 1,5 раза </w:t>
            </w:r>
          </w:p>
        </w:tc>
      </w:tr>
      <w:tr>
        <w:tc>
          <w:tcPr>
            <w:tcW w:w="2122" w:type="dxa"/>
            <w:shd w:val="clear" w:color="auto" w:fill="auto"/>
            <w:vAlign w:val="center"/>
          </w:tcPr>
          <w:p>
            <w:pPr>
              <w:rPr>
                <w:color w:val="000000"/>
              </w:rPr>
            </w:pPr>
            <w:r>
              <w:rPr>
                <w:color w:val="000000"/>
              </w:rPr>
              <w:t>Факт 2021г., млн руб.</w:t>
            </w:r>
          </w:p>
        </w:tc>
        <w:tc>
          <w:tcPr>
            <w:tcW w:w="1134" w:type="dxa"/>
            <w:shd w:val="clear" w:color="auto" w:fill="auto"/>
            <w:vAlign w:val="center"/>
          </w:tcPr>
          <w:p>
            <w:pPr>
              <w:jc w:val="right"/>
              <w:rPr>
                <w:color w:val="000000"/>
              </w:rPr>
            </w:pPr>
            <w:r>
              <w:rPr>
                <w:color w:val="000000"/>
              </w:rPr>
              <w:t>-4537,76</w:t>
            </w:r>
          </w:p>
        </w:tc>
        <w:tc>
          <w:tcPr>
            <w:tcW w:w="1134" w:type="dxa"/>
            <w:shd w:val="clear" w:color="auto" w:fill="auto"/>
            <w:vAlign w:val="center"/>
          </w:tcPr>
          <w:p>
            <w:pPr>
              <w:jc w:val="center"/>
              <w:rPr>
                <w:color w:val="000000"/>
              </w:rPr>
            </w:pPr>
            <w:r>
              <w:rPr>
                <w:color w:val="000000"/>
              </w:rPr>
              <w:t>-135,54</w:t>
            </w:r>
          </w:p>
        </w:tc>
        <w:tc>
          <w:tcPr>
            <w:tcW w:w="1275" w:type="dxa"/>
            <w:shd w:val="clear" w:color="auto" w:fill="auto"/>
            <w:vAlign w:val="center"/>
          </w:tcPr>
          <w:p>
            <w:pPr>
              <w:jc w:val="center"/>
              <w:rPr>
                <w:color w:val="000000"/>
              </w:rPr>
            </w:pPr>
            <w:r>
              <w:rPr>
                <w:color w:val="000000"/>
              </w:rPr>
              <w:t>126,85</w:t>
            </w:r>
          </w:p>
        </w:tc>
        <w:tc>
          <w:tcPr>
            <w:tcW w:w="1106" w:type="dxa"/>
            <w:shd w:val="clear" w:color="auto" w:fill="auto"/>
            <w:vAlign w:val="center"/>
          </w:tcPr>
          <w:p>
            <w:pPr>
              <w:jc w:val="center"/>
              <w:rPr>
                <w:color w:val="000000"/>
              </w:rPr>
            </w:pPr>
            <w:r>
              <w:rPr>
                <w:color w:val="000000"/>
                <w:spacing w:val="-4"/>
              </w:rPr>
              <w:t>235,43</w:t>
            </w:r>
          </w:p>
        </w:tc>
        <w:tc>
          <w:tcPr>
            <w:tcW w:w="964" w:type="dxa"/>
            <w:shd w:val="clear" w:color="auto" w:fill="auto"/>
            <w:vAlign w:val="center"/>
          </w:tcPr>
          <w:p>
            <w:pPr>
              <w:jc w:val="center"/>
              <w:rPr>
                <w:color w:val="000000"/>
              </w:rPr>
            </w:pPr>
            <w:r>
              <w:rPr>
                <w:color w:val="000000"/>
                <w:spacing w:val="-4"/>
              </w:rPr>
              <w:t>-54,14</w:t>
            </w:r>
          </w:p>
        </w:tc>
        <w:tc>
          <w:tcPr>
            <w:tcW w:w="737" w:type="dxa"/>
            <w:shd w:val="clear" w:color="auto" w:fill="auto"/>
            <w:vAlign w:val="center"/>
          </w:tcPr>
          <w:p>
            <w:pPr>
              <w:jc w:val="center"/>
              <w:rPr>
                <w:color w:val="000000"/>
              </w:rPr>
            </w:pPr>
            <w:r>
              <w:rPr>
                <w:color w:val="000000"/>
                <w:spacing w:val="-4"/>
              </w:rPr>
              <w:t>1,16</w:t>
            </w:r>
          </w:p>
        </w:tc>
        <w:tc>
          <w:tcPr>
            <w:tcW w:w="992" w:type="dxa"/>
            <w:shd w:val="clear" w:color="auto" w:fill="auto"/>
            <w:vAlign w:val="center"/>
          </w:tcPr>
          <w:p>
            <w:pPr>
              <w:jc w:val="center"/>
              <w:rPr>
                <w:bCs/>
                <w:color w:val="000000"/>
              </w:rPr>
            </w:pPr>
            <w:r>
              <w:rPr>
                <w:bCs/>
                <w:color w:val="000000"/>
              </w:rPr>
              <w:t>-55,6</w:t>
            </w:r>
          </w:p>
        </w:tc>
      </w:tr>
      <w:tr>
        <w:tc>
          <w:tcPr>
            <w:tcW w:w="2122" w:type="dxa"/>
            <w:shd w:val="clear" w:color="auto" w:fill="auto"/>
            <w:vAlign w:val="center"/>
          </w:tcPr>
          <w:p>
            <w:pPr>
              <w:jc w:val="both"/>
              <w:rPr>
                <w:color w:val="000000"/>
              </w:rPr>
            </w:pPr>
            <w:r>
              <w:rPr>
                <w:color w:val="000000"/>
              </w:rPr>
              <w:t xml:space="preserve">Темп роста 2021 </w:t>
            </w:r>
          </w:p>
          <w:p>
            <w:pPr>
              <w:jc w:val="both"/>
              <w:rPr>
                <w:color w:val="000000"/>
              </w:rPr>
            </w:pPr>
            <w:r>
              <w:rPr>
                <w:color w:val="000000"/>
              </w:rPr>
              <w:t>к 2020,%</w:t>
            </w:r>
          </w:p>
        </w:tc>
        <w:tc>
          <w:tcPr>
            <w:tcW w:w="1134" w:type="dxa"/>
            <w:shd w:val="clear" w:color="auto" w:fill="auto"/>
            <w:vAlign w:val="center"/>
          </w:tcPr>
          <w:p>
            <w:pPr>
              <w:ind w:left="-108" w:right="-108"/>
              <w:jc w:val="both"/>
              <w:rPr>
                <w:color w:val="000000"/>
              </w:rPr>
            </w:pPr>
            <w:r>
              <w:rPr>
                <w:color w:val="000000"/>
              </w:rPr>
              <w:t xml:space="preserve">  в 2 раза</w:t>
            </w:r>
          </w:p>
        </w:tc>
        <w:tc>
          <w:tcPr>
            <w:tcW w:w="1134" w:type="dxa"/>
            <w:shd w:val="clear" w:color="auto" w:fill="auto"/>
            <w:vAlign w:val="center"/>
          </w:tcPr>
          <w:p>
            <w:pPr>
              <w:jc w:val="center"/>
              <w:rPr>
                <w:color w:val="000000"/>
              </w:rPr>
            </w:pPr>
            <w:r>
              <w:rPr>
                <w:noProof/>
              </w:rPr>
              <mc:AlternateContent>
                <mc:Choice Requires="wps">
                  <w:drawing>
                    <wp:anchor distT="0" distB="0" distL="114299" distR="114299" simplePos="0" relativeHeight="251644928" behindDoc="0" locked="0" layoutInCell="1" allowOverlap="1">
                      <wp:simplePos x="0" y="0"/>
                      <wp:positionH relativeFrom="column">
                        <wp:posOffset>572769</wp:posOffset>
                      </wp:positionH>
                      <wp:positionV relativeFrom="paragraph">
                        <wp:posOffset>19050</wp:posOffset>
                      </wp:positionV>
                      <wp:extent cx="0" cy="146050"/>
                      <wp:effectExtent l="76200" t="0" r="57150" b="63500"/>
                      <wp:wrapNone/>
                      <wp:docPr id="13"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6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9" o:spid="_x0000_s1026" type="#_x0000_t32" style="position:absolute;margin-left:45.1pt;margin-top:1.5pt;width:0;height:11.5pt;z-index:251644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8o0NQ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">
                      <v:stroke endarrow="block"/>
                    </v:shape>
                  </w:pict>
                </mc:Fallback>
              </mc:AlternateContent>
            </w:r>
            <w:r>
              <w:rPr>
                <w:color w:val="000000"/>
              </w:rPr>
              <w:t xml:space="preserve">на 43,8% </w:t>
            </w:r>
          </w:p>
        </w:tc>
        <w:tc>
          <w:tcPr>
            <w:tcW w:w="1275" w:type="dxa"/>
            <w:shd w:val="clear" w:color="auto" w:fill="auto"/>
            <w:vAlign w:val="center"/>
          </w:tcPr>
          <w:p>
            <w:pPr>
              <w:jc w:val="center"/>
              <w:rPr>
                <w:color w:val="000000"/>
              </w:rPr>
            </w:pPr>
            <w:r>
              <w:rPr>
                <w:color w:val="000000"/>
              </w:rPr>
              <w:t>-</w:t>
            </w:r>
          </w:p>
        </w:tc>
        <w:tc>
          <w:tcPr>
            <w:tcW w:w="1106" w:type="dxa"/>
            <w:shd w:val="clear" w:color="auto" w:fill="auto"/>
            <w:vAlign w:val="center"/>
          </w:tcPr>
          <w:p>
            <w:pPr>
              <w:rPr>
                <w:color w:val="000000"/>
              </w:rPr>
            </w:pPr>
            <w:r>
              <w:rPr>
                <w:color w:val="000000"/>
              </w:rPr>
              <w:t xml:space="preserve">        -</w:t>
            </w:r>
          </w:p>
        </w:tc>
        <w:tc>
          <w:tcPr>
            <w:tcW w:w="964" w:type="dxa"/>
            <w:shd w:val="clear" w:color="auto" w:fill="auto"/>
            <w:vAlign w:val="center"/>
          </w:tcPr>
          <w:p>
            <w:pPr>
              <w:jc w:val="center"/>
              <w:rPr>
                <w:color w:val="000000"/>
              </w:rPr>
            </w:pPr>
            <w:r>
              <w:rPr>
                <w:color w:val="000000"/>
              </w:rPr>
              <w:t>-</w:t>
            </w:r>
          </w:p>
        </w:tc>
        <w:tc>
          <w:tcPr>
            <w:tcW w:w="737" w:type="dxa"/>
            <w:shd w:val="clear" w:color="auto" w:fill="auto"/>
            <w:vAlign w:val="center"/>
          </w:tcPr>
          <w:p>
            <w:pPr>
              <w:jc w:val="center"/>
              <w:rPr>
                <w:color w:val="000000"/>
              </w:rPr>
            </w:pPr>
            <w:r>
              <w:rPr>
                <w:color w:val="000000"/>
              </w:rPr>
              <w:t>-</w:t>
            </w:r>
          </w:p>
        </w:tc>
        <w:tc>
          <w:tcPr>
            <w:tcW w:w="992" w:type="dxa"/>
            <w:shd w:val="clear" w:color="auto" w:fill="auto"/>
            <w:vAlign w:val="center"/>
          </w:tcPr>
          <w:p>
            <w:pPr>
              <w:ind w:left="-103" w:right="-2"/>
              <w:jc w:val="center"/>
              <w:rPr>
                <w:bCs/>
                <w:color w:val="000000"/>
              </w:rPr>
            </w:pPr>
            <w:r>
              <w:rPr>
                <w:bCs/>
                <w:noProof/>
                <w:color w:val="000000"/>
              </w:rPr>
              <mc:AlternateContent>
                <mc:Choice Requires="wps">
                  <w:drawing>
                    <wp:anchor distT="0" distB="0" distL="114300" distR="114300" simplePos="0" relativeHeight="251652096" behindDoc="0" locked="0" layoutInCell="1" allowOverlap="1">
                      <wp:simplePos x="0" y="0"/>
                      <wp:positionH relativeFrom="column">
                        <wp:posOffset>488950</wp:posOffset>
                      </wp:positionH>
                      <wp:positionV relativeFrom="paragraph">
                        <wp:posOffset>-33655</wp:posOffset>
                      </wp:positionV>
                      <wp:extent cx="6350" cy="152400"/>
                      <wp:effectExtent l="76200" t="38100" r="69850" b="19050"/>
                      <wp:wrapNone/>
                      <wp:docPr id="12"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38.5pt;margin-top:-2.65pt;width:.5pt;height:12pt;flip:y;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">
                      <v:stroke endarrow="block"/>
                    </v:shape>
                  </w:pict>
                </mc:Fallback>
              </mc:AlternateContent>
            </w:r>
            <w:r>
              <w:rPr>
                <w:bCs/>
                <w:color w:val="000000"/>
              </w:rPr>
              <w:t xml:space="preserve">на 26,3% </w:t>
            </w:r>
          </w:p>
        </w:tc>
      </w:tr>
    </w:tbl>
    <w:p>
      <w:pPr>
        <w:pStyle w:val="a5"/>
        <w:tabs>
          <w:tab w:val="left" w:pos="6946"/>
        </w:tabs>
        <w:spacing w:after="0"/>
        <w:ind w:firstLine="567"/>
        <w:jc w:val="both"/>
        <w:rPr>
          <w:color w:val="000000"/>
          <w:sz w:val="24"/>
          <w:szCs w:val="24"/>
          <w:highlight w:val="yellow"/>
        </w:rPr>
      </w:pPr>
    </w:p>
    <w:p>
      <w:pPr>
        <w:pStyle w:val="a5"/>
        <w:tabs>
          <w:tab w:val="left" w:pos="6946"/>
        </w:tabs>
        <w:spacing w:after="0"/>
        <w:ind w:firstLine="709"/>
        <w:jc w:val="both"/>
        <w:rPr>
          <w:sz w:val="24"/>
          <w:szCs w:val="24"/>
        </w:rPr>
      </w:pPr>
      <w:r>
        <w:rPr>
          <w:sz w:val="24"/>
          <w:szCs w:val="24"/>
        </w:rPr>
        <w:t xml:space="preserve">По состоянию на 01.01.2022 остатки на единых счетах бюджетов муниципальных образований Томской области составили 1 767 507,40 тыс.руб., из которых 808 587,30 тыс.руб. – целевые средства; 958 920,10 тыс.руб. – нецелевые. </w:t>
      </w:r>
    </w:p>
    <w:p>
      <w:pPr>
        <w:pStyle w:val="a5"/>
        <w:tabs>
          <w:tab w:val="left" w:pos="6946"/>
        </w:tabs>
        <w:spacing w:after="0"/>
        <w:ind w:firstLine="709"/>
        <w:jc w:val="both"/>
        <w:rPr>
          <w:color w:val="000000"/>
          <w:sz w:val="24"/>
          <w:szCs w:val="24"/>
        </w:rPr>
      </w:pPr>
      <w:r>
        <w:rPr>
          <w:sz w:val="24"/>
          <w:szCs w:val="24"/>
        </w:rPr>
        <w:t xml:space="preserve">При исполнении бюджета ЗАТО Северск </w:t>
      </w:r>
      <w:r>
        <w:rPr>
          <w:color w:val="000000"/>
          <w:sz w:val="24"/>
          <w:szCs w:val="24"/>
        </w:rPr>
        <w:t>остатки средств на едином счете бюджета ЗАТО Северск составили 25 481,51 тыс. руб., в том числе целевые средства 16 310,04 тыс.руб. Удельный вес остатков бюджета ЗАТО Северск от общей суммы остатков консолидированного бюджета Томской области составляет 1,4%, в т.ч. целевых – 2,0%, что является высоким показателем финансового менеджмента.</w:t>
      </w:r>
    </w:p>
    <w:p>
      <w:pPr>
        <w:pStyle w:val="a5"/>
        <w:tabs>
          <w:tab w:val="left" w:pos="6946"/>
        </w:tabs>
        <w:spacing w:after="0"/>
        <w:ind w:hanging="284"/>
        <w:jc w:val="center"/>
        <w:rPr>
          <w:sz w:val="24"/>
          <w:szCs w:val="24"/>
        </w:rPr>
      </w:pPr>
      <w:r>
        <w:rPr>
          <w:color w:val="000000"/>
          <w:sz w:val="24"/>
          <w:szCs w:val="24"/>
        </w:rPr>
        <w:object w:dxaOrig="11844" w:dyaOrig="4312">
          <v:shape id="_x0000_i1026" type="#_x0000_t75" style="width:501.35pt;height:215.35pt" o:ole="">
            <v:imagedata r:id="rId10" o:title=""/>
          </v:shape>
          <o:OLEObject Type="Embed" ProgID="Excel.Sheet.12" ShapeID="_x0000_i1026" DrawAspect="Content" ObjectID="_1707991219" r:id="rId11"/>
        </w:object>
      </w:r>
      <w:r>
        <w:rPr>
          <w:sz w:val="10"/>
          <w:szCs w:val="10"/>
        </w:rPr>
        <w:t xml:space="preserve">     </w:t>
      </w:r>
      <w:r>
        <w:rPr>
          <w:sz w:val="24"/>
          <w:szCs w:val="24"/>
        </w:rPr>
        <w:t>Рисунок 2. Остатки на единых счетах бюджетов Томской области</w:t>
      </w:r>
    </w:p>
    <w:p>
      <w:pPr>
        <w:ind w:right="55"/>
        <w:rPr>
          <w:b/>
          <w:bCs/>
          <w:sz w:val="24"/>
          <w:szCs w:val="24"/>
        </w:rPr>
      </w:pPr>
    </w:p>
    <w:p>
      <w:pPr>
        <w:ind w:left="708" w:right="55"/>
        <w:jc w:val="center"/>
        <w:rPr>
          <w:b/>
          <w:bCs/>
          <w:sz w:val="24"/>
          <w:szCs w:val="24"/>
          <w:highlight w:val="yellow"/>
        </w:rPr>
      </w:pPr>
    </w:p>
    <w:p>
      <w:pPr>
        <w:ind w:left="708" w:right="55"/>
        <w:jc w:val="center"/>
        <w:rPr>
          <w:b/>
          <w:bCs/>
          <w:sz w:val="24"/>
          <w:szCs w:val="24"/>
        </w:rPr>
      </w:pPr>
      <w:r>
        <w:rPr>
          <w:b/>
          <w:bCs/>
          <w:sz w:val="24"/>
          <w:szCs w:val="24"/>
          <w:lang w:val="en-US"/>
        </w:rPr>
        <w:t>II</w:t>
      </w:r>
      <w:r>
        <w:rPr>
          <w:b/>
          <w:bCs/>
          <w:sz w:val="24"/>
          <w:szCs w:val="24"/>
        </w:rPr>
        <w:t>. РЕАЛИЗАЦИЯ БЮДЖЕТНОЙ И НАЛОГОВОЙ ПОЛИТИКИ</w:t>
      </w:r>
    </w:p>
    <w:p>
      <w:pPr>
        <w:ind w:left="708" w:right="55"/>
        <w:jc w:val="center"/>
        <w:rPr>
          <w:b/>
          <w:bCs/>
          <w:sz w:val="24"/>
          <w:szCs w:val="24"/>
        </w:rPr>
      </w:pPr>
      <w:r>
        <w:rPr>
          <w:b/>
          <w:bCs/>
          <w:sz w:val="24"/>
          <w:szCs w:val="24"/>
        </w:rPr>
        <w:t>НА ТЕРРИТОРИИ ЗАТО СЕВЕРСК В 2021 ГОДУ</w:t>
      </w:r>
    </w:p>
    <w:p>
      <w:pPr>
        <w:pStyle w:val="a5"/>
        <w:spacing w:after="0"/>
        <w:jc w:val="both"/>
        <w:rPr>
          <w:sz w:val="24"/>
          <w:szCs w:val="24"/>
          <w:highlight w:val="yellow"/>
        </w:rPr>
      </w:pPr>
    </w:p>
    <w:p>
      <w:pPr>
        <w:spacing w:before="120"/>
        <w:ind w:firstLine="709"/>
        <w:jc w:val="both"/>
        <w:rPr>
          <w:sz w:val="24"/>
          <w:szCs w:val="24"/>
        </w:rPr>
      </w:pPr>
      <w:r>
        <w:rPr>
          <w:sz w:val="24"/>
          <w:szCs w:val="24"/>
        </w:rPr>
        <w:t xml:space="preserve">В 2021 году действие пандемии новой коронавирусной инфекции продолжало оказывать влияние на все сферы экономики и тем не менее, в отчетном финансовом году удалось последовательно решать задачи, обозначенные в основных направлениях бюджетной политики ЗАТО Северск на 2021 год и на плановый период 2022 и 2023 годов.  </w:t>
      </w:r>
    </w:p>
    <w:p>
      <w:pPr>
        <w:pStyle w:val="a5"/>
        <w:spacing w:after="0"/>
        <w:ind w:firstLine="709"/>
        <w:jc w:val="both"/>
        <w:rPr>
          <w:sz w:val="16"/>
          <w:szCs w:val="16"/>
          <w:highlight w:val="yellow"/>
        </w:rPr>
      </w:pPr>
    </w:p>
    <w:p>
      <w:pPr>
        <w:ind w:firstLine="709"/>
        <w:rPr>
          <w:sz w:val="24"/>
          <w:szCs w:val="24"/>
        </w:rPr>
      </w:pPr>
      <w:r>
        <w:rPr>
          <w:sz w:val="24"/>
          <w:szCs w:val="24"/>
        </w:rPr>
        <w:t>Оценка основных итогов в области бюджетной и налоговой политики:</w:t>
      </w:r>
    </w:p>
    <w:p>
      <w:pPr>
        <w:tabs>
          <w:tab w:val="left" w:pos="851"/>
          <w:tab w:val="left" w:pos="993"/>
        </w:tabs>
        <w:ind w:firstLine="709"/>
        <w:jc w:val="both"/>
        <w:rPr>
          <w:sz w:val="24"/>
          <w:szCs w:val="24"/>
        </w:rPr>
      </w:pPr>
      <w:r>
        <w:rPr>
          <w:sz w:val="24"/>
          <w:szCs w:val="24"/>
        </w:rPr>
        <w:t>1. Обеспечена устойчивость бюджета.</w:t>
      </w:r>
    </w:p>
    <w:p>
      <w:pPr>
        <w:tabs>
          <w:tab w:val="left" w:pos="567"/>
          <w:tab w:val="left" w:pos="993"/>
        </w:tabs>
        <w:ind w:firstLine="709"/>
        <w:jc w:val="both"/>
        <w:rPr>
          <w:sz w:val="24"/>
          <w:szCs w:val="24"/>
        </w:rPr>
      </w:pPr>
      <w:r>
        <w:rPr>
          <w:sz w:val="24"/>
          <w:szCs w:val="24"/>
        </w:rPr>
        <w:t xml:space="preserve">Увеличения нагрузки на бюджет по выплатам из источников финансирования дефицита сверх установленных Программой муниципальных заимствований ЗАТО Северск на 2021 год не допущено. </w:t>
      </w:r>
    </w:p>
    <w:p>
      <w:pPr>
        <w:pStyle w:val="a5"/>
        <w:spacing w:after="0"/>
        <w:ind w:firstLine="709"/>
        <w:jc w:val="both"/>
        <w:rPr>
          <w:sz w:val="24"/>
          <w:szCs w:val="24"/>
        </w:rPr>
      </w:pPr>
      <w:r>
        <w:rPr>
          <w:sz w:val="24"/>
          <w:szCs w:val="24"/>
        </w:rPr>
        <w:t xml:space="preserve">Для достижения цели по обеспечению сбалансированности местного бюджета в 2021 году ставилась задача по проведению оптимальной долговой политики. </w:t>
      </w:r>
    </w:p>
    <w:p>
      <w:pPr>
        <w:tabs>
          <w:tab w:val="left" w:pos="567"/>
          <w:tab w:val="left" w:pos="993"/>
        </w:tabs>
        <w:ind w:firstLine="709"/>
        <w:jc w:val="both"/>
        <w:rPr>
          <w:sz w:val="24"/>
          <w:szCs w:val="24"/>
        </w:rPr>
      </w:pPr>
      <w:r>
        <w:rPr>
          <w:sz w:val="24"/>
          <w:szCs w:val="24"/>
        </w:rPr>
        <w:t xml:space="preserve">В отчетном финансовом году использованы механизмы досрочного погашения коммерческого кредита, перекредитования с использованием бюджетного кредита и привлечения для покрытия кассовых разрывов временно свободных средств со счетов муниципальных бюджетных и автономных учреждений, что минимизировало в 2021 году нагрузку на бюджет по платежам за пользование кредитными ресурсами, сократив их на 13 764,64 тыс.руб. </w:t>
      </w:r>
    </w:p>
    <w:p>
      <w:pPr>
        <w:pStyle w:val="20"/>
        <w:ind w:firstLine="709"/>
        <w:rPr>
          <w:spacing w:val="-4"/>
          <w:szCs w:val="24"/>
        </w:rPr>
      </w:pPr>
      <w:r>
        <w:rPr>
          <w:spacing w:val="-4"/>
          <w:szCs w:val="24"/>
          <w:lang w:val="ru-RU"/>
        </w:rPr>
        <w:t>Н</w:t>
      </w:r>
      <w:r>
        <w:rPr>
          <w:spacing w:val="-4"/>
          <w:szCs w:val="24"/>
        </w:rPr>
        <w:t>а сокращение муниципального долга в 202</w:t>
      </w:r>
      <w:r>
        <w:rPr>
          <w:spacing w:val="-4"/>
          <w:szCs w:val="24"/>
          <w:lang w:val="ru-RU"/>
        </w:rPr>
        <w:t>1</w:t>
      </w:r>
      <w:r>
        <w:rPr>
          <w:spacing w:val="-4"/>
          <w:szCs w:val="24"/>
        </w:rPr>
        <w:t xml:space="preserve"> году было направлено </w:t>
      </w:r>
      <w:r>
        <w:rPr>
          <w:spacing w:val="-4"/>
          <w:szCs w:val="24"/>
          <w:lang w:val="ru-RU"/>
        </w:rPr>
        <w:t>37 000,00 тыс.руб.</w:t>
      </w:r>
      <w:r>
        <w:rPr>
          <w:spacing w:val="-4"/>
          <w:szCs w:val="24"/>
        </w:rPr>
        <w:t xml:space="preserve"> </w:t>
      </w:r>
    </w:p>
    <w:p>
      <w:pPr>
        <w:autoSpaceDE w:val="0"/>
        <w:autoSpaceDN w:val="0"/>
        <w:adjustRightInd w:val="0"/>
        <w:ind w:firstLine="709"/>
        <w:jc w:val="both"/>
        <w:outlineLvl w:val="1"/>
        <w:rPr>
          <w:sz w:val="24"/>
          <w:szCs w:val="24"/>
        </w:rPr>
      </w:pPr>
      <w:r>
        <w:rPr>
          <w:sz w:val="24"/>
          <w:szCs w:val="24"/>
        </w:rPr>
        <w:t xml:space="preserve">ЗАТО Северск по оценке Департамента финансов Томской области относится к группе с высокой долговой устойчивостью. </w:t>
      </w:r>
    </w:p>
    <w:p>
      <w:pPr>
        <w:tabs>
          <w:tab w:val="left" w:pos="993"/>
        </w:tabs>
        <w:ind w:left="709"/>
        <w:jc w:val="both"/>
        <w:rPr>
          <w:sz w:val="16"/>
          <w:szCs w:val="16"/>
          <w:highlight w:val="yellow"/>
        </w:rPr>
      </w:pPr>
    </w:p>
    <w:p>
      <w:pPr>
        <w:tabs>
          <w:tab w:val="left" w:pos="709"/>
        </w:tabs>
        <w:ind w:firstLine="709"/>
        <w:jc w:val="both"/>
        <w:rPr>
          <w:sz w:val="24"/>
          <w:szCs w:val="24"/>
        </w:rPr>
      </w:pPr>
      <w:r>
        <w:rPr>
          <w:sz w:val="24"/>
          <w:szCs w:val="24"/>
        </w:rPr>
        <w:t xml:space="preserve">2. Обеспечена реализация мероприятий по предотвращению распространения новой коронавирусной инфекции. </w:t>
      </w:r>
    </w:p>
    <w:p>
      <w:pPr>
        <w:tabs>
          <w:tab w:val="left" w:pos="993"/>
        </w:tabs>
        <w:ind w:firstLine="709"/>
        <w:jc w:val="both"/>
        <w:rPr>
          <w:sz w:val="24"/>
          <w:szCs w:val="24"/>
        </w:rPr>
      </w:pPr>
      <w:r>
        <w:rPr>
          <w:sz w:val="24"/>
          <w:szCs w:val="24"/>
        </w:rPr>
        <w:t>В 2021 году на реализацию мероприятий по предотвращению распространения новой коронавирусной инфекции направлено 4 967,70 тыс.руб. (в т.ч. за счет средств областного бюджета в рамках оздоровительной кампании – 3 554,54 тыс.руб.).</w:t>
      </w:r>
    </w:p>
    <w:p>
      <w:pPr>
        <w:tabs>
          <w:tab w:val="left" w:pos="709"/>
        </w:tabs>
        <w:jc w:val="both"/>
        <w:rPr>
          <w:sz w:val="16"/>
          <w:szCs w:val="16"/>
          <w:highlight w:val="yellow"/>
        </w:rPr>
      </w:pPr>
    </w:p>
    <w:p>
      <w:pPr>
        <w:tabs>
          <w:tab w:val="left" w:pos="851"/>
        </w:tabs>
        <w:ind w:firstLine="709"/>
        <w:jc w:val="both"/>
        <w:rPr>
          <w:sz w:val="24"/>
          <w:szCs w:val="24"/>
        </w:rPr>
      </w:pPr>
      <w:r>
        <w:rPr>
          <w:sz w:val="24"/>
          <w:szCs w:val="24"/>
        </w:rPr>
        <w:t>3. Обеспечено выполнение условий предоставления дотации из федерального бюджета.</w:t>
      </w:r>
    </w:p>
    <w:p>
      <w:pPr>
        <w:tabs>
          <w:tab w:val="left" w:pos="851"/>
        </w:tabs>
        <w:ind w:firstLine="709"/>
        <w:jc w:val="both"/>
        <w:rPr>
          <w:sz w:val="24"/>
          <w:szCs w:val="24"/>
        </w:rPr>
      </w:pPr>
      <w:r>
        <w:rPr>
          <w:sz w:val="24"/>
          <w:szCs w:val="24"/>
        </w:rPr>
        <w:t xml:space="preserve">Для решения данной задачи в рамках заключенного между Министерством финансов РФ, Администрацией Томской области и ЗАТО Северск трехстороннего </w:t>
      </w:r>
      <w:r>
        <w:rPr>
          <w:sz w:val="24"/>
          <w:szCs w:val="24"/>
        </w:rPr>
        <w:lastRenderedPageBreak/>
        <w:t xml:space="preserve">Соглашения от 13.06.2018 № 01-01-06/06-262 «О предоставлении и обеспечении эффективного использования межбюджетных трансфертов, выделяемых из федерального бюджета бюджету Томской области для предоставления бюджету ЗАТО Северск дотации на компенсацию дополнительных расходов и (или) потерь бюджетов ЗАТО, связанных с особым режимом безопасного функционирования» (далее – трехстороннего Соглашения), реализуется  План мероприятий по повышению эффективности использования бюджетных средств, увеличению налоговых и неналоговых доходов и совершенствованию долговой политики бюджета ЗАТО Северск в 2021-2023 годах (далее – План). </w:t>
      </w:r>
    </w:p>
    <w:p>
      <w:pPr>
        <w:tabs>
          <w:tab w:val="left" w:pos="851"/>
        </w:tabs>
        <w:ind w:firstLine="709"/>
        <w:jc w:val="both"/>
        <w:rPr>
          <w:sz w:val="24"/>
          <w:szCs w:val="24"/>
        </w:rPr>
      </w:pPr>
      <w:r>
        <w:rPr>
          <w:sz w:val="24"/>
          <w:szCs w:val="24"/>
        </w:rPr>
        <w:t xml:space="preserve">За 2021 год бюджетный эффект от реализации Плана составил 15 646,72 тыс.руб. </w:t>
      </w:r>
    </w:p>
    <w:p>
      <w:pPr>
        <w:autoSpaceDE w:val="0"/>
        <w:autoSpaceDN w:val="0"/>
        <w:adjustRightInd w:val="0"/>
        <w:ind w:firstLine="709"/>
        <w:jc w:val="both"/>
        <w:rPr>
          <w:sz w:val="24"/>
          <w:szCs w:val="24"/>
        </w:rPr>
      </w:pPr>
      <w:r>
        <w:rPr>
          <w:sz w:val="24"/>
          <w:szCs w:val="24"/>
        </w:rPr>
        <w:t>Необходимо отметить, что продолжает быть неисполненным одно из условий трехстороннего Соглашения -  это полная отмена расходных обязательств, не отнесенных к полномочиям органов местного самоуправления. Среди неотмененных льгот одной из бюджетоёмких остается льготная скидка по оплате коммунальных услуг для жителей внегородских территорий ЗАТО Северск, установленная решением Думы ЗАТО Северск от 23.12.2010 № 7/6 «О дополнительных мерах социальной поддержки граждан в ЗАТО Северск».</w:t>
      </w:r>
    </w:p>
    <w:p>
      <w:pPr>
        <w:autoSpaceDE w:val="0"/>
        <w:autoSpaceDN w:val="0"/>
        <w:adjustRightInd w:val="0"/>
        <w:ind w:firstLine="709"/>
        <w:jc w:val="both"/>
        <w:rPr>
          <w:sz w:val="24"/>
          <w:szCs w:val="24"/>
        </w:rPr>
      </w:pPr>
      <w:r>
        <w:rPr>
          <w:sz w:val="24"/>
          <w:szCs w:val="24"/>
        </w:rPr>
        <w:t>Во избежание социального напряжения на внегородских территориях ЗАТО Северск принято решение о поэтапном ежегодном снижении льготной скидки по оплате коммунальных услуг для жителей внегородских территорий. Решением Думы ЗАТО Северск от 23.12.2021 № 21/2 по котельным, расположенным в пос. Самусь и пос. Орловка, дифференцированно понижен размер льгот для граждан, получающих коммунальные услуги от децентрализованных источников.</w:t>
      </w:r>
    </w:p>
    <w:p>
      <w:pPr>
        <w:pStyle w:val="a5"/>
        <w:spacing w:after="0"/>
        <w:jc w:val="both"/>
        <w:rPr>
          <w:sz w:val="10"/>
          <w:szCs w:val="10"/>
          <w:highlight w:val="yellow"/>
        </w:rPr>
      </w:pPr>
    </w:p>
    <w:p>
      <w:pPr>
        <w:pStyle w:val="a5"/>
        <w:spacing w:after="0"/>
        <w:ind w:firstLine="709"/>
        <w:jc w:val="both"/>
        <w:rPr>
          <w:sz w:val="24"/>
          <w:szCs w:val="24"/>
        </w:rPr>
      </w:pPr>
      <w:r>
        <w:rPr>
          <w:sz w:val="24"/>
          <w:szCs w:val="24"/>
        </w:rPr>
        <w:t>4. Обеспечено выполнение Указов Президента Российской Федерации (далее – Указов):</w:t>
      </w:r>
    </w:p>
    <w:p>
      <w:pPr>
        <w:pStyle w:val="a5"/>
        <w:spacing w:after="0"/>
        <w:jc w:val="both"/>
        <w:rPr>
          <w:sz w:val="24"/>
          <w:szCs w:val="24"/>
        </w:rPr>
      </w:pPr>
      <w:r>
        <w:rPr>
          <w:sz w:val="24"/>
          <w:szCs w:val="24"/>
        </w:rPr>
        <w:t xml:space="preserve"> </w:t>
      </w:r>
      <w:r>
        <w:rPr>
          <w:sz w:val="24"/>
          <w:szCs w:val="24"/>
        </w:rPr>
        <w:tab/>
        <w:t>4.1. От 7 мая 2012 года в целях реализации:</w:t>
      </w:r>
    </w:p>
    <w:p>
      <w:pPr>
        <w:autoSpaceDE w:val="0"/>
        <w:autoSpaceDN w:val="0"/>
        <w:adjustRightInd w:val="0"/>
        <w:ind w:firstLine="709"/>
        <w:jc w:val="both"/>
        <w:outlineLvl w:val="1"/>
        <w:rPr>
          <w:sz w:val="24"/>
          <w:szCs w:val="24"/>
        </w:rPr>
      </w:pPr>
      <w:r>
        <w:rPr>
          <w:sz w:val="24"/>
          <w:szCs w:val="24"/>
        </w:rPr>
        <w:t>4.1.1. Указа № 597 «О мероприятиях по реализации государственной социальной политики» по обеспечению достижения уровня заработной платы работников бюджетной сферы и иных целевых индикаторов, предусмотренных «дорожными картами» повышена средняя заработная плата педагогических работников - в общеобразовательных организациях она составила 42,3 тыс.руб.; в дошкольных образовательных организациях -  39,6 тыс.руб.; в организациях дополнительного образования детей спортивной направленности - 44,1 тыс.руб., художественно-эстетической направленности – 39,9 тыс.руб.; в учреждениях культуры - 35,1 тыс.руб.;</w:t>
      </w:r>
    </w:p>
    <w:p>
      <w:pPr>
        <w:autoSpaceDE w:val="0"/>
        <w:autoSpaceDN w:val="0"/>
        <w:adjustRightInd w:val="0"/>
        <w:ind w:firstLine="708"/>
        <w:jc w:val="both"/>
        <w:outlineLvl w:val="1"/>
        <w:rPr>
          <w:sz w:val="24"/>
          <w:szCs w:val="24"/>
        </w:rPr>
      </w:pPr>
      <w:r>
        <w:rPr>
          <w:sz w:val="24"/>
          <w:szCs w:val="24"/>
        </w:rPr>
        <w:t>4.1.2. Указа № 600 «О мерах по обеспечению граждан Российской Федерации доступным и комфортным жильем и повышению качества жилищно-коммунальных услуг»:</w:t>
      </w:r>
    </w:p>
    <w:p>
      <w:pPr>
        <w:autoSpaceDE w:val="0"/>
        <w:autoSpaceDN w:val="0"/>
        <w:adjustRightInd w:val="0"/>
        <w:ind w:firstLine="708"/>
        <w:jc w:val="both"/>
        <w:outlineLvl w:val="1"/>
        <w:rPr>
          <w:sz w:val="24"/>
          <w:szCs w:val="24"/>
        </w:rPr>
      </w:pPr>
      <w:r>
        <w:rPr>
          <w:sz w:val="24"/>
          <w:szCs w:val="24"/>
        </w:rPr>
        <w:t xml:space="preserve">- оказана поддержка молодым семьям в приобретении жилья в общей сумме </w:t>
      </w:r>
      <w:r>
        <w:rPr>
          <w:sz w:val="24"/>
          <w:szCs w:val="24"/>
        </w:rPr>
        <w:br w:type="textWrapping" w:clear="all"/>
      </w:r>
      <w:r>
        <w:rPr>
          <w:bCs/>
          <w:sz w:val="24"/>
          <w:szCs w:val="24"/>
        </w:rPr>
        <w:t>14 555,52 тыс.руб</w:t>
      </w:r>
      <w:r>
        <w:rPr>
          <w:sz w:val="24"/>
          <w:szCs w:val="24"/>
        </w:rPr>
        <w:t xml:space="preserve"> тыс.руб. (из которых 4 028,58 тыс.руб. - средства местного бюджета), </w:t>
      </w:r>
    </w:p>
    <w:p>
      <w:pPr>
        <w:autoSpaceDE w:val="0"/>
        <w:autoSpaceDN w:val="0"/>
        <w:adjustRightInd w:val="0"/>
        <w:ind w:firstLine="708"/>
        <w:jc w:val="both"/>
        <w:outlineLvl w:val="1"/>
        <w:rPr>
          <w:sz w:val="24"/>
          <w:szCs w:val="24"/>
        </w:rPr>
      </w:pPr>
      <w:r>
        <w:rPr>
          <w:sz w:val="24"/>
          <w:szCs w:val="24"/>
        </w:rPr>
        <w:t>- оказана поддержка в ремонте жилых помещений ветеранам Великой Отечественной войны и приравненных к ним категорий в общей сумме 2 019,24 тыс.руб., (из которых 1 009,62 тыс.руб. - средства местного бюджета),</w:t>
      </w:r>
    </w:p>
    <w:p>
      <w:pPr>
        <w:autoSpaceDE w:val="0"/>
        <w:autoSpaceDN w:val="0"/>
        <w:adjustRightInd w:val="0"/>
        <w:ind w:firstLine="708"/>
        <w:jc w:val="both"/>
        <w:outlineLvl w:val="1"/>
        <w:rPr>
          <w:sz w:val="24"/>
          <w:szCs w:val="24"/>
        </w:rPr>
      </w:pPr>
      <w:r>
        <w:rPr>
          <w:sz w:val="24"/>
          <w:szCs w:val="24"/>
        </w:rPr>
        <w:t>- произведены выплаты по взносам за капитальный ремонт жилых помещений за муниципальное жилье в общей сумме 10 384,32 тыс.руб.,</w:t>
      </w:r>
    </w:p>
    <w:p>
      <w:pPr>
        <w:autoSpaceDE w:val="0"/>
        <w:autoSpaceDN w:val="0"/>
        <w:adjustRightInd w:val="0"/>
        <w:ind w:firstLine="708"/>
        <w:jc w:val="both"/>
        <w:outlineLvl w:val="1"/>
        <w:rPr>
          <w:sz w:val="24"/>
          <w:szCs w:val="24"/>
        </w:rPr>
      </w:pPr>
      <w:r>
        <w:rPr>
          <w:sz w:val="24"/>
          <w:szCs w:val="24"/>
        </w:rPr>
        <w:t>- осуществлен капитальный и текущий ремонт муниципального жилищного фонда в сумме 3 463,86 тыс. руб.</w:t>
      </w:r>
    </w:p>
    <w:p>
      <w:pPr>
        <w:autoSpaceDE w:val="0"/>
        <w:autoSpaceDN w:val="0"/>
        <w:adjustRightInd w:val="0"/>
        <w:ind w:firstLine="708"/>
        <w:jc w:val="both"/>
        <w:outlineLvl w:val="1"/>
        <w:rPr>
          <w:sz w:val="10"/>
          <w:szCs w:val="10"/>
        </w:rPr>
      </w:pPr>
    </w:p>
    <w:p>
      <w:pPr>
        <w:tabs>
          <w:tab w:val="left" w:pos="0"/>
        </w:tabs>
        <w:jc w:val="both"/>
        <w:rPr>
          <w:sz w:val="24"/>
          <w:szCs w:val="24"/>
        </w:rPr>
      </w:pPr>
      <w:r>
        <w:rPr>
          <w:sz w:val="24"/>
          <w:szCs w:val="24"/>
        </w:rPr>
        <w:tab/>
        <w:t xml:space="preserve">4.2. от 7 мая 2018 года № 204 «О национальных целях и стратегических задачах развития РФ на период до 2024 года»: </w:t>
      </w:r>
    </w:p>
    <w:p>
      <w:pPr>
        <w:tabs>
          <w:tab w:val="left" w:pos="0"/>
        </w:tabs>
        <w:ind w:firstLine="709"/>
        <w:jc w:val="both"/>
        <w:rPr>
          <w:sz w:val="24"/>
          <w:szCs w:val="24"/>
        </w:rPr>
      </w:pPr>
      <w:r>
        <w:rPr>
          <w:sz w:val="24"/>
          <w:szCs w:val="24"/>
        </w:rPr>
        <w:t xml:space="preserve">В 2021 году ЗАТО Северск участвовало в 5 национальных проектах через шесть интегрированных региональных проектов таких, как «Спорт – норма жизни»,  «Цифровая образовательная среда», «Формирование комфортной городской среды», «Дорожная сеть», «Культурная среда», «Успех каждого ребенка». </w:t>
      </w:r>
    </w:p>
    <w:p>
      <w:pPr>
        <w:tabs>
          <w:tab w:val="left" w:pos="0"/>
        </w:tabs>
        <w:ind w:firstLine="709"/>
        <w:jc w:val="both"/>
        <w:rPr>
          <w:sz w:val="24"/>
          <w:szCs w:val="24"/>
        </w:rPr>
      </w:pPr>
      <w:r>
        <w:rPr>
          <w:sz w:val="24"/>
          <w:szCs w:val="24"/>
        </w:rPr>
        <w:t xml:space="preserve">За отчетный год по указанным проектам реализовано мероприятий на общую сумму 252 953,80 тыс.руб., в т.ч. за счет средств федерального бюджета на </w:t>
      </w:r>
      <w:r>
        <w:rPr>
          <w:sz w:val="24"/>
          <w:szCs w:val="24"/>
        </w:rPr>
        <w:lastRenderedPageBreak/>
        <w:t xml:space="preserve">145 732,12 тыс.руб. или 57%; областного бюджета – 52 524,68 тыс.руб. или 21% и местного бюджета – 54 697,00 тыс.руб. или 22%. </w:t>
      </w:r>
    </w:p>
    <w:p>
      <w:pPr>
        <w:tabs>
          <w:tab w:val="left" w:pos="0"/>
        </w:tabs>
        <w:ind w:firstLine="709"/>
        <w:jc w:val="both"/>
        <w:rPr>
          <w:sz w:val="24"/>
          <w:szCs w:val="24"/>
        </w:rPr>
      </w:pPr>
    </w:p>
    <w:p>
      <w:pPr>
        <w:tabs>
          <w:tab w:val="left" w:pos="0"/>
        </w:tabs>
        <w:jc w:val="both"/>
        <w:rPr>
          <w:sz w:val="24"/>
          <w:szCs w:val="24"/>
        </w:rPr>
      </w:pPr>
      <w:r>
        <w:rPr>
          <w:noProof/>
        </w:rPr>
        <mc:AlternateContent>
          <mc:Choice Requires="wps">
            <w:drawing>
              <wp:anchor distT="0" distB="0" distL="114300" distR="114300" simplePos="0" relativeHeight="251670528" behindDoc="0" locked="0" layoutInCell="1" allowOverlap="1">
                <wp:simplePos x="0" y="0"/>
                <wp:positionH relativeFrom="column">
                  <wp:posOffset>2467610</wp:posOffset>
                </wp:positionH>
                <wp:positionV relativeFrom="paragraph">
                  <wp:posOffset>1171575</wp:posOffset>
                </wp:positionV>
                <wp:extent cx="685800" cy="434340"/>
                <wp:effectExtent l="0" t="0" r="0" b="0"/>
                <wp:wrapNone/>
                <wp:docPr id="8"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434340"/>
                        </a:xfrm>
                        <a:prstGeom prst="rect">
                          <a:avLst/>
                        </a:prstGeom>
                      </wps:spPr>
                      <wps:txbx>
                        <w:txbxContent>
                          <w:p>
                            <w:pPr>
                              <w:pStyle w:val="afc"/>
                              <w:spacing w:before="0" w:beforeAutospacing="0" w:after="0" w:afterAutospacing="0"/>
                              <w:jc w:val="center"/>
                              <w:rPr>
                                <w:color w:val="FFFFFF"/>
                              </w:rPr>
                            </w:pPr>
                            <w:r>
                              <w:rPr>
                                <w:b/>
                                <w:bCs/>
                                <w:color w:val="FFFFFF"/>
                              </w:rPr>
                              <w:t>145,7</w:t>
                            </w:r>
                            <w:r>
                              <w:rPr>
                                <w:b/>
                                <w:bCs/>
                                <w:color w:val="FFFFFF"/>
                                <w:sz w:val="20"/>
                                <w:szCs w:val="20"/>
                              </w:rPr>
                              <w:t xml:space="preserve"> </w:t>
                            </w:r>
                          </w:p>
                          <w:p>
                            <w:pPr>
                              <w:pStyle w:val="afc"/>
                              <w:spacing w:before="0" w:beforeAutospacing="0" w:after="0" w:afterAutospacing="0"/>
                              <w:jc w:val="center"/>
                              <w:rPr>
                                <w:color w:val="FFFFFF"/>
                              </w:rPr>
                            </w:pPr>
                            <w:r>
                              <w:rPr>
                                <w:b/>
                                <w:bCs/>
                                <w:color w:val="FFFFFF"/>
                                <w:sz w:val="20"/>
                                <w:szCs w:val="20"/>
                              </w:rPr>
                              <w:t>млн руб.</w:t>
                            </w:r>
                          </w:p>
                        </w:txbxContent>
                      </wps:txbx>
                      <wps:bodyPr wrap="square" rtlCol="0"/>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194.3pt;margin-top:92.25pt;width:54pt;height:3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" filled="f" stroked="f">
                <v:path arrowok="t"/>
                <v:textbox>
                  <w:txbxContent>
                    <w:p>
                      <w:pPr>
                        <w:pStyle w:val="afc"/>
                        <w:spacing w:before="0" w:beforeAutospacing="0" w:after="0" w:afterAutospacing="0"/>
                        <w:jc w:val="center"/>
                        <w:rPr>
                          <w:color w:val="FFFFFF"/>
                        </w:rPr>
                      </w:pPr>
                      <w:r>
                        <w:rPr>
                          <w:b/>
                          <w:bCs/>
                          <w:color w:val="FFFFFF"/>
                        </w:rPr>
                        <w:t>145,7</w:t>
                      </w:r>
                      <w:r>
                        <w:rPr>
                          <w:b/>
                          <w:bCs/>
                          <w:color w:val="FFFFFF"/>
                          <w:sz w:val="20"/>
                          <w:szCs w:val="20"/>
                        </w:rPr>
                        <w:t xml:space="preserve"> </w:t>
                      </w:r>
                    </w:p>
                    <w:p>
                      <w:pPr>
                        <w:pStyle w:val="afc"/>
                        <w:spacing w:before="0" w:beforeAutospacing="0" w:after="0" w:afterAutospacing="0"/>
                        <w:jc w:val="center"/>
                        <w:rPr>
                          <w:color w:val="FFFFFF"/>
                        </w:rPr>
                      </w:pPr>
                      <w:r>
                        <w:rPr>
                          <w:b/>
                          <w:bCs/>
                          <w:color w:val="FFFFFF"/>
                          <w:sz w:val="20"/>
                          <w:szCs w:val="20"/>
                        </w:rPr>
                        <w:t>млн руб.</w:t>
                      </w:r>
                    </w:p>
                  </w:txbxContent>
                </v:textbox>
              </v:shape>
            </w:pict>
          </mc:Fallback>
        </mc:AlternateContent>
      </w:r>
      <w:r>
        <w:rPr>
          <w:noProof/>
        </w:rPr>
        <mc:AlternateContent>
          <mc:Choice Requires="wps">
            <w:drawing>
              <wp:anchor distT="0" distB="0" distL="114300" distR="114300" simplePos="0" relativeHeight="251669504" behindDoc="0" locked="0" layoutInCell="1" allowOverlap="1">
                <wp:simplePos x="0" y="0"/>
                <wp:positionH relativeFrom="column">
                  <wp:posOffset>918210</wp:posOffset>
                </wp:positionH>
                <wp:positionV relativeFrom="paragraph">
                  <wp:posOffset>1544320</wp:posOffset>
                </wp:positionV>
                <wp:extent cx="685800" cy="434340"/>
                <wp:effectExtent l="0" t="0" r="0" b="0"/>
                <wp:wrapNone/>
                <wp:docPr id="7"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434340"/>
                        </a:xfrm>
                        <a:prstGeom prst="rect">
                          <a:avLst/>
                        </a:prstGeom>
                      </wps:spPr>
                      <wps:txbx>
                        <w:txbxContent>
                          <w:p>
                            <w:pPr>
                              <w:pStyle w:val="afc"/>
                              <w:spacing w:before="0" w:beforeAutospacing="0" w:after="0" w:afterAutospacing="0"/>
                              <w:jc w:val="center"/>
                              <w:rPr>
                                <w:color w:val="FFFFFF"/>
                              </w:rPr>
                            </w:pPr>
                            <w:r>
                              <w:rPr>
                                <w:b/>
                                <w:bCs/>
                                <w:color w:val="FFFFFF"/>
                              </w:rPr>
                              <w:t>52,5</w:t>
                            </w:r>
                            <w:r>
                              <w:rPr>
                                <w:b/>
                                <w:bCs/>
                                <w:color w:val="FFFFFF"/>
                                <w:sz w:val="20"/>
                                <w:szCs w:val="20"/>
                              </w:rPr>
                              <w:t xml:space="preserve"> </w:t>
                            </w:r>
                          </w:p>
                          <w:p>
                            <w:pPr>
                              <w:pStyle w:val="afc"/>
                              <w:spacing w:before="0" w:beforeAutospacing="0" w:after="0" w:afterAutospacing="0"/>
                              <w:jc w:val="center"/>
                              <w:rPr>
                                <w:color w:val="FFFFFF"/>
                              </w:rPr>
                            </w:pPr>
                            <w:r>
                              <w:rPr>
                                <w:b/>
                                <w:bCs/>
                                <w:color w:val="FFFFFF"/>
                                <w:sz w:val="20"/>
                                <w:szCs w:val="20"/>
                              </w:rPr>
                              <w:t>млн руб.</w:t>
                            </w:r>
                          </w:p>
                        </w:txbxContent>
                      </wps:txbx>
                      <wps:bodyPr wrap="square" rtlCol="0"/>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72.3pt;margin-top:121.6pt;width:54pt;height:3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" filled="f" stroked="f">
                <v:path arrowok="t"/>
                <v:textbox>
                  <w:txbxContent>
                    <w:p>
                      <w:pPr>
                        <w:pStyle w:val="afc"/>
                        <w:spacing w:before="0" w:beforeAutospacing="0" w:after="0" w:afterAutospacing="0"/>
                        <w:jc w:val="center"/>
                        <w:rPr>
                          <w:color w:val="FFFFFF"/>
                        </w:rPr>
                      </w:pPr>
                      <w:r>
                        <w:rPr>
                          <w:b/>
                          <w:bCs/>
                          <w:color w:val="FFFFFF"/>
                        </w:rPr>
                        <w:t>52,5</w:t>
                      </w:r>
                      <w:r>
                        <w:rPr>
                          <w:b/>
                          <w:bCs/>
                          <w:color w:val="FFFFFF"/>
                          <w:sz w:val="20"/>
                          <w:szCs w:val="20"/>
                        </w:rPr>
                        <w:t xml:space="preserve"> </w:t>
                      </w:r>
                    </w:p>
                    <w:p>
                      <w:pPr>
                        <w:pStyle w:val="afc"/>
                        <w:spacing w:before="0" w:beforeAutospacing="0" w:after="0" w:afterAutospacing="0"/>
                        <w:jc w:val="center"/>
                        <w:rPr>
                          <w:color w:val="FFFFFF"/>
                        </w:rPr>
                      </w:pPr>
                      <w:r>
                        <w:rPr>
                          <w:b/>
                          <w:bCs/>
                          <w:color w:val="FFFFFF"/>
                          <w:sz w:val="20"/>
                          <w:szCs w:val="20"/>
                        </w:rPr>
                        <w:t>млн руб.</w:t>
                      </w:r>
                    </w:p>
                  </w:txbxContent>
                </v:textbox>
              </v:shape>
            </w:pict>
          </mc:Fallback>
        </mc:AlternateContent>
      </w:r>
      <w:r>
        <w:rPr>
          <w:noProof/>
        </w:rPr>
        <mc:AlternateContent>
          <mc:Choice Requires="wps">
            <w:drawing>
              <wp:anchor distT="0" distB="0" distL="114300" distR="114300" simplePos="0" relativeHeight="251668480" behindDoc="0" locked="0" layoutInCell="1" allowOverlap="1">
                <wp:simplePos x="0" y="0"/>
                <wp:positionH relativeFrom="column">
                  <wp:posOffset>1134110</wp:posOffset>
                </wp:positionH>
                <wp:positionV relativeFrom="paragraph">
                  <wp:posOffset>520700</wp:posOffset>
                </wp:positionV>
                <wp:extent cx="685800" cy="434340"/>
                <wp:effectExtent l="0" t="0" r="0" b="0"/>
                <wp:wrapNone/>
                <wp:docPr id="4"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434340"/>
                        </a:xfrm>
                        <a:prstGeom prst="rect">
                          <a:avLst/>
                        </a:prstGeom>
                      </wps:spPr>
                      <wps:txbx>
                        <w:txbxContent>
                          <w:p>
                            <w:pPr>
                              <w:pStyle w:val="afc"/>
                              <w:spacing w:before="0" w:beforeAutospacing="0" w:after="0" w:afterAutospacing="0"/>
                              <w:jc w:val="center"/>
                              <w:rPr>
                                <w:color w:val="FFFFFF"/>
                              </w:rPr>
                            </w:pPr>
                            <w:r>
                              <w:rPr>
                                <w:b/>
                                <w:bCs/>
                                <w:color w:val="FFFFFF"/>
                              </w:rPr>
                              <w:t>54,7</w:t>
                            </w:r>
                            <w:r>
                              <w:rPr>
                                <w:b/>
                                <w:bCs/>
                                <w:color w:val="FFFFFF"/>
                                <w:sz w:val="20"/>
                                <w:szCs w:val="20"/>
                              </w:rPr>
                              <w:t xml:space="preserve"> </w:t>
                            </w:r>
                          </w:p>
                          <w:p>
                            <w:pPr>
                              <w:pStyle w:val="afc"/>
                              <w:spacing w:before="0" w:beforeAutospacing="0" w:after="0" w:afterAutospacing="0"/>
                              <w:jc w:val="center"/>
                              <w:rPr>
                                <w:color w:val="FFFFFF"/>
                              </w:rPr>
                            </w:pPr>
                            <w:r>
                              <w:rPr>
                                <w:b/>
                                <w:bCs/>
                                <w:color w:val="FFFFFF"/>
                                <w:sz w:val="20"/>
                                <w:szCs w:val="20"/>
                              </w:rPr>
                              <w:t>млн руб.</w:t>
                            </w:r>
                          </w:p>
                        </w:txbxContent>
                      </wps:txbx>
                      <wps:bodyPr wrap="square" rtlCol="0"/>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89.3pt;margin-top:41pt;width:54pt;height:3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" filled="f" stroked="f">
                <v:path arrowok="t"/>
                <v:textbox>
                  <w:txbxContent>
                    <w:p>
                      <w:pPr>
                        <w:pStyle w:val="afc"/>
                        <w:spacing w:before="0" w:beforeAutospacing="0" w:after="0" w:afterAutospacing="0"/>
                        <w:jc w:val="center"/>
                        <w:rPr>
                          <w:color w:val="FFFFFF"/>
                        </w:rPr>
                      </w:pPr>
                      <w:r>
                        <w:rPr>
                          <w:b/>
                          <w:bCs/>
                          <w:color w:val="FFFFFF"/>
                        </w:rPr>
                        <w:t>54,7</w:t>
                      </w:r>
                      <w:r>
                        <w:rPr>
                          <w:b/>
                          <w:bCs/>
                          <w:color w:val="FFFFFF"/>
                          <w:sz w:val="20"/>
                          <w:szCs w:val="20"/>
                        </w:rPr>
                        <w:t xml:space="preserve"> </w:t>
                      </w:r>
                    </w:p>
                    <w:p>
                      <w:pPr>
                        <w:pStyle w:val="afc"/>
                        <w:spacing w:before="0" w:beforeAutospacing="0" w:after="0" w:afterAutospacing="0"/>
                        <w:jc w:val="center"/>
                        <w:rPr>
                          <w:color w:val="FFFFFF"/>
                        </w:rPr>
                      </w:pPr>
                      <w:r>
                        <w:rPr>
                          <w:b/>
                          <w:bCs/>
                          <w:color w:val="FFFFFF"/>
                          <w:sz w:val="20"/>
                          <w:szCs w:val="20"/>
                        </w:rPr>
                        <w:t>млн руб.</w:t>
                      </w:r>
                    </w:p>
                  </w:txbxContent>
                </v:textbox>
              </v:shape>
            </w:pict>
          </mc:Fallback>
        </mc:AlternateContent>
      </w:r>
      <w:r>
        <w:rPr>
          <w:sz w:val="24"/>
          <w:szCs w:val="24"/>
        </w:rPr>
        <w:object w:dxaOrig="9621" w:dyaOrig="4600">
          <v:shape id="_x0000_i1027" type="#_x0000_t75" style="width:481.35pt;height:230pt" o:ole="">
            <v:imagedata r:id="rId12" o:title=""/>
          </v:shape>
          <o:OLEObject Type="Embed" ProgID="Excel.Sheet.12" ShapeID="_x0000_i1027" DrawAspect="Content" ObjectID="_1707991220" r:id="rId13"/>
        </w:object>
      </w:r>
    </w:p>
    <w:p>
      <w:pPr>
        <w:tabs>
          <w:tab w:val="left" w:pos="0"/>
        </w:tabs>
        <w:jc w:val="center"/>
        <w:rPr>
          <w:sz w:val="24"/>
          <w:szCs w:val="24"/>
        </w:rPr>
      </w:pPr>
      <w:r>
        <w:rPr>
          <w:sz w:val="24"/>
          <w:szCs w:val="24"/>
        </w:rPr>
        <w:t>Рисунок 3. Структура расходов бюджета ЗАТО Северск на реализацию национальных проектов по источникам финансирования в 2021 году</w:t>
      </w:r>
    </w:p>
    <w:p>
      <w:pPr>
        <w:tabs>
          <w:tab w:val="left" w:pos="0"/>
        </w:tabs>
        <w:jc w:val="center"/>
        <w:rPr>
          <w:sz w:val="24"/>
          <w:szCs w:val="24"/>
        </w:rPr>
      </w:pPr>
    </w:p>
    <w:p>
      <w:pPr>
        <w:pStyle w:val="ConsPlusNormal"/>
        <w:ind w:firstLine="709"/>
        <w:jc w:val="both"/>
      </w:pPr>
      <w:r>
        <w:t xml:space="preserve">5.  Реализован механизм исполнения бюджета ЗАТО Северск по программно-целевому принципу на базе 19 программ, в т.ч. 18 муниципальных программ и Программы комплексного развития систем коммунальной и инженерной инфраструктуры. </w:t>
      </w:r>
    </w:p>
    <w:p>
      <w:pPr>
        <w:pStyle w:val="ConsPlusNormal"/>
        <w:ind w:firstLine="709"/>
        <w:jc w:val="both"/>
      </w:pPr>
      <w:r>
        <w:t xml:space="preserve">Доля программных расходов бюджета ЗАТО Северск составила 94,4 %. </w:t>
      </w:r>
    </w:p>
    <w:p>
      <w:pPr>
        <w:autoSpaceDE w:val="0"/>
        <w:autoSpaceDN w:val="0"/>
        <w:adjustRightInd w:val="0"/>
        <w:ind w:firstLine="709"/>
        <w:jc w:val="both"/>
        <w:rPr>
          <w:sz w:val="24"/>
          <w:szCs w:val="24"/>
        </w:rPr>
      </w:pPr>
      <w:r>
        <w:rPr>
          <w:sz w:val="24"/>
          <w:szCs w:val="24"/>
        </w:rPr>
        <w:t xml:space="preserve">6. Финансовое обеспечение выполнения муниципальных заданий осуществлялось в соответствии с расчетными нормативными затратами, на основании базовых нормативных затрат и корректирующих коэффициентов к ним. </w:t>
      </w:r>
    </w:p>
    <w:p>
      <w:pPr>
        <w:pStyle w:val="af8"/>
        <w:tabs>
          <w:tab w:val="left" w:pos="993"/>
        </w:tabs>
        <w:ind w:left="0" w:firstLine="709"/>
        <w:jc w:val="both"/>
        <w:rPr>
          <w:sz w:val="24"/>
          <w:szCs w:val="24"/>
        </w:rPr>
      </w:pPr>
      <w:r>
        <w:rPr>
          <w:sz w:val="24"/>
          <w:szCs w:val="24"/>
        </w:rPr>
        <w:t xml:space="preserve">В соответствии с требованиями части 3 статьи 69.2 Бюджетного кодекса РФ муниципальные задания в 2021 году формировались на услуги и работы, вошедшие в общегосударственные перечни (классификаторы) государственных (муниципальных) услуг и работ и региональный перечень (классификатор) государственных (муниципальных) услуг и работ, утвержденный распоряжением Администрации Томской области от 28.12.2017 № 821-ра «Об утверждении регионального перечня (классификатора) государственных (муниципальных) услуг и работ». </w:t>
      </w:r>
    </w:p>
    <w:p>
      <w:pPr>
        <w:pStyle w:val="af8"/>
        <w:tabs>
          <w:tab w:val="left" w:pos="993"/>
        </w:tabs>
        <w:ind w:left="0" w:firstLine="709"/>
        <w:jc w:val="both"/>
        <w:rPr>
          <w:sz w:val="10"/>
          <w:szCs w:val="10"/>
          <w:highlight w:val="yellow"/>
        </w:rPr>
      </w:pPr>
    </w:p>
    <w:p>
      <w:pPr>
        <w:pStyle w:val="a5"/>
        <w:spacing w:after="0"/>
        <w:ind w:firstLine="709"/>
        <w:jc w:val="both"/>
        <w:rPr>
          <w:sz w:val="24"/>
          <w:szCs w:val="24"/>
        </w:rPr>
      </w:pPr>
      <w:r>
        <w:rPr>
          <w:sz w:val="24"/>
          <w:szCs w:val="24"/>
        </w:rPr>
        <w:t>7.</w:t>
      </w:r>
      <w:r>
        <w:rPr>
          <w:sz w:val="24"/>
          <w:szCs w:val="24"/>
          <w:lang w:val="en-US"/>
        </w:rPr>
        <w:t> </w:t>
      </w:r>
      <w:r>
        <w:rPr>
          <w:sz w:val="24"/>
          <w:szCs w:val="24"/>
        </w:rPr>
        <w:t>Для решения задачи по обеспечению высокого качества управления бюджетным процессом:</w:t>
      </w:r>
    </w:p>
    <w:p>
      <w:pPr>
        <w:tabs>
          <w:tab w:val="left" w:pos="284"/>
          <w:tab w:val="left" w:pos="567"/>
          <w:tab w:val="left" w:pos="709"/>
          <w:tab w:val="left" w:pos="993"/>
        </w:tabs>
        <w:jc w:val="both"/>
        <w:rPr>
          <w:sz w:val="24"/>
          <w:szCs w:val="24"/>
        </w:rPr>
      </w:pPr>
      <w:r>
        <w:rPr>
          <w:sz w:val="24"/>
          <w:szCs w:val="24"/>
        </w:rPr>
        <w:tab/>
      </w:r>
      <w:r>
        <w:rPr>
          <w:sz w:val="24"/>
          <w:szCs w:val="24"/>
        </w:rPr>
        <w:tab/>
      </w:r>
      <w:r>
        <w:rPr>
          <w:sz w:val="24"/>
          <w:szCs w:val="24"/>
        </w:rPr>
        <w:tab/>
        <w:t>7.1. Соблюдены требования бюджетного законодательства Российской Федерации и Томской области в части не принятия новых расходных обязательств, не обеспеченных реальными источниками финансирования;</w:t>
      </w:r>
    </w:p>
    <w:p>
      <w:pPr>
        <w:autoSpaceDE w:val="0"/>
        <w:autoSpaceDN w:val="0"/>
        <w:adjustRightInd w:val="0"/>
        <w:ind w:firstLine="709"/>
        <w:jc w:val="both"/>
        <w:outlineLvl w:val="1"/>
        <w:rPr>
          <w:sz w:val="24"/>
          <w:szCs w:val="24"/>
        </w:rPr>
      </w:pPr>
      <w:r>
        <w:rPr>
          <w:sz w:val="24"/>
          <w:szCs w:val="24"/>
        </w:rPr>
        <w:t>7.2.  В 2021 году проведена оценка финансового менеджмента по шести направлениям и двум группам главных администраторов бюджетных средств (далее -  ГАБС), учитывающим наличие или отсутствие подведомственных муниципальных учреждений и участие в муниципальных программах.</w:t>
      </w:r>
    </w:p>
    <w:p>
      <w:pPr>
        <w:autoSpaceDE w:val="0"/>
        <w:autoSpaceDN w:val="0"/>
        <w:adjustRightInd w:val="0"/>
        <w:ind w:firstLine="709"/>
        <w:jc w:val="both"/>
        <w:outlineLvl w:val="1"/>
        <w:rPr>
          <w:sz w:val="24"/>
          <w:szCs w:val="24"/>
        </w:rPr>
      </w:pPr>
      <w:r>
        <w:rPr>
          <w:sz w:val="24"/>
          <w:szCs w:val="24"/>
        </w:rPr>
        <w:t xml:space="preserve">Мониторинг качества финансового менеджмента выполнен по десяти ГАБС. Результаты рейтинга ГАБС по качеству финансового менеджмента за 2020 год размещены на официальном сайте Администрации ЗАТО Северск в сети Интернет. </w:t>
      </w:r>
    </w:p>
    <w:p>
      <w:pPr>
        <w:ind w:firstLine="709"/>
        <w:jc w:val="both"/>
        <w:rPr>
          <w:sz w:val="10"/>
          <w:szCs w:val="10"/>
          <w:highlight w:val="yellow"/>
        </w:rPr>
      </w:pPr>
    </w:p>
    <w:p>
      <w:pPr>
        <w:ind w:firstLine="709"/>
        <w:jc w:val="both"/>
        <w:rPr>
          <w:color w:val="000000"/>
          <w:sz w:val="24"/>
          <w:szCs w:val="24"/>
        </w:rPr>
      </w:pPr>
      <w:r>
        <w:rPr>
          <w:sz w:val="24"/>
          <w:szCs w:val="24"/>
        </w:rPr>
        <w:t xml:space="preserve">8. Для устойчивого финансового обеспечения дорожной деятельности в отношении автомобильных дорог общего пользования в составе бюджета ЗАТО Северск с 2012 года консолидирован муниципальный дорожный фонд. Бюджетные ассигнования Дорожного фонда составили 386 507,56 тыс.руб., что на </w:t>
      </w:r>
      <w:r>
        <w:rPr>
          <w:color w:val="000000"/>
          <w:sz w:val="24"/>
          <w:szCs w:val="24"/>
        </w:rPr>
        <w:t xml:space="preserve">13,1% больше, чем в 2020 году. </w:t>
      </w:r>
    </w:p>
    <w:p>
      <w:pPr>
        <w:ind w:firstLine="709"/>
        <w:jc w:val="both"/>
        <w:rPr>
          <w:sz w:val="10"/>
          <w:szCs w:val="10"/>
        </w:rPr>
      </w:pPr>
    </w:p>
    <w:p>
      <w:pPr>
        <w:pStyle w:val="a5"/>
        <w:tabs>
          <w:tab w:val="left" w:pos="709"/>
        </w:tabs>
        <w:spacing w:after="0"/>
        <w:ind w:firstLine="709"/>
        <w:jc w:val="both"/>
        <w:rPr>
          <w:sz w:val="24"/>
          <w:szCs w:val="24"/>
        </w:rPr>
      </w:pPr>
      <w:r>
        <w:rPr>
          <w:sz w:val="24"/>
          <w:szCs w:val="24"/>
        </w:rPr>
        <w:lastRenderedPageBreak/>
        <w:t>9.</w:t>
      </w:r>
      <w:r>
        <w:rPr>
          <w:sz w:val="24"/>
          <w:szCs w:val="24"/>
          <w:lang w:val="en-US"/>
        </w:rPr>
        <w:t> </w:t>
      </w:r>
      <w:r>
        <w:rPr>
          <w:sz w:val="24"/>
          <w:szCs w:val="24"/>
        </w:rPr>
        <w:t>Для решения задачи по повышению уровня автоматизации финансового и управленческого учета продолжена промышленная эксплуатация информационных систем «АЦК-Финансы», «АЦК-Планирование». В 2021 году формирование проекта бюджета ЗАТО Северск на 2022 год и на плановый период 2023 и 2024 годов осуществляется в системе «АЦК -  планирование».</w:t>
      </w:r>
    </w:p>
    <w:p>
      <w:pPr>
        <w:pStyle w:val="a5"/>
        <w:tabs>
          <w:tab w:val="left" w:pos="709"/>
        </w:tabs>
        <w:spacing w:after="0"/>
        <w:jc w:val="both"/>
        <w:rPr>
          <w:sz w:val="10"/>
          <w:szCs w:val="10"/>
          <w:highlight w:val="yellow"/>
        </w:rPr>
      </w:pPr>
    </w:p>
    <w:p>
      <w:pPr>
        <w:ind w:firstLine="709"/>
        <w:jc w:val="both"/>
        <w:rPr>
          <w:sz w:val="24"/>
          <w:szCs w:val="24"/>
        </w:rPr>
      </w:pPr>
      <w:r>
        <w:rPr>
          <w:sz w:val="24"/>
          <w:szCs w:val="24"/>
        </w:rPr>
        <w:t>10. В целях повышения прозрачности и открытости информации о бюджете и бюджетном процессе ЗАТО Северск:</w:t>
      </w:r>
    </w:p>
    <w:p>
      <w:pPr>
        <w:ind w:firstLine="709"/>
        <w:jc w:val="both"/>
        <w:rPr>
          <w:sz w:val="24"/>
          <w:szCs w:val="24"/>
          <w:highlight w:val="yellow"/>
        </w:rPr>
      </w:pPr>
      <w:r>
        <w:rPr>
          <w:sz w:val="24"/>
          <w:szCs w:val="24"/>
        </w:rPr>
        <w:t>10.1. В соответствии с приказом Минфина России от 28.12.2016 № 243н «О составе и порядке размещения и предоставления информации на едином портале бюджетной системы Российской Федерации» осуществлялось размещение информации на официальном портале «Электронный бюджет» обо всех этапах бюджетного процесса ЗАТО Северск. Для автоматизации процесса формирования формуляров с использованием системы «АЦК» в 2021 году внедрен дополнительный модуль системы «АЦК» - «Формирование отчетных форм органа местного самоуправления для размещения на ЕПБС по данным системы «АЦК».</w:t>
      </w:r>
    </w:p>
    <w:p>
      <w:pPr>
        <w:pStyle w:val="ConsPlusNormal"/>
        <w:ind w:firstLine="709"/>
        <w:jc w:val="both"/>
      </w:pPr>
      <w:r>
        <w:t xml:space="preserve">10.2. Для населения на официальном сайте Финансового управления Администрации ЗАТО Северск бюджет для граждан размещался, как по отчету об исполнении бюджета за 2020 год, так и по утвержденному бюджету на 2021-2023 годы, а также по проекту и утвержденному бюджету на 2022-2024 годы. </w:t>
      </w:r>
    </w:p>
    <w:p>
      <w:pPr>
        <w:ind w:firstLine="709"/>
        <w:jc w:val="both"/>
        <w:rPr>
          <w:sz w:val="24"/>
          <w:szCs w:val="24"/>
        </w:rPr>
      </w:pPr>
      <w:r>
        <w:rPr>
          <w:sz w:val="24"/>
          <w:szCs w:val="24"/>
        </w:rPr>
        <w:t xml:space="preserve">10.3. На официальном сайте Администрации ЗАТО Северск ежемесячно публиковалась информация об исполнении местного бюджета. </w:t>
      </w:r>
    </w:p>
    <w:p>
      <w:pPr>
        <w:pStyle w:val="ConsPlusNormal"/>
        <w:ind w:firstLine="709"/>
        <w:jc w:val="both"/>
        <w:rPr>
          <w:highlight w:val="yellow"/>
        </w:rPr>
      </w:pPr>
      <w:r>
        <w:t>10.4. Начиная с 2021 года, в соответствии с распоряжением Департамента финансов Томской области от 13.08.2020 № 14/48-р, в целях повышения прозрачности бюджетного процесса проводится мониторинг и оценка муниципальных образований по уровню открытости бюджетных данных. По результатам мониторинга ЗАТО Северск показал высокий уровень открытости бюджетных данных.</w:t>
      </w:r>
    </w:p>
    <w:p>
      <w:pPr>
        <w:ind w:firstLine="709"/>
        <w:jc w:val="both"/>
        <w:rPr>
          <w:sz w:val="10"/>
          <w:szCs w:val="10"/>
        </w:rPr>
      </w:pPr>
    </w:p>
    <w:p>
      <w:pPr>
        <w:ind w:firstLine="709"/>
        <w:jc w:val="both"/>
        <w:rPr>
          <w:sz w:val="24"/>
          <w:szCs w:val="24"/>
        </w:rPr>
      </w:pPr>
      <w:r>
        <w:rPr>
          <w:sz w:val="24"/>
          <w:szCs w:val="24"/>
        </w:rPr>
        <w:t>11. Бюджет ЗАТО Северск в 2021 году исполнен с учетом реализации мер, направленных на рост доходной части бюджета, в пределах полномочий органов местного самоуправления:</w:t>
      </w:r>
    </w:p>
    <w:p>
      <w:pPr>
        <w:ind w:firstLine="709"/>
        <w:jc w:val="both"/>
        <w:rPr>
          <w:sz w:val="24"/>
          <w:szCs w:val="24"/>
        </w:rPr>
      </w:pPr>
      <w:r>
        <w:rPr>
          <w:sz w:val="24"/>
          <w:szCs w:val="24"/>
        </w:rPr>
        <w:t>11.1. По налогу на имущество физических лиц в 2021 году в бюджет ЗАТО Северск впервые поступил налог на имущество физических лиц, исчисленный за 2020 год исходя из кадастровой стоимости объектов налогообложения. Исчисление налога произведено по ставкам, утвержденным решением Думы ЗАТО Северск от 26.09.2019 № 55/2, с учетом применения установленных на федеральном уровне налоговых вычетов, понижающих коэффициентов и льгот для отдельных категорий налогоплательщиков.</w:t>
      </w:r>
    </w:p>
    <w:p>
      <w:pPr>
        <w:pStyle w:val="ConsPlusNormal"/>
        <w:ind w:firstLine="708"/>
        <w:jc w:val="both"/>
      </w:pPr>
      <w:r>
        <w:t>Переход на исчисление налога имущество физических лиц от кадастровой стоимости имущества, как наиболее приближенной к его рыночной стоимости, направлен на обеспечение реализации принципа справедливого налогообложения.</w:t>
      </w:r>
    </w:p>
    <w:p>
      <w:pPr>
        <w:ind w:firstLine="709"/>
        <w:jc w:val="both"/>
        <w:rPr>
          <w:sz w:val="24"/>
          <w:szCs w:val="24"/>
        </w:rPr>
      </w:pPr>
      <w:r>
        <w:rPr>
          <w:sz w:val="24"/>
          <w:szCs w:val="24"/>
        </w:rPr>
        <w:t>Прирост поступлений в бюджет ЗАТО Северск от уплаты налога в 2021 году по сравнению с 2020 годом составил 7 936,8 тыс.руб.;</w:t>
      </w:r>
    </w:p>
    <w:p>
      <w:pPr>
        <w:ind w:firstLine="709"/>
        <w:jc w:val="both"/>
        <w:rPr>
          <w:sz w:val="24"/>
          <w:szCs w:val="24"/>
        </w:rPr>
      </w:pPr>
      <w:r>
        <w:rPr>
          <w:color w:val="000000"/>
          <w:sz w:val="24"/>
          <w:szCs w:val="24"/>
        </w:rPr>
        <w:t xml:space="preserve">11.2. </w:t>
      </w:r>
      <w:r>
        <w:rPr>
          <w:sz w:val="24"/>
          <w:szCs w:val="24"/>
        </w:rPr>
        <w:t>Изменение законодательства по специальным режимам налогообложения</w:t>
      </w:r>
    </w:p>
    <w:p>
      <w:pPr>
        <w:ind w:firstLine="709"/>
        <w:jc w:val="both"/>
        <w:rPr>
          <w:sz w:val="24"/>
          <w:szCs w:val="24"/>
        </w:rPr>
      </w:pPr>
      <w:r>
        <w:rPr>
          <w:sz w:val="24"/>
          <w:szCs w:val="24"/>
        </w:rPr>
        <w:t>С 1 января 2021 года на территории Российской Федерации отменен специальный налоговый режим в виде единого налога на вмененный доход (далее – ЕНВД). Поступления в бюджет ЗАТО Северск обеспечивались за счет перехода части налогоплательщиков, применявших ЕНВД, на упрощенную и патентную системы налогообложения.</w:t>
      </w:r>
    </w:p>
    <w:p>
      <w:pPr>
        <w:ind w:firstLine="709"/>
        <w:jc w:val="both"/>
        <w:rPr>
          <w:sz w:val="24"/>
          <w:szCs w:val="24"/>
        </w:rPr>
      </w:pPr>
      <w:r>
        <w:rPr>
          <w:sz w:val="24"/>
          <w:szCs w:val="24"/>
        </w:rPr>
        <w:t>Прирост поступлений в бюджет ЗАТО Северск по подгруппе доходов «Налоги на совокупный доход»  в 2021 году по сравнению с 2020 годом составил 14 421,7 тыс.руб.</w:t>
      </w:r>
    </w:p>
    <w:p>
      <w:pPr>
        <w:ind w:firstLine="709"/>
        <w:jc w:val="both"/>
        <w:rPr>
          <w:sz w:val="10"/>
          <w:szCs w:val="10"/>
        </w:rPr>
      </w:pPr>
    </w:p>
    <w:p>
      <w:pPr>
        <w:ind w:firstLine="709"/>
        <w:jc w:val="both"/>
        <w:rPr>
          <w:sz w:val="24"/>
          <w:szCs w:val="24"/>
        </w:rPr>
      </w:pPr>
      <w:r>
        <w:rPr>
          <w:color w:val="000000"/>
          <w:sz w:val="24"/>
          <w:szCs w:val="24"/>
        </w:rPr>
        <w:t>12. В условиях продолжения распространения новой коронавирусной инфекции приоритетным направлением налоговой политики в 2021 году были меры оказания поддержки субъектам малого и среднего предпринимательства (далее - МСП).</w:t>
      </w:r>
    </w:p>
    <w:p>
      <w:pPr>
        <w:ind w:firstLine="709"/>
        <w:jc w:val="both"/>
        <w:rPr>
          <w:sz w:val="24"/>
          <w:szCs w:val="24"/>
        </w:rPr>
      </w:pPr>
      <w:r>
        <w:rPr>
          <w:sz w:val="24"/>
          <w:szCs w:val="24"/>
        </w:rPr>
        <w:t xml:space="preserve">В 2021 году была продолжена работа по формированию благоприятных условий развития малого и среднего предпринимательства и оказанию муниципальной поддержки </w:t>
      </w:r>
      <w:r>
        <w:rPr>
          <w:sz w:val="24"/>
          <w:szCs w:val="24"/>
        </w:rPr>
        <w:lastRenderedPageBreak/>
        <w:t>по улучшению инвестиционного климата и условий ведения бизнеса путем предоставления субъектам МСП финансовой, имущественной, информационной и консультационной поддержки в рамках реализации муниципальной программы «Развитие предпринимательства в ЗАТО Северск» на 2021-2024 годы», утвержденной постановлением Администрации ЗАТО Северск от 22.12.2020 № 2333.</w:t>
      </w:r>
    </w:p>
    <w:p>
      <w:pPr>
        <w:ind w:firstLine="709"/>
        <w:jc w:val="both"/>
        <w:rPr>
          <w:sz w:val="24"/>
          <w:szCs w:val="24"/>
        </w:rPr>
      </w:pPr>
      <w:r>
        <w:rPr>
          <w:sz w:val="24"/>
          <w:szCs w:val="24"/>
        </w:rPr>
        <w:t xml:space="preserve">Имущественная поддержка субъектов МСП оказывалась путем предоставления в аренду на льготных условиях муниципального имущества для ведения предпринимательской деятельности в бизнес-инкубаторе ЗАТО Северск, а также в технопарковой зоне ЗАТО Северск. </w:t>
      </w:r>
    </w:p>
    <w:p>
      <w:pPr>
        <w:ind w:firstLine="709"/>
        <w:jc w:val="both"/>
        <w:rPr>
          <w:sz w:val="10"/>
          <w:szCs w:val="10"/>
        </w:rPr>
      </w:pPr>
    </w:p>
    <w:p>
      <w:pPr>
        <w:shd w:val="clear" w:color="auto" w:fill="FFFFFF"/>
        <w:autoSpaceDE w:val="0"/>
        <w:autoSpaceDN w:val="0"/>
        <w:adjustRightInd w:val="0"/>
        <w:ind w:firstLine="709"/>
        <w:jc w:val="both"/>
        <w:rPr>
          <w:sz w:val="24"/>
          <w:szCs w:val="24"/>
        </w:rPr>
      </w:pPr>
      <w:r>
        <w:rPr>
          <w:sz w:val="24"/>
          <w:szCs w:val="24"/>
        </w:rPr>
        <w:t xml:space="preserve">13. В 2021 году сохранены льготы по земельному налогу для социально-значимых категорий населения. </w:t>
      </w:r>
    </w:p>
    <w:p>
      <w:pPr>
        <w:shd w:val="clear" w:color="auto" w:fill="FFFFFF"/>
        <w:autoSpaceDE w:val="0"/>
        <w:autoSpaceDN w:val="0"/>
        <w:adjustRightInd w:val="0"/>
        <w:ind w:firstLine="709"/>
        <w:jc w:val="both"/>
        <w:rPr>
          <w:sz w:val="24"/>
          <w:szCs w:val="24"/>
        </w:rPr>
      </w:pPr>
      <w:r>
        <w:rPr>
          <w:sz w:val="24"/>
          <w:szCs w:val="24"/>
        </w:rPr>
        <w:t>В соответствии с решением Думы ЗАТО Северск от 07.11.2014 № 57/4 «О земельном налоге на территории ЗАТО Северск» для отдельных категорий граждан ЗАТО Северск предоставляются льготы в виде полного освобождения от уплаты земельного налога (инвалиды, чернобыльцы, ветераны и инвалиды Великой Отечественной войны и другие социальные категории граждан). Сумма налоговых льгот, установленных представительным органом местного самоуправления, для физических лиц за 2020 год, согласно отчету ИФНС России по ЗАТО Северск по форме 5-МН, составила 263,0 тыс.руб.</w:t>
      </w:r>
    </w:p>
    <w:p>
      <w:pPr>
        <w:shd w:val="clear" w:color="auto" w:fill="FFFFFF"/>
        <w:autoSpaceDE w:val="0"/>
        <w:autoSpaceDN w:val="0"/>
        <w:adjustRightInd w:val="0"/>
        <w:ind w:firstLine="709"/>
        <w:jc w:val="both"/>
        <w:rPr>
          <w:sz w:val="10"/>
          <w:szCs w:val="10"/>
        </w:rPr>
      </w:pPr>
    </w:p>
    <w:p>
      <w:pPr>
        <w:tabs>
          <w:tab w:val="left" w:pos="851"/>
          <w:tab w:val="left" w:pos="993"/>
        </w:tabs>
        <w:ind w:firstLine="709"/>
        <w:jc w:val="both"/>
        <w:rPr>
          <w:sz w:val="24"/>
          <w:szCs w:val="24"/>
        </w:rPr>
      </w:pPr>
      <w:r>
        <w:rPr>
          <w:sz w:val="24"/>
          <w:szCs w:val="24"/>
        </w:rPr>
        <w:t xml:space="preserve">14. В 2021 году обеспечено завершение внедрения системы управления налоговыми расходами ЗАТО Северск (выпадающими доходами бюджета от предоставления налоговых льгот) и обеспечена их интеграция в бюджетный процесс через муниципальные программы. </w:t>
      </w:r>
    </w:p>
    <w:p>
      <w:pPr>
        <w:ind w:firstLine="709"/>
        <w:jc w:val="both"/>
        <w:rPr>
          <w:sz w:val="24"/>
          <w:szCs w:val="24"/>
        </w:rPr>
      </w:pPr>
      <w:r>
        <w:rPr>
          <w:sz w:val="24"/>
          <w:szCs w:val="24"/>
        </w:rPr>
        <w:t>Оценка эффективности налоговых расходов ЗАТО Северск за 2020 год проведена в соответствии с Порядком оценки эффективности налоговых расходов, утвержденным постановлением Администрации ЗАТО Северск от 02.03.2020 № 363. Налоговые расходы ЗАТО Северск признаны эффективными и не требующими отмены.</w:t>
      </w:r>
    </w:p>
    <w:p>
      <w:pPr>
        <w:shd w:val="clear" w:color="auto" w:fill="FFFFFF"/>
        <w:autoSpaceDE w:val="0"/>
        <w:autoSpaceDN w:val="0"/>
        <w:adjustRightInd w:val="0"/>
        <w:ind w:firstLine="709"/>
        <w:jc w:val="both"/>
        <w:rPr>
          <w:sz w:val="10"/>
          <w:szCs w:val="10"/>
        </w:rPr>
      </w:pPr>
    </w:p>
    <w:p>
      <w:pPr>
        <w:ind w:firstLine="709"/>
        <w:jc w:val="both"/>
        <w:rPr>
          <w:sz w:val="24"/>
          <w:szCs w:val="24"/>
        </w:rPr>
      </w:pPr>
      <w:r>
        <w:rPr>
          <w:sz w:val="24"/>
          <w:szCs w:val="24"/>
        </w:rPr>
        <w:t>15. С учетом ограничительных мер в связи с новой коронавирусной инфекцией в 2021 году проведено всего 1 заседание комиссии по мобилизации доходов, на котором было принято решение о создании рабочей группы для определения возможности корректировки ставок налога на имущество физических лиц в отношении объектов налогообложения, включенных в перечень, определяемый в соответствии с пунктом 7 статьи 378.2 Налогового кодекса Российской Федерации (далее – перечень).</w:t>
      </w:r>
    </w:p>
    <w:p>
      <w:pPr>
        <w:tabs>
          <w:tab w:val="left" w:pos="4111"/>
        </w:tabs>
        <w:ind w:firstLine="709"/>
        <w:jc w:val="both"/>
        <w:rPr>
          <w:sz w:val="24"/>
          <w:szCs w:val="24"/>
        </w:rPr>
      </w:pPr>
      <w:r>
        <w:rPr>
          <w:sz w:val="24"/>
          <w:szCs w:val="24"/>
        </w:rPr>
        <w:t xml:space="preserve">По результатам деятельности рабочей группы решением Думы ЗАТО Северск от 25.11.2021 № 19/2 в целях предоставления мер муниципальной поддержки, направленных на снижение налоговой нагрузки для собственников коммерческой недвижимости, на 2021 год установлена пониженная налоговая ставка в размере 1% от налоговой базы, исчисленной исходя из кадастровой стоимости, в отношении объектов налогообложения, включенных в перечень. </w:t>
      </w:r>
    </w:p>
    <w:p>
      <w:pPr>
        <w:rPr>
          <w:b/>
          <w:sz w:val="24"/>
          <w:szCs w:val="24"/>
          <w:highlight w:val="yellow"/>
        </w:rPr>
      </w:pPr>
    </w:p>
    <w:p>
      <w:pPr>
        <w:jc w:val="center"/>
        <w:rPr>
          <w:b/>
          <w:sz w:val="24"/>
          <w:szCs w:val="24"/>
        </w:rPr>
      </w:pPr>
      <w:r>
        <w:rPr>
          <w:b/>
          <w:sz w:val="24"/>
          <w:szCs w:val="24"/>
          <w:lang w:val="en-US"/>
        </w:rPr>
        <w:t>III</w:t>
      </w:r>
      <w:r>
        <w:rPr>
          <w:b/>
          <w:sz w:val="24"/>
          <w:szCs w:val="24"/>
        </w:rPr>
        <w:t>. ДОХОДЫ</w:t>
      </w:r>
    </w:p>
    <w:p>
      <w:pPr>
        <w:jc w:val="center"/>
        <w:rPr>
          <w:b/>
          <w:sz w:val="16"/>
          <w:szCs w:val="16"/>
        </w:rPr>
      </w:pPr>
    </w:p>
    <w:p>
      <w:pPr>
        <w:ind w:right="-2" w:firstLine="720"/>
        <w:jc w:val="both"/>
        <w:rPr>
          <w:sz w:val="24"/>
          <w:szCs w:val="24"/>
        </w:rPr>
      </w:pPr>
      <w:r>
        <w:rPr>
          <w:sz w:val="24"/>
          <w:szCs w:val="24"/>
        </w:rPr>
        <w:t xml:space="preserve">Прогноз 2021 года по доходам выполнен в целом на 100,3%, в том числе по налоговым и неналоговым доходам на 101,9%, по безвозмездным поступлениям – на 99,8%. </w:t>
      </w:r>
    </w:p>
    <w:p>
      <w:pPr>
        <w:ind w:right="-2" w:firstLine="720"/>
        <w:jc w:val="both"/>
        <w:rPr>
          <w:bCs/>
          <w:sz w:val="24"/>
          <w:szCs w:val="24"/>
        </w:rPr>
      </w:pPr>
      <w:r>
        <w:rPr>
          <w:sz w:val="24"/>
          <w:szCs w:val="24"/>
        </w:rPr>
        <w:t>Налоговые и неналоговые доходы поступили в сумме 1 236 571,40</w:t>
      </w:r>
      <w:r>
        <w:rPr>
          <w:bCs/>
          <w:sz w:val="24"/>
          <w:szCs w:val="24"/>
        </w:rPr>
        <w:t> тыс.руб.</w:t>
      </w:r>
    </w:p>
    <w:p>
      <w:pPr>
        <w:ind w:right="-2" w:firstLine="720"/>
        <w:jc w:val="both"/>
        <w:rPr>
          <w:sz w:val="24"/>
          <w:szCs w:val="24"/>
        </w:rPr>
      </w:pPr>
      <w:r>
        <w:rPr>
          <w:sz w:val="24"/>
          <w:szCs w:val="24"/>
        </w:rPr>
        <w:t>В 2021 году, как и в предыдущем году, доля налоговых и неналоговых доходов в общей структуре доходов бюджета составила 24,9%.</w:t>
      </w:r>
    </w:p>
    <w:p>
      <w:pPr>
        <w:spacing w:before="120" w:after="60"/>
        <w:ind w:firstLine="720"/>
        <w:jc w:val="both"/>
        <w:rPr>
          <w:sz w:val="24"/>
          <w:szCs w:val="24"/>
        </w:rPr>
      </w:pPr>
    </w:p>
    <w:p>
      <w:pPr>
        <w:spacing w:before="120" w:after="60"/>
        <w:ind w:firstLine="720"/>
        <w:jc w:val="both"/>
        <w:rPr>
          <w:sz w:val="24"/>
          <w:szCs w:val="24"/>
        </w:rPr>
      </w:pPr>
    </w:p>
    <w:p>
      <w:pPr>
        <w:spacing w:before="120" w:after="60"/>
        <w:ind w:firstLine="720"/>
        <w:jc w:val="both"/>
        <w:rPr>
          <w:sz w:val="24"/>
          <w:szCs w:val="24"/>
        </w:rPr>
      </w:pPr>
    </w:p>
    <w:p>
      <w:pPr>
        <w:spacing w:before="120" w:after="60"/>
        <w:ind w:firstLine="720"/>
        <w:jc w:val="both"/>
        <w:rPr>
          <w:sz w:val="24"/>
          <w:szCs w:val="24"/>
        </w:rPr>
      </w:pPr>
      <w:r>
        <w:rPr>
          <w:sz w:val="24"/>
          <w:szCs w:val="24"/>
        </w:rPr>
        <w:lastRenderedPageBreak/>
        <w:t>Таблица 4. Сравнительный анализ исполнения бюджета ЗАТО Северск по доходам за 2020-2021 гг.</w:t>
      </w:r>
    </w:p>
    <w:tbl>
      <w:tblPr>
        <w:tblW w:w="9510" w:type="dxa"/>
        <w:tblInd w:w="96" w:type="dxa"/>
        <w:tblLayout w:type="fixed"/>
        <w:tblLook w:val="0000" w:firstRow="0" w:lastRow="0" w:firstColumn="0" w:lastColumn="0" w:noHBand="0" w:noVBand="0"/>
      </w:tblPr>
      <w:tblGrid>
        <w:gridCol w:w="1572"/>
        <w:gridCol w:w="1275"/>
        <w:gridCol w:w="1276"/>
        <w:gridCol w:w="1276"/>
        <w:gridCol w:w="1276"/>
        <w:gridCol w:w="708"/>
        <w:gridCol w:w="1276"/>
        <w:gridCol w:w="851"/>
      </w:tblGrid>
      <w:tr>
        <w:trPr>
          <w:cantSplit/>
          <w:trHeight w:val="352"/>
        </w:trPr>
        <w:tc>
          <w:tcPr>
            <w:tcW w:w="1572" w:type="dxa"/>
            <w:vMerge w:val="restart"/>
            <w:tcBorders>
              <w:top w:val="single" w:sz="4" w:space="0" w:color="auto"/>
              <w:left w:val="single" w:sz="4" w:space="0" w:color="auto"/>
              <w:right w:val="single" w:sz="4" w:space="0" w:color="auto"/>
            </w:tcBorders>
            <w:shd w:val="clear" w:color="auto" w:fill="auto"/>
            <w:vAlign w:val="center"/>
          </w:tcPr>
          <w:p>
            <w:pPr>
              <w:ind w:left="-57" w:right="-57"/>
              <w:jc w:val="center"/>
            </w:pPr>
            <w:r>
              <w:t>Наименование</w:t>
            </w:r>
          </w:p>
        </w:tc>
        <w:tc>
          <w:tcPr>
            <w:tcW w:w="1275" w:type="dxa"/>
            <w:vMerge w:val="restart"/>
            <w:tcBorders>
              <w:top w:val="single" w:sz="4" w:space="0" w:color="auto"/>
              <w:left w:val="nil"/>
              <w:right w:val="single" w:sz="4" w:space="0" w:color="auto"/>
            </w:tcBorders>
            <w:vAlign w:val="center"/>
          </w:tcPr>
          <w:p>
            <w:pPr>
              <w:ind w:left="-57" w:right="-57"/>
              <w:jc w:val="center"/>
            </w:pPr>
            <w:r>
              <w:t xml:space="preserve">Факт </w:t>
            </w:r>
          </w:p>
          <w:p>
            <w:pPr>
              <w:ind w:left="-57" w:right="-57"/>
              <w:jc w:val="center"/>
            </w:pPr>
            <w:r>
              <w:t>2020 год, тыс.руб.</w:t>
            </w:r>
          </w:p>
        </w:tc>
        <w:tc>
          <w:tcPr>
            <w:tcW w:w="4536" w:type="dxa"/>
            <w:gridSpan w:val="4"/>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c>
          <w:tcPr>
            <w:tcW w:w="212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pPr>
            <w:r>
              <w:t>Отклонение</w:t>
            </w:r>
          </w:p>
          <w:p>
            <w:pPr>
              <w:ind w:left="-108" w:right="-108"/>
              <w:jc w:val="center"/>
            </w:pPr>
            <w:r>
              <w:t>(факт 2021 – факт 2020)</w:t>
            </w:r>
          </w:p>
        </w:tc>
      </w:tr>
      <w:tr>
        <w:trPr>
          <w:cantSplit/>
          <w:trHeight w:val="264"/>
        </w:trPr>
        <w:tc>
          <w:tcPr>
            <w:tcW w:w="1572" w:type="dxa"/>
            <w:vMerge/>
            <w:tcBorders>
              <w:left w:val="single" w:sz="4" w:space="0" w:color="auto"/>
              <w:right w:val="single" w:sz="4" w:space="0" w:color="auto"/>
            </w:tcBorders>
            <w:shd w:val="clear" w:color="auto" w:fill="auto"/>
            <w:vAlign w:val="center"/>
          </w:tcPr>
          <w:p>
            <w:pPr>
              <w:ind w:left="-57" w:right="-57"/>
              <w:jc w:val="center"/>
            </w:pPr>
          </w:p>
        </w:tc>
        <w:tc>
          <w:tcPr>
            <w:tcW w:w="1275" w:type="dxa"/>
            <w:vMerge/>
            <w:tcBorders>
              <w:left w:val="nil"/>
              <w:right w:val="single" w:sz="4" w:space="0" w:color="auto"/>
            </w:tcBorders>
            <w:vAlign w:val="center"/>
          </w:tcPr>
          <w:p>
            <w:pPr>
              <w:ind w:left="-57" w:right="-57"/>
              <w:jc w:val="cente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Прогноз, тыс.руб.</w:t>
            </w:r>
          </w:p>
        </w:tc>
        <w:tc>
          <w:tcPr>
            <w:tcW w:w="1276" w:type="dxa"/>
            <w:vMerge w:val="restart"/>
            <w:tcBorders>
              <w:top w:val="single" w:sz="4" w:space="0" w:color="auto"/>
              <w:left w:val="nil"/>
              <w:right w:val="single" w:sz="4" w:space="0" w:color="auto"/>
            </w:tcBorders>
            <w:shd w:val="clear" w:color="auto" w:fill="auto"/>
            <w:vAlign w:val="center"/>
          </w:tcPr>
          <w:p>
            <w:pPr>
              <w:ind w:left="-57" w:right="-57"/>
              <w:jc w:val="center"/>
            </w:pPr>
            <w:r>
              <w:t>Факт, тыс.руб.</w:t>
            </w:r>
          </w:p>
        </w:tc>
        <w:tc>
          <w:tcPr>
            <w:tcW w:w="708" w:type="dxa"/>
            <w:vMerge w:val="restart"/>
            <w:tcBorders>
              <w:top w:val="single" w:sz="4" w:space="0" w:color="auto"/>
              <w:left w:val="nil"/>
              <w:right w:val="single" w:sz="4" w:space="0" w:color="auto"/>
            </w:tcBorders>
            <w:vAlign w:val="center"/>
          </w:tcPr>
          <w:p>
            <w:pPr>
              <w:ind w:left="-108" w:right="-108"/>
              <w:jc w:val="center"/>
            </w:pPr>
            <w:r>
              <w:t xml:space="preserve">% исп. </w:t>
            </w:r>
          </w:p>
          <w:p>
            <w:pPr>
              <w:ind w:left="-108" w:right="-108"/>
              <w:jc w:val="center"/>
            </w:pPr>
            <w:r>
              <w:t>к уточн.</w:t>
            </w:r>
          </w:p>
          <w:p>
            <w:pPr>
              <w:ind w:left="-57" w:right="-57"/>
              <w:jc w:val="center"/>
            </w:pPr>
            <w:r>
              <w:t>плану</w:t>
            </w:r>
          </w:p>
        </w:tc>
        <w:tc>
          <w:tcPr>
            <w:tcW w:w="1276"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pPr>
            <w:r>
              <w:t>абсолютное,  тыс.руб.</w:t>
            </w:r>
          </w:p>
        </w:tc>
        <w:tc>
          <w:tcPr>
            <w:tcW w:w="851"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pPr>
            <w:r>
              <w:t xml:space="preserve">относи-тельное, </w:t>
            </w:r>
          </w:p>
          <w:p>
            <w:pPr>
              <w:ind w:left="-108" w:right="-108"/>
              <w:jc w:val="center"/>
            </w:pPr>
            <w:r>
              <w:t>%</w:t>
            </w:r>
          </w:p>
        </w:tc>
      </w:tr>
      <w:tr>
        <w:trPr>
          <w:trHeight w:val="468"/>
        </w:trPr>
        <w:tc>
          <w:tcPr>
            <w:tcW w:w="1572" w:type="dxa"/>
            <w:vMerge/>
            <w:tcBorders>
              <w:left w:val="single" w:sz="4" w:space="0" w:color="auto"/>
              <w:bottom w:val="single" w:sz="4" w:space="0" w:color="auto"/>
              <w:right w:val="single" w:sz="4" w:space="0" w:color="auto"/>
            </w:tcBorders>
            <w:shd w:val="clear" w:color="auto" w:fill="auto"/>
            <w:vAlign w:val="center"/>
          </w:tcPr>
          <w:p>
            <w:pPr>
              <w:rPr>
                <w:b/>
                <w:bCs/>
              </w:rPr>
            </w:pPr>
          </w:p>
        </w:tc>
        <w:tc>
          <w:tcPr>
            <w:tcW w:w="1275" w:type="dxa"/>
            <w:vMerge/>
            <w:tcBorders>
              <w:left w:val="nil"/>
              <w:bottom w:val="single" w:sz="4" w:space="0" w:color="auto"/>
              <w:right w:val="single" w:sz="4" w:space="0" w:color="auto"/>
            </w:tcBorders>
          </w:tcPr>
          <w:p>
            <w:pPr>
              <w:ind w:left="-57" w:right="-57"/>
              <w:jc w:val="center"/>
              <w:rPr>
                <w:bCs/>
                <w:color w:val="000000"/>
              </w:rPr>
            </w:pP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57" w:right="-57"/>
              <w:jc w:val="center"/>
              <w:rPr>
                <w:bCs/>
                <w:color w:val="000000"/>
              </w:rPr>
            </w:pPr>
            <w:r>
              <w:t>Первона-чальный</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57" w:right="-57"/>
              <w:jc w:val="center"/>
              <w:rPr>
                <w:bCs/>
                <w:color w:val="000000"/>
              </w:rPr>
            </w:pPr>
            <w:r>
              <w:t>Уточненный</w:t>
            </w:r>
          </w:p>
        </w:tc>
        <w:tc>
          <w:tcPr>
            <w:tcW w:w="1276" w:type="dxa"/>
            <w:vMerge/>
            <w:tcBorders>
              <w:left w:val="nil"/>
              <w:bottom w:val="single" w:sz="4" w:space="0" w:color="auto"/>
              <w:right w:val="single" w:sz="4" w:space="0" w:color="auto"/>
            </w:tcBorders>
            <w:shd w:val="clear" w:color="auto" w:fill="auto"/>
            <w:noWrap/>
            <w:vAlign w:val="center"/>
          </w:tcPr>
          <w:p>
            <w:pPr>
              <w:ind w:left="-57" w:right="-57"/>
              <w:jc w:val="center"/>
              <w:rPr>
                <w:bCs/>
                <w:color w:val="000000"/>
              </w:rPr>
            </w:pPr>
          </w:p>
        </w:tc>
        <w:tc>
          <w:tcPr>
            <w:tcW w:w="708" w:type="dxa"/>
            <w:vMerge/>
            <w:tcBorders>
              <w:left w:val="nil"/>
              <w:bottom w:val="single" w:sz="4" w:space="0" w:color="auto"/>
              <w:right w:val="single" w:sz="4" w:space="0" w:color="auto"/>
            </w:tcBorders>
          </w:tcPr>
          <w:p>
            <w:pPr>
              <w:ind w:left="-57" w:right="-57"/>
              <w:jc w:val="center"/>
              <w:rPr>
                <w:bCs/>
                <w:color w:val="000000"/>
              </w:rPr>
            </w:pPr>
          </w:p>
        </w:tc>
        <w:tc>
          <w:tcPr>
            <w:tcW w:w="1276" w:type="dxa"/>
            <w:vMerge/>
            <w:tcBorders>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p>
        </w:tc>
        <w:tc>
          <w:tcPr>
            <w:tcW w:w="851" w:type="dxa"/>
            <w:vMerge/>
            <w:tcBorders>
              <w:left w:val="single" w:sz="4" w:space="0" w:color="auto"/>
              <w:bottom w:val="single" w:sz="4" w:space="0" w:color="auto"/>
              <w:right w:val="single" w:sz="4" w:space="0" w:color="auto"/>
            </w:tcBorders>
            <w:shd w:val="clear" w:color="auto" w:fill="auto"/>
            <w:noWrap/>
            <w:vAlign w:val="center"/>
          </w:tcPr>
          <w:p>
            <w:pPr>
              <w:ind w:left="-57" w:right="-57"/>
              <w:jc w:val="center"/>
              <w:rPr>
                <w:bCs/>
                <w:color w:val="000000"/>
              </w:rPr>
            </w:pPr>
          </w:p>
        </w:tc>
      </w:tr>
      <w:tr>
        <w:trPr>
          <w:trHeight w:val="180"/>
        </w:trPr>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rPr>
            </w:pPr>
            <w:r>
              <w:rPr>
                <w:bCs/>
              </w:rPr>
              <w:t>1</w:t>
            </w:r>
          </w:p>
        </w:tc>
        <w:tc>
          <w:tcPr>
            <w:tcW w:w="1275" w:type="dxa"/>
            <w:tcBorders>
              <w:top w:val="single" w:sz="4" w:space="0" w:color="auto"/>
              <w:left w:val="nil"/>
              <w:bottom w:val="single" w:sz="4" w:space="0" w:color="auto"/>
              <w:right w:val="single" w:sz="4" w:space="0" w:color="auto"/>
            </w:tcBorders>
            <w:vAlign w:val="center"/>
          </w:tcPr>
          <w:p>
            <w:pPr>
              <w:jc w:val="center"/>
            </w:pPr>
            <w: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center"/>
              <w:rPr>
                <w:bCs/>
                <w:color w:val="000000"/>
              </w:rPr>
            </w:pPr>
            <w:r>
              <w:rPr>
                <w:bCs/>
                <w:color w:val="000000"/>
              </w:rPr>
              <w:t>3</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center"/>
              <w:rPr>
                <w:bCs/>
                <w:color w:val="000000"/>
              </w:rPr>
            </w:pPr>
            <w:r>
              <w:rPr>
                <w:bCs/>
                <w:color w:val="000000"/>
              </w:rPr>
              <w:t>4</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center"/>
              <w:rPr>
                <w:bCs/>
                <w:color w:val="000000"/>
              </w:rPr>
            </w:pPr>
            <w:r>
              <w:rPr>
                <w:bCs/>
                <w:color w:val="000000"/>
              </w:rPr>
              <w:t>5</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Cs/>
                <w:color w:val="000000"/>
              </w:rPr>
            </w:pPr>
            <w:r>
              <w:rPr>
                <w:bCs/>
                <w:color w:val="000000"/>
              </w:rPr>
              <w:t>6=5/4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center"/>
              <w:rPr>
                <w:bCs/>
                <w:color w:val="000000"/>
              </w:rPr>
            </w:pPr>
            <w:r>
              <w:rPr>
                <w:bCs/>
                <w:color w:val="000000"/>
              </w:rPr>
              <w:t>7=5-2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r>
              <w:rPr>
                <w:bCs/>
                <w:color w:val="000000"/>
              </w:rPr>
              <w:t>8=5/2</w:t>
            </w:r>
          </w:p>
        </w:tc>
      </w:tr>
      <w:tr>
        <w:trPr>
          <w:trHeight w:val="468"/>
        </w:trPr>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pPr>
              <w:rPr>
                <w:bCs/>
              </w:rPr>
            </w:pPr>
            <w:r>
              <w:rPr>
                <w:bCs/>
              </w:rPr>
              <w:t>Налоговые и неналоговые доходы</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108"/>
              <w:jc w:val="right"/>
              <w:rPr>
                <w:bCs/>
                <w:color w:val="000000"/>
              </w:rPr>
            </w:pPr>
            <w:r>
              <w:rPr>
                <w:bCs/>
                <w:color w:val="000000"/>
              </w:rPr>
              <w:t>1 124 987,26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1 111 540,51</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1 213 449,47</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1 236 571,40</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Cs/>
                <w:color w:val="000000"/>
              </w:rPr>
            </w:pPr>
            <w:r>
              <w:rPr>
                <w:bCs/>
                <w:color w:val="000000"/>
              </w:rPr>
              <w:t>101,9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111 584,14</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r>
              <w:rPr>
                <w:bCs/>
                <w:color w:val="000000"/>
              </w:rPr>
              <w:t>109,9</w:t>
            </w:r>
          </w:p>
        </w:tc>
      </w:tr>
      <w:tr>
        <w:trPr>
          <w:trHeight w:val="480"/>
        </w:trPr>
        <w:tc>
          <w:tcPr>
            <w:tcW w:w="1572" w:type="dxa"/>
            <w:tcBorders>
              <w:top w:val="nil"/>
              <w:left w:val="single" w:sz="4" w:space="0" w:color="auto"/>
              <w:bottom w:val="single" w:sz="4" w:space="0" w:color="auto"/>
              <w:right w:val="single" w:sz="4" w:space="0" w:color="auto"/>
            </w:tcBorders>
            <w:shd w:val="clear" w:color="auto" w:fill="auto"/>
            <w:vAlign w:val="center"/>
          </w:tcPr>
          <w:p>
            <w:pPr>
              <w:rPr>
                <w:bCs/>
              </w:rPr>
            </w:pPr>
            <w:r>
              <w:rPr>
                <w:bCs/>
              </w:rPr>
              <w:t xml:space="preserve">Безвозмездные поступления </w:t>
            </w:r>
          </w:p>
        </w:tc>
        <w:tc>
          <w:tcPr>
            <w:tcW w:w="1275" w:type="dxa"/>
            <w:tcBorders>
              <w:top w:val="nil"/>
              <w:left w:val="nil"/>
              <w:bottom w:val="single" w:sz="4" w:space="0" w:color="auto"/>
              <w:right w:val="single" w:sz="4" w:space="0" w:color="auto"/>
            </w:tcBorders>
            <w:shd w:val="clear" w:color="auto" w:fill="auto"/>
            <w:vAlign w:val="center"/>
          </w:tcPr>
          <w:p>
            <w:pPr>
              <w:ind w:left="-108"/>
              <w:jc w:val="right"/>
              <w:rPr>
                <w:bCs/>
                <w:color w:val="000000"/>
              </w:rPr>
            </w:pPr>
            <w:r>
              <w:rPr>
                <w:bCs/>
                <w:color w:val="000000"/>
              </w:rPr>
              <w:t>3 554 657,93</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2 992 357,00</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3 741 821,72</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Cs/>
                <w:color w:val="000000"/>
              </w:rPr>
            </w:pPr>
            <w:r>
              <w:rPr>
                <w:bCs/>
                <w:color w:val="000000"/>
              </w:rPr>
              <w:t>3 733 436,01</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Cs/>
                <w:color w:val="000000"/>
              </w:rPr>
            </w:pPr>
            <w:r>
              <w:rPr>
                <w:bCs/>
                <w:color w:val="000000"/>
              </w:rPr>
              <w:t>99,8</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Cs/>
                <w:color w:val="000000"/>
              </w:rPr>
            </w:pPr>
            <w:r>
              <w:rPr>
                <w:bCs/>
                <w:color w:val="000000"/>
              </w:rPr>
              <w:t>178 778,08</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Cs/>
                <w:color w:val="000000"/>
              </w:rPr>
            </w:pPr>
            <w:r>
              <w:rPr>
                <w:bCs/>
                <w:color w:val="000000"/>
              </w:rPr>
              <w:t>105,0</w:t>
            </w:r>
          </w:p>
        </w:tc>
      </w:tr>
      <w:tr>
        <w:trPr>
          <w:trHeight w:val="339"/>
        </w:trPr>
        <w:tc>
          <w:tcPr>
            <w:tcW w:w="1572" w:type="dxa"/>
            <w:tcBorders>
              <w:top w:val="nil"/>
              <w:left w:val="single" w:sz="4" w:space="0" w:color="auto"/>
              <w:bottom w:val="single" w:sz="4" w:space="0" w:color="auto"/>
              <w:right w:val="single" w:sz="4" w:space="0" w:color="auto"/>
            </w:tcBorders>
            <w:shd w:val="clear" w:color="auto" w:fill="auto"/>
            <w:noWrap/>
            <w:vAlign w:val="center"/>
          </w:tcPr>
          <w:p>
            <w:pPr>
              <w:rPr>
                <w:b/>
                <w:bCs/>
              </w:rPr>
            </w:pPr>
            <w:r>
              <w:rPr>
                <w:b/>
                <w:bCs/>
              </w:rPr>
              <w:t>ИТОГО ДОХОДОВ</w:t>
            </w:r>
          </w:p>
        </w:tc>
        <w:tc>
          <w:tcPr>
            <w:tcW w:w="1275" w:type="dxa"/>
            <w:tcBorders>
              <w:top w:val="nil"/>
              <w:left w:val="nil"/>
              <w:bottom w:val="single" w:sz="4" w:space="0" w:color="auto"/>
              <w:right w:val="single" w:sz="4" w:space="0" w:color="auto"/>
            </w:tcBorders>
            <w:shd w:val="clear" w:color="auto" w:fill="auto"/>
            <w:vAlign w:val="center"/>
          </w:tcPr>
          <w:p>
            <w:pPr>
              <w:ind w:left="-108"/>
              <w:jc w:val="right"/>
              <w:rPr>
                <w:b/>
                <w:bCs/>
                <w:color w:val="000000"/>
              </w:rPr>
            </w:pPr>
            <w:r>
              <w:rPr>
                <w:b/>
                <w:bCs/>
                <w:color w:val="000000"/>
              </w:rPr>
              <w:t>4 679 645,19</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4 103 897,51</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4 955 271,19</w:t>
            </w:r>
          </w:p>
        </w:tc>
        <w:tc>
          <w:tcPr>
            <w:tcW w:w="1276" w:type="dxa"/>
            <w:tcBorders>
              <w:top w:val="nil"/>
              <w:left w:val="nil"/>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4 970 007,41</w:t>
            </w:r>
          </w:p>
        </w:tc>
        <w:tc>
          <w:tcPr>
            <w:tcW w:w="708" w:type="dxa"/>
            <w:tcBorders>
              <w:top w:val="single" w:sz="4" w:space="0" w:color="auto"/>
              <w:left w:val="nil"/>
              <w:bottom w:val="single" w:sz="4" w:space="0" w:color="auto"/>
              <w:right w:val="single" w:sz="4" w:space="0" w:color="auto"/>
            </w:tcBorders>
            <w:vAlign w:val="center"/>
          </w:tcPr>
          <w:p>
            <w:pPr>
              <w:ind w:left="-108" w:right="-108"/>
              <w:jc w:val="center"/>
              <w:rPr>
                <w:b/>
                <w:bCs/>
                <w:color w:val="000000"/>
              </w:rPr>
            </w:pPr>
            <w:r>
              <w:rPr>
                <w:b/>
                <w:bCs/>
                <w:color w:val="000000"/>
              </w:rPr>
              <w:t>100,3</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ind w:left="-108"/>
              <w:jc w:val="right"/>
              <w:rPr>
                <w:b/>
                <w:bCs/>
                <w:color w:val="000000"/>
              </w:rPr>
            </w:pPr>
            <w:r>
              <w:rPr>
                <w:b/>
                <w:bCs/>
                <w:color w:val="000000"/>
              </w:rPr>
              <w:t>290 362,22</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08" w:right="-108"/>
              <w:jc w:val="center"/>
              <w:rPr>
                <w:b/>
                <w:bCs/>
                <w:color w:val="000000"/>
              </w:rPr>
            </w:pPr>
            <w:r>
              <w:rPr>
                <w:b/>
                <w:bCs/>
                <w:color w:val="000000"/>
              </w:rPr>
              <w:t>106,2</w:t>
            </w:r>
          </w:p>
        </w:tc>
      </w:tr>
    </w:tbl>
    <w:p>
      <w:pPr>
        <w:spacing w:before="120"/>
        <w:ind w:firstLine="709"/>
        <w:jc w:val="both"/>
        <w:rPr>
          <w:sz w:val="24"/>
          <w:szCs w:val="24"/>
        </w:rPr>
      </w:pPr>
      <w:r>
        <w:rPr>
          <w:sz w:val="24"/>
          <w:szCs w:val="24"/>
        </w:rPr>
        <w:t>По сравнению с первоначальным прогнозом 2021 года по группе «Налоговые и неналоговые доходы» уточненный прогноз увеличен на 101 908,96 тыс.руб. в основном по таким статьям, как «Налог на доходы физических лиц», «Налоги на совокупный доход», «Доходы от использования имущества», «Штрафы, санкции, возмещение ущерба».</w:t>
      </w:r>
    </w:p>
    <w:p>
      <w:pPr>
        <w:ind w:firstLine="720"/>
        <w:jc w:val="both"/>
        <w:rPr>
          <w:sz w:val="24"/>
          <w:szCs w:val="24"/>
        </w:rPr>
      </w:pPr>
      <w:r>
        <w:rPr>
          <w:sz w:val="24"/>
          <w:szCs w:val="24"/>
        </w:rPr>
        <w:t xml:space="preserve">В общей структуре доходов бюджета ЗАТО Северск </w:t>
      </w:r>
      <w:r>
        <w:rPr>
          <w:bCs/>
          <w:sz w:val="24"/>
          <w:szCs w:val="24"/>
        </w:rPr>
        <w:t>доля</w:t>
      </w:r>
      <w:r>
        <w:rPr>
          <w:sz w:val="24"/>
          <w:szCs w:val="24"/>
        </w:rPr>
        <w:t xml:space="preserve"> налоговых доходов составляет 21,3%, неналоговых – 3,6%, безвозмездных поступлений – 75,1%. </w:t>
      </w:r>
    </w:p>
    <w:p>
      <w:pPr>
        <w:jc w:val="center"/>
        <w:rPr>
          <w:sz w:val="24"/>
          <w:szCs w:val="24"/>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3225800</wp:posOffset>
                </wp:positionH>
                <wp:positionV relativeFrom="paragraph">
                  <wp:posOffset>929005</wp:posOffset>
                </wp:positionV>
                <wp:extent cx="647065" cy="267335"/>
                <wp:effectExtent l="635" t="0" r="0" b="3810"/>
                <wp:wrapNone/>
                <wp:docPr id="3"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065"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rPr>
                                <w:color w:val="FFFFFF"/>
                                <w:sz w:val="22"/>
                                <w:szCs w:val="22"/>
                              </w:rPr>
                            </w:pPr>
                            <w:r>
                              <w:rPr>
                                <w:color w:val="FFFFFF"/>
                                <w:sz w:val="22"/>
                                <w:szCs w:val="22"/>
                              </w:rPr>
                              <w:t>178,8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6" o:spid="_x0000_s1033" style="position:absolute;left:0;text-align:left;margin-left:254pt;margin-top:73.15pt;width:50.95pt;height:2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" filled="f" stroked="f">
                <v:textbox>
                  <w:txbxContent>
                    <w:p>
                      <w:pPr>
                        <w:rPr>
                          <w:color w:val="FFFFFF"/>
                          <w:sz w:val="22"/>
                          <w:szCs w:val="22"/>
                        </w:rPr>
                      </w:pPr>
                      <w:r>
                        <w:rPr>
                          <w:color w:val="FFFFFF"/>
                          <w:sz w:val="22"/>
                          <w:szCs w:val="22"/>
                        </w:rPr>
                        <w:t>178,8</w:t>
                      </w:r>
                    </w:p>
                  </w:txbxContent>
                </v:textbox>
              </v:rect>
            </w:pict>
          </mc:Fallback>
        </mc:AlternateContent>
      </w: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2164080</wp:posOffset>
                </wp:positionH>
                <wp:positionV relativeFrom="paragraph">
                  <wp:posOffset>455295</wp:posOffset>
                </wp:positionV>
                <wp:extent cx="647065" cy="267970"/>
                <wp:effectExtent l="0" t="0" r="4445" b="635"/>
                <wp:wrapNone/>
                <wp:docPr id="2"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065" cy="2679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rPr>
                                <w:color w:val="FFFFFF"/>
                                <w:sz w:val="24"/>
                                <w:szCs w:val="24"/>
                              </w:rPr>
                            </w:pPr>
                            <w:r>
                              <w:rPr>
                                <w:color w:val="FFFFFF"/>
                                <w:sz w:val="24"/>
                                <w:szCs w:val="24"/>
                              </w:rPr>
                              <w:t>1 057,8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034" style="position:absolute;left:0;text-align:left;margin-left:170.4pt;margin-top:35.85pt;width:50.95pt;height:2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" filled="f" stroked="f">
                <v:textbox>
                  <w:txbxContent>
                    <w:p>
                      <w:pPr>
                        <w:rPr>
                          <w:color w:val="FFFFFF"/>
                          <w:sz w:val="24"/>
                          <w:szCs w:val="24"/>
                        </w:rPr>
                      </w:pPr>
                      <w:r>
                        <w:rPr>
                          <w:color w:val="FFFFFF"/>
                          <w:sz w:val="24"/>
                          <w:szCs w:val="24"/>
                        </w:rPr>
                        <w:t>1 057,8</w:t>
                      </w:r>
                    </w:p>
                  </w:txbxContent>
                </v:textbox>
              </v:rect>
            </w:pict>
          </mc:Fallback>
        </mc:AlternateContent>
      </w:r>
      <w:r>
        <w:rPr>
          <w:noProof/>
          <w:sz w:val="24"/>
          <w:szCs w:val="24"/>
        </w:rPr>
        <mc:AlternateContent>
          <mc:Choice Requires="wps">
            <w:drawing>
              <wp:anchor distT="0" distB="0" distL="114300" distR="114300" simplePos="0" relativeHeight="251657216" behindDoc="0" locked="0" layoutInCell="1" allowOverlap="1">
                <wp:simplePos x="0" y="0"/>
                <wp:positionH relativeFrom="column">
                  <wp:posOffset>680720</wp:posOffset>
                </wp:positionH>
                <wp:positionV relativeFrom="paragraph">
                  <wp:posOffset>1217930</wp:posOffset>
                </wp:positionV>
                <wp:extent cx="647065" cy="267335"/>
                <wp:effectExtent l="0" t="0" r="1905" b="635"/>
                <wp:wrapNone/>
                <wp:docPr id="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7065" cy="2673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pPr>
                              <w:rPr>
                                <w:color w:val="FFFFFF"/>
                                <w:sz w:val="24"/>
                                <w:szCs w:val="24"/>
                              </w:rPr>
                            </w:pPr>
                            <w:r>
                              <w:rPr>
                                <w:color w:val="FFFFFF"/>
                                <w:sz w:val="24"/>
                                <w:szCs w:val="24"/>
                              </w:rPr>
                              <w:t>3 733,4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035" style="position:absolute;left:0;text-align:left;margin-left:53.6pt;margin-top:95.9pt;width:50.95pt;height:21.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" filled="f" stroked="f">
                <v:textbox>
                  <w:txbxContent>
                    <w:p>
                      <w:pPr>
                        <w:rPr>
                          <w:color w:val="FFFFFF"/>
                          <w:sz w:val="24"/>
                          <w:szCs w:val="24"/>
                        </w:rPr>
                      </w:pPr>
                      <w:r>
                        <w:rPr>
                          <w:color w:val="FFFFFF"/>
                          <w:sz w:val="24"/>
                          <w:szCs w:val="24"/>
                        </w:rPr>
                        <w:t>3 733,4</w:t>
                      </w:r>
                    </w:p>
                  </w:txbxContent>
                </v:textbox>
              </v:rect>
            </w:pict>
          </mc:Fallback>
        </mc:AlternateContent>
      </w:r>
      <w:r>
        <w:rPr>
          <w:sz w:val="24"/>
          <w:szCs w:val="24"/>
        </w:rPr>
        <w:object w:dxaOrig="8637" w:dyaOrig="4336">
          <v:shape id="_x0000_i1028" type="#_x0000_t75" style="width:473.35pt;height:237.35pt" o:ole="">
            <v:imagedata r:id="rId14" o:title=""/>
          </v:shape>
          <o:OLEObject Type="Embed" ProgID="Excel.Sheet.12" ShapeID="_x0000_i1028" DrawAspect="Content" ObjectID="_1707991221" r:id="rId15"/>
        </w:object>
      </w:r>
      <w:r>
        <w:rPr>
          <w:sz w:val="24"/>
          <w:szCs w:val="24"/>
        </w:rPr>
        <w:t>Рисунок 4. Структура доходов бюджета ЗАТО Северск в 2021 году, млн.руб.</w:t>
      </w:r>
    </w:p>
    <w:p>
      <w:pPr>
        <w:spacing w:before="120"/>
        <w:ind w:firstLine="709"/>
        <w:jc w:val="both"/>
        <w:rPr>
          <w:sz w:val="10"/>
          <w:szCs w:val="10"/>
        </w:rPr>
      </w:pPr>
    </w:p>
    <w:p>
      <w:pPr>
        <w:spacing w:before="120"/>
        <w:ind w:firstLine="709"/>
        <w:jc w:val="both"/>
        <w:rPr>
          <w:sz w:val="24"/>
          <w:szCs w:val="24"/>
        </w:rPr>
      </w:pPr>
      <w:r>
        <w:rPr>
          <w:sz w:val="24"/>
          <w:szCs w:val="24"/>
        </w:rPr>
        <w:t>Сумма задолженности по налоговым и неналоговым доходам по состоянию на 01.01.2022 составила 89 327,9 тыс.руб.</w:t>
      </w:r>
    </w:p>
    <w:p>
      <w:pPr>
        <w:spacing w:before="120" w:after="60"/>
        <w:ind w:right="45" w:firstLine="720"/>
        <w:jc w:val="both"/>
        <w:rPr>
          <w:sz w:val="24"/>
          <w:szCs w:val="24"/>
        </w:rPr>
      </w:pPr>
      <w:r>
        <w:rPr>
          <w:sz w:val="24"/>
          <w:szCs w:val="24"/>
        </w:rPr>
        <w:t>Таблица 5. Задолженность по налоговым и неналоговым платежам в бюджет ЗАТО Северск за 2020 - 2021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234"/>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1</w:t>
            </w:r>
          </w:p>
        </w:tc>
        <w:tc>
          <w:tcPr>
            <w:tcW w:w="1418" w:type="dxa"/>
            <w:tcBorders>
              <w:top w:val="single" w:sz="4" w:space="0" w:color="auto"/>
              <w:left w:val="nil"/>
              <w:bottom w:val="single" w:sz="4" w:space="0" w:color="auto"/>
              <w:right w:val="single" w:sz="4" w:space="0" w:color="auto"/>
            </w:tcBorders>
            <w:vAlign w:val="center"/>
          </w:tcPr>
          <w:p>
            <w:pPr>
              <w:jc w:val="cente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center"/>
            </w:pPr>
            <w:r>
              <w:t>3</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center"/>
            </w:pPr>
            <w:r>
              <w:t>4=3-2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5=3/2</w:t>
            </w:r>
          </w:p>
        </w:tc>
      </w:tr>
      <w:tr>
        <w:trPr>
          <w:cantSplit/>
          <w:trHeight w:val="361"/>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firstLine="57"/>
            </w:pPr>
            <w:r>
              <w:t>Налоговые доходы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28 270,1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30 697,3</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2 427,2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108,6</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rPr>
                <w:bCs/>
              </w:rPr>
            </w:pPr>
            <w:r>
              <w:rPr>
                <w:bCs/>
              </w:rPr>
              <w:t>Неналоговые доходы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33"/>
              <w:jc w:val="right"/>
              <w:rPr>
                <w:bCs/>
              </w:rPr>
            </w:pPr>
            <w:r>
              <w:rPr>
                <w:bCs/>
              </w:rPr>
              <w:t>31 769,7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33"/>
              <w:jc w:val="right"/>
              <w:rPr>
                <w:bCs/>
              </w:rPr>
            </w:pPr>
            <w:r>
              <w:rPr>
                <w:bCs/>
              </w:rPr>
              <w:t>58 630,6</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113" w:right="34"/>
              <w:jc w:val="right"/>
              <w:rPr>
                <w:bCs/>
              </w:rPr>
            </w:pPr>
            <w:r>
              <w:rPr>
                <w:bCs/>
              </w:rPr>
              <w:t>26 860,9</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rPr>
            </w:pPr>
            <w:r>
              <w:rPr>
                <w:bCs/>
              </w:rPr>
              <w:t>184,5</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firstLine="57"/>
            </w:pPr>
            <w:r>
              <w:t>Всего: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60 039,8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89 327,9</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29 288,1</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148,8</w:t>
            </w:r>
          </w:p>
        </w:tc>
      </w:tr>
    </w:tbl>
    <w:p>
      <w:pPr>
        <w:spacing w:after="120"/>
        <w:ind w:right="45"/>
        <w:rPr>
          <w:b/>
          <w:sz w:val="16"/>
          <w:szCs w:val="16"/>
        </w:rPr>
      </w:pPr>
    </w:p>
    <w:p>
      <w:pPr>
        <w:spacing w:after="120"/>
        <w:ind w:right="45" w:firstLine="720"/>
        <w:jc w:val="center"/>
        <w:rPr>
          <w:b/>
          <w:sz w:val="24"/>
          <w:szCs w:val="24"/>
        </w:rPr>
      </w:pPr>
    </w:p>
    <w:p>
      <w:pPr>
        <w:spacing w:after="120"/>
        <w:ind w:right="45" w:firstLine="720"/>
        <w:jc w:val="center"/>
        <w:rPr>
          <w:b/>
          <w:sz w:val="24"/>
          <w:szCs w:val="24"/>
        </w:rPr>
      </w:pPr>
      <w:r>
        <w:rPr>
          <w:b/>
          <w:sz w:val="24"/>
          <w:szCs w:val="24"/>
        </w:rPr>
        <w:lastRenderedPageBreak/>
        <w:t>3.1. НАЛОГОВЫЕ ДОХОДЫ БЮДЖЕТА ЗАТО СЕВЕРСК</w:t>
      </w:r>
    </w:p>
    <w:p>
      <w:pPr>
        <w:ind w:firstLine="720"/>
        <w:jc w:val="both"/>
        <w:rPr>
          <w:sz w:val="24"/>
          <w:szCs w:val="24"/>
        </w:rPr>
      </w:pPr>
      <w:r>
        <w:rPr>
          <w:sz w:val="24"/>
          <w:szCs w:val="24"/>
        </w:rPr>
        <w:t>Налоговые доходы при уточненном прогнозе 1 045 366,42 тыс.руб. поступили в сумме 1 057 758,13 тыс.руб., исполнение составило 101,2%, перевыполнение в сумме 12 391,71 тыс.руб.</w:t>
      </w:r>
    </w:p>
    <w:p>
      <w:pPr>
        <w:ind w:firstLine="720"/>
        <w:jc w:val="both"/>
        <w:rPr>
          <w:sz w:val="24"/>
          <w:szCs w:val="24"/>
        </w:rPr>
      </w:pPr>
      <w:r>
        <w:rPr>
          <w:sz w:val="24"/>
          <w:szCs w:val="24"/>
        </w:rPr>
        <w:t xml:space="preserve">Удельный вес фактически поступивших налоговых доходов в общей структуре доходов бюджета ЗАТО Северск составляет 21,3%, в налоговых и неналоговых доходах 85,5%.  </w:t>
      </w:r>
    </w:p>
    <w:p>
      <w:pPr>
        <w:spacing w:before="120" w:after="60"/>
        <w:ind w:right="45" w:firstLine="720"/>
        <w:jc w:val="both"/>
        <w:rPr>
          <w:sz w:val="24"/>
          <w:szCs w:val="24"/>
        </w:rPr>
      </w:pPr>
      <w:r>
        <w:rPr>
          <w:sz w:val="24"/>
          <w:szCs w:val="24"/>
        </w:rPr>
        <w:t>Таблица 6. Сравнительный анализ поступления налоговых доходов бюджета ЗАТО Северск за 2020 - 2021гг.</w:t>
      </w:r>
    </w:p>
    <w:tbl>
      <w:tblPr>
        <w:tblW w:w="9651" w:type="dxa"/>
        <w:tblInd w:w="96" w:type="dxa"/>
        <w:tblLayout w:type="fixed"/>
        <w:tblLook w:val="0000" w:firstRow="0" w:lastRow="0" w:firstColumn="0" w:lastColumn="0" w:noHBand="0" w:noVBand="0"/>
      </w:tblPr>
      <w:tblGrid>
        <w:gridCol w:w="2280"/>
        <w:gridCol w:w="1134"/>
        <w:gridCol w:w="1134"/>
        <w:gridCol w:w="1134"/>
        <w:gridCol w:w="1134"/>
        <w:gridCol w:w="993"/>
        <w:gridCol w:w="991"/>
        <w:gridCol w:w="851"/>
      </w:tblGrid>
      <w:tr>
        <w:trPr>
          <w:cantSplit/>
          <w:trHeight w:val="324"/>
        </w:trPr>
        <w:tc>
          <w:tcPr>
            <w:tcW w:w="2280"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439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 xml:space="preserve">2021 год, </w:t>
            </w:r>
            <w:r>
              <w:rPr>
                <w:bCs/>
              </w:rPr>
              <w:t>тыс.руб.</w:t>
            </w:r>
          </w:p>
        </w:tc>
        <w:tc>
          <w:tcPr>
            <w:tcW w:w="184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 xml:space="preserve">Отклонение </w:t>
            </w:r>
          </w:p>
          <w:p>
            <w:pPr>
              <w:ind w:left="-108" w:right="-108"/>
              <w:jc w:val="center"/>
              <w:rPr>
                <w:color w:val="000000"/>
              </w:rPr>
            </w:pPr>
            <w:r>
              <w:rPr>
                <w:color w:val="000000"/>
              </w:rPr>
              <w:t>(факт 2021г. - 2020г.)</w:t>
            </w:r>
          </w:p>
        </w:tc>
      </w:tr>
      <w:tr>
        <w:trPr>
          <w:cantSplit/>
          <w:trHeight w:val="652"/>
        </w:trPr>
        <w:tc>
          <w:tcPr>
            <w:tcW w:w="2280"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Перво-начальный прогноз</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Уточненный  прогноз</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 xml:space="preserve">Факт </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Откло- нение </w:t>
            </w:r>
          </w:p>
        </w:tc>
        <w:tc>
          <w:tcPr>
            <w:tcW w:w="991" w:type="dxa"/>
            <w:tcBorders>
              <w:top w:val="single" w:sz="4" w:space="0" w:color="auto"/>
              <w:left w:val="nil"/>
              <w:bottom w:val="single" w:sz="4" w:space="0" w:color="auto"/>
              <w:right w:val="single" w:sz="4" w:space="0" w:color="auto"/>
            </w:tcBorders>
            <w:shd w:val="clear" w:color="auto" w:fill="auto"/>
            <w:vAlign w:val="center"/>
          </w:tcPr>
          <w:p>
            <w:pPr>
              <w:jc w:val="center"/>
              <w:rPr>
                <w:color w:val="000000"/>
                <w:sz w:val="18"/>
                <w:szCs w:val="18"/>
              </w:rPr>
            </w:pPr>
            <w:r>
              <w:rPr>
                <w:color w:val="000000"/>
                <w:sz w:val="18"/>
                <w:szCs w:val="18"/>
              </w:rPr>
              <w:t>абсолют-ное, тыс.руб.</w:t>
            </w:r>
          </w:p>
        </w:tc>
        <w:tc>
          <w:tcPr>
            <w:tcW w:w="851" w:type="dxa"/>
            <w:tcBorders>
              <w:top w:val="single" w:sz="4" w:space="0" w:color="auto"/>
              <w:left w:val="nil"/>
              <w:bottom w:val="single" w:sz="4" w:space="0" w:color="auto"/>
              <w:right w:val="single" w:sz="4" w:space="0" w:color="auto"/>
            </w:tcBorders>
            <w:tcMar>
              <w:left w:w="28" w:type="dxa"/>
              <w:right w:w="28" w:type="dxa"/>
            </w:tcMar>
            <w:vAlign w:val="center"/>
          </w:tcPr>
          <w:p>
            <w:pPr>
              <w:ind w:left="57" w:right="57"/>
              <w:jc w:val="center"/>
              <w:rPr>
                <w:color w:val="000000"/>
                <w:sz w:val="18"/>
                <w:szCs w:val="18"/>
              </w:rPr>
            </w:pPr>
            <w:r>
              <w:rPr>
                <w:color w:val="000000"/>
                <w:sz w:val="18"/>
                <w:szCs w:val="18"/>
              </w:rPr>
              <w:t>относи-тельное, %</w:t>
            </w:r>
          </w:p>
        </w:tc>
      </w:tr>
      <w:tr>
        <w:trPr>
          <w:cantSplit/>
          <w:trHeight w:val="199"/>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108"/>
              <w:jc w:val="center"/>
              <w:rPr>
                <w:sz w:val="16"/>
                <w:szCs w:val="16"/>
              </w:rPr>
            </w:pPr>
            <w:r>
              <w:rPr>
                <w:sz w:val="16"/>
                <w:szCs w:val="16"/>
              </w:rPr>
              <w:t>1</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bCs/>
                <w:color w:val="000000"/>
                <w:sz w:val="16"/>
                <w:szCs w:val="16"/>
              </w:rPr>
            </w:pPr>
            <w:r>
              <w:rPr>
                <w:bCs/>
                <w:color w:val="000000"/>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bCs/>
                <w:color w:val="000000"/>
                <w:sz w:val="16"/>
                <w:szCs w:val="16"/>
              </w:rPr>
            </w:pPr>
            <w:r>
              <w:rPr>
                <w:bCs/>
                <w:color w:val="000000"/>
                <w:sz w:val="16"/>
                <w:szCs w:val="16"/>
              </w:rPr>
              <w:t>6=5-4</w:t>
            </w:r>
          </w:p>
        </w:tc>
        <w:tc>
          <w:tcPr>
            <w:tcW w:w="991" w:type="dxa"/>
            <w:tcBorders>
              <w:top w:val="single" w:sz="4" w:space="0" w:color="auto"/>
              <w:left w:val="nil"/>
              <w:bottom w:val="single" w:sz="4" w:space="0" w:color="auto"/>
              <w:right w:val="single" w:sz="4" w:space="0" w:color="auto"/>
            </w:tcBorders>
            <w:shd w:val="clear" w:color="auto" w:fill="auto"/>
            <w:vAlign w:val="center"/>
          </w:tcPr>
          <w:p>
            <w:pPr>
              <w:ind w:left="-108" w:right="-57"/>
              <w:jc w:val="center"/>
              <w:rPr>
                <w:bCs/>
                <w:color w:val="000000"/>
                <w:sz w:val="16"/>
                <w:szCs w:val="16"/>
              </w:rPr>
            </w:pPr>
            <w:r>
              <w:rPr>
                <w:bCs/>
                <w:color w:val="000000"/>
                <w:sz w:val="16"/>
                <w:szCs w:val="16"/>
              </w:rPr>
              <w:t>7=5-2</w:t>
            </w:r>
          </w:p>
        </w:tc>
        <w:tc>
          <w:tcPr>
            <w:tcW w:w="851" w:type="dxa"/>
            <w:tcBorders>
              <w:top w:val="single" w:sz="4" w:space="0" w:color="auto"/>
              <w:left w:val="nil"/>
              <w:bottom w:val="single" w:sz="4" w:space="0" w:color="auto"/>
              <w:right w:val="single" w:sz="4" w:space="0" w:color="auto"/>
            </w:tcBorders>
            <w:vAlign w:val="center"/>
          </w:tcPr>
          <w:p>
            <w:pPr>
              <w:ind w:left="-57" w:right="-57"/>
              <w:jc w:val="center"/>
              <w:rPr>
                <w:bCs/>
                <w:color w:val="000000"/>
                <w:sz w:val="16"/>
                <w:szCs w:val="16"/>
              </w:rPr>
            </w:pPr>
            <w:r>
              <w:rPr>
                <w:bCs/>
                <w:color w:val="000000"/>
                <w:sz w:val="16"/>
                <w:szCs w:val="16"/>
              </w:rPr>
              <w:t>8=5/2</w:t>
            </w:r>
          </w:p>
        </w:tc>
      </w:tr>
      <w:tr>
        <w:trPr>
          <w:cantSplit/>
          <w:trHeight w:val="39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108"/>
              <w:rPr>
                <w:b/>
                <w:sz w:val="18"/>
                <w:szCs w:val="18"/>
              </w:rPr>
            </w:pPr>
            <w:r>
              <w:rPr>
                <w:b/>
                <w:sz w:val="18"/>
                <w:szCs w:val="18"/>
              </w:rPr>
              <w:t>НАЛОГОВЫЕ ДОХОДЫ</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1 005 084,18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999 674,57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113"/>
              <w:jc w:val="center"/>
            </w:pPr>
            <w:r>
              <w:t>1 045 366,42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113"/>
              <w:jc w:val="center"/>
            </w:pPr>
            <w:r>
              <w:t>1 057 758,13</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12 391,71</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52 673,95</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105,2</w:t>
            </w:r>
          </w:p>
        </w:tc>
      </w:tr>
      <w:tr>
        <w:trPr>
          <w:cantSplit/>
          <w:trHeight w:val="296"/>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НДФЛ</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747 716,04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737 747,17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765 382,74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773 030,55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7 647,81</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25 314,51</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103,4</w:t>
            </w:r>
          </w:p>
        </w:tc>
      </w:tr>
      <w:tr>
        <w:trPr>
          <w:cantSplit/>
          <w:trHeight w:val="28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Акцизы</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8 533,32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9 932,00</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10 076,45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10 270,16</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193,71</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1 736,84</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120,4</w:t>
            </w:r>
          </w:p>
        </w:tc>
      </w:tr>
      <w:tr>
        <w:trPr>
          <w:cantSplit/>
          <w:trHeight w:val="284"/>
        </w:trPr>
        <w:tc>
          <w:tcPr>
            <w:tcW w:w="2280" w:type="dxa"/>
            <w:tcBorders>
              <w:top w:val="single" w:sz="4" w:space="0" w:color="auto"/>
              <w:left w:val="single" w:sz="4" w:space="0" w:color="auto"/>
              <w:bottom w:val="single" w:sz="4" w:space="0" w:color="auto"/>
              <w:right w:val="single" w:sz="4" w:space="0" w:color="auto"/>
            </w:tcBorders>
            <w:shd w:val="clear" w:color="auto" w:fill="auto"/>
            <w:tcMar>
              <w:left w:w="57" w:type="dxa"/>
            </w:tcMar>
            <w:vAlign w:val="center"/>
          </w:tcPr>
          <w:p>
            <w:pPr>
              <w:ind w:right="-57"/>
            </w:pPr>
            <w:r>
              <w:t>Налоги на совокупный доход</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96 538,39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90 591,00</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107 089,17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110 760,35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3 671,18</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14 221,96</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114,7</w:t>
            </w:r>
          </w:p>
        </w:tc>
      </w:tr>
      <w:tr>
        <w:trPr>
          <w:cantSplit/>
          <w:trHeight w:val="361"/>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Налоги на имущество</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138 430,29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147 397,00</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146 189,00</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147 153,70</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964,70</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8 723,41</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106,3</w:t>
            </w:r>
          </w:p>
        </w:tc>
      </w:tr>
      <w:tr>
        <w:trPr>
          <w:cantSplit/>
          <w:trHeight w:val="29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Госпошлина</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13 866,14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14 007,40</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14 759,40</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14 673,73</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57" w:right="-57"/>
              <w:jc w:val="right"/>
            </w:pPr>
            <w:r>
              <w:t>-85,67</w:t>
            </w:r>
          </w:p>
        </w:tc>
        <w:tc>
          <w:tcPr>
            <w:tcW w:w="991" w:type="dxa"/>
            <w:tcBorders>
              <w:top w:val="single" w:sz="4" w:space="0" w:color="auto"/>
              <w:left w:val="nil"/>
              <w:bottom w:val="single" w:sz="4" w:space="0" w:color="auto"/>
              <w:right w:val="single" w:sz="4" w:space="0" w:color="auto"/>
            </w:tcBorders>
            <w:shd w:val="clear" w:color="auto" w:fill="auto"/>
            <w:tcMar>
              <w:left w:w="57" w:type="dxa"/>
              <w:right w:w="57" w:type="dxa"/>
            </w:tcMar>
            <w:vAlign w:val="center"/>
          </w:tcPr>
          <w:p>
            <w:pPr>
              <w:jc w:val="right"/>
            </w:pPr>
            <w:r>
              <w:t>807,59</w:t>
            </w:r>
          </w:p>
        </w:tc>
        <w:tc>
          <w:tcPr>
            <w:tcW w:w="851" w:type="dxa"/>
            <w:tcBorders>
              <w:top w:val="single" w:sz="4" w:space="0" w:color="auto"/>
              <w:left w:val="nil"/>
              <w:bottom w:val="single" w:sz="4" w:space="0" w:color="auto"/>
              <w:right w:val="single" w:sz="4" w:space="0" w:color="auto"/>
            </w:tcBorders>
            <w:tcMar>
              <w:left w:w="57" w:type="dxa"/>
              <w:right w:w="57" w:type="dxa"/>
            </w:tcMar>
            <w:vAlign w:val="center"/>
          </w:tcPr>
          <w:p>
            <w:pPr>
              <w:jc w:val="right"/>
            </w:pPr>
            <w:r>
              <w:t>105,8</w:t>
            </w:r>
          </w:p>
        </w:tc>
      </w:tr>
    </w:tbl>
    <w:p>
      <w:pPr>
        <w:ind w:firstLine="720"/>
        <w:jc w:val="both"/>
        <w:rPr>
          <w:sz w:val="16"/>
          <w:szCs w:val="16"/>
        </w:rPr>
      </w:pPr>
    </w:p>
    <w:p>
      <w:pPr>
        <w:ind w:firstLine="720"/>
        <w:jc w:val="both"/>
        <w:rPr>
          <w:sz w:val="24"/>
          <w:szCs w:val="24"/>
        </w:rPr>
      </w:pPr>
      <w:r>
        <w:rPr>
          <w:sz w:val="24"/>
          <w:szCs w:val="24"/>
        </w:rPr>
        <w:t>По сравнению с 2020 годом поступление налоговых доходов в бюджет ЗАТО Северск увеличилось на 52 673,95 тыс.руб., что составило 105,2%. Основной рост налоговых доходов к уровню 2020 года произошел по налогу на доходы физических лиц и по подгруппам «Налоги на совокупный доход», «Налоги на имущество».</w:t>
      </w:r>
    </w:p>
    <w:p>
      <w:pPr>
        <w:jc w:val="center"/>
        <w:rPr>
          <w:sz w:val="24"/>
          <w:szCs w:val="24"/>
        </w:rPr>
      </w:pPr>
      <w:r>
        <w:rPr>
          <w:noProof/>
        </w:rPr>
        <w:drawing>
          <wp:inline distT="0" distB="0" distL="0" distR="0">
            <wp:extent cx="6341745" cy="3446145"/>
            <wp:effectExtent l="0" t="0" r="0" b="0"/>
            <wp:docPr id="5" name="Объект 5"/>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sz w:val="24"/>
          <w:szCs w:val="24"/>
        </w:rPr>
        <w:t xml:space="preserve">Рисунок 5. Динамика поступлений налоговых доходов в 2020 и 2021 годах, тыс.руб. </w:t>
      </w:r>
    </w:p>
    <w:p>
      <w:pPr>
        <w:jc w:val="center"/>
        <w:rPr>
          <w:sz w:val="24"/>
          <w:szCs w:val="24"/>
        </w:rPr>
      </w:pPr>
    </w:p>
    <w:p>
      <w:pPr>
        <w:ind w:firstLine="708"/>
        <w:jc w:val="both"/>
        <w:rPr>
          <w:sz w:val="24"/>
          <w:szCs w:val="24"/>
        </w:rPr>
      </w:pPr>
      <w:r>
        <w:rPr>
          <w:sz w:val="24"/>
          <w:szCs w:val="24"/>
        </w:rPr>
        <w:t>По налоговым доходам задолженность по сравнению с 2020 годом возросла на 8,6%, что обусловлено в основном неуплатой текущих платежей, а также доначислением задолженности по результатам контрольной работы налогового органа.</w:t>
      </w:r>
    </w:p>
    <w:p>
      <w:pPr>
        <w:spacing w:before="120" w:after="60"/>
        <w:ind w:right="45" w:firstLine="720"/>
        <w:jc w:val="both"/>
        <w:rPr>
          <w:sz w:val="24"/>
          <w:szCs w:val="24"/>
        </w:rPr>
      </w:pPr>
    </w:p>
    <w:p>
      <w:pPr>
        <w:spacing w:before="120" w:after="60"/>
        <w:ind w:right="45" w:firstLine="720"/>
        <w:jc w:val="both"/>
        <w:rPr>
          <w:sz w:val="24"/>
          <w:szCs w:val="24"/>
        </w:rPr>
      </w:pPr>
      <w:r>
        <w:rPr>
          <w:sz w:val="24"/>
          <w:szCs w:val="24"/>
        </w:rPr>
        <w:lastRenderedPageBreak/>
        <w:t>Таблица 7. Задолженность по налоговым платежам в бюджет ЗАТО Северск за 2020 - 2021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jc w:val="center"/>
            </w:pPr>
            <w:r>
              <w:t>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239"/>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1</w:t>
            </w:r>
          </w:p>
        </w:tc>
        <w:tc>
          <w:tcPr>
            <w:tcW w:w="1418" w:type="dxa"/>
            <w:tcBorders>
              <w:top w:val="single" w:sz="4" w:space="0" w:color="auto"/>
              <w:left w:val="nil"/>
              <w:bottom w:val="single" w:sz="4" w:space="0" w:color="auto"/>
              <w:right w:val="single" w:sz="4" w:space="0" w:color="auto"/>
            </w:tcBorders>
            <w:vAlign w:val="center"/>
          </w:tcPr>
          <w:p>
            <w:pPr>
              <w:jc w:val="center"/>
            </w:pPr>
            <w:r>
              <w:t>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center"/>
            </w:pPr>
            <w:r>
              <w:t>3</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center"/>
            </w:pPr>
            <w: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5</w:t>
            </w:r>
          </w:p>
        </w:tc>
      </w:tr>
      <w:tr>
        <w:trPr>
          <w:cantSplit/>
          <w:trHeight w:val="361"/>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Всего по налоговым доходам, из них:</w:t>
            </w:r>
          </w:p>
        </w:tc>
        <w:tc>
          <w:tcPr>
            <w:tcW w:w="1418" w:type="dxa"/>
            <w:tcBorders>
              <w:top w:val="single" w:sz="4" w:space="0" w:color="auto"/>
              <w:left w:val="nil"/>
              <w:bottom w:val="single" w:sz="4" w:space="0" w:color="auto"/>
              <w:right w:val="single" w:sz="4" w:space="0" w:color="auto"/>
            </w:tcBorders>
            <w:vAlign w:val="center"/>
          </w:tcPr>
          <w:p>
            <w:pPr>
              <w:jc w:val="right"/>
            </w:pPr>
            <w:r>
              <w:t>28 270,1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30 697,3</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2 427,2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108,6</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НДФЛ (по нормативу 25%)</w:t>
            </w:r>
          </w:p>
        </w:tc>
        <w:tc>
          <w:tcPr>
            <w:tcW w:w="1418" w:type="dxa"/>
            <w:tcBorders>
              <w:top w:val="single" w:sz="4" w:space="0" w:color="auto"/>
              <w:left w:val="nil"/>
              <w:bottom w:val="single" w:sz="4" w:space="0" w:color="auto"/>
              <w:right w:val="single" w:sz="4" w:space="0" w:color="auto"/>
            </w:tcBorders>
            <w:vAlign w:val="center"/>
          </w:tcPr>
          <w:p>
            <w:pPr>
              <w:jc w:val="right"/>
            </w:pPr>
            <w:r>
              <w:t>11 265,4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12 067,5</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802,1</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107,1</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Налоги на совокупный доход</w:t>
            </w:r>
          </w:p>
        </w:tc>
        <w:tc>
          <w:tcPr>
            <w:tcW w:w="1418" w:type="dxa"/>
            <w:tcBorders>
              <w:top w:val="single" w:sz="4" w:space="0" w:color="auto"/>
              <w:left w:val="nil"/>
              <w:bottom w:val="single" w:sz="4" w:space="0" w:color="auto"/>
              <w:right w:val="single" w:sz="4" w:space="0" w:color="auto"/>
            </w:tcBorders>
            <w:vAlign w:val="center"/>
          </w:tcPr>
          <w:p>
            <w:pPr>
              <w:jc w:val="right"/>
            </w:pPr>
            <w:r>
              <w:t>3 141,2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3 252,9</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111,7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103,6</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Налоги на имущество</w:t>
            </w:r>
          </w:p>
        </w:tc>
        <w:tc>
          <w:tcPr>
            <w:tcW w:w="1418" w:type="dxa"/>
            <w:tcBorders>
              <w:top w:val="single" w:sz="4" w:space="0" w:color="auto"/>
              <w:left w:val="nil"/>
              <w:bottom w:val="single" w:sz="4" w:space="0" w:color="auto"/>
              <w:right w:val="single" w:sz="4" w:space="0" w:color="auto"/>
            </w:tcBorders>
            <w:vAlign w:val="center"/>
          </w:tcPr>
          <w:p>
            <w:pPr>
              <w:jc w:val="right"/>
            </w:pPr>
            <w:r>
              <w:t>13 858,6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15 374,5</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1 515,9</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110,9</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Задолженность и перерасчеты по налогам…</w:t>
            </w:r>
          </w:p>
        </w:tc>
        <w:tc>
          <w:tcPr>
            <w:tcW w:w="1418" w:type="dxa"/>
            <w:tcBorders>
              <w:top w:val="single" w:sz="4" w:space="0" w:color="auto"/>
              <w:left w:val="nil"/>
              <w:bottom w:val="single" w:sz="4" w:space="0" w:color="auto"/>
              <w:right w:val="single" w:sz="4" w:space="0" w:color="auto"/>
            </w:tcBorders>
            <w:vAlign w:val="center"/>
          </w:tcPr>
          <w:p>
            <w:pPr>
              <w:jc w:val="right"/>
            </w:pPr>
            <w:r>
              <w:t>4,9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2,4</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-2,5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49,0</w:t>
            </w:r>
          </w:p>
        </w:tc>
      </w:tr>
    </w:tbl>
    <w:p>
      <w:pPr>
        <w:spacing w:after="120"/>
        <w:jc w:val="center"/>
        <w:rPr>
          <w:b/>
        </w:rPr>
      </w:pPr>
    </w:p>
    <w:p>
      <w:pPr>
        <w:spacing w:after="240"/>
        <w:jc w:val="center"/>
        <w:rPr>
          <w:b/>
          <w:sz w:val="24"/>
          <w:szCs w:val="24"/>
        </w:rPr>
      </w:pPr>
      <w:r>
        <w:rPr>
          <w:b/>
          <w:sz w:val="24"/>
          <w:szCs w:val="24"/>
        </w:rPr>
        <w:t>3.1.1. Налог на доходы физических лиц</w:t>
      </w:r>
    </w:p>
    <w:p>
      <w:pPr>
        <w:ind w:firstLine="720"/>
        <w:jc w:val="both"/>
        <w:rPr>
          <w:sz w:val="24"/>
          <w:szCs w:val="24"/>
        </w:rPr>
      </w:pPr>
      <w:r>
        <w:rPr>
          <w:sz w:val="24"/>
          <w:szCs w:val="24"/>
        </w:rPr>
        <w:t>Налог на доходы физических лиц – один из основных источников доходов бюджета с территории ЗАТО Северск. Удельный вес статьи в общей структуре фактически поступивших доходов составляет 15,6%, налоговых и неналоговых доходах – 62,5%.</w:t>
      </w:r>
    </w:p>
    <w:p>
      <w:pPr>
        <w:ind w:firstLine="720"/>
        <w:jc w:val="both"/>
        <w:rPr>
          <w:sz w:val="24"/>
          <w:szCs w:val="24"/>
        </w:rPr>
      </w:pPr>
      <w:r>
        <w:rPr>
          <w:sz w:val="24"/>
          <w:szCs w:val="24"/>
        </w:rPr>
        <w:t>Первоначально утвержденный решением Думы ЗАТО Северск от 09.12.2020 № 5/1 прогноз составлял 737 747,17 тыс.руб., уточнение в течение года осуществлено в связи с увеличением оплаты труда работников бюджетной сферы по «дорожным картам», соглашения о размерах которых были заключены в период февраль – март 2021 года, а также за счет роста МРОТ на 5,5% согласно федеральному закону от 29.12.2020                  № 473-ФЗ «О внесении изменений в отдельные законодательные акты Российской Федерации».</w:t>
      </w:r>
    </w:p>
    <w:p>
      <w:pPr>
        <w:shd w:val="clear" w:color="auto" w:fill="FFFFFF"/>
        <w:ind w:firstLine="720"/>
        <w:jc w:val="both"/>
        <w:rPr>
          <w:sz w:val="24"/>
          <w:szCs w:val="24"/>
        </w:rPr>
      </w:pPr>
      <w:r>
        <w:rPr>
          <w:sz w:val="24"/>
          <w:szCs w:val="24"/>
        </w:rPr>
        <w:t>При прогнозной сумме поступлений 765 382,74 тыс.руб., фактически в бюджет поступило 773 030,55 тыс.руб., перевыполнение на 7 647,81 тыс.руб. или на 1,0%.</w:t>
      </w:r>
    </w:p>
    <w:p>
      <w:pPr>
        <w:spacing w:before="120" w:after="60"/>
        <w:ind w:firstLine="720"/>
        <w:jc w:val="both"/>
        <w:rPr>
          <w:sz w:val="24"/>
          <w:szCs w:val="24"/>
        </w:rPr>
      </w:pPr>
      <w:r>
        <w:rPr>
          <w:sz w:val="24"/>
          <w:szCs w:val="24"/>
        </w:rPr>
        <w:t>Таблица 8. Анализ поступления доходов по подстатьям НДФЛ за 2020 - 2021 гг.</w:t>
      </w:r>
    </w:p>
    <w:tbl>
      <w:tblPr>
        <w:tblW w:w="9510" w:type="dxa"/>
        <w:tblInd w:w="96" w:type="dxa"/>
        <w:tblLayout w:type="fixed"/>
        <w:tblLook w:val="0000" w:firstRow="0" w:lastRow="0" w:firstColumn="0" w:lastColumn="0" w:noHBand="0" w:noVBand="0"/>
      </w:tblPr>
      <w:tblGrid>
        <w:gridCol w:w="3414"/>
        <w:gridCol w:w="1134"/>
        <w:gridCol w:w="993"/>
        <w:gridCol w:w="1134"/>
        <w:gridCol w:w="1134"/>
        <w:gridCol w:w="992"/>
        <w:gridCol w:w="709"/>
      </w:tblGrid>
      <w:tr>
        <w:trPr>
          <w:trHeight w:val="274"/>
        </w:trPr>
        <w:tc>
          <w:tcPr>
            <w:tcW w:w="3414" w:type="dxa"/>
            <w:vMerge w:val="restart"/>
            <w:tcBorders>
              <w:top w:val="single" w:sz="4" w:space="0" w:color="auto"/>
              <w:left w:val="single" w:sz="4" w:space="0" w:color="auto"/>
              <w:right w:val="single" w:sz="4" w:space="0" w:color="auto"/>
            </w:tcBorders>
            <w:shd w:val="clear" w:color="auto" w:fill="auto"/>
            <w:vAlign w:val="center"/>
          </w:tcPr>
          <w:p>
            <w:pPr>
              <w:jc w:val="center"/>
              <w:rPr>
                <w:bCs/>
                <w:iCs/>
              </w:rPr>
            </w:pPr>
            <w:r>
              <w:rPr>
                <w:bCs/>
                <w:iCs/>
              </w:rPr>
              <w:t>Наименование</w:t>
            </w:r>
          </w:p>
        </w:tc>
        <w:tc>
          <w:tcPr>
            <w:tcW w:w="1134" w:type="dxa"/>
            <w:vMerge w:val="restart"/>
            <w:tcBorders>
              <w:top w:val="single" w:sz="4" w:space="0" w:color="auto"/>
              <w:left w:val="single" w:sz="4" w:space="0" w:color="auto"/>
              <w:right w:val="single" w:sz="4" w:space="0" w:color="auto"/>
            </w:tcBorders>
            <w:vAlign w:val="center"/>
          </w:tcPr>
          <w:p>
            <w:pPr>
              <w:ind w:left="-158" w:right="-108"/>
              <w:jc w:val="center"/>
            </w:pPr>
            <w:r>
              <w:t xml:space="preserve">Факт </w:t>
            </w:r>
          </w:p>
          <w:p>
            <w:pPr>
              <w:ind w:left="-158" w:right="-108"/>
              <w:jc w:val="center"/>
            </w:pPr>
            <w:r>
              <w:t>2020 год, тыс.руб.</w:t>
            </w:r>
          </w:p>
        </w:tc>
        <w:tc>
          <w:tcPr>
            <w:tcW w:w="4962" w:type="dxa"/>
            <w:gridSpan w:val="5"/>
            <w:tcBorders>
              <w:top w:val="single" w:sz="4" w:space="0" w:color="auto"/>
              <w:left w:val="single" w:sz="4" w:space="0" w:color="auto"/>
              <w:bottom w:val="single" w:sz="4" w:space="0" w:color="auto"/>
              <w:right w:val="single" w:sz="4" w:space="0" w:color="auto"/>
            </w:tcBorders>
            <w:vAlign w:val="center"/>
          </w:tcPr>
          <w:p>
            <w:pPr>
              <w:tabs>
                <w:tab w:val="left" w:pos="-192"/>
                <w:tab w:val="left" w:pos="-77"/>
              </w:tabs>
              <w:ind w:left="-108" w:right="-108"/>
              <w:jc w:val="center"/>
            </w:pPr>
            <w:r>
              <w:t>2021 год</w:t>
            </w:r>
          </w:p>
        </w:tc>
      </w:tr>
      <w:tr>
        <w:trPr>
          <w:trHeight w:val="871"/>
        </w:trPr>
        <w:tc>
          <w:tcPr>
            <w:tcW w:w="3414" w:type="dxa"/>
            <w:vMerge/>
            <w:tcBorders>
              <w:left w:val="single" w:sz="4" w:space="0" w:color="auto"/>
              <w:bottom w:val="single" w:sz="4" w:space="0" w:color="auto"/>
              <w:right w:val="single" w:sz="4" w:space="0" w:color="auto"/>
            </w:tcBorders>
            <w:shd w:val="clear" w:color="auto" w:fill="auto"/>
            <w:vAlign w:val="center"/>
          </w:tcPr>
          <w:p>
            <w:pPr>
              <w:jc w:val="center"/>
              <w:rPr>
                <w:bCs/>
                <w:iCs/>
              </w:rPr>
            </w:pPr>
          </w:p>
        </w:tc>
        <w:tc>
          <w:tcPr>
            <w:tcW w:w="1134" w:type="dxa"/>
            <w:vMerge/>
            <w:tcBorders>
              <w:left w:val="single" w:sz="4" w:space="0" w:color="auto"/>
              <w:bottom w:val="single" w:sz="4" w:space="0" w:color="auto"/>
              <w:right w:val="single" w:sz="4" w:space="0" w:color="auto"/>
            </w:tcBorders>
            <w:vAlign w:val="center"/>
          </w:tcPr>
          <w:p>
            <w:pPr>
              <w:ind w:left="-158" w:right="-108"/>
              <w:jc w:val="center"/>
            </w:pPr>
          </w:p>
        </w:tc>
        <w:tc>
          <w:tcPr>
            <w:tcW w:w="993" w:type="dxa"/>
            <w:tcBorders>
              <w:top w:val="single" w:sz="4" w:space="0" w:color="auto"/>
              <w:left w:val="single" w:sz="4" w:space="0" w:color="auto"/>
              <w:bottom w:val="single" w:sz="4" w:space="0" w:color="auto"/>
              <w:right w:val="single" w:sz="4" w:space="0" w:color="auto"/>
            </w:tcBorders>
          </w:tcPr>
          <w:p>
            <w:pPr>
              <w:ind w:left="-158" w:right="-108"/>
              <w:jc w:val="center"/>
            </w:pPr>
            <w:r>
              <w:t>Первона-чальный прогноз, 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992"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709"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trHeight w:val="209"/>
        </w:trPr>
        <w:tc>
          <w:tcPr>
            <w:tcW w:w="3414" w:type="dxa"/>
            <w:tcBorders>
              <w:top w:val="nil"/>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ind w:left="-158" w:right="-108"/>
              <w:jc w:val="center"/>
              <w:rPr>
                <w:sz w:val="16"/>
                <w:szCs w:val="16"/>
              </w:rPr>
            </w:pPr>
            <w:r>
              <w:rPr>
                <w:sz w:val="16"/>
                <w:szCs w:val="16"/>
              </w:rPr>
              <w:t>2</w:t>
            </w:r>
          </w:p>
        </w:tc>
        <w:tc>
          <w:tcPr>
            <w:tcW w:w="993" w:type="dxa"/>
            <w:tcBorders>
              <w:top w:val="single" w:sz="4" w:space="0" w:color="auto"/>
              <w:left w:val="single" w:sz="4" w:space="0" w:color="auto"/>
              <w:bottom w:val="single" w:sz="4" w:space="0" w:color="auto"/>
              <w:right w:val="single" w:sz="4" w:space="0" w:color="auto"/>
            </w:tcBorders>
            <w:vAlign w:val="center"/>
          </w:tcPr>
          <w:p>
            <w:pPr>
              <w:ind w:left="-158" w:right="-108"/>
              <w:jc w:val="center"/>
              <w:rPr>
                <w:sz w:val="16"/>
                <w:szCs w:val="16"/>
              </w:rPr>
            </w:pPr>
            <w:r>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58" w:right="-108"/>
              <w:jc w:val="center"/>
              <w:rPr>
                <w:sz w:val="16"/>
                <w:szCs w:val="16"/>
              </w:rPr>
            </w:pPr>
            <w:r>
              <w:rPr>
                <w:sz w:val="16"/>
                <w:szCs w:val="16"/>
              </w:rPr>
              <w:t>4</w:t>
            </w:r>
          </w:p>
        </w:tc>
        <w:tc>
          <w:tcPr>
            <w:tcW w:w="1134" w:type="dxa"/>
            <w:tcBorders>
              <w:top w:val="nil"/>
              <w:left w:val="nil"/>
              <w:bottom w:val="single" w:sz="4" w:space="0" w:color="auto"/>
              <w:right w:val="single" w:sz="4" w:space="0" w:color="auto"/>
            </w:tcBorders>
            <w:shd w:val="clear" w:color="auto" w:fill="auto"/>
            <w:noWrap/>
            <w:vAlign w:val="center"/>
          </w:tcPr>
          <w:p>
            <w:pPr>
              <w:ind w:left="-108" w:right="-108"/>
              <w:jc w:val="center"/>
              <w:rPr>
                <w:sz w:val="16"/>
                <w:szCs w:val="16"/>
              </w:rPr>
            </w:pPr>
            <w:r>
              <w:rPr>
                <w:sz w:val="16"/>
                <w:szCs w:val="16"/>
              </w:rPr>
              <w:t>5</w:t>
            </w:r>
          </w:p>
        </w:tc>
        <w:tc>
          <w:tcPr>
            <w:tcW w:w="992" w:type="dxa"/>
            <w:tcBorders>
              <w:top w:val="nil"/>
              <w:left w:val="nil"/>
              <w:bottom w:val="single" w:sz="4" w:space="0" w:color="auto"/>
              <w:right w:val="single" w:sz="4" w:space="0" w:color="auto"/>
            </w:tcBorders>
            <w:shd w:val="clear" w:color="auto" w:fill="auto"/>
            <w:noWrap/>
            <w:vAlign w:val="center"/>
          </w:tcPr>
          <w:p>
            <w:pPr>
              <w:ind w:left="-76" w:right="-148"/>
              <w:jc w:val="center"/>
              <w:rPr>
                <w:sz w:val="16"/>
                <w:szCs w:val="16"/>
              </w:rPr>
            </w:pPr>
            <w:r>
              <w:rPr>
                <w:sz w:val="16"/>
                <w:szCs w:val="16"/>
              </w:rPr>
              <w:t>6=5-4</w:t>
            </w:r>
          </w:p>
        </w:tc>
        <w:tc>
          <w:tcPr>
            <w:tcW w:w="709" w:type="dxa"/>
            <w:tcBorders>
              <w:top w:val="nil"/>
              <w:left w:val="nil"/>
              <w:bottom w:val="single" w:sz="4" w:space="0" w:color="auto"/>
              <w:right w:val="single" w:sz="4" w:space="0" w:color="auto"/>
            </w:tcBorders>
            <w:shd w:val="clear" w:color="auto" w:fill="auto"/>
            <w:noWrap/>
            <w:vAlign w:val="center"/>
          </w:tcPr>
          <w:p>
            <w:pPr>
              <w:ind w:right="-108"/>
              <w:jc w:val="center"/>
              <w:rPr>
                <w:sz w:val="16"/>
                <w:szCs w:val="16"/>
              </w:rPr>
            </w:pPr>
            <w:r>
              <w:rPr>
                <w:sz w:val="16"/>
                <w:szCs w:val="16"/>
              </w:rPr>
              <w:t>7=5/4</w:t>
            </w:r>
          </w:p>
        </w:tc>
      </w:tr>
      <w:tr>
        <w:trPr>
          <w:trHeight w:val="516"/>
        </w:trPr>
        <w:tc>
          <w:tcPr>
            <w:tcW w:w="3414" w:type="dxa"/>
            <w:tcBorders>
              <w:top w:val="nil"/>
              <w:left w:val="single" w:sz="4" w:space="0" w:color="auto"/>
              <w:bottom w:val="single" w:sz="4" w:space="0" w:color="auto"/>
              <w:right w:val="single" w:sz="4" w:space="0" w:color="auto"/>
            </w:tcBorders>
            <w:shd w:val="clear" w:color="auto" w:fill="auto"/>
            <w:vAlign w:val="center"/>
          </w:tcPr>
          <w:p>
            <w:pPr>
              <w:jc w:val="both"/>
              <w:rPr>
                <w:b/>
              </w:rPr>
            </w:pPr>
            <w:r>
              <w:rPr>
                <w:b/>
                <w:bCs/>
              </w:rPr>
              <w:t>Налог на доходы физических лиц (НДФЛ) - всего</w:t>
            </w:r>
          </w:p>
        </w:tc>
        <w:tc>
          <w:tcPr>
            <w:tcW w:w="1134" w:type="dxa"/>
            <w:tcBorders>
              <w:top w:val="nil"/>
              <w:left w:val="nil"/>
              <w:bottom w:val="single" w:sz="4" w:space="0" w:color="auto"/>
              <w:right w:val="single" w:sz="4" w:space="0" w:color="auto"/>
            </w:tcBorders>
            <w:shd w:val="clear" w:color="auto" w:fill="auto"/>
            <w:vAlign w:val="center"/>
          </w:tcPr>
          <w:p>
            <w:pPr>
              <w:ind w:left="-159" w:right="-57"/>
              <w:jc w:val="right"/>
              <w:rPr>
                <w:b/>
              </w:rPr>
            </w:pPr>
            <w:r>
              <w:rPr>
                <w:b/>
              </w:rPr>
              <w:t>747 716,04</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rPr>
                <w:b/>
              </w:rPr>
            </w:pPr>
            <w:r>
              <w:rPr>
                <w:b/>
              </w:rPr>
              <w:t>737 747,17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59" w:right="-57"/>
              <w:jc w:val="right"/>
              <w:rPr>
                <w:b/>
              </w:rPr>
            </w:pPr>
            <w:r>
              <w:rPr>
                <w:b/>
              </w:rPr>
              <w:t>765 382,74</w:t>
            </w:r>
          </w:p>
        </w:tc>
        <w:tc>
          <w:tcPr>
            <w:tcW w:w="1134" w:type="dxa"/>
            <w:tcBorders>
              <w:top w:val="nil"/>
              <w:left w:val="nil"/>
              <w:bottom w:val="single" w:sz="4" w:space="0" w:color="auto"/>
              <w:right w:val="single" w:sz="4" w:space="0" w:color="auto"/>
            </w:tcBorders>
            <w:shd w:val="clear" w:color="auto" w:fill="auto"/>
            <w:noWrap/>
            <w:vAlign w:val="center"/>
          </w:tcPr>
          <w:p>
            <w:pPr>
              <w:ind w:left="-159" w:right="-57"/>
              <w:jc w:val="right"/>
              <w:rPr>
                <w:b/>
              </w:rPr>
            </w:pPr>
            <w:r>
              <w:rPr>
                <w:b/>
              </w:rPr>
              <w:t>773 030,55</w:t>
            </w:r>
          </w:p>
        </w:tc>
        <w:tc>
          <w:tcPr>
            <w:tcW w:w="992" w:type="dxa"/>
            <w:tcBorders>
              <w:top w:val="nil"/>
              <w:left w:val="nil"/>
              <w:bottom w:val="single" w:sz="4" w:space="0" w:color="auto"/>
              <w:right w:val="single" w:sz="4" w:space="0" w:color="auto"/>
            </w:tcBorders>
            <w:shd w:val="clear" w:color="auto" w:fill="auto"/>
            <w:noWrap/>
            <w:vAlign w:val="center"/>
          </w:tcPr>
          <w:p>
            <w:pPr>
              <w:ind w:left="-159" w:right="-57"/>
              <w:jc w:val="right"/>
              <w:rPr>
                <w:b/>
              </w:rPr>
            </w:pPr>
            <w:r>
              <w:rPr>
                <w:b/>
              </w:rPr>
              <w:t>7 647,81</w:t>
            </w:r>
          </w:p>
        </w:tc>
        <w:tc>
          <w:tcPr>
            <w:tcW w:w="709" w:type="dxa"/>
            <w:tcBorders>
              <w:top w:val="nil"/>
              <w:left w:val="nil"/>
              <w:bottom w:val="single" w:sz="4" w:space="0" w:color="auto"/>
              <w:right w:val="single" w:sz="4" w:space="0" w:color="auto"/>
            </w:tcBorders>
            <w:shd w:val="clear" w:color="auto" w:fill="auto"/>
            <w:noWrap/>
            <w:vAlign w:val="center"/>
          </w:tcPr>
          <w:p>
            <w:pPr>
              <w:ind w:left="-57" w:right="-57"/>
              <w:jc w:val="center"/>
              <w:rPr>
                <w:b/>
              </w:rPr>
            </w:pPr>
            <w:r>
              <w:rPr>
                <w:b/>
              </w:rPr>
              <w:t>101,0</w:t>
            </w:r>
          </w:p>
        </w:tc>
      </w:tr>
      <w:tr>
        <w:trPr>
          <w:trHeight w:val="382"/>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pPr>
              <w:jc w:val="both"/>
            </w:pPr>
            <w:r>
              <w:t>НДФЛ с доходов в соответствии со статьями 227, 227.1 и 228 НК РФ</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59" w:right="-57"/>
              <w:jc w:val="right"/>
            </w:pPr>
            <w:r>
              <w:t>738 516,09</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pPr>
            <w:r>
              <w:t>728 948,74</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59" w:right="-57"/>
              <w:jc w:val="right"/>
            </w:pPr>
            <w:r>
              <w:t>756 584,31</w:t>
            </w:r>
          </w:p>
        </w:tc>
        <w:tc>
          <w:tcPr>
            <w:tcW w:w="1134"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759 647,55</w:t>
            </w:r>
          </w:p>
        </w:tc>
        <w:tc>
          <w:tcPr>
            <w:tcW w:w="992"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3 063,24</w:t>
            </w:r>
          </w:p>
        </w:tc>
        <w:tc>
          <w:tcPr>
            <w:tcW w:w="709" w:type="dxa"/>
            <w:tcBorders>
              <w:top w:val="single" w:sz="4" w:space="0" w:color="auto"/>
              <w:left w:val="nil"/>
              <w:bottom w:val="single" w:sz="4" w:space="0" w:color="auto"/>
              <w:right w:val="single" w:sz="4" w:space="0" w:color="auto"/>
            </w:tcBorders>
            <w:shd w:val="clear" w:color="auto" w:fill="auto"/>
            <w:noWrap/>
            <w:vAlign w:val="center"/>
          </w:tcPr>
          <w:p>
            <w:pPr>
              <w:ind w:left="-57" w:right="-57"/>
              <w:jc w:val="center"/>
            </w:pPr>
            <w:r>
              <w:t>100,4</w:t>
            </w:r>
          </w:p>
        </w:tc>
      </w:tr>
      <w:tr>
        <w:trPr>
          <w:trHeight w:val="468"/>
        </w:trPr>
        <w:tc>
          <w:tcPr>
            <w:tcW w:w="3414" w:type="dxa"/>
            <w:tcBorders>
              <w:top w:val="nil"/>
              <w:left w:val="single" w:sz="4" w:space="0" w:color="auto"/>
              <w:bottom w:val="single" w:sz="4" w:space="0" w:color="auto"/>
              <w:right w:val="single" w:sz="4" w:space="0" w:color="auto"/>
            </w:tcBorders>
            <w:shd w:val="clear" w:color="auto" w:fill="auto"/>
            <w:vAlign w:val="center"/>
          </w:tcPr>
          <w:p>
            <w:pPr>
              <w:jc w:val="both"/>
            </w:pPr>
            <w:r>
              <w:t xml:space="preserve">НДФЛ с доходов… индивидуальных предпринимателей, нотариусов… </w:t>
            </w:r>
          </w:p>
        </w:tc>
        <w:tc>
          <w:tcPr>
            <w:tcW w:w="1134" w:type="dxa"/>
            <w:tcBorders>
              <w:top w:val="nil"/>
              <w:left w:val="nil"/>
              <w:bottom w:val="single" w:sz="4" w:space="0" w:color="auto"/>
              <w:right w:val="single" w:sz="4" w:space="0" w:color="auto"/>
            </w:tcBorders>
            <w:shd w:val="clear" w:color="auto" w:fill="auto"/>
            <w:vAlign w:val="center"/>
          </w:tcPr>
          <w:p>
            <w:pPr>
              <w:ind w:left="-159" w:right="-57"/>
              <w:jc w:val="right"/>
            </w:pPr>
            <w:r>
              <w:t>4 421,29</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pPr>
            <w:r>
              <w:t>4 101,87</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59" w:right="-57"/>
              <w:jc w:val="right"/>
            </w:pPr>
            <w:r>
              <w:t>4 101,87</w:t>
            </w:r>
          </w:p>
        </w:tc>
        <w:tc>
          <w:tcPr>
            <w:tcW w:w="1134" w:type="dxa"/>
            <w:tcBorders>
              <w:top w:val="nil"/>
              <w:left w:val="nil"/>
              <w:bottom w:val="single" w:sz="4" w:space="0" w:color="auto"/>
              <w:right w:val="single" w:sz="4" w:space="0" w:color="auto"/>
            </w:tcBorders>
            <w:shd w:val="clear" w:color="auto" w:fill="auto"/>
            <w:noWrap/>
            <w:vAlign w:val="center"/>
          </w:tcPr>
          <w:p>
            <w:pPr>
              <w:ind w:left="-159" w:right="-57"/>
              <w:jc w:val="right"/>
            </w:pPr>
            <w:r>
              <w:t>2 592,25</w:t>
            </w:r>
          </w:p>
        </w:tc>
        <w:tc>
          <w:tcPr>
            <w:tcW w:w="992" w:type="dxa"/>
            <w:tcBorders>
              <w:top w:val="nil"/>
              <w:left w:val="nil"/>
              <w:bottom w:val="single" w:sz="4" w:space="0" w:color="auto"/>
              <w:right w:val="single" w:sz="4" w:space="0" w:color="auto"/>
            </w:tcBorders>
            <w:shd w:val="clear" w:color="auto" w:fill="auto"/>
            <w:noWrap/>
            <w:vAlign w:val="center"/>
          </w:tcPr>
          <w:p>
            <w:pPr>
              <w:ind w:left="-159" w:right="-57"/>
              <w:jc w:val="right"/>
            </w:pPr>
            <w:r>
              <w:t>-1 509,62</w:t>
            </w:r>
          </w:p>
        </w:tc>
        <w:tc>
          <w:tcPr>
            <w:tcW w:w="709" w:type="dxa"/>
            <w:tcBorders>
              <w:top w:val="nil"/>
              <w:left w:val="nil"/>
              <w:bottom w:val="single" w:sz="4" w:space="0" w:color="auto"/>
              <w:right w:val="single" w:sz="4" w:space="0" w:color="auto"/>
            </w:tcBorders>
            <w:shd w:val="clear" w:color="auto" w:fill="auto"/>
            <w:noWrap/>
            <w:vAlign w:val="center"/>
          </w:tcPr>
          <w:p>
            <w:pPr>
              <w:ind w:left="-57" w:right="-57"/>
              <w:jc w:val="center"/>
            </w:pPr>
            <w:r>
              <w:t>63,2</w:t>
            </w:r>
          </w:p>
        </w:tc>
      </w:tr>
      <w:tr>
        <w:trPr>
          <w:trHeight w:val="424"/>
        </w:trPr>
        <w:tc>
          <w:tcPr>
            <w:tcW w:w="3414" w:type="dxa"/>
            <w:tcBorders>
              <w:top w:val="nil"/>
              <w:left w:val="single" w:sz="4" w:space="0" w:color="auto"/>
              <w:bottom w:val="single" w:sz="4" w:space="0" w:color="auto"/>
              <w:right w:val="single" w:sz="4" w:space="0" w:color="auto"/>
            </w:tcBorders>
            <w:shd w:val="clear" w:color="auto" w:fill="auto"/>
            <w:vAlign w:val="center"/>
          </w:tcPr>
          <w:p>
            <w:pPr>
              <w:jc w:val="both"/>
            </w:pPr>
            <w:r>
              <w:t>НДФЛ с доходов в соответствии со статьей 228 НК РФ</w:t>
            </w:r>
          </w:p>
        </w:tc>
        <w:tc>
          <w:tcPr>
            <w:tcW w:w="1134" w:type="dxa"/>
            <w:tcBorders>
              <w:top w:val="nil"/>
              <w:left w:val="nil"/>
              <w:bottom w:val="single" w:sz="4" w:space="0" w:color="auto"/>
              <w:right w:val="single" w:sz="4" w:space="0" w:color="auto"/>
            </w:tcBorders>
            <w:shd w:val="clear" w:color="auto" w:fill="auto"/>
            <w:vAlign w:val="center"/>
          </w:tcPr>
          <w:p>
            <w:pPr>
              <w:ind w:left="-159" w:right="-57"/>
              <w:jc w:val="right"/>
            </w:pPr>
            <w:r>
              <w:t>4 777,08</w:t>
            </w:r>
          </w:p>
        </w:tc>
        <w:tc>
          <w:tcPr>
            <w:tcW w:w="993" w:type="dxa"/>
            <w:tcBorders>
              <w:top w:val="single" w:sz="4" w:space="0" w:color="auto"/>
              <w:left w:val="single" w:sz="4" w:space="0" w:color="auto"/>
              <w:bottom w:val="single" w:sz="4" w:space="0" w:color="auto"/>
              <w:right w:val="single" w:sz="4" w:space="0" w:color="auto"/>
            </w:tcBorders>
            <w:vAlign w:val="center"/>
          </w:tcPr>
          <w:p>
            <w:pPr>
              <w:ind w:left="-159" w:right="-57"/>
              <w:jc w:val="right"/>
            </w:pPr>
            <w:r>
              <w:t>4 696,56</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left="-159" w:right="-57"/>
              <w:jc w:val="right"/>
            </w:pPr>
            <w:r>
              <w:t>4 696,56</w:t>
            </w:r>
          </w:p>
        </w:tc>
        <w:tc>
          <w:tcPr>
            <w:tcW w:w="1134" w:type="dxa"/>
            <w:tcBorders>
              <w:top w:val="nil"/>
              <w:left w:val="nil"/>
              <w:bottom w:val="single" w:sz="4" w:space="0" w:color="auto"/>
              <w:right w:val="single" w:sz="4" w:space="0" w:color="auto"/>
            </w:tcBorders>
            <w:shd w:val="clear" w:color="auto" w:fill="auto"/>
            <w:noWrap/>
            <w:vAlign w:val="center"/>
          </w:tcPr>
          <w:p>
            <w:pPr>
              <w:ind w:left="-159" w:right="-57"/>
              <w:jc w:val="right"/>
            </w:pPr>
            <w:r>
              <w:t>7 084,72</w:t>
            </w:r>
          </w:p>
        </w:tc>
        <w:tc>
          <w:tcPr>
            <w:tcW w:w="992" w:type="dxa"/>
            <w:tcBorders>
              <w:top w:val="nil"/>
              <w:left w:val="nil"/>
              <w:bottom w:val="single" w:sz="4" w:space="0" w:color="auto"/>
              <w:right w:val="single" w:sz="4" w:space="0" w:color="auto"/>
            </w:tcBorders>
            <w:shd w:val="clear" w:color="auto" w:fill="auto"/>
            <w:noWrap/>
            <w:vAlign w:val="center"/>
          </w:tcPr>
          <w:p>
            <w:pPr>
              <w:ind w:left="-159" w:right="-57"/>
              <w:jc w:val="right"/>
            </w:pPr>
            <w:r>
              <w:t>2 388,16</w:t>
            </w:r>
          </w:p>
        </w:tc>
        <w:tc>
          <w:tcPr>
            <w:tcW w:w="709" w:type="dxa"/>
            <w:tcBorders>
              <w:top w:val="nil"/>
              <w:left w:val="nil"/>
              <w:bottom w:val="single" w:sz="4" w:space="0" w:color="auto"/>
              <w:right w:val="single" w:sz="4" w:space="0" w:color="auto"/>
            </w:tcBorders>
            <w:shd w:val="clear" w:color="auto" w:fill="auto"/>
            <w:noWrap/>
            <w:vAlign w:val="center"/>
          </w:tcPr>
          <w:p>
            <w:pPr>
              <w:ind w:left="-57" w:right="-57"/>
              <w:jc w:val="center"/>
            </w:pPr>
            <w:r>
              <w:t>150,8</w:t>
            </w:r>
          </w:p>
        </w:tc>
      </w:tr>
      <w:tr>
        <w:trPr>
          <w:trHeight w:val="574"/>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pPr>
              <w:jc w:val="both"/>
            </w:pPr>
            <w:r>
              <w:t>НДФЛ с доходов, полученных физическими лицами, являющимися иностранными гражданами…</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59" w:right="-57"/>
              <w:jc w:val="right"/>
            </w:pPr>
            <w:r>
              <w:t>1,58</w:t>
            </w:r>
          </w:p>
        </w:tc>
        <w:tc>
          <w:tcPr>
            <w:tcW w:w="993" w:type="dxa"/>
            <w:tcBorders>
              <w:top w:val="single" w:sz="4" w:space="0" w:color="auto"/>
              <w:left w:val="single" w:sz="4" w:space="0" w:color="auto"/>
              <w:bottom w:val="single" w:sz="4" w:space="0" w:color="auto"/>
              <w:right w:val="single" w:sz="4" w:space="0" w:color="auto"/>
            </w:tcBorders>
            <w:vAlign w:val="center"/>
          </w:tcPr>
          <w:p>
            <w:pPr>
              <w:jc w:val="right"/>
            </w:pPr>
            <w: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pPr>
            <w: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w:t>
            </w:r>
          </w:p>
        </w:tc>
        <w:tc>
          <w:tcPr>
            <w:tcW w:w="992"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w:t>
            </w:r>
          </w:p>
        </w:tc>
        <w:tc>
          <w:tcPr>
            <w:tcW w:w="709" w:type="dxa"/>
            <w:tcBorders>
              <w:top w:val="single" w:sz="4" w:space="0" w:color="auto"/>
              <w:left w:val="nil"/>
              <w:bottom w:val="single" w:sz="4" w:space="0" w:color="auto"/>
              <w:right w:val="single" w:sz="4" w:space="0" w:color="auto"/>
            </w:tcBorders>
            <w:shd w:val="clear" w:color="auto" w:fill="auto"/>
            <w:noWrap/>
            <w:vAlign w:val="center"/>
          </w:tcPr>
          <w:p>
            <w:pPr>
              <w:jc w:val="center"/>
            </w:pPr>
            <w:r>
              <w:t>-</w:t>
            </w:r>
          </w:p>
        </w:tc>
      </w:tr>
      <w:tr>
        <w:trPr>
          <w:trHeight w:val="356"/>
        </w:trPr>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pPr>
              <w:jc w:val="both"/>
            </w:pPr>
            <w:r>
              <w:t>НДФЛ в части суммы налога, превышающей 650 тыс.руб., относящейся к части налоговой базы, превышающей 5 000 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59" w:right="-57"/>
              <w:jc w:val="right"/>
            </w:pPr>
            <w:r>
              <w:t>-</w:t>
            </w:r>
          </w:p>
        </w:tc>
        <w:tc>
          <w:tcPr>
            <w:tcW w:w="993" w:type="dxa"/>
            <w:tcBorders>
              <w:top w:val="single" w:sz="4" w:space="0" w:color="auto"/>
              <w:left w:val="single" w:sz="4" w:space="0" w:color="auto"/>
              <w:bottom w:val="single" w:sz="4" w:space="0" w:color="auto"/>
              <w:right w:val="single" w:sz="4" w:space="0" w:color="auto"/>
            </w:tcBorders>
            <w:vAlign w:val="center"/>
          </w:tcPr>
          <w:p>
            <w:pPr>
              <w:jc w:val="right"/>
            </w:pPr>
            <w: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pPr>
            <w:r>
              <w:t>-</w:t>
            </w:r>
          </w:p>
        </w:tc>
        <w:tc>
          <w:tcPr>
            <w:tcW w:w="1134"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3 706,03</w:t>
            </w:r>
          </w:p>
        </w:tc>
        <w:tc>
          <w:tcPr>
            <w:tcW w:w="992" w:type="dxa"/>
            <w:tcBorders>
              <w:top w:val="single" w:sz="4" w:space="0" w:color="auto"/>
              <w:left w:val="nil"/>
              <w:bottom w:val="single" w:sz="4" w:space="0" w:color="auto"/>
              <w:right w:val="single" w:sz="4" w:space="0" w:color="auto"/>
            </w:tcBorders>
            <w:shd w:val="clear" w:color="auto" w:fill="auto"/>
            <w:noWrap/>
            <w:vAlign w:val="center"/>
          </w:tcPr>
          <w:p>
            <w:pPr>
              <w:ind w:left="-159" w:right="-57"/>
              <w:jc w:val="right"/>
            </w:pPr>
            <w:r>
              <w:t>3 706,03</w:t>
            </w:r>
          </w:p>
        </w:tc>
        <w:tc>
          <w:tcPr>
            <w:tcW w:w="709" w:type="dxa"/>
            <w:tcBorders>
              <w:top w:val="single" w:sz="4" w:space="0" w:color="auto"/>
              <w:left w:val="nil"/>
              <w:bottom w:val="single" w:sz="4" w:space="0" w:color="auto"/>
              <w:right w:val="single" w:sz="4" w:space="0" w:color="auto"/>
            </w:tcBorders>
            <w:shd w:val="clear" w:color="auto" w:fill="auto"/>
            <w:noWrap/>
            <w:vAlign w:val="center"/>
          </w:tcPr>
          <w:p>
            <w:pPr>
              <w:jc w:val="center"/>
            </w:pPr>
            <w:r>
              <w:t>-</w:t>
            </w:r>
          </w:p>
        </w:tc>
      </w:tr>
    </w:tbl>
    <w:p>
      <w:pPr>
        <w:spacing w:before="240"/>
        <w:ind w:firstLine="709"/>
        <w:jc w:val="both"/>
        <w:rPr>
          <w:sz w:val="24"/>
          <w:szCs w:val="24"/>
        </w:rPr>
      </w:pPr>
      <w:r>
        <w:rPr>
          <w:sz w:val="24"/>
          <w:szCs w:val="24"/>
        </w:rPr>
        <w:t>Главный администратор доходов по НДФЛ – ИФНС России по ЗАТО Северск Томской области.</w:t>
      </w:r>
    </w:p>
    <w:p>
      <w:pPr>
        <w:ind w:firstLine="720"/>
        <w:jc w:val="both"/>
        <w:rPr>
          <w:sz w:val="24"/>
          <w:szCs w:val="24"/>
        </w:rPr>
      </w:pPr>
      <w:r>
        <w:rPr>
          <w:sz w:val="24"/>
          <w:szCs w:val="24"/>
        </w:rPr>
        <w:t xml:space="preserve">Платежи по статье «Налог на доходы физических лиц» в 2021 году в бюджет ЗАТО Северск распределялись по нормативу 36,61% от контингента налога, в том числе 11,61% – дополнительный норматив отчислений согласно Закону Томской области </w:t>
      </w:r>
      <w:r>
        <w:rPr>
          <w:sz w:val="24"/>
          <w:szCs w:val="24"/>
        </w:rPr>
        <w:lastRenderedPageBreak/>
        <w:t xml:space="preserve">от 29.12.2020 № 180-ОЗ «Об областном бюджете на 2021 год и на плановый период 2022 и 2023 годов». </w:t>
      </w:r>
    </w:p>
    <w:p>
      <w:pPr>
        <w:ind w:firstLine="708"/>
        <w:jc w:val="both"/>
        <w:rPr>
          <w:sz w:val="24"/>
          <w:szCs w:val="24"/>
        </w:rPr>
      </w:pPr>
      <w:r>
        <w:rPr>
          <w:sz w:val="24"/>
          <w:szCs w:val="24"/>
        </w:rPr>
        <w:t>Структура поступления НДФЛ по отраслевому признаку традиционна для ЗАТО Северск. Наибольший удельный вес занимает промышленность и производство – 29%, в которой доминирующая позиция за АО «Сибирский химический комбинат» и организаций Росатома – 28%. На втором месте - воинские части, учреждений правоохранительной отрасли и МЧС.</w:t>
      </w:r>
    </w:p>
    <w:p>
      <w:pPr>
        <w:spacing w:before="120" w:after="60"/>
        <w:ind w:left="284" w:firstLine="425"/>
        <w:rPr>
          <w:sz w:val="24"/>
          <w:szCs w:val="24"/>
        </w:rPr>
      </w:pPr>
      <w:r>
        <w:rPr>
          <w:sz w:val="24"/>
          <w:szCs w:val="24"/>
        </w:rPr>
        <w:t xml:space="preserve">Таблица 9. Структура поступления НДФЛ в 2021 году по отраслевому признаку </w:t>
      </w:r>
    </w:p>
    <w:tbl>
      <w:tblPr>
        <w:tblW w:w="79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37"/>
        <w:gridCol w:w="1701"/>
      </w:tblGrid>
      <w:tr>
        <w:trPr>
          <w:trHeight w:val="340"/>
        </w:trPr>
        <w:tc>
          <w:tcPr>
            <w:tcW w:w="6237" w:type="dxa"/>
            <w:vAlign w:val="center"/>
          </w:tcPr>
          <w:p>
            <w:pPr>
              <w:ind w:left="283"/>
              <w:jc w:val="center"/>
            </w:pPr>
            <w:r>
              <w:t>Наименование отрасли</w:t>
            </w:r>
          </w:p>
        </w:tc>
        <w:tc>
          <w:tcPr>
            <w:tcW w:w="1701" w:type="dxa"/>
            <w:vAlign w:val="center"/>
          </w:tcPr>
          <w:p>
            <w:pPr>
              <w:ind w:left="-108" w:right="-108"/>
              <w:jc w:val="center"/>
            </w:pPr>
            <w:r>
              <w:t>Удельный вес, %</w:t>
            </w:r>
          </w:p>
        </w:tc>
      </w:tr>
      <w:tr>
        <w:trPr>
          <w:trHeight w:val="340"/>
        </w:trPr>
        <w:tc>
          <w:tcPr>
            <w:tcW w:w="6237" w:type="dxa"/>
            <w:vAlign w:val="center"/>
          </w:tcPr>
          <w:p>
            <w:pPr>
              <w:ind w:left="34"/>
            </w:pPr>
            <w:r>
              <w:t>Промышленность и производство</w:t>
            </w:r>
          </w:p>
        </w:tc>
        <w:tc>
          <w:tcPr>
            <w:tcW w:w="1701" w:type="dxa"/>
            <w:vAlign w:val="center"/>
          </w:tcPr>
          <w:p>
            <w:pPr>
              <w:ind w:left="284"/>
              <w:jc w:val="center"/>
            </w:pPr>
            <w:r>
              <w:t>29</w:t>
            </w:r>
          </w:p>
        </w:tc>
      </w:tr>
      <w:tr>
        <w:trPr>
          <w:trHeight w:val="340"/>
        </w:trPr>
        <w:tc>
          <w:tcPr>
            <w:tcW w:w="6237" w:type="dxa"/>
            <w:vAlign w:val="center"/>
          </w:tcPr>
          <w:p>
            <w:pPr>
              <w:ind w:left="34" w:firstLine="284"/>
              <w:rPr>
                <w:i/>
              </w:rPr>
            </w:pPr>
            <w:r>
              <w:rPr>
                <w:i/>
              </w:rPr>
              <w:t>в т.ч. АО «СХК» и другие организации «Росатом»</w:t>
            </w:r>
          </w:p>
        </w:tc>
        <w:tc>
          <w:tcPr>
            <w:tcW w:w="1701" w:type="dxa"/>
            <w:vAlign w:val="center"/>
          </w:tcPr>
          <w:p>
            <w:pPr>
              <w:ind w:left="284"/>
              <w:jc w:val="center"/>
              <w:rPr>
                <w:i/>
              </w:rPr>
            </w:pPr>
            <w:r>
              <w:rPr>
                <w:i/>
              </w:rPr>
              <w:t>28</w:t>
            </w:r>
          </w:p>
        </w:tc>
      </w:tr>
      <w:tr>
        <w:trPr>
          <w:trHeight w:val="340"/>
        </w:trPr>
        <w:tc>
          <w:tcPr>
            <w:tcW w:w="6237" w:type="dxa"/>
            <w:vAlign w:val="center"/>
          </w:tcPr>
          <w:p>
            <w:pPr>
              <w:ind w:left="34"/>
            </w:pPr>
            <w:r>
              <w:t>Воинские части, правоохранительные органы, МЧС, Атом-охрана</w:t>
            </w:r>
          </w:p>
        </w:tc>
        <w:tc>
          <w:tcPr>
            <w:tcW w:w="1701" w:type="dxa"/>
            <w:vAlign w:val="center"/>
          </w:tcPr>
          <w:p>
            <w:pPr>
              <w:ind w:left="284"/>
              <w:jc w:val="center"/>
            </w:pPr>
            <w:r>
              <w:t>21</w:t>
            </w:r>
          </w:p>
        </w:tc>
      </w:tr>
      <w:tr>
        <w:trPr>
          <w:trHeight w:val="340"/>
        </w:trPr>
        <w:tc>
          <w:tcPr>
            <w:tcW w:w="6237" w:type="dxa"/>
            <w:vAlign w:val="center"/>
          </w:tcPr>
          <w:p>
            <w:pPr>
              <w:ind w:left="34"/>
            </w:pPr>
            <w:r>
              <w:t>Образование (дошкольное, общее, высшее)</w:t>
            </w:r>
          </w:p>
        </w:tc>
        <w:tc>
          <w:tcPr>
            <w:tcW w:w="1701" w:type="dxa"/>
            <w:vAlign w:val="center"/>
          </w:tcPr>
          <w:p>
            <w:pPr>
              <w:ind w:left="284"/>
              <w:jc w:val="center"/>
            </w:pPr>
            <w:r>
              <w:t>13</w:t>
            </w:r>
          </w:p>
        </w:tc>
      </w:tr>
      <w:tr>
        <w:trPr>
          <w:trHeight w:val="340"/>
        </w:trPr>
        <w:tc>
          <w:tcPr>
            <w:tcW w:w="6237" w:type="dxa"/>
            <w:vAlign w:val="center"/>
          </w:tcPr>
          <w:p>
            <w:pPr>
              <w:ind w:left="34"/>
            </w:pPr>
            <w:r>
              <w:t>Здравоохранение, физическая культура и социальное обеспечение</w:t>
            </w:r>
          </w:p>
        </w:tc>
        <w:tc>
          <w:tcPr>
            <w:tcW w:w="1701" w:type="dxa"/>
            <w:vAlign w:val="center"/>
          </w:tcPr>
          <w:p>
            <w:pPr>
              <w:ind w:left="284"/>
              <w:jc w:val="center"/>
            </w:pPr>
            <w:r>
              <w:t>10</w:t>
            </w:r>
          </w:p>
        </w:tc>
      </w:tr>
      <w:tr>
        <w:trPr>
          <w:trHeight w:val="340"/>
        </w:trPr>
        <w:tc>
          <w:tcPr>
            <w:tcW w:w="6237" w:type="dxa"/>
            <w:vAlign w:val="center"/>
          </w:tcPr>
          <w:p>
            <w:pPr>
              <w:ind w:left="34"/>
            </w:pPr>
            <w:r>
              <w:t>ЖКХ</w:t>
            </w:r>
          </w:p>
        </w:tc>
        <w:tc>
          <w:tcPr>
            <w:tcW w:w="1701" w:type="dxa"/>
            <w:vAlign w:val="center"/>
          </w:tcPr>
          <w:p>
            <w:pPr>
              <w:ind w:left="284"/>
              <w:jc w:val="center"/>
            </w:pPr>
            <w:r>
              <w:t>4</w:t>
            </w:r>
          </w:p>
        </w:tc>
      </w:tr>
      <w:tr>
        <w:trPr>
          <w:trHeight w:val="340"/>
        </w:trPr>
        <w:tc>
          <w:tcPr>
            <w:tcW w:w="6237" w:type="dxa"/>
            <w:vAlign w:val="center"/>
          </w:tcPr>
          <w:p>
            <w:pPr>
              <w:ind w:left="34"/>
            </w:pPr>
            <w:r>
              <w:t>Транспорт, связь</w:t>
            </w:r>
          </w:p>
        </w:tc>
        <w:tc>
          <w:tcPr>
            <w:tcW w:w="1701" w:type="dxa"/>
            <w:vAlign w:val="center"/>
          </w:tcPr>
          <w:p>
            <w:pPr>
              <w:ind w:left="284"/>
              <w:jc w:val="center"/>
            </w:pPr>
            <w:r>
              <w:t>3</w:t>
            </w:r>
          </w:p>
        </w:tc>
      </w:tr>
      <w:tr>
        <w:trPr>
          <w:trHeight w:val="340"/>
        </w:trPr>
        <w:tc>
          <w:tcPr>
            <w:tcW w:w="6237" w:type="dxa"/>
            <w:vAlign w:val="center"/>
          </w:tcPr>
          <w:p>
            <w:pPr>
              <w:ind w:left="34"/>
            </w:pPr>
            <w:r>
              <w:t xml:space="preserve">Торговля </w:t>
            </w:r>
          </w:p>
        </w:tc>
        <w:tc>
          <w:tcPr>
            <w:tcW w:w="1701" w:type="dxa"/>
            <w:vAlign w:val="center"/>
          </w:tcPr>
          <w:p>
            <w:pPr>
              <w:ind w:left="284"/>
              <w:jc w:val="center"/>
            </w:pPr>
            <w:r>
              <w:t>3</w:t>
            </w:r>
          </w:p>
        </w:tc>
      </w:tr>
      <w:tr>
        <w:trPr>
          <w:trHeight w:val="340"/>
        </w:trPr>
        <w:tc>
          <w:tcPr>
            <w:tcW w:w="6237" w:type="dxa"/>
            <w:vAlign w:val="center"/>
          </w:tcPr>
          <w:p>
            <w:pPr>
              <w:ind w:left="34"/>
            </w:pPr>
            <w:r>
              <w:t>Строительство</w:t>
            </w:r>
          </w:p>
        </w:tc>
        <w:tc>
          <w:tcPr>
            <w:tcW w:w="1701" w:type="dxa"/>
            <w:vAlign w:val="center"/>
          </w:tcPr>
          <w:p>
            <w:pPr>
              <w:ind w:left="284"/>
              <w:jc w:val="center"/>
            </w:pPr>
            <w:r>
              <w:t>3</w:t>
            </w:r>
          </w:p>
        </w:tc>
      </w:tr>
      <w:tr>
        <w:trPr>
          <w:trHeight w:val="340"/>
        </w:trPr>
        <w:tc>
          <w:tcPr>
            <w:tcW w:w="6237" w:type="dxa"/>
            <w:vAlign w:val="center"/>
          </w:tcPr>
          <w:p>
            <w:pPr>
              <w:ind w:left="34"/>
            </w:pPr>
            <w:r>
              <w:t>Органы местного самоуправления</w:t>
            </w:r>
          </w:p>
        </w:tc>
        <w:tc>
          <w:tcPr>
            <w:tcW w:w="1701" w:type="dxa"/>
            <w:vAlign w:val="center"/>
          </w:tcPr>
          <w:p>
            <w:pPr>
              <w:ind w:left="284"/>
              <w:jc w:val="center"/>
            </w:pPr>
            <w:r>
              <w:t>2</w:t>
            </w:r>
          </w:p>
        </w:tc>
      </w:tr>
      <w:tr>
        <w:trPr>
          <w:trHeight w:val="340"/>
        </w:trPr>
        <w:tc>
          <w:tcPr>
            <w:tcW w:w="6237" w:type="dxa"/>
            <w:vAlign w:val="center"/>
          </w:tcPr>
          <w:p>
            <w:pPr>
              <w:ind w:left="34"/>
            </w:pPr>
            <w:r>
              <w:t>Прочие</w:t>
            </w:r>
          </w:p>
        </w:tc>
        <w:tc>
          <w:tcPr>
            <w:tcW w:w="1701" w:type="dxa"/>
            <w:vAlign w:val="center"/>
          </w:tcPr>
          <w:p>
            <w:pPr>
              <w:ind w:left="284"/>
              <w:jc w:val="center"/>
            </w:pPr>
            <w:r>
              <w:t>12</w:t>
            </w:r>
          </w:p>
        </w:tc>
      </w:tr>
    </w:tbl>
    <w:p>
      <w:pPr>
        <w:spacing w:before="120"/>
        <w:ind w:firstLine="709"/>
        <w:jc w:val="both"/>
        <w:rPr>
          <w:sz w:val="24"/>
          <w:szCs w:val="24"/>
        </w:rPr>
      </w:pPr>
      <w:r>
        <w:rPr>
          <w:sz w:val="24"/>
          <w:szCs w:val="24"/>
        </w:rPr>
        <w:t xml:space="preserve">Анализ поступлений НДФЛ в 2021 году показывает, что наибольшая интенсивность поступлений отмечалась в </w:t>
      </w:r>
      <w:r>
        <w:rPr>
          <w:sz w:val="24"/>
          <w:szCs w:val="24"/>
          <w:lang w:val="en-US"/>
        </w:rPr>
        <w:t>IV</w:t>
      </w:r>
      <w:r>
        <w:rPr>
          <w:sz w:val="24"/>
          <w:szCs w:val="24"/>
        </w:rPr>
        <w:t xml:space="preserve"> квартале – 31,4% от годовой суммы, обусловленная выплатами заработной платы в декабре за декабрь. В </w:t>
      </w:r>
      <w:r>
        <w:rPr>
          <w:sz w:val="24"/>
          <w:szCs w:val="24"/>
          <w:lang w:val="en-US"/>
        </w:rPr>
        <w:t>I</w:t>
      </w:r>
      <w:r>
        <w:rPr>
          <w:sz w:val="24"/>
          <w:szCs w:val="24"/>
        </w:rPr>
        <w:t xml:space="preserve"> – </w:t>
      </w:r>
      <w:r>
        <w:rPr>
          <w:sz w:val="24"/>
          <w:szCs w:val="24"/>
          <w:lang w:val="en-US"/>
        </w:rPr>
        <w:t>III</w:t>
      </w:r>
      <w:r>
        <w:rPr>
          <w:sz w:val="24"/>
          <w:szCs w:val="24"/>
        </w:rPr>
        <w:t xml:space="preserve"> кварталах поступления 22% – 24%. </w:t>
      </w:r>
    </w:p>
    <w:tbl>
      <w:tblPr>
        <w:tblW w:w="9595" w:type="dxa"/>
        <w:tblLayout w:type="fixed"/>
        <w:tblLook w:val="04A0" w:firstRow="1" w:lastRow="0" w:firstColumn="1" w:lastColumn="0" w:noHBand="0" w:noVBand="1"/>
      </w:tblPr>
      <w:tblGrid>
        <w:gridCol w:w="4077"/>
        <w:gridCol w:w="5518"/>
      </w:tblGrid>
      <w:tr>
        <w:tc>
          <w:tcPr>
            <w:tcW w:w="4077" w:type="dxa"/>
            <w:shd w:val="clear" w:color="auto" w:fill="auto"/>
          </w:tcPr>
          <w:p>
            <w:pPr>
              <w:spacing w:before="120"/>
              <w:ind w:right="-153"/>
              <w:rPr>
                <w:sz w:val="10"/>
                <w:szCs w:val="10"/>
              </w:rPr>
            </w:pPr>
          </w:p>
          <w:p>
            <w:pPr>
              <w:spacing w:before="120"/>
              <w:ind w:right="-153"/>
              <w:rPr>
                <w:sz w:val="24"/>
                <w:szCs w:val="24"/>
              </w:rPr>
            </w:pPr>
            <w:r>
              <w:rPr>
                <w:sz w:val="24"/>
                <w:szCs w:val="24"/>
              </w:rPr>
              <w:t xml:space="preserve">Таблица 10. Поступление НДФЛ </w:t>
            </w:r>
          </w:p>
          <w:p>
            <w:pPr>
              <w:ind w:right="-153"/>
              <w:rPr>
                <w:sz w:val="24"/>
                <w:szCs w:val="24"/>
              </w:rPr>
            </w:pPr>
            <w:r>
              <w:rPr>
                <w:sz w:val="24"/>
                <w:szCs w:val="24"/>
              </w:rPr>
              <w:t>в 2021 году по месяцам</w:t>
            </w:r>
          </w:p>
        </w:tc>
        <w:tc>
          <w:tcPr>
            <w:tcW w:w="5518" w:type="dxa"/>
            <w:shd w:val="clear" w:color="auto" w:fill="auto"/>
          </w:tcPr>
          <w:p>
            <w:pPr>
              <w:ind w:left="-284"/>
              <w:jc w:val="both"/>
              <w:rPr>
                <w:noProof/>
                <w:sz w:val="24"/>
                <w:szCs w:val="24"/>
              </w:rPr>
            </w:pPr>
          </w:p>
        </w:tc>
      </w:tr>
      <w:tr>
        <w:tc>
          <w:tcPr>
            <w:tcW w:w="4077" w:type="dxa"/>
            <w:shd w:val="clear" w:color="auto" w:fill="auto"/>
          </w:tcPr>
          <w:tbl>
            <w:tblPr>
              <w:tblW w:w="3755" w:type="dxa"/>
              <w:tblLayout w:type="fixed"/>
              <w:tblLook w:val="04A0" w:firstRow="1" w:lastRow="0" w:firstColumn="1" w:lastColumn="0" w:noHBand="0" w:noVBand="1"/>
            </w:tblPr>
            <w:tblGrid>
              <w:gridCol w:w="1129"/>
              <w:gridCol w:w="1276"/>
              <w:gridCol w:w="1350"/>
            </w:tblGrid>
            <w:tr>
              <w:trPr>
                <w:trHeight w:val="429"/>
              </w:trPr>
              <w:tc>
                <w:tcPr>
                  <w:tcW w:w="1129" w:type="dxa"/>
                  <w:tcBorders>
                    <w:top w:val="single" w:sz="4" w:space="0" w:color="auto"/>
                    <w:left w:val="single" w:sz="4" w:space="0" w:color="auto"/>
                    <w:bottom w:val="single" w:sz="4" w:space="0" w:color="auto"/>
                    <w:right w:val="nil"/>
                  </w:tcBorders>
                  <w:shd w:val="clear" w:color="auto" w:fill="auto"/>
                  <w:noWrap/>
                  <w:vAlign w:val="center"/>
                  <w:hideMark/>
                </w:tcPr>
                <w:p>
                  <w:pPr>
                    <w:jc w:val="center"/>
                    <w:rPr>
                      <w:color w:val="000000"/>
                    </w:rPr>
                  </w:pPr>
                  <w:r>
                    <w:rPr>
                      <w:color w:val="000000"/>
                    </w:rPr>
                    <w:t>Месяц</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pPr>
                    <w:jc w:val="center"/>
                    <w:rPr>
                      <w:color w:val="000000"/>
                    </w:rPr>
                  </w:pPr>
                  <w:r>
                    <w:rPr>
                      <w:color w:val="000000"/>
                    </w:rPr>
                    <w:t>Сумма,</w:t>
                  </w:r>
                </w:p>
                <w:p>
                  <w:pPr>
                    <w:jc w:val="center"/>
                    <w:rPr>
                      <w:color w:val="000000"/>
                    </w:rPr>
                  </w:pPr>
                  <w:r>
                    <w:rPr>
                      <w:color w:val="000000"/>
                    </w:rPr>
                    <w:t>тыс.руб.</w:t>
                  </w:r>
                </w:p>
              </w:tc>
              <w:tc>
                <w:tcPr>
                  <w:tcW w:w="1350" w:type="dxa"/>
                  <w:tcBorders>
                    <w:top w:val="single" w:sz="4" w:space="0" w:color="auto"/>
                    <w:left w:val="nil"/>
                    <w:bottom w:val="single" w:sz="4" w:space="0" w:color="auto"/>
                    <w:right w:val="single" w:sz="4" w:space="0" w:color="auto"/>
                  </w:tcBorders>
                  <w:shd w:val="clear" w:color="auto" w:fill="auto"/>
                  <w:noWrap/>
                  <w:tcMar>
                    <w:left w:w="57" w:type="dxa"/>
                    <w:right w:w="57" w:type="dxa"/>
                  </w:tcMar>
                  <w:vAlign w:val="center"/>
                  <w:hideMark/>
                </w:tcPr>
                <w:p>
                  <w:pPr>
                    <w:jc w:val="center"/>
                    <w:rPr>
                      <w:color w:val="000000"/>
                    </w:rPr>
                  </w:pPr>
                  <w:r>
                    <w:rPr>
                      <w:color w:val="000000"/>
                    </w:rPr>
                    <w:t>Уд. вес, %</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январь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pPr>
                    <w:jc w:val="center"/>
                    <w:rPr>
                      <w:color w:val="000000"/>
                    </w:rPr>
                  </w:pPr>
                  <w:r>
                    <w:rPr>
                      <w:color w:val="000000"/>
                    </w:rPr>
                    <w:t>36 941,66</w:t>
                  </w: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pPr>
                    <w:jc w:val="right"/>
                    <w:rPr>
                      <w:color w:val="000000"/>
                    </w:rPr>
                  </w:pPr>
                  <w:r>
                    <w:rPr>
                      <w:color w:val="000000"/>
                    </w:rPr>
                    <w:t>4,8%</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февраль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67 568,95</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8,7%</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март</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64 867,58</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8,4%</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апрель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62 146,40</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8,0%</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май</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62 658,64</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8,1%</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июнь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61 643,40</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8,0%</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июль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57 311,37</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7,4%</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август</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57 635,63</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7,5%</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сентябрь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59 519,35</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7,7%</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октябрь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61 765,26</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8,0%</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ноябрь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61 259,33</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7,9%</w:t>
                  </w:r>
                </w:p>
              </w:tc>
            </w:tr>
            <w:tr>
              <w:trPr>
                <w:trHeight w:val="300"/>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color w:val="000000"/>
                    </w:rPr>
                  </w:pPr>
                  <w:r>
                    <w:rPr>
                      <w:color w:val="000000"/>
                    </w:rPr>
                    <w:t>декабрь</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color w:val="000000"/>
                    </w:rPr>
                  </w:pPr>
                  <w:r>
                    <w:rPr>
                      <w:color w:val="000000"/>
                    </w:rPr>
                    <w:t>119 712,98</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color w:val="000000"/>
                    </w:rPr>
                  </w:pPr>
                  <w:r>
                    <w:rPr>
                      <w:color w:val="000000"/>
                    </w:rPr>
                    <w:t>15,5%</w:t>
                  </w:r>
                </w:p>
              </w:tc>
            </w:tr>
            <w:tr>
              <w:trPr>
                <w:trHeight w:val="361"/>
              </w:trPr>
              <w:tc>
                <w:tcPr>
                  <w:tcW w:w="1129" w:type="dxa"/>
                  <w:tcBorders>
                    <w:top w:val="nil"/>
                    <w:left w:val="single" w:sz="4" w:space="0" w:color="auto"/>
                    <w:bottom w:val="single" w:sz="4" w:space="0" w:color="auto"/>
                    <w:right w:val="single" w:sz="4" w:space="0" w:color="auto"/>
                  </w:tcBorders>
                  <w:shd w:val="clear" w:color="auto" w:fill="auto"/>
                  <w:noWrap/>
                  <w:vAlign w:val="center"/>
                  <w:hideMark/>
                </w:tcPr>
                <w:p>
                  <w:pPr>
                    <w:rPr>
                      <w:b/>
                      <w:bCs/>
                      <w:color w:val="000000"/>
                    </w:rPr>
                  </w:pPr>
                  <w:r>
                    <w:rPr>
                      <w:b/>
                      <w:bCs/>
                      <w:color w:val="000000"/>
                    </w:rPr>
                    <w:t>Всего</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rPr>
                      <w:b/>
                      <w:color w:val="000000"/>
                    </w:rPr>
                  </w:pPr>
                  <w:r>
                    <w:rPr>
                      <w:b/>
                      <w:color w:val="000000"/>
                    </w:rPr>
                    <w:t>773 030,55</w:t>
                  </w:r>
                </w:p>
              </w:tc>
              <w:tc>
                <w:tcPr>
                  <w:tcW w:w="1350" w:type="dxa"/>
                  <w:tcBorders>
                    <w:top w:val="single" w:sz="4" w:space="0" w:color="auto"/>
                    <w:left w:val="nil"/>
                    <w:bottom w:val="single" w:sz="4" w:space="0" w:color="auto"/>
                    <w:right w:val="single" w:sz="4" w:space="0" w:color="auto"/>
                  </w:tcBorders>
                  <w:shd w:val="clear" w:color="auto" w:fill="auto"/>
                  <w:noWrap/>
                  <w:vAlign w:val="center"/>
                </w:tcPr>
                <w:p>
                  <w:pPr>
                    <w:jc w:val="right"/>
                    <w:rPr>
                      <w:b/>
                      <w:color w:val="000000"/>
                    </w:rPr>
                  </w:pPr>
                  <w:r>
                    <w:rPr>
                      <w:b/>
                      <w:color w:val="000000"/>
                    </w:rPr>
                    <w:t>100,0%</w:t>
                  </w:r>
                </w:p>
              </w:tc>
            </w:tr>
          </w:tbl>
          <w:p>
            <w:pPr>
              <w:spacing w:after="120"/>
              <w:ind w:right="-2"/>
              <w:rPr>
                <w:sz w:val="24"/>
                <w:szCs w:val="24"/>
              </w:rPr>
            </w:pPr>
          </w:p>
        </w:tc>
        <w:tc>
          <w:tcPr>
            <w:tcW w:w="5518" w:type="dxa"/>
            <w:shd w:val="clear" w:color="auto" w:fill="auto"/>
          </w:tcPr>
          <w:p>
            <w:pPr>
              <w:ind w:left="-260" w:firstLine="142"/>
              <w:jc w:val="both"/>
              <w:rPr>
                <w:sz w:val="12"/>
                <w:szCs w:val="12"/>
              </w:rPr>
            </w:pPr>
            <w:r>
              <w:rPr>
                <w:noProof/>
              </w:rPr>
              <w:drawing>
                <wp:inline distT="0" distB="0" distL="0" distR="0">
                  <wp:extent cx="3496945" cy="2472055"/>
                  <wp:effectExtent l="0" t="0" r="0" b="0"/>
                  <wp:docPr id="6" name="Диаграмма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ind w:left="-1276"/>
              <w:jc w:val="both"/>
              <w:rPr>
                <w:sz w:val="24"/>
                <w:szCs w:val="24"/>
              </w:rPr>
            </w:pPr>
          </w:p>
          <w:p>
            <w:pPr>
              <w:ind w:right="232" w:firstLine="709"/>
              <w:jc w:val="center"/>
              <w:rPr>
                <w:sz w:val="24"/>
                <w:szCs w:val="24"/>
              </w:rPr>
            </w:pPr>
            <w:r>
              <w:rPr>
                <w:sz w:val="24"/>
                <w:szCs w:val="24"/>
              </w:rPr>
              <w:t>Рисунок 6. Поступление НДФЛ в 2021 году по месяцам</w:t>
            </w:r>
          </w:p>
        </w:tc>
      </w:tr>
    </w:tbl>
    <w:p>
      <w:pPr>
        <w:spacing w:before="120"/>
        <w:ind w:firstLine="709"/>
        <w:jc w:val="both"/>
        <w:rPr>
          <w:sz w:val="24"/>
          <w:szCs w:val="24"/>
        </w:rPr>
      </w:pPr>
      <w:r>
        <w:rPr>
          <w:sz w:val="24"/>
          <w:szCs w:val="24"/>
        </w:rPr>
        <w:t>Объем поступлений НДФЛ за 2021 год, по сравнению с 2020 годом, увеличился в целом на 25 314,51 тыс.руб. при снижении дополнительного норматива отчислений от НДФЛ взамен части дотации на выравнивание бюджетной обеспеченности муниципальных образований с 12,26% в 2020 году до 11,61% в 2021 году.</w:t>
      </w:r>
    </w:p>
    <w:p>
      <w:pPr>
        <w:ind w:firstLine="709"/>
        <w:jc w:val="both"/>
        <w:rPr>
          <w:sz w:val="24"/>
          <w:szCs w:val="24"/>
        </w:rPr>
      </w:pPr>
      <w:r>
        <w:rPr>
          <w:sz w:val="24"/>
          <w:szCs w:val="24"/>
        </w:rPr>
        <w:t>На рост поступлений по налогу повлияло увеличение:</w:t>
      </w:r>
    </w:p>
    <w:p>
      <w:pPr>
        <w:ind w:firstLine="709"/>
        <w:jc w:val="both"/>
        <w:rPr>
          <w:sz w:val="24"/>
          <w:szCs w:val="24"/>
        </w:rPr>
      </w:pPr>
      <w:r>
        <w:rPr>
          <w:sz w:val="24"/>
          <w:szCs w:val="24"/>
        </w:rPr>
        <w:lastRenderedPageBreak/>
        <w:t>- фонда оплаты труда работникам бюджетной сферы согласно Федеральному закону Российской Федерации от 29.12.2020 № 473-ФЗ «О внесении изменений в отдельные законодательные акты Российской Федерации» на 5,5%;</w:t>
      </w:r>
    </w:p>
    <w:p>
      <w:pPr>
        <w:ind w:firstLine="709"/>
        <w:jc w:val="both"/>
        <w:rPr>
          <w:sz w:val="24"/>
          <w:szCs w:val="24"/>
          <w:lang w:eastAsia="ar-SA"/>
        </w:rPr>
      </w:pPr>
      <w:r>
        <w:rPr>
          <w:sz w:val="24"/>
          <w:szCs w:val="24"/>
        </w:rPr>
        <w:t xml:space="preserve"> - налогооблагаемой базы в отраслях промышленности, здравоохранения, образования, культуры, а также воинских частей.</w:t>
      </w:r>
    </w:p>
    <w:p>
      <w:pPr>
        <w:ind w:firstLine="708"/>
        <w:jc w:val="center"/>
        <w:rPr>
          <w:sz w:val="24"/>
          <w:szCs w:val="24"/>
        </w:rPr>
      </w:pPr>
    </w:p>
    <w:p>
      <w:pPr>
        <w:ind w:firstLine="708"/>
        <w:jc w:val="center"/>
        <w:rPr>
          <w:b/>
          <w:sz w:val="24"/>
          <w:szCs w:val="24"/>
        </w:rPr>
      </w:pPr>
    </w:p>
    <w:p>
      <w:pPr>
        <w:ind w:firstLine="708"/>
        <w:jc w:val="center"/>
        <w:rPr>
          <w:sz w:val="28"/>
          <w:szCs w:val="28"/>
          <w:lang w:eastAsia="ar-SA"/>
        </w:rPr>
      </w:pPr>
      <w:r>
        <w:rPr>
          <w:b/>
          <w:sz w:val="24"/>
          <w:szCs w:val="24"/>
        </w:rPr>
        <w:t>3.1.2. Акцизы по подакцизным товарам (продукции),</w:t>
      </w:r>
    </w:p>
    <w:p>
      <w:pPr>
        <w:spacing w:after="120"/>
        <w:jc w:val="center"/>
        <w:rPr>
          <w:b/>
          <w:sz w:val="24"/>
          <w:szCs w:val="24"/>
        </w:rPr>
      </w:pPr>
      <w:r>
        <w:rPr>
          <w:b/>
          <w:sz w:val="24"/>
          <w:szCs w:val="24"/>
        </w:rPr>
        <w:t>производимым на территории Российской Федерации</w:t>
      </w:r>
    </w:p>
    <w:p>
      <w:pPr>
        <w:spacing w:before="240"/>
        <w:ind w:firstLine="720"/>
        <w:jc w:val="both"/>
        <w:rPr>
          <w:sz w:val="24"/>
          <w:szCs w:val="24"/>
        </w:rPr>
      </w:pPr>
      <w:r>
        <w:rPr>
          <w:sz w:val="24"/>
          <w:szCs w:val="24"/>
        </w:rPr>
        <w:t>Прогноз поступлений по данной статье составлял 10 076,45 тыс.руб., фактическое исполнение – 10 270,16 тыс.руб., перевыполнение на 193,71 тыс.руб. или на 1,9%.</w:t>
      </w:r>
    </w:p>
    <w:p>
      <w:pPr>
        <w:ind w:firstLine="709"/>
        <w:jc w:val="both"/>
        <w:rPr>
          <w:sz w:val="24"/>
          <w:szCs w:val="24"/>
        </w:rPr>
      </w:pPr>
      <w:r>
        <w:rPr>
          <w:sz w:val="24"/>
          <w:szCs w:val="24"/>
        </w:rPr>
        <w:t>Главный администратор доходов от акцизов по подакцизным товарам – Управление Федерального казначейства по Томской области.</w:t>
      </w:r>
    </w:p>
    <w:p>
      <w:pPr>
        <w:ind w:firstLine="709"/>
        <w:jc w:val="both"/>
        <w:rPr>
          <w:sz w:val="24"/>
          <w:szCs w:val="24"/>
        </w:rPr>
      </w:pPr>
      <w:r>
        <w:rPr>
          <w:sz w:val="24"/>
          <w:szCs w:val="24"/>
        </w:rPr>
        <w:t>Удельный вес статьи в общей структуре фактически поступивших доходов составляет 0,2%, налоговых и неналоговых доходах - 0,8%.</w:t>
      </w:r>
    </w:p>
    <w:p>
      <w:pPr>
        <w:spacing w:before="120" w:after="60"/>
        <w:ind w:firstLine="709"/>
        <w:jc w:val="both"/>
        <w:rPr>
          <w:sz w:val="24"/>
          <w:szCs w:val="24"/>
        </w:rPr>
      </w:pPr>
      <w:r>
        <w:rPr>
          <w:sz w:val="24"/>
          <w:szCs w:val="24"/>
        </w:rPr>
        <w:t>Таблица 11. Анализ поступления доходов от уплаты акцизов по подстатьям за 2020 - 2021 гг.</w:t>
      </w:r>
    </w:p>
    <w:tbl>
      <w:tblPr>
        <w:tblW w:w="9474" w:type="dxa"/>
        <w:tblInd w:w="96" w:type="dxa"/>
        <w:tblLook w:val="0000" w:firstRow="0" w:lastRow="0" w:firstColumn="0" w:lastColumn="0" w:noHBand="0" w:noVBand="0"/>
      </w:tblPr>
      <w:tblGrid>
        <w:gridCol w:w="3101"/>
        <w:gridCol w:w="986"/>
        <w:gridCol w:w="1169"/>
        <w:gridCol w:w="1276"/>
        <w:gridCol w:w="1135"/>
        <w:gridCol w:w="1096"/>
        <w:gridCol w:w="711"/>
      </w:tblGrid>
      <w:tr>
        <w:trPr>
          <w:trHeight w:val="235"/>
        </w:trPr>
        <w:tc>
          <w:tcPr>
            <w:tcW w:w="3101" w:type="dxa"/>
            <w:vMerge w:val="restart"/>
            <w:tcBorders>
              <w:top w:val="single" w:sz="4" w:space="0" w:color="auto"/>
              <w:left w:val="single" w:sz="4" w:space="0" w:color="auto"/>
              <w:right w:val="single" w:sz="4" w:space="0" w:color="auto"/>
            </w:tcBorders>
            <w:shd w:val="clear" w:color="auto" w:fill="auto"/>
            <w:vAlign w:val="center"/>
          </w:tcPr>
          <w:p>
            <w:pPr>
              <w:ind w:left="-57" w:right="-57"/>
              <w:jc w:val="center"/>
            </w:pPr>
            <w:r>
              <w:t>Наименование</w:t>
            </w:r>
          </w:p>
        </w:tc>
        <w:tc>
          <w:tcPr>
            <w:tcW w:w="986" w:type="dxa"/>
            <w:vMerge w:val="restart"/>
            <w:tcBorders>
              <w:top w:val="single" w:sz="4" w:space="0" w:color="auto"/>
              <w:left w:val="single" w:sz="4" w:space="0" w:color="auto"/>
              <w:right w:val="single" w:sz="4" w:space="0" w:color="auto"/>
            </w:tcBorders>
            <w:shd w:val="clear" w:color="auto" w:fill="auto"/>
            <w:vAlign w:val="center"/>
          </w:tcPr>
          <w:p>
            <w:pPr>
              <w:ind w:left="-158" w:right="-108"/>
              <w:jc w:val="center"/>
            </w:pPr>
            <w:r>
              <w:t xml:space="preserve">Факт </w:t>
            </w:r>
          </w:p>
          <w:p>
            <w:pPr>
              <w:ind w:left="-158" w:right="-108"/>
              <w:jc w:val="center"/>
            </w:pPr>
            <w:r>
              <w:t>2020 год, тыс.руб.</w:t>
            </w:r>
          </w:p>
        </w:tc>
        <w:tc>
          <w:tcPr>
            <w:tcW w:w="538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tabs>
                <w:tab w:val="left" w:pos="-192"/>
                <w:tab w:val="left" w:pos="-77"/>
              </w:tabs>
              <w:ind w:left="-108" w:right="-108"/>
              <w:jc w:val="center"/>
            </w:pPr>
            <w:r>
              <w:t>2021 год</w:t>
            </w:r>
          </w:p>
        </w:tc>
      </w:tr>
      <w:tr>
        <w:trPr>
          <w:trHeight w:val="612"/>
        </w:trPr>
        <w:tc>
          <w:tcPr>
            <w:tcW w:w="3101" w:type="dxa"/>
            <w:vMerge/>
            <w:tcBorders>
              <w:left w:val="single" w:sz="4" w:space="0" w:color="auto"/>
              <w:bottom w:val="single" w:sz="4" w:space="0" w:color="auto"/>
              <w:right w:val="single" w:sz="4" w:space="0" w:color="auto"/>
            </w:tcBorders>
            <w:shd w:val="clear" w:color="auto" w:fill="auto"/>
            <w:vAlign w:val="center"/>
          </w:tcPr>
          <w:p>
            <w:pPr>
              <w:ind w:left="-57" w:right="-57"/>
              <w:jc w:val="center"/>
            </w:pPr>
          </w:p>
        </w:tc>
        <w:tc>
          <w:tcPr>
            <w:tcW w:w="986" w:type="dxa"/>
            <w:vMerge/>
            <w:tcBorders>
              <w:left w:val="single" w:sz="4" w:space="0" w:color="auto"/>
              <w:bottom w:val="single" w:sz="4" w:space="0" w:color="auto"/>
              <w:right w:val="single" w:sz="4" w:space="0" w:color="auto"/>
            </w:tcBorders>
            <w:shd w:val="clear" w:color="auto" w:fill="auto"/>
            <w:vAlign w:val="center"/>
          </w:tcPr>
          <w:p>
            <w:pPr>
              <w:ind w:left="-158" w:right="-108"/>
              <w:jc w:val="center"/>
            </w:pPr>
          </w:p>
        </w:tc>
        <w:tc>
          <w:tcPr>
            <w:tcW w:w="1169"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5"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096"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711"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trHeight w:val="211"/>
        </w:trPr>
        <w:tc>
          <w:tcPr>
            <w:tcW w:w="3101" w:type="dxa"/>
            <w:tcBorders>
              <w:top w:val="single" w:sz="4" w:space="0" w:color="auto"/>
              <w:left w:val="single" w:sz="4" w:space="0" w:color="auto"/>
              <w:bottom w:val="single" w:sz="4" w:space="0" w:color="auto"/>
              <w:right w:val="single" w:sz="4" w:space="0" w:color="auto"/>
            </w:tcBorders>
            <w:shd w:val="clear" w:color="auto" w:fill="auto"/>
            <w:vAlign w:val="bottom"/>
          </w:tcPr>
          <w:p>
            <w:pPr>
              <w:jc w:val="center"/>
              <w:rPr>
                <w:bCs/>
                <w:sz w:val="16"/>
                <w:szCs w:val="16"/>
              </w:rPr>
            </w:pPr>
            <w:r>
              <w:rPr>
                <w:bCs/>
                <w:sz w:val="16"/>
                <w:szCs w:val="16"/>
              </w:rPr>
              <w:t>1</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2</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center"/>
              <w:rPr>
                <w:bCs/>
                <w:sz w:val="16"/>
                <w:szCs w:val="16"/>
              </w:rPr>
            </w:pPr>
            <w:r>
              <w:rPr>
                <w:bCs/>
                <w:sz w:val="16"/>
                <w:szCs w:val="16"/>
              </w:rPr>
              <w:t>4</w:t>
            </w:r>
          </w:p>
        </w:tc>
        <w:tc>
          <w:tcPr>
            <w:tcW w:w="1135" w:type="dxa"/>
            <w:tcBorders>
              <w:top w:val="nil"/>
              <w:left w:val="nil"/>
              <w:bottom w:val="single" w:sz="4" w:space="0" w:color="auto"/>
              <w:right w:val="single" w:sz="4" w:space="0" w:color="auto"/>
            </w:tcBorders>
            <w:shd w:val="clear" w:color="auto" w:fill="auto"/>
            <w:noWrap/>
            <w:vAlign w:val="center"/>
          </w:tcPr>
          <w:p>
            <w:pPr>
              <w:jc w:val="center"/>
              <w:rPr>
                <w:bCs/>
                <w:sz w:val="16"/>
                <w:szCs w:val="16"/>
              </w:rPr>
            </w:pPr>
            <w:r>
              <w:rPr>
                <w:bCs/>
                <w:sz w:val="16"/>
                <w:szCs w:val="16"/>
              </w:rPr>
              <w:t>5</w:t>
            </w:r>
          </w:p>
        </w:tc>
        <w:tc>
          <w:tcPr>
            <w:tcW w:w="1096" w:type="dxa"/>
            <w:tcBorders>
              <w:top w:val="nil"/>
              <w:left w:val="nil"/>
              <w:bottom w:val="single" w:sz="4" w:space="0" w:color="auto"/>
              <w:right w:val="single" w:sz="4" w:space="0" w:color="auto"/>
            </w:tcBorders>
            <w:shd w:val="clear" w:color="auto" w:fill="auto"/>
            <w:noWrap/>
            <w:vAlign w:val="center"/>
          </w:tcPr>
          <w:p>
            <w:pPr>
              <w:ind w:left="-76" w:right="-148"/>
              <w:jc w:val="center"/>
              <w:rPr>
                <w:sz w:val="16"/>
                <w:szCs w:val="16"/>
              </w:rPr>
            </w:pPr>
            <w:r>
              <w:rPr>
                <w:sz w:val="16"/>
                <w:szCs w:val="16"/>
              </w:rPr>
              <w:t>6=5-4</w:t>
            </w:r>
          </w:p>
        </w:tc>
        <w:tc>
          <w:tcPr>
            <w:tcW w:w="711" w:type="dxa"/>
            <w:tcBorders>
              <w:top w:val="nil"/>
              <w:left w:val="nil"/>
              <w:bottom w:val="single" w:sz="4" w:space="0" w:color="auto"/>
              <w:right w:val="single" w:sz="4" w:space="0" w:color="auto"/>
            </w:tcBorders>
            <w:shd w:val="clear" w:color="auto" w:fill="auto"/>
            <w:noWrap/>
            <w:vAlign w:val="center"/>
          </w:tcPr>
          <w:p>
            <w:pPr>
              <w:ind w:right="-108"/>
              <w:jc w:val="center"/>
              <w:rPr>
                <w:sz w:val="16"/>
                <w:szCs w:val="16"/>
              </w:rPr>
            </w:pPr>
            <w:r>
              <w:rPr>
                <w:sz w:val="16"/>
                <w:szCs w:val="16"/>
              </w:rPr>
              <w:t>7=5/4</w:t>
            </w:r>
          </w:p>
        </w:tc>
      </w:tr>
      <w:tr>
        <w:trPr>
          <w:trHeight w:val="672"/>
        </w:trPr>
        <w:tc>
          <w:tcPr>
            <w:tcW w:w="3101" w:type="dxa"/>
            <w:tcBorders>
              <w:top w:val="single" w:sz="4" w:space="0" w:color="auto"/>
              <w:left w:val="single" w:sz="4" w:space="0" w:color="auto"/>
              <w:bottom w:val="single" w:sz="4" w:space="0" w:color="auto"/>
              <w:right w:val="single" w:sz="4" w:space="0" w:color="auto"/>
            </w:tcBorders>
            <w:shd w:val="clear" w:color="auto" w:fill="auto"/>
            <w:vAlign w:val="bottom"/>
          </w:tcPr>
          <w:p>
            <w:pPr>
              <w:rPr>
                <w:b/>
                <w:bCs/>
              </w:rPr>
            </w:pPr>
            <w:r>
              <w:rPr>
                <w:b/>
                <w:bCs/>
              </w:rPr>
              <w:t xml:space="preserve">Акцизы по подакцизным товарам (продукции), производимым на территории Российской Федерации, </w:t>
            </w:r>
          </w:p>
          <w:p>
            <w:pPr>
              <w:rPr>
                <w:bCs/>
              </w:rPr>
            </w:pPr>
            <w:r>
              <w:t>в том числе:</w:t>
            </w:r>
          </w:p>
        </w:tc>
        <w:tc>
          <w:tcPr>
            <w:tcW w:w="986" w:type="dxa"/>
            <w:tcBorders>
              <w:top w:val="nil"/>
              <w:left w:val="nil"/>
              <w:bottom w:val="single" w:sz="4" w:space="0" w:color="auto"/>
              <w:right w:val="single" w:sz="4" w:space="0" w:color="auto"/>
            </w:tcBorders>
            <w:shd w:val="clear" w:color="auto" w:fill="auto"/>
            <w:vAlign w:val="center"/>
          </w:tcPr>
          <w:p>
            <w:pPr>
              <w:jc w:val="right"/>
            </w:pPr>
            <w:r>
              <w:t>8 533,32</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9 932,00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10 076,45</w:t>
            </w:r>
          </w:p>
        </w:tc>
        <w:tc>
          <w:tcPr>
            <w:tcW w:w="1135" w:type="dxa"/>
            <w:tcBorders>
              <w:top w:val="nil"/>
              <w:left w:val="nil"/>
              <w:bottom w:val="single" w:sz="4" w:space="0" w:color="auto"/>
              <w:right w:val="single" w:sz="4" w:space="0" w:color="auto"/>
            </w:tcBorders>
            <w:shd w:val="clear" w:color="auto" w:fill="auto"/>
            <w:noWrap/>
            <w:vAlign w:val="center"/>
          </w:tcPr>
          <w:p>
            <w:pPr>
              <w:jc w:val="right"/>
            </w:pPr>
            <w:r>
              <w:t>10 270,16</w:t>
            </w:r>
          </w:p>
        </w:tc>
        <w:tc>
          <w:tcPr>
            <w:tcW w:w="1096" w:type="dxa"/>
            <w:tcBorders>
              <w:top w:val="nil"/>
              <w:left w:val="nil"/>
              <w:bottom w:val="single" w:sz="4" w:space="0" w:color="auto"/>
              <w:right w:val="single" w:sz="4" w:space="0" w:color="auto"/>
            </w:tcBorders>
            <w:shd w:val="clear" w:color="auto" w:fill="auto"/>
            <w:noWrap/>
            <w:vAlign w:val="center"/>
          </w:tcPr>
          <w:p>
            <w:pPr>
              <w:jc w:val="right"/>
            </w:pPr>
            <w:r>
              <w:t>193,71</w:t>
            </w:r>
          </w:p>
        </w:tc>
        <w:tc>
          <w:tcPr>
            <w:tcW w:w="711" w:type="dxa"/>
            <w:tcBorders>
              <w:top w:val="nil"/>
              <w:left w:val="nil"/>
              <w:bottom w:val="single" w:sz="4" w:space="0" w:color="auto"/>
              <w:right w:val="single" w:sz="4" w:space="0" w:color="auto"/>
            </w:tcBorders>
            <w:shd w:val="clear" w:color="auto" w:fill="auto"/>
            <w:noWrap/>
            <w:vAlign w:val="center"/>
          </w:tcPr>
          <w:p>
            <w:pPr>
              <w:jc w:val="center"/>
            </w:pPr>
            <w:r>
              <w:t>101,9</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дизельное топливо…</w:t>
            </w:r>
          </w:p>
        </w:tc>
        <w:tc>
          <w:tcPr>
            <w:tcW w:w="986" w:type="dxa"/>
            <w:tcBorders>
              <w:top w:val="single" w:sz="4" w:space="0" w:color="auto"/>
              <w:left w:val="nil"/>
              <w:bottom w:val="single" w:sz="4" w:space="0" w:color="auto"/>
              <w:right w:val="single" w:sz="4" w:space="0" w:color="auto"/>
            </w:tcBorders>
            <w:shd w:val="clear" w:color="auto" w:fill="auto"/>
            <w:vAlign w:val="center"/>
          </w:tcPr>
          <w:p>
            <w:pPr>
              <w:jc w:val="right"/>
            </w:pPr>
            <w:r>
              <w:t>3 935,89</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4 547,00</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right"/>
            </w:pPr>
            <w:r>
              <w:t>4 626,74</w:t>
            </w:r>
          </w:p>
        </w:tc>
        <w:tc>
          <w:tcPr>
            <w:tcW w:w="1135" w:type="dxa"/>
            <w:tcBorders>
              <w:top w:val="single" w:sz="4" w:space="0" w:color="auto"/>
              <w:left w:val="nil"/>
              <w:bottom w:val="single" w:sz="4" w:space="0" w:color="auto"/>
              <w:right w:val="single" w:sz="4" w:space="0" w:color="auto"/>
            </w:tcBorders>
            <w:shd w:val="clear" w:color="auto" w:fill="auto"/>
            <w:noWrap/>
            <w:vAlign w:val="center"/>
          </w:tcPr>
          <w:p>
            <w:pPr>
              <w:jc w:val="right"/>
            </w:pPr>
            <w:r>
              <w:t>4 741,32</w:t>
            </w:r>
          </w:p>
        </w:tc>
        <w:tc>
          <w:tcPr>
            <w:tcW w:w="1096" w:type="dxa"/>
            <w:tcBorders>
              <w:top w:val="single" w:sz="4" w:space="0" w:color="auto"/>
              <w:left w:val="nil"/>
              <w:bottom w:val="single" w:sz="4" w:space="0" w:color="auto"/>
              <w:right w:val="single" w:sz="4" w:space="0" w:color="auto"/>
            </w:tcBorders>
            <w:shd w:val="clear" w:color="auto" w:fill="auto"/>
            <w:noWrap/>
            <w:vAlign w:val="center"/>
          </w:tcPr>
          <w:p>
            <w:pPr>
              <w:jc w:val="right"/>
            </w:pPr>
            <w:r>
              <w:t>114,58</w:t>
            </w:r>
          </w:p>
        </w:tc>
        <w:tc>
          <w:tcPr>
            <w:tcW w:w="711" w:type="dxa"/>
            <w:tcBorders>
              <w:top w:val="single" w:sz="4" w:space="0" w:color="auto"/>
              <w:left w:val="nil"/>
              <w:bottom w:val="single" w:sz="4" w:space="0" w:color="auto"/>
              <w:right w:val="single" w:sz="4" w:space="0" w:color="auto"/>
            </w:tcBorders>
            <w:shd w:val="clear" w:color="auto" w:fill="auto"/>
            <w:noWrap/>
            <w:vAlign w:val="center"/>
          </w:tcPr>
          <w:p>
            <w:pPr>
              <w:jc w:val="center"/>
            </w:pPr>
            <w:r>
              <w:t>102,5</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моторные масла…</w:t>
            </w:r>
          </w:p>
        </w:tc>
        <w:tc>
          <w:tcPr>
            <w:tcW w:w="986" w:type="dxa"/>
            <w:tcBorders>
              <w:top w:val="nil"/>
              <w:left w:val="nil"/>
              <w:bottom w:val="single" w:sz="4" w:space="0" w:color="auto"/>
              <w:right w:val="single" w:sz="4" w:space="0" w:color="auto"/>
            </w:tcBorders>
            <w:shd w:val="clear" w:color="auto" w:fill="auto"/>
            <w:vAlign w:val="center"/>
          </w:tcPr>
          <w:p>
            <w:pPr>
              <w:jc w:val="right"/>
            </w:pPr>
            <w:r>
              <w:t>28,15</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33,00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26,37</w:t>
            </w:r>
          </w:p>
        </w:tc>
        <w:tc>
          <w:tcPr>
            <w:tcW w:w="1135" w:type="dxa"/>
            <w:tcBorders>
              <w:top w:val="nil"/>
              <w:left w:val="nil"/>
              <w:bottom w:val="single" w:sz="4" w:space="0" w:color="auto"/>
              <w:right w:val="single" w:sz="4" w:space="0" w:color="auto"/>
            </w:tcBorders>
            <w:shd w:val="clear" w:color="auto" w:fill="auto"/>
            <w:noWrap/>
            <w:vAlign w:val="center"/>
          </w:tcPr>
          <w:p>
            <w:pPr>
              <w:jc w:val="right"/>
            </w:pPr>
            <w:r>
              <w:t>33,34</w:t>
            </w:r>
          </w:p>
        </w:tc>
        <w:tc>
          <w:tcPr>
            <w:tcW w:w="1096" w:type="dxa"/>
            <w:tcBorders>
              <w:top w:val="nil"/>
              <w:left w:val="nil"/>
              <w:bottom w:val="single" w:sz="4" w:space="0" w:color="auto"/>
              <w:right w:val="single" w:sz="4" w:space="0" w:color="auto"/>
            </w:tcBorders>
            <w:shd w:val="clear" w:color="auto" w:fill="auto"/>
            <w:noWrap/>
            <w:vAlign w:val="center"/>
          </w:tcPr>
          <w:p>
            <w:pPr>
              <w:jc w:val="right"/>
            </w:pPr>
            <w:r>
              <w:t>6,97</w:t>
            </w:r>
          </w:p>
        </w:tc>
        <w:tc>
          <w:tcPr>
            <w:tcW w:w="711" w:type="dxa"/>
            <w:tcBorders>
              <w:top w:val="nil"/>
              <w:left w:val="nil"/>
              <w:bottom w:val="single" w:sz="4" w:space="0" w:color="auto"/>
              <w:right w:val="single" w:sz="4" w:space="0" w:color="auto"/>
            </w:tcBorders>
            <w:shd w:val="clear" w:color="auto" w:fill="auto"/>
            <w:noWrap/>
            <w:vAlign w:val="center"/>
          </w:tcPr>
          <w:p>
            <w:pPr>
              <w:jc w:val="center"/>
            </w:pPr>
            <w:r>
              <w:t>126,5</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автомобильный бензин…</w:t>
            </w:r>
          </w:p>
        </w:tc>
        <w:tc>
          <w:tcPr>
            <w:tcW w:w="986" w:type="dxa"/>
            <w:tcBorders>
              <w:top w:val="nil"/>
              <w:left w:val="nil"/>
              <w:bottom w:val="single" w:sz="4" w:space="0" w:color="auto"/>
              <w:right w:val="single" w:sz="4" w:space="0" w:color="auto"/>
            </w:tcBorders>
            <w:shd w:val="clear" w:color="auto" w:fill="auto"/>
            <w:vAlign w:val="center"/>
          </w:tcPr>
          <w:p>
            <w:pPr>
              <w:jc w:val="right"/>
            </w:pPr>
            <w:r>
              <w:t xml:space="preserve"> 5 294,88</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6 046,00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6 086,21</w:t>
            </w:r>
          </w:p>
        </w:tc>
        <w:tc>
          <w:tcPr>
            <w:tcW w:w="1135" w:type="dxa"/>
            <w:tcBorders>
              <w:top w:val="nil"/>
              <w:left w:val="nil"/>
              <w:bottom w:val="single" w:sz="4" w:space="0" w:color="auto"/>
              <w:right w:val="single" w:sz="4" w:space="0" w:color="auto"/>
            </w:tcBorders>
            <w:shd w:val="clear" w:color="auto" w:fill="auto"/>
            <w:noWrap/>
            <w:vAlign w:val="center"/>
          </w:tcPr>
          <w:p>
            <w:pPr>
              <w:jc w:val="right"/>
            </w:pPr>
            <w:r>
              <w:t xml:space="preserve"> 6 304,01</w:t>
            </w:r>
          </w:p>
        </w:tc>
        <w:tc>
          <w:tcPr>
            <w:tcW w:w="1096" w:type="dxa"/>
            <w:tcBorders>
              <w:top w:val="nil"/>
              <w:left w:val="nil"/>
              <w:bottom w:val="single" w:sz="4" w:space="0" w:color="auto"/>
              <w:right w:val="single" w:sz="4" w:space="0" w:color="auto"/>
            </w:tcBorders>
            <w:shd w:val="clear" w:color="auto" w:fill="auto"/>
            <w:noWrap/>
            <w:vAlign w:val="center"/>
          </w:tcPr>
          <w:p>
            <w:pPr>
              <w:jc w:val="right"/>
            </w:pPr>
            <w:r>
              <w:t>217,80</w:t>
            </w:r>
          </w:p>
        </w:tc>
        <w:tc>
          <w:tcPr>
            <w:tcW w:w="711" w:type="dxa"/>
            <w:tcBorders>
              <w:top w:val="nil"/>
              <w:left w:val="nil"/>
              <w:bottom w:val="single" w:sz="4" w:space="0" w:color="auto"/>
              <w:right w:val="single" w:sz="4" w:space="0" w:color="auto"/>
            </w:tcBorders>
            <w:shd w:val="clear" w:color="auto" w:fill="auto"/>
            <w:noWrap/>
            <w:vAlign w:val="center"/>
          </w:tcPr>
          <w:p>
            <w:pPr>
              <w:jc w:val="center"/>
            </w:pPr>
            <w:r>
              <w:t>103,6</w:t>
            </w:r>
          </w:p>
        </w:tc>
      </w:tr>
      <w:tr>
        <w:trPr>
          <w:trHeight w:hRule="exact" w:val="397"/>
        </w:trPr>
        <w:tc>
          <w:tcPr>
            <w:tcW w:w="3101" w:type="dxa"/>
            <w:tcBorders>
              <w:top w:val="single" w:sz="4" w:space="0" w:color="auto"/>
              <w:left w:val="single" w:sz="4" w:space="0" w:color="auto"/>
              <w:bottom w:val="single" w:sz="4" w:space="0" w:color="auto"/>
              <w:right w:val="single" w:sz="4" w:space="0" w:color="auto"/>
            </w:tcBorders>
            <w:shd w:val="clear" w:color="auto" w:fill="auto"/>
            <w:vAlign w:val="center"/>
          </w:tcPr>
          <w:p>
            <w:r>
              <w:t>на прямогонный бензин …</w:t>
            </w:r>
          </w:p>
        </w:tc>
        <w:tc>
          <w:tcPr>
            <w:tcW w:w="986" w:type="dxa"/>
            <w:tcBorders>
              <w:top w:val="nil"/>
              <w:left w:val="nil"/>
              <w:bottom w:val="single" w:sz="4" w:space="0" w:color="auto"/>
              <w:right w:val="single" w:sz="4" w:space="0" w:color="auto"/>
            </w:tcBorders>
            <w:shd w:val="clear" w:color="auto" w:fill="auto"/>
            <w:vAlign w:val="center"/>
          </w:tcPr>
          <w:p>
            <w:pPr>
              <w:jc w:val="right"/>
            </w:pPr>
            <w:r>
              <w:t>-725,60</w:t>
            </w:r>
          </w:p>
        </w:tc>
        <w:tc>
          <w:tcPr>
            <w:tcW w:w="1169" w:type="dxa"/>
            <w:tcBorders>
              <w:top w:val="single" w:sz="4" w:space="0" w:color="auto"/>
              <w:left w:val="single" w:sz="4" w:space="0" w:color="auto"/>
              <w:bottom w:val="single" w:sz="4" w:space="0" w:color="auto"/>
              <w:right w:val="single" w:sz="4" w:space="0" w:color="auto"/>
            </w:tcBorders>
            <w:vAlign w:val="center"/>
          </w:tcPr>
          <w:p>
            <w:pPr>
              <w:jc w:val="right"/>
            </w:pPr>
            <w:r>
              <w:t>-694,00</w:t>
            </w:r>
          </w:p>
        </w:tc>
        <w:tc>
          <w:tcPr>
            <w:tcW w:w="1276" w:type="dxa"/>
            <w:tcBorders>
              <w:top w:val="nil"/>
              <w:left w:val="single" w:sz="4" w:space="0" w:color="auto"/>
              <w:bottom w:val="single" w:sz="4" w:space="0" w:color="auto"/>
              <w:right w:val="single" w:sz="4" w:space="0" w:color="auto"/>
            </w:tcBorders>
            <w:shd w:val="clear" w:color="auto" w:fill="auto"/>
            <w:noWrap/>
            <w:vAlign w:val="center"/>
          </w:tcPr>
          <w:p>
            <w:pPr>
              <w:jc w:val="right"/>
            </w:pPr>
            <w:r>
              <w:t>-662,87</w:t>
            </w:r>
          </w:p>
        </w:tc>
        <w:tc>
          <w:tcPr>
            <w:tcW w:w="1135" w:type="dxa"/>
            <w:tcBorders>
              <w:top w:val="nil"/>
              <w:left w:val="nil"/>
              <w:bottom w:val="single" w:sz="4" w:space="0" w:color="auto"/>
              <w:right w:val="single" w:sz="4" w:space="0" w:color="auto"/>
            </w:tcBorders>
            <w:shd w:val="clear" w:color="auto" w:fill="auto"/>
            <w:noWrap/>
            <w:vAlign w:val="center"/>
          </w:tcPr>
          <w:p>
            <w:pPr>
              <w:jc w:val="right"/>
            </w:pPr>
            <w:r>
              <w:t>-808,51</w:t>
            </w:r>
          </w:p>
        </w:tc>
        <w:tc>
          <w:tcPr>
            <w:tcW w:w="1096" w:type="dxa"/>
            <w:tcBorders>
              <w:top w:val="nil"/>
              <w:left w:val="nil"/>
              <w:bottom w:val="single" w:sz="4" w:space="0" w:color="auto"/>
              <w:right w:val="single" w:sz="4" w:space="0" w:color="auto"/>
            </w:tcBorders>
            <w:shd w:val="clear" w:color="auto" w:fill="auto"/>
            <w:noWrap/>
            <w:vAlign w:val="center"/>
          </w:tcPr>
          <w:p>
            <w:pPr>
              <w:jc w:val="right"/>
            </w:pPr>
            <w:r>
              <w:t>-145,64</w:t>
            </w:r>
          </w:p>
        </w:tc>
        <w:tc>
          <w:tcPr>
            <w:tcW w:w="711" w:type="dxa"/>
            <w:tcBorders>
              <w:top w:val="nil"/>
              <w:left w:val="nil"/>
              <w:bottom w:val="single" w:sz="4" w:space="0" w:color="auto"/>
              <w:right w:val="single" w:sz="4" w:space="0" w:color="auto"/>
            </w:tcBorders>
            <w:shd w:val="clear" w:color="auto" w:fill="auto"/>
            <w:noWrap/>
            <w:vAlign w:val="center"/>
          </w:tcPr>
          <w:p>
            <w:pPr>
              <w:jc w:val="center"/>
            </w:pPr>
            <w:r>
              <w:t>122,0</w:t>
            </w:r>
          </w:p>
        </w:tc>
      </w:tr>
    </w:tbl>
    <w:p>
      <w:pPr>
        <w:spacing w:before="120"/>
        <w:ind w:firstLine="709"/>
        <w:jc w:val="both"/>
        <w:rPr>
          <w:sz w:val="24"/>
          <w:szCs w:val="24"/>
        </w:rPr>
      </w:pPr>
      <w:r>
        <w:rPr>
          <w:sz w:val="24"/>
          <w:szCs w:val="24"/>
        </w:rPr>
        <w:t>Налог зачислялся в бюджет ЗАТО Северск в 2021 году по дифференцированному нормативу отчислений в размере 0,35689%, установленному Законом Томской области от 29.12.2020 № 180-ОЗ «Об областном бюджете на 2021 год и на плановый период 2022 и 2023 годов», исходя из протяженности автомобильных дорог местного значения, находящихся в собственности муниципальных образований.</w:t>
      </w:r>
    </w:p>
    <w:p>
      <w:pPr>
        <w:spacing w:after="60"/>
        <w:ind w:firstLine="709"/>
        <w:jc w:val="both"/>
        <w:rPr>
          <w:sz w:val="24"/>
          <w:szCs w:val="24"/>
        </w:rPr>
      </w:pPr>
      <w:r>
        <w:rPr>
          <w:sz w:val="24"/>
          <w:szCs w:val="24"/>
        </w:rPr>
        <w:t>По сравнению с 2020 годом поступление доходов по статье увеличилось на 1 736,84 тыс.руб. за счет увеличения дифференцированного норматива отчислений в бюджет ЗАТО Северск с 0,34603% в 2020 году до 0,35689% в 2021 году.</w:t>
      </w:r>
    </w:p>
    <w:p>
      <w:pPr>
        <w:spacing w:before="120"/>
        <w:ind w:firstLine="709"/>
        <w:jc w:val="both"/>
        <w:rPr>
          <w:sz w:val="24"/>
          <w:szCs w:val="24"/>
        </w:rPr>
      </w:pPr>
    </w:p>
    <w:p>
      <w:pPr>
        <w:jc w:val="center"/>
        <w:rPr>
          <w:b/>
          <w:sz w:val="24"/>
          <w:szCs w:val="24"/>
        </w:rPr>
      </w:pPr>
      <w:r>
        <w:rPr>
          <w:b/>
          <w:sz w:val="24"/>
          <w:szCs w:val="24"/>
        </w:rPr>
        <w:t xml:space="preserve">3.1.3. Налог, взимаемый в связи с применением </w:t>
      </w:r>
    </w:p>
    <w:p>
      <w:pPr>
        <w:spacing w:after="240"/>
        <w:jc w:val="center"/>
        <w:rPr>
          <w:b/>
          <w:sz w:val="24"/>
          <w:szCs w:val="24"/>
        </w:rPr>
      </w:pPr>
      <w:r>
        <w:rPr>
          <w:b/>
          <w:sz w:val="24"/>
          <w:szCs w:val="24"/>
        </w:rPr>
        <w:t>упрощенной системы налогообложения</w:t>
      </w:r>
    </w:p>
    <w:p>
      <w:pPr>
        <w:ind w:firstLine="720"/>
        <w:jc w:val="both"/>
        <w:rPr>
          <w:sz w:val="24"/>
          <w:szCs w:val="24"/>
        </w:rPr>
      </w:pPr>
      <w:r>
        <w:rPr>
          <w:sz w:val="24"/>
          <w:szCs w:val="24"/>
        </w:rPr>
        <w:t xml:space="preserve">Прогноз поступлений по статье «Налог, взимаемый в связи с применением упрощенной системы налогообложения» (далее – УСН) составлял 81 512,00 тыс.руб., фактическое исполнение – 81 504,30 тыс.руб. (100% к годовому прогнозу). </w:t>
      </w:r>
    </w:p>
    <w:p>
      <w:pPr>
        <w:spacing w:before="120" w:after="60"/>
        <w:ind w:right="45" w:firstLine="720"/>
        <w:jc w:val="both"/>
        <w:rPr>
          <w:sz w:val="24"/>
          <w:szCs w:val="24"/>
        </w:rPr>
      </w:pPr>
    </w:p>
    <w:p>
      <w:pPr>
        <w:spacing w:before="120" w:after="60"/>
        <w:ind w:right="45" w:firstLine="720"/>
        <w:jc w:val="both"/>
        <w:rPr>
          <w:sz w:val="24"/>
          <w:szCs w:val="24"/>
        </w:rPr>
      </w:pPr>
    </w:p>
    <w:p>
      <w:pPr>
        <w:spacing w:before="120" w:after="60"/>
        <w:ind w:right="45" w:firstLine="720"/>
        <w:jc w:val="both"/>
        <w:rPr>
          <w:sz w:val="24"/>
          <w:szCs w:val="24"/>
        </w:rPr>
      </w:pPr>
    </w:p>
    <w:p>
      <w:pPr>
        <w:spacing w:before="120" w:after="60"/>
        <w:ind w:right="45" w:firstLine="720"/>
        <w:jc w:val="both"/>
        <w:rPr>
          <w:sz w:val="24"/>
          <w:szCs w:val="24"/>
        </w:rPr>
      </w:pPr>
      <w:r>
        <w:rPr>
          <w:sz w:val="24"/>
          <w:szCs w:val="24"/>
        </w:rPr>
        <w:lastRenderedPageBreak/>
        <w:t>Таблица 12. Анализ поступления налога, взимаемого в связи с применением УСН за 2020 – 2021 гг.</w:t>
      </w:r>
    </w:p>
    <w:tbl>
      <w:tblPr>
        <w:tblW w:w="9510" w:type="dxa"/>
        <w:tblInd w:w="96" w:type="dxa"/>
        <w:tblLayout w:type="fixed"/>
        <w:tblLook w:val="0000" w:firstRow="0" w:lastRow="0" w:firstColumn="0" w:lastColumn="0" w:noHBand="0" w:noVBand="0"/>
      </w:tblPr>
      <w:tblGrid>
        <w:gridCol w:w="2847"/>
        <w:gridCol w:w="1134"/>
        <w:gridCol w:w="1276"/>
        <w:gridCol w:w="1276"/>
        <w:gridCol w:w="1134"/>
        <w:gridCol w:w="1134"/>
        <w:gridCol w:w="709"/>
      </w:tblGrid>
      <w:tr>
        <w:trPr>
          <w:cantSplit/>
          <w:trHeight w:val="217"/>
        </w:trPr>
        <w:tc>
          <w:tcPr>
            <w:tcW w:w="2847"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552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r>
      <w:tr>
        <w:trPr>
          <w:cantSplit/>
          <w:trHeight w:val="830"/>
        </w:trPr>
        <w:tc>
          <w:tcPr>
            <w:tcW w:w="2847"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709"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88"/>
        </w:trPr>
        <w:tc>
          <w:tcPr>
            <w:tcW w:w="2847"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709"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406"/>
        </w:trPr>
        <w:tc>
          <w:tcPr>
            <w:tcW w:w="284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УСН</w:t>
            </w:r>
          </w:p>
        </w:tc>
        <w:tc>
          <w:tcPr>
            <w:tcW w:w="1134" w:type="dxa"/>
            <w:tcBorders>
              <w:top w:val="single" w:sz="4" w:space="0" w:color="auto"/>
              <w:left w:val="nil"/>
              <w:bottom w:val="single" w:sz="4" w:space="0" w:color="auto"/>
              <w:right w:val="single" w:sz="4" w:space="0" w:color="auto"/>
            </w:tcBorders>
            <w:vAlign w:val="center"/>
          </w:tcPr>
          <w:p>
            <w:pPr>
              <w:jc w:val="right"/>
            </w:pPr>
            <w:r>
              <w:t>56 833,46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78 755,00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81 512,00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81 504,30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-7,70</w:t>
            </w:r>
          </w:p>
        </w:tc>
        <w:tc>
          <w:tcPr>
            <w:tcW w:w="709" w:type="dxa"/>
            <w:tcBorders>
              <w:top w:val="single" w:sz="4" w:space="0" w:color="auto"/>
              <w:left w:val="nil"/>
              <w:bottom w:val="single" w:sz="4" w:space="0" w:color="auto"/>
              <w:right w:val="single" w:sz="4" w:space="0" w:color="auto"/>
            </w:tcBorders>
            <w:vAlign w:val="center"/>
          </w:tcPr>
          <w:p>
            <w:pPr>
              <w:ind w:left="-57" w:right="-57"/>
              <w:jc w:val="right"/>
              <w:rPr>
                <w:color w:val="000000"/>
              </w:rPr>
            </w:pPr>
            <w:r>
              <w:rPr>
                <w:color w:val="000000"/>
              </w:rPr>
              <w:t>100,0</w:t>
            </w:r>
          </w:p>
        </w:tc>
      </w:tr>
    </w:tbl>
    <w:p>
      <w:pPr>
        <w:spacing w:before="120"/>
        <w:ind w:firstLine="720"/>
        <w:jc w:val="both"/>
        <w:rPr>
          <w:sz w:val="24"/>
          <w:szCs w:val="24"/>
        </w:rPr>
      </w:pPr>
      <w:r>
        <w:rPr>
          <w:sz w:val="24"/>
          <w:szCs w:val="24"/>
        </w:rPr>
        <w:t xml:space="preserve">Удельный вес статьи в общей структуре фактически поступивших доходов составляет 1,6%, налоговых и неналоговых доходах – 6,6%. </w:t>
      </w:r>
    </w:p>
    <w:p>
      <w:pPr>
        <w:ind w:firstLine="720"/>
        <w:jc w:val="both"/>
        <w:rPr>
          <w:sz w:val="24"/>
          <w:szCs w:val="24"/>
        </w:rPr>
      </w:pPr>
      <w:r>
        <w:rPr>
          <w:sz w:val="24"/>
          <w:szCs w:val="24"/>
        </w:rPr>
        <w:t>Налог зачислялся в бюджет ЗАТО Северск по единому нормативу 30% в соответствии Законом Томской области от 14.11.2012 № 208-ОЗ «Об установлении единых нормативов отчислений в бюджеты муниципальных районов и городских округов Томской области от отдельных федеральных налогов».</w:t>
      </w:r>
    </w:p>
    <w:p>
      <w:pPr>
        <w:ind w:firstLine="709"/>
        <w:jc w:val="both"/>
        <w:rPr>
          <w:sz w:val="24"/>
          <w:szCs w:val="24"/>
        </w:rPr>
      </w:pPr>
      <w:r>
        <w:rPr>
          <w:sz w:val="24"/>
          <w:szCs w:val="24"/>
        </w:rPr>
        <w:t>Главный администратор доходов по налогу, взимаемому в связи с применением УСН – ИФНС России по ЗАТО Северск Томской области.</w:t>
      </w:r>
    </w:p>
    <w:p>
      <w:pPr>
        <w:ind w:firstLine="720"/>
        <w:jc w:val="both"/>
        <w:rPr>
          <w:sz w:val="24"/>
          <w:szCs w:val="24"/>
        </w:rPr>
      </w:pPr>
      <w:r>
        <w:rPr>
          <w:sz w:val="24"/>
          <w:szCs w:val="24"/>
        </w:rPr>
        <w:t>По сравнению с 2020 годом поступление доходов по статье увеличилось на 24 670,84 тыс.руб. или на 43,4%, что обусловлено переходом части налогоплательщиков на применение данного специального режима в связи с отменой с 01.01.2021 единого налога на вмененный доход, а также переносом срока уплаты налогов в 2020 году на 2021 год в рамках государственной поддержки организаций и индивидуальных предпринимателей в условиях распространения коронавирусной инфекции согласно постановлению Правительства Российской Федерации от 01.04.2020 № 409 «О мерах по обеспечению устойчивого развития экономики» (далее - постановление Правительства РФ от 01.04.2020 № 409).</w:t>
      </w:r>
    </w:p>
    <w:p>
      <w:pPr>
        <w:ind w:firstLine="720"/>
        <w:jc w:val="both"/>
        <w:rPr>
          <w:sz w:val="24"/>
          <w:szCs w:val="24"/>
        </w:rPr>
      </w:pPr>
      <w:r>
        <w:rPr>
          <w:sz w:val="24"/>
          <w:szCs w:val="24"/>
        </w:rPr>
        <w:t>Задолженность налогоплательщиков в 2021 году увеличилась на 380,6 тыс.руб. или на 35,3%, что обусловлено несвоевременной уплатой налога, а также неуплатой доначисленной задолженности по результатам контрольной работы.</w:t>
      </w:r>
    </w:p>
    <w:p>
      <w:pPr>
        <w:spacing w:before="120" w:after="60"/>
        <w:ind w:firstLine="720"/>
        <w:jc w:val="both"/>
        <w:rPr>
          <w:sz w:val="24"/>
          <w:szCs w:val="24"/>
        </w:rPr>
      </w:pPr>
      <w:r>
        <w:rPr>
          <w:sz w:val="24"/>
          <w:szCs w:val="24"/>
        </w:rPr>
        <w:t>Таблица 13. Анализ задолженности по налогу, взимаемому в связи с применением УСН, в бюджет ЗАТО Северск за 2020 - 2021 гг.</w:t>
      </w:r>
    </w:p>
    <w:tbl>
      <w:tblPr>
        <w:tblW w:w="9368" w:type="dxa"/>
        <w:tblInd w:w="96" w:type="dxa"/>
        <w:tblLayout w:type="fixed"/>
        <w:tblLook w:val="0000" w:firstRow="0" w:lastRow="0" w:firstColumn="0" w:lastColumn="0" w:noHBand="0" w:noVBand="0"/>
      </w:tblPr>
      <w:tblGrid>
        <w:gridCol w:w="4265"/>
        <w:gridCol w:w="1276"/>
        <w:gridCol w:w="1417"/>
        <w:gridCol w:w="1276"/>
        <w:gridCol w:w="1134"/>
      </w:tblGrid>
      <w:tr>
        <w:trPr>
          <w:cantSplit/>
          <w:trHeight w:val="160"/>
        </w:trPr>
        <w:tc>
          <w:tcPr>
            <w:tcW w:w="4265"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693"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410"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4265"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276" w:type="dxa"/>
            <w:tcBorders>
              <w:top w:val="single" w:sz="4" w:space="0" w:color="auto"/>
              <w:left w:val="nil"/>
              <w:bottom w:val="single" w:sz="4" w:space="0" w:color="auto"/>
              <w:right w:val="single" w:sz="4" w:space="0" w:color="auto"/>
            </w:tcBorders>
            <w:vAlign w:val="center"/>
          </w:tcPr>
          <w:p>
            <w:pPr>
              <w:ind w:left="-57" w:right="-57"/>
              <w:jc w:val="center"/>
            </w:pPr>
            <w:r>
              <w:t>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01.01.2022</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98"/>
        </w:trPr>
        <w:tc>
          <w:tcPr>
            <w:tcW w:w="4265"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УСН</w:t>
            </w:r>
          </w:p>
        </w:tc>
        <w:tc>
          <w:tcPr>
            <w:tcW w:w="1276" w:type="dxa"/>
            <w:tcBorders>
              <w:top w:val="single" w:sz="4" w:space="0" w:color="auto"/>
              <w:left w:val="nil"/>
              <w:bottom w:val="single" w:sz="4" w:space="0" w:color="auto"/>
              <w:right w:val="single" w:sz="4" w:space="0" w:color="auto"/>
            </w:tcBorders>
            <w:vAlign w:val="center"/>
          </w:tcPr>
          <w:p>
            <w:pPr>
              <w:ind w:left="-57"/>
              <w:jc w:val="right"/>
            </w:pPr>
            <w:r>
              <w:t>1 078,2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1 458,8</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jc w:val="right"/>
            </w:pPr>
            <w:r>
              <w:t>380,6</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right"/>
            </w:pPr>
            <w:r>
              <w:t>135,3</w:t>
            </w:r>
          </w:p>
        </w:tc>
      </w:tr>
    </w:tbl>
    <w:p>
      <w:pPr>
        <w:jc w:val="center"/>
        <w:rPr>
          <w:b/>
          <w:sz w:val="24"/>
          <w:szCs w:val="24"/>
        </w:rPr>
      </w:pPr>
    </w:p>
    <w:p>
      <w:pPr>
        <w:spacing w:after="120"/>
        <w:jc w:val="center"/>
        <w:rPr>
          <w:b/>
          <w:sz w:val="24"/>
          <w:szCs w:val="24"/>
        </w:rPr>
      </w:pPr>
    </w:p>
    <w:p>
      <w:pPr>
        <w:spacing w:after="120"/>
        <w:jc w:val="center"/>
        <w:rPr>
          <w:b/>
          <w:sz w:val="24"/>
          <w:szCs w:val="24"/>
        </w:rPr>
      </w:pPr>
      <w:r>
        <w:rPr>
          <w:b/>
          <w:sz w:val="24"/>
          <w:szCs w:val="24"/>
        </w:rPr>
        <w:t>3.1.4. Единый налог на вмененный доход</w:t>
      </w:r>
    </w:p>
    <w:p>
      <w:pPr>
        <w:spacing w:before="160"/>
        <w:ind w:firstLine="720"/>
        <w:jc w:val="both"/>
        <w:rPr>
          <w:sz w:val="24"/>
          <w:szCs w:val="24"/>
        </w:rPr>
      </w:pPr>
      <w:r>
        <w:rPr>
          <w:sz w:val="24"/>
          <w:szCs w:val="24"/>
        </w:rPr>
        <w:t>Прогноз поступлений по статье «Единый налог на вмененный доход» (ЕНВД) составлял 9 792,00 тыс.руб., фактическое исполнение – 9 629,81 тыс.руб., невыполнение на 162,19 тыс.руб. или на 1,7%.</w:t>
      </w:r>
    </w:p>
    <w:p>
      <w:pPr>
        <w:spacing w:before="120" w:after="60"/>
        <w:ind w:right="45" w:firstLine="720"/>
        <w:jc w:val="both"/>
        <w:rPr>
          <w:sz w:val="24"/>
          <w:szCs w:val="24"/>
        </w:rPr>
      </w:pPr>
      <w:r>
        <w:rPr>
          <w:sz w:val="24"/>
          <w:szCs w:val="24"/>
        </w:rPr>
        <w:t>Таблица 14. Анализ поступления ЕНВД за 2020 - 2021 гг.</w:t>
      </w:r>
    </w:p>
    <w:tbl>
      <w:tblPr>
        <w:tblW w:w="9366" w:type="dxa"/>
        <w:tblInd w:w="96" w:type="dxa"/>
        <w:tblLayout w:type="fixed"/>
        <w:tblLook w:val="0000" w:firstRow="0" w:lastRow="0" w:firstColumn="0" w:lastColumn="0" w:noHBand="0" w:noVBand="0"/>
      </w:tblPr>
      <w:tblGrid>
        <w:gridCol w:w="2422"/>
        <w:gridCol w:w="1276"/>
        <w:gridCol w:w="1275"/>
        <w:gridCol w:w="1275"/>
        <w:gridCol w:w="1134"/>
        <w:gridCol w:w="1135"/>
        <w:gridCol w:w="849"/>
      </w:tblGrid>
      <w:tr>
        <w:trPr>
          <w:cantSplit/>
          <w:trHeight w:val="142"/>
        </w:trPr>
        <w:tc>
          <w:tcPr>
            <w:tcW w:w="2422"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276"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566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r>
      <w:tr>
        <w:trPr>
          <w:cantSplit/>
          <w:trHeight w:val="800"/>
        </w:trPr>
        <w:tc>
          <w:tcPr>
            <w:tcW w:w="2422"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276" w:type="dxa"/>
            <w:vMerge/>
            <w:tcBorders>
              <w:left w:val="nil"/>
              <w:bottom w:val="single" w:sz="4" w:space="0" w:color="auto"/>
              <w:right w:val="single" w:sz="4" w:space="0" w:color="auto"/>
            </w:tcBorders>
            <w:vAlign w:val="center"/>
          </w:tcPr>
          <w:p>
            <w:pPr>
              <w:ind w:left="-57" w:right="-57"/>
              <w:jc w:val="center"/>
            </w:pPr>
          </w:p>
        </w:tc>
        <w:tc>
          <w:tcPr>
            <w:tcW w:w="1275"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5"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849"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47"/>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276"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5"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849"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438"/>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ЕНВД</w:t>
            </w:r>
          </w:p>
        </w:tc>
        <w:tc>
          <w:tcPr>
            <w:tcW w:w="1276" w:type="dxa"/>
            <w:tcBorders>
              <w:top w:val="single" w:sz="4" w:space="0" w:color="auto"/>
              <w:left w:val="nil"/>
              <w:bottom w:val="single" w:sz="4" w:space="0" w:color="auto"/>
              <w:right w:val="single" w:sz="4" w:space="0" w:color="auto"/>
            </w:tcBorders>
            <w:vAlign w:val="center"/>
          </w:tcPr>
          <w:p>
            <w:pPr>
              <w:jc w:val="right"/>
            </w:pPr>
            <w:r>
              <w:t>38 236,65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10 112,00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9 792,00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9 629,81</w:t>
            </w:r>
          </w:p>
        </w:tc>
        <w:tc>
          <w:tcPr>
            <w:tcW w:w="1135" w:type="dxa"/>
            <w:tcBorders>
              <w:top w:val="single" w:sz="4" w:space="0" w:color="auto"/>
              <w:left w:val="nil"/>
              <w:bottom w:val="single" w:sz="4" w:space="0" w:color="auto"/>
              <w:right w:val="single" w:sz="4" w:space="0" w:color="auto"/>
            </w:tcBorders>
            <w:shd w:val="clear" w:color="auto" w:fill="auto"/>
            <w:vAlign w:val="center"/>
          </w:tcPr>
          <w:p>
            <w:pPr>
              <w:jc w:val="right"/>
            </w:pPr>
            <w:r>
              <w:t>-162,19</w:t>
            </w:r>
          </w:p>
        </w:tc>
        <w:tc>
          <w:tcPr>
            <w:tcW w:w="849" w:type="dxa"/>
            <w:tcBorders>
              <w:top w:val="single" w:sz="4" w:space="0" w:color="auto"/>
              <w:left w:val="nil"/>
              <w:bottom w:val="single" w:sz="4" w:space="0" w:color="auto"/>
              <w:right w:val="single" w:sz="4" w:space="0" w:color="auto"/>
            </w:tcBorders>
            <w:vAlign w:val="center"/>
          </w:tcPr>
          <w:p>
            <w:pPr>
              <w:ind w:left="-57" w:right="-57"/>
              <w:jc w:val="right"/>
              <w:rPr>
                <w:color w:val="000000"/>
              </w:rPr>
            </w:pPr>
            <w:r>
              <w:rPr>
                <w:color w:val="000000"/>
              </w:rPr>
              <w:t>98,3</w:t>
            </w:r>
          </w:p>
        </w:tc>
      </w:tr>
    </w:tbl>
    <w:p>
      <w:pPr>
        <w:spacing w:before="160"/>
        <w:ind w:firstLine="720"/>
        <w:jc w:val="both"/>
        <w:rPr>
          <w:sz w:val="24"/>
          <w:szCs w:val="24"/>
        </w:rPr>
      </w:pPr>
      <w:r>
        <w:rPr>
          <w:sz w:val="24"/>
          <w:szCs w:val="24"/>
        </w:rPr>
        <w:t xml:space="preserve">Удельный вес статьи в общей структуре фактически поступивших доходов составляет 0,2%, налоговых и неналоговых доходах – 0,8%. </w:t>
      </w:r>
    </w:p>
    <w:p>
      <w:pPr>
        <w:tabs>
          <w:tab w:val="left" w:pos="6300"/>
        </w:tabs>
        <w:ind w:firstLine="720"/>
        <w:jc w:val="both"/>
        <w:rPr>
          <w:rFonts w:ascii="Times New Roman CYR" w:hAnsi="Times New Roman CYR"/>
          <w:sz w:val="24"/>
          <w:szCs w:val="24"/>
        </w:rPr>
      </w:pPr>
      <w:r>
        <w:rPr>
          <w:sz w:val="24"/>
          <w:szCs w:val="24"/>
        </w:rPr>
        <w:lastRenderedPageBreak/>
        <w:t xml:space="preserve">В связи с прекращением </w:t>
      </w:r>
      <w:r>
        <w:rPr>
          <w:rFonts w:ascii="Times New Roman CYR" w:hAnsi="Times New Roman CYR"/>
          <w:sz w:val="24"/>
          <w:szCs w:val="24"/>
        </w:rPr>
        <w:t xml:space="preserve">с 01.01.2021 системы налогообложения в форме ЕНВД согласно Федеральному закону от 29.06.2012 № 97-ФЗ «О внесении изменений в часть первую и часть вторую Налогового кодекса Российской Федерации...» </w:t>
      </w:r>
      <w:r>
        <w:rPr>
          <w:sz w:val="24"/>
          <w:szCs w:val="24"/>
        </w:rPr>
        <w:t xml:space="preserve">поступление доходов </w:t>
      </w:r>
      <w:r>
        <w:rPr>
          <w:rFonts w:ascii="Times New Roman CYR" w:hAnsi="Times New Roman CYR"/>
          <w:sz w:val="24"/>
          <w:szCs w:val="24"/>
        </w:rPr>
        <w:t xml:space="preserve">в 2021 году </w:t>
      </w:r>
      <w:r>
        <w:rPr>
          <w:sz w:val="24"/>
          <w:szCs w:val="24"/>
        </w:rPr>
        <w:t xml:space="preserve">по сравнению с 2020 годом </w:t>
      </w:r>
      <w:r>
        <w:rPr>
          <w:rFonts w:ascii="Times New Roman CYR" w:hAnsi="Times New Roman CYR"/>
          <w:sz w:val="24"/>
          <w:szCs w:val="24"/>
        </w:rPr>
        <w:t>уменьшилось на 28 606,84 тыс.руб. (поступили платежи, исчисленные за IV квартал 2020 года, и задолженность по налогу).</w:t>
      </w:r>
    </w:p>
    <w:p>
      <w:pPr>
        <w:ind w:right="45" w:firstLine="720"/>
        <w:jc w:val="both"/>
        <w:rPr>
          <w:sz w:val="24"/>
          <w:szCs w:val="24"/>
        </w:rPr>
      </w:pPr>
      <w:r>
        <w:rPr>
          <w:rFonts w:ascii="Times New Roman CYR" w:hAnsi="Times New Roman CYR"/>
          <w:sz w:val="24"/>
          <w:szCs w:val="24"/>
        </w:rPr>
        <w:t>С учетом этого з</w:t>
      </w:r>
      <w:r>
        <w:rPr>
          <w:sz w:val="24"/>
          <w:szCs w:val="24"/>
        </w:rPr>
        <w:t>адолженность налогоплательщиков по ЕНВД в 2021 году сократилась на 358,3 тыс.руб.</w:t>
      </w:r>
    </w:p>
    <w:p>
      <w:pPr>
        <w:spacing w:before="120" w:after="60"/>
        <w:ind w:right="45" w:firstLine="720"/>
        <w:jc w:val="both"/>
        <w:rPr>
          <w:sz w:val="24"/>
          <w:szCs w:val="24"/>
        </w:rPr>
      </w:pPr>
      <w:r>
        <w:rPr>
          <w:sz w:val="24"/>
          <w:szCs w:val="24"/>
        </w:rPr>
        <w:t>Таблица 15. Анализ задолженности по ЕНВД за 2020 - 2021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89"/>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ЕНВД</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2 028,4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1 670,1</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-358,3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108"/>
              <w:jc w:val="center"/>
            </w:pPr>
            <w:r>
              <w:t>82,3</w:t>
            </w:r>
          </w:p>
        </w:tc>
      </w:tr>
    </w:tbl>
    <w:p>
      <w:pPr>
        <w:ind w:firstLine="720"/>
        <w:jc w:val="center"/>
        <w:outlineLvl w:val="0"/>
        <w:rPr>
          <w:b/>
          <w:sz w:val="28"/>
          <w:szCs w:val="28"/>
        </w:rPr>
      </w:pPr>
    </w:p>
    <w:p>
      <w:pPr>
        <w:spacing w:after="120"/>
        <w:jc w:val="center"/>
        <w:outlineLvl w:val="0"/>
        <w:rPr>
          <w:b/>
          <w:sz w:val="24"/>
          <w:szCs w:val="24"/>
        </w:rPr>
      </w:pPr>
      <w:r>
        <w:rPr>
          <w:b/>
          <w:sz w:val="24"/>
          <w:szCs w:val="24"/>
        </w:rPr>
        <w:t>3.1.5. Единый сельскохозяйственный налог</w:t>
      </w:r>
    </w:p>
    <w:p>
      <w:pPr>
        <w:ind w:firstLine="709"/>
        <w:jc w:val="both"/>
        <w:rPr>
          <w:sz w:val="24"/>
          <w:szCs w:val="24"/>
        </w:rPr>
      </w:pPr>
      <w:r>
        <w:rPr>
          <w:sz w:val="24"/>
          <w:szCs w:val="24"/>
        </w:rPr>
        <w:t>Прогноз поступлений по статье «Единый сельскохозяйственный налог» (ЕСХН) составлял 220,57 тыс.руб., фактическое исполнение – 220,52 тыс.руб. (100,0% к годовому прогнозу).</w:t>
      </w:r>
    </w:p>
    <w:p>
      <w:pPr>
        <w:ind w:firstLine="709"/>
        <w:jc w:val="both"/>
        <w:rPr>
          <w:sz w:val="24"/>
          <w:szCs w:val="24"/>
        </w:rPr>
      </w:pPr>
      <w:r>
        <w:rPr>
          <w:sz w:val="24"/>
          <w:szCs w:val="24"/>
        </w:rPr>
        <w:t>Норматив зачисления в бюджет ЗАТО Северск 100%.</w:t>
      </w:r>
    </w:p>
    <w:p>
      <w:pPr>
        <w:ind w:firstLine="709"/>
        <w:jc w:val="both"/>
        <w:rPr>
          <w:sz w:val="24"/>
          <w:szCs w:val="24"/>
        </w:rPr>
      </w:pPr>
      <w:r>
        <w:rPr>
          <w:sz w:val="24"/>
          <w:szCs w:val="24"/>
        </w:rPr>
        <w:t>Главный администратор доходов по ЕСХН – ИФНС по ЗАТО Северск Томской области.</w:t>
      </w:r>
    </w:p>
    <w:p>
      <w:pPr>
        <w:ind w:firstLine="709"/>
        <w:jc w:val="both"/>
        <w:rPr>
          <w:sz w:val="24"/>
          <w:szCs w:val="24"/>
        </w:rPr>
      </w:pPr>
      <w:r>
        <w:rPr>
          <w:sz w:val="24"/>
          <w:szCs w:val="24"/>
        </w:rPr>
        <w:t>По сравнению с 2020 годом снижение поступлений по статье составило 199,69 тыс.руб. Задолженность налогоплательщиков по ЕСХН отсутствует.</w:t>
      </w:r>
    </w:p>
    <w:p>
      <w:pPr>
        <w:shd w:val="clear" w:color="auto" w:fill="FFFFFF"/>
        <w:jc w:val="center"/>
        <w:rPr>
          <w:b/>
          <w:sz w:val="24"/>
          <w:szCs w:val="24"/>
        </w:rPr>
      </w:pPr>
    </w:p>
    <w:p>
      <w:pPr>
        <w:shd w:val="clear" w:color="auto" w:fill="FFFFFF"/>
        <w:jc w:val="center"/>
        <w:rPr>
          <w:b/>
          <w:sz w:val="24"/>
          <w:szCs w:val="24"/>
        </w:rPr>
      </w:pPr>
      <w:r>
        <w:rPr>
          <w:b/>
          <w:sz w:val="24"/>
          <w:szCs w:val="24"/>
        </w:rPr>
        <w:t xml:space="preserve">3.1.6.  Налог, взимаемый в связи с применением </w:t>
      </w:r>
    </w:p>
    <w:p>
      <w:pPr>
        <w:shd w:val="clear" w:color="auto" w:fill="FFFFFF"/>
        <w:spacing w:after="120"/>
        <w:jc w:val="center"/>
        <w:rPr>
          <w:b/>
          <w:sz w:val="24"/>
          <w:szCs w:val="24"/>
        </w:rPr>
      </w:pPr>
      <w:r>
        <w:rPr>
          <w:b/>
          <w:sz w:val="24"/>
          <w:szCs w:val="24"/>
        </w:rPr>
        <w:t>патентной системы налогообложения</w:t>
      </w:r>
    </w:p>
    <w:p>
      <w:pPr>
        <w:ind w:firstLine="720"/>
        <w:jc w:val="both"/>
        <w:rPr>
          <w:sz w:val="24"/>
          <w:szCs w:val="24"/>
        </w:rPr>
      </w:pPr>
      <w:r>
        <w:rPr>
          <w:sz w:val="24"/>
          <w:szCs w:val="24"/>
        </w:rPr>
        <w:t xml:space="preserve">Прогноз поступлений по статье «Налог, взимаемый в связи с применением патентной системы налогообложения» составлял 15 564,60 тыс.руб., фактическое исполнение – 19 405,72 тыс.руб., перевыполнение на 3 841,12 тыс.руб. или на 24,7%. </w:t>
      </w:r>
    </w:p>
    <w:p>
      <w:pPr>
        <w:spacing w:before="120" w:after="60"/>
        <w:ind w:right="45" w:firstLine="720"/>
        <w:jc w:val="both"/>
        <w:rPr>
          <w:sz w:val="24"/>
          <w:szCs w:val="24"/>
        </w:rPr>
      </w:pPr>
      <w:r>
        <w:rPr>
          <w:sz w:val="24"/>
          <w:szCs w:val="24"/>
        </w:rPr>
        <w:t>Таблица 16. Анализ поступления налога, взимаемого в связи с применением патентной системы налогообложения, за 2020 - 2021 гг.</w:t>
      </w:r>
    </w:p>
    <w:tbl>
      <w:tblPr>
        <w:tblW w:w="9509" w:type="dxa"/>
        <w:tblInd w:w="96" w:type="dxa"/>
        <w:tblLayout w:type="fixed"/>
        <w:tblLook w:val="0000" w:firstRow="0" w:lastRow="0" w:firstColumn="0" w:lastColumn="0" w:noHBand="0" w:noVBand="0"/>
      </w:tblPr>
      <w:tblGrid>
        <w:gridCol w:w="2989"/>
        <w:gridCol w:w="1134"/>
        <w:gridCol w:w="1134"/>
        <w:gridCol w:w="1134"/>
        <w:gridCol w:w="1134"/>
        <w:gridCol w:w="1134"/>
        <w:gridCol w:w="850"/>
      </w:tblGrid>
      <w:tr>
        <w:trPr>
          <w:cantSplit/>
          <w:trHeight w:val="210"/>
        </w:trPr>
        <w:tc>
          <w:tcPr>
            <w:tcW w:w="2989"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shd w:val="clear" w:color="auto" w:fill="auto"/>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53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r>
      <w:tr>
        <w:trPr>
          <w:cantSplit/>
          <w:trHeight w:val="766"/>
        </w:trPr>
        <w:tc>
          <w:tcPr>
            <w:tcW w:w="2989"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shd w:val="clear" w:color="auto" w:fill="auto"/>
            <w:vAlign w:val="center"/>
          </w:tcPr>
          <w:p>
            <w:pPr>
              <w:ind w:left="-57" w:right="-5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850"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61"/>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850" w:type="dxa"/>
            <w:tcBorders>
              <w:top w:val="single" w:sz="4" w:space="0" w:color="auto"/>
              <w:left w:val="nil"/>
              <w:bottom w:val="single" w:sz="4" w:space="0" w:color="auto"/>
              <w:right w:val="single" w:sz="4" w:space="0" w:color="auto"/>
            </w:tcBorders>
            <w:shd w:val="clear" w:color="auto" w:fill="auto"/>
            <w:vAlign w:val="center"/>
          </w:tcPr>
          <w:p>
            <w:pPr>
              <w:ind w:right="-108"/>
              <w:jc w:val="center"/>
              <w:rPr>
                <w:sz w:val="16"/>
                <w:szCs w:val="16"/>
              </w:rPr>
            </w:pPr>
            <w:r>
              <w:rPr>
                <w:sz w:val="16"/>
                <w:szCs w:val="16"/>
              </w:rPr>
              <w:t>7=5/4</w:t>
            </w:r>
          </w:p>
        </w:tc>
      </w:tr>
      <w:tr>
        <w:trPr>
          <w:cantSplit/>
          <w:trHeight w:val="284"/>
        </w:trPr>
        <w:tc>
          <w:tcPr>
            <w:tcW w:w="2989"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патентной системы налогообложения</w:t>
            </w:r>
          </w:p>
        </w:tc>
        <w:tc>
          <w:tcPr>
            <w:tcW w:w="1134" w:type="dxa"/>
            <w:tcBorders>
              <w:top w:val="single" w:sz="4" w:space="0" w:color="auto"/>
              <w:left w:val="nil"/>
              <w:bottom w:val="single" w:sz="4" w:space="0" w:color="auto"/>
              <w:right w:val="single" w:sz="4" w:space="0" w:color="auto"/>
            </w:tcBorders>
            <w:vAlign w:val="center"/>
          </w:tcPr>
          <w:p>
            <w:pPr>
              <w:jc w:val="right"/>
            </w:pPr>
            <w:r>
              <w:t>1 048,07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1 261,00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15 564,60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19 405,72</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3 841,12</w:t>
            </w:r>
          </w:p>
        </w:tc>
        <w:tc>
          <w:tcPr>
            <w:tcW w:w="850"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124,7</w:t>
            </w:r>
          </w:p>
        </w:tc>
      </w:tr>
    </w:tbl>
    <w:p>
      <w:pPr>
        <w:shd w:val="clear" w:color="auto" w:fill="FFFFFF"/>
        <w:spacing w:before="120"/>
        <w:ind w:firstLine="709"/>
        <w:jc w:val="both"/>
        <w:rPr>
          <w:sz w:val="24"/>
          <w:szCs w:val="24"/>
        </w:rPr>
      </w:pPr>
      <w:r>
        <w:rPr>
          <w:sz w:val="24"/>
          <w:szCs w:val="24"/>
        </w:rPr>
        <w:t xml:space="preserve">Удельный вес статьи в общей структуре фактически поступивших доходов составляет 0,4%, налоговых и неналоговых доходах - 1,6%. </w:t>
      </w:r>
    </w:p>
    <w:p>
      <w:pPr>
        <w:shd w:val="clear" w:color="auto" w:fill="FFFFFF"/>
        <w:ind w:firstLine="709"/>
        <w:jc w:val="both"/>
        <w:rPr>
          <w:sz w:val="24"/>
          <w:szCs w:val="24"/>
        </w:rPr>
      </w:pPr>
      <w:r>
        <w:rPr>
          <w:sz w:val="24"/>
          <w:szCs w:val="24"/>
          <w:shd w:val="clear" w:color="auto" w:fill="FFFFFF"/>
        </w:rPr>
        <w:t>Норматив зачисления в бюджет ЗАТО Северск 100%.</w:t>
      </w:r>
    </w:p>
    <w:p>
      <w:pPr>
        <w:shd w:val="clear" w:color="auto" w:fill="FFFFFF"/>
        <w:ind w:firstLine="720"/>
        <w:jc w:val="both"/>
        <w:rPr>
          <w:sz w:val="24"/>
          <w:szCs w:val="24"/>
        </w:rPr>
      </w:pPr>
      <w:r>
        <w:rPr>
          <w:sz w:val="24"/>
          <w:szCs w:val="24"/>
        </w:rPr>
        <w:t>Главный администратор доходов по налогу, взимаемому в связи с применением патентной системы налогообложения – ИФНС России по ЗАТО Северск Томской области.</w:t>
      </w:r>
    </w:p>
    <w:p>
      <w:pPr>
        <w:ind w:right="45" w:firstLine="720"/>
        <w:jc w:val="both"/>
        <w:rPr>
          <w:szCs w:val="24"/>
        </w:rPr>
      </w:pPr>
      <w:r>
        <w:rPr>
          <w:sz w:val="24"/>
          <w:szCs w:val="24"/>
          <w:shd w:val="clear" w:color="auto" w:fill="FFFFFF"/>
        </w:rPr>
        <w:t xml:space="preserve">По сравнению с первоначально утвержденным прогнозом на 2021 год и с фактическим исполнением в 2020 году поступление доходов по статье увеличилось на 18 144,72 тыс.руб. и на 18 357,65 тыс.руб. </w:t>
      </w:r>
      <w:r>
        <w:rPr>
          <w:sz w:val="24"/>
          <w:szCs w:val="24"/>
        </w:rPr>
        <w:t>соответственно, что обусловлено отменой с 01.01.2021 единого налога на вмененный доход и увеличением количества выданных патентов за счет перехода части индивидуальных предпринимателей на применение данного специального режима, а также переносом срока уплаты налогов в рамках государственной поддержки индивидуальных предпринимателей в условиях распространения коронавирусной инфекции согласно постановлению Правительства РФ от 01.04.2020 № 409.</w:t>
      </w:r>
    </w:p>
    <w:p>
      <w:pPr>
        <w:ind w:right="45" w:firstLine="720"/>
        <w:jc w:val="both"/>
        <w:rPr>
          <w:sz w:val="24"/>
          <w:szCs w:val="24"/>
        </w:rPr>
      </w:pPr>
      <w:r>
        <w:rPr>
          <w:sz w:val="24"/>
          <w:szCs w:val="24"/>
        </w:rPr>
        <w:lastRenderedPageBreak/>
        <w:t>Задолженность налогоплательщиков в 2021 году увеличилась на 89,4 тыс.руб., что обусловлено увеличением количества плательщиков и начислений по налогу.</w:t>
      </w:r>
    </w:p>
    <w:p>
      <w:pPr>
        <w:spacing w:before="120"/>
        <w:ind w:right="45" w:firstLine="720"/>
        <w:jc w:val="both"/>
        <w:rPr>
          <w:sz w:val="24"/>
          <w:szCs w:val="24"/>
        </w:rPr>
      </w:pPr>
      <w:r>
        <w:rPr>
          <w:sz w:val="24"/>
          <w:szCs w:val="24"/>
        </w:rPr>
        <w:t>Таблица 17. Анализ задолженности по налогу, взимаемому в связи с применением патентной системы налогообложения, за 2020 - 2021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Налог, взимаемый в связи с применением патентной системы налогообложения</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34,6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124,0</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89,4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358,4</w:t>
            </w:r>
          </w:p>
        </w:tc>
      </w:tr>
    </w:tbl>
    <w:p>
      <w:pPr>
        <w:rPr>
          <w:b/>
          <w:sz w:val="24"/>
          <w:szCs w:val="24"/>
        </w:rPr>
      </w:pPr>
    </w:p>
    <w:p>
      <w:pPr>
        <w:spacing w:after="120"/>
        <w:jc w:val="center"/>
        <w:rPr>
          <w:b/>
          <w:sz w:val="24"/>
          <w:szCs w:val="24"/>
        </w:rPr>
      </w:pPr>
      <w:r>
        <w:rPr>
          <w:b/>
          <w:sz w:val="24"/>
          <w:szCs w:val="24"/>
        </w:rPr>
        <w:t>3.1.7. Налог на имущество физических лиц</w:t>
      </w:r>
    </w:p>
    <w:p>
      <w:pPr>
        <w:shd w:val="clear" w:color="auto" w:fill="FFFFFF"/>
        <w:ind w:firstLine="709"/>
        <w:jc w:val="both"/>
        <w:rPr>
          <w:sz w:val="24"/>
          <w:szCs w:val="24"/>
        </w:rPr>
      </w:pPr>
      <w:r>
        <w:rPr>
          <w:sz w:val="24"/>
          <w:szCs w:val="24"/>
        </w:rPr>
        <w:t>Прогноз поступлений по статье «Налог на имущество физических лиц» (НИФЛ) составлял 37 841,00 тыс.руб., фактическое исполнение – 38 017,03 тыс.руб., перевыполнение на 176,03 тыс.руб. или на 0,5%.</w:t>
      </w:r>
    </w:p>
    <w:p>
      <w:pPr>
        <w:spacing w:before="120" w:after="60"/>
        <w:ind w:right="45" w:firstLine="720"/>
        <w:jc w:val="both"/>
        <w:rPr>
          <w:sz w:val="24"/>
          <w:szCs w:val="24"/>
        </w:rPr>
      </w:pPr>
      <w:r>
        <w:rPr>
          <w:sz w:val="24"/>
          <w:szCs w:val="24"/>
        </w:rPr>
        <w:t>Таблица 18. Анализ поступления НИФЛ за 2020 - 2021 гг.</w:t>
      </w:r>
    </w:p>
    <w:tbl>
      <w:tblPr>
        <w:tblW w:w="9368" w:type="dxa"/>
        <w:tblInd w:w="96" w:type="dxa"/>
        <w:tblLayout w:type="fixed"/>
        <w:tblLook w:val="0000" w:firstRow="0" w:lastRow="0" w:firstColumn="0" w:lastColumn="0" w:noHBand="0" w:noVBand="0"/>
      </w:tblPr>
      <w:tblGrid>
        <w:gridCol w:w="2564"/>
        <w:gridCol w:w="1134"/>
        <w:gridCol w:w="1134"/>
        <w:gridCol w:w="1276"/>
        <w:gridCol w:w="1134"/>
        <w:gridCol w:w="1275"/>
        <w:gridCol w:w="851"/>
      </w:tblGrid>
      <w:tr>
        <w:trPr>
          <w:cantSplit/>
          <w:trHeight w:val="185"/>
        </w:trPr>
        <w:tc>
          <w:tcPr>
            <w:tcW w:w="2564"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56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r>
      <w:tr>
        <w:trPr>
          <w:cantSplit/>
          <w:trHeight w:val="766"/>
        </w:trPr>
        <w:tc>
          <w:tcPr>
            <w:tcW w:w="2564"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851"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82"/>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851"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421"/>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НИФЛ</w:t>
            </w:r>
          </w:p>
        </w:tc>
        <w:tc>
          <w:tcPr>
            <w:tcW w:w="1134" w:type="dxa"/>
            <w:tcBorders>
              <w:top w:val="single" w:sz="4" w:space="0" w:color="auto"/>
              <w:left w:val="nil"/>
              <w:bottom w:val="single" w:sz="4" w:space="0" w:color="auto"/>
              <w:right w:val="single" w:sz="4" w:space="0" w:color="auto"/>
            </w:tcBorders>
            <w:vAlign w:val="center"/>
          </w:tcPr>
          <w:p>
            <w:pPr>
              <w:jc w:val="right"/>
            </w:pPr>
            <w:r>
              <w:t>30 080,29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37 841,00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37 841,00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38 017,03</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176,03</w:t>
            </w:r>
          </w:p>
        </w:tc>
        <w:tc>
          <w:tcPr>
            <w:tcW w:w="851"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100,5</w:t>
            </w:r>
          </w:p>
        </w:tc>
      </w:tr>
    </w:tbl>
    <w:p>
      <w:pPr>
        <w:shd w:val="clear" w:color="auto" w:fill="FFFFFF"/>
        <w:spacing w:before="120"/>
        <w:ind w:firstLine="709"/>
        <w:jc w:val="both"/>
        <w:rPr>
          <w:sz w:val="24"/>
          <w:szCs w:val="24"/>
        </w:rPr>
      </w:pPr>
      <w:r>
        <w:rPr>
          <w:sz w:val="24"/>
          <w:szCs w:val="24"/>
        </w:rPr>
        <w:t>Удельный вес статьи в общей структуре фактически поступивших доходов составляет 0,8%, налоговых и неналоговых доходах - 3,1%.</w:t>
      </w:r>
    </w:p>
    <w:p>
      <w:pPr>
        <w:shd w:val="clear" w:color="auto" w:fill="FFFFFF"/>
        <w:ind w:firstLine="709"/>
        <w:jc w:val="both"/>
        <w:rPr>
          <w:sz w:val="24"/>
          <w:szCs w:val="24"/>
        </w:rPr>
      </w:pPr>
      <w:r>
        <w:rPr>
          <w:sz w:val="24"/>
          <w:szCs w:val="24"/>
        </w:rPr>
        <w:t>Норматив зачисления в бюджет ЗАТО Северск 100%.</w:t>
      </w:r>
    </w:p>
    <w:p>
      <w:pPr>
        <w:shd w:val="clear" w:color="auto" w:fill="FFFFFF"/>
        <w:ind w:firstLine="709"/>
        <w:jc w:val="both"/>
        <w:rPr>
          <w:sz w:val="24"/>
          <w:szCs w:val="24"/>
        </w:rPr>
      </w:pPr>
      <w:r>
        <w:rPr>
          <w:sz w:val="24"/>
          <w:szCs w:val="24"/>
        </w:rPr>
        <w:t>Главный администратор доходов по НИФЛ – ИФНС России по ЗАТО Северск Томской области.</w:t>
      </w:r>
    </w:p>
    <w:p>
      <w:pPr>
        <w:shd w:val="clear" w:color="auto" w:fill="FFFFFF"/>
        <w:ind w:firstLine="709"/>
        <w:jc w:val="both"/>
        <w:rPr>
          <w:sz w:val="24"/>
          <w:szCs w:val="24"/>
        </w:rPr>
      </w:pPr>
      <w:r>
        <w:rPr>
          <w:sz w:val="24"/>
          <w:szCs w:val="24"/>
        </w:rPr>
        <w:t>В 2021 году в бюджет ЗАТО Северск поступил налог, исчисленный за 2020 год.</w:t>
      </w:r>
    </w:p>
    <w:p>
      <w:pPr>
        <w:ind w:firstLine="709"/>
        <w:jc w:val="both"/>
        <w:rPr>
          <w:sz w:val="24"/>
          <w:szCs w:val="24"/>
        </w:rPr>
      </w:pPr>
      <w:r>
        <w:rPr>
          <w:sz w:val="24"/>
          <w:szCs w:val="24"/>
        </w:rPr>
        <w:t>Исчисление налога произведено по ставкам, утвержденным решением Думы ЗАТО Северск от 26.09.2019 № 55/2 «О налоге на имущество физических лиц на территории ЗАТО Северск», с учетом применения установленных на федеральном уровне налоговых вычетов, понижающих коэффициентов и льгот для отдельных категорий налогоплательщиков.</w:t>
      </w:r>
    </w:p>
    <w:p>
      <w:pPr>
        <w:ind w:right="45" w:firstLine="709"/>
        <w:jc w:val="both"/>
        <w:rPr>
          <w:sz w:val="24"/>
          <w:szCs w:val="24"/>
        </w:rPr>
      </w:pPr>
      <w:r>
        <w:rPr>
          <w:sz w:val="24"/>
          <w:szCs w:val="24"/>
        </w:rPr>
        <w:t>По сравнению с 2020 годом поступление по НИФЛ увеличилось на 7 936,74 тыс.руб. или на 26,4% с учетом перехода с 01.01.2020 на исчисление налога от кадастровой стоимости объектов налогообложения, а также за счет увеличения количества налогооблагаемых объектов, включенных в перечень, определяемый в соответствии с пунктом 7 статьи 378.2 Налогового кодекса Российской Федерации.</w:t>
      </w:r>
    </w:p>
    <w:p>
      <w:pPr>
        <w:ind w:right="45" w:firstLine="709"/>
        <w:jc w:val="both"/>
        <w:rPr>
          <w:sz w:val="24"/>
          <w:szCs w:val="24"/>
        </w:rPr>
      </w:pPr>
      <w:r>
        <w:rPr>
          <w:sz w:val="24"/>
          <w:szCs w:val="24"/>
        </w:rPr>
        <w:t>Задолженность налогоплательщиков по НИФЛ в 2021 году увеличилась на 1 553,5 тыс.руб., что объясняется низкой платежной дисциплиной.</w:t>
      </w:r>
    </w:p>
    <w:p>
      <w:pPr>
        <w:spacing w:before="120" w:after="60"/>
        <w:ind w:right="45" w:firstLine="709"/>
        <w:jc w:val="both"/>
        <w:rPr>
          <w:sz w:val="24"/>
          <w:szCs w:val="24"/>
        </w:rPr>
      </w:pPr>
      <w:r>
        <w:rPr>
          <w:sz w:val="24"/>
          <w:szCs w:val="24"/>
        </w:rPr>
        <w:t>Таблица 19. Анализ задолженности по НИФЛ за 2020 - 2021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НИФЛ</w:t>
            </w:r>
          </w:p>
        </w:tc>
        <w:tc>
          <w:tcPr>
            <w:tcW w:w="1418" w:type="dxa"/>
            <w:tcBorders>
              <w:top w:val="single" w:sz="4" w:space="0" w:color="auto"/>
              <w:left w:val="nil"/>
              <w:bottom w:val="single" w:sz="4" w:space="0" w:color="auto"/>
              <w:right w:val="single" w:sz="4" w:space="0" w:color="auto"/>
            </w:tcBorders>
            <w:vAlign w:val="center"/>
          </w:tcPr>
          <w:p>
            <w:pPr>
              <w:ind w:left="-57"/>
              <w:jc w:val="right"/>
            </w:pPr>
            <w:r>
              <w:t>12 125,7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13 679,2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1 553,5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112,8</w:t>
            </w:r>
          </w:p>
        </w:tc>
      </w:tr>
    </w:tbl>
    <w:p>
      <w:pPr>
        <w:shd w:val="clear" w:color="auto" w:fill="FFFFFF"/>
        <w:spacing w:after="120"/>
        <w:jc w:val="center"/>
        <w:rPr>
          <w:b/>
          <w:sz w:val="24"/>
          <w:szCs w:val="24"/>
        </w:rPr>
      </w:pPr>
    </w:p>
    <w:p>
      <w:pPr>
        <w:shd w:val="clear" w:color="auto" w:fill="FFFFFF"/>
        <w:spacing w:after="120"/>
        <w:jc w:val="center"/>
        <w:rPr>
          <w:b/>
          <w:sz w:val="24"/>
          <w:szCs w:val="24"/>
        </w:rPr>
      </w:pPr>
      <w:r>
        <w:rPr>
          <w:b/>
          <w:sz w:val="24"/>
          <w:szCs w:val="24"/>
        </w:rPr>
        <w:t>3.1.8. Земельный налог</w:t>
      </w:r>
    </w:p>
    <w:p>
      <w:pPr>
        <w:ind w:firstLine="709"/>
        <w:jc w:val="both"/>
        <w:rPr>
          <w:sz w:val="24"/>
          <w:szCs w:val="24"/>
        </w:rPr>
      </w:pPr>
      <w:r>
        <w:rPr>
          <w:sz w:val="24"/>
          <w:szCs w:val="24"/>
        </w:rPr>
        <w:t xml:space="preserve">Прогноз поступлений по статье «Земельный налог» составлял 108 348,00 тыс.руб., фактическое исполнение – 109 136,67 тыс.руб., перевыполнение на 788,67 тыс.руб. или на 0,7%. </w:t>
      </w:r>
    </w:p>
    <w:p>
      <w:pPr>
        <w:ind w:firstLine="709"/>
        <w:jc w:val="both"/>
        <w:rPr>
          <w:sz w:val="24"/>
          <w:szCs w:val="24"/>
        </w:rPr>
      </w:pPr>
    </w:p>
    <w:p>
      <w:pPr>
        <w:ind w:firstLine="709"/>
        <w:jc w:val="both"/>
        <w:rPr>
          <w:sz w:val="24"/>
          <w:szCs w:val="24"/>
        </w:rPr>
      </w:pPr>
    </w:p>
    <w:p>
      <w:pPr>
        <w:spacing w:before="120" w:after="60"/>
        <w:ind w:right="45" w:firstLine="720"/>
        <w:jc w:val="both"/>
        <w:rPr>
          <w:sz w:val="24"/>
          <w:szCs w:val="24"/>
        </w:rPr>
      </w:pPr>
      <w:r>
        <w:rPr>
          <w:sz w:val="24"/>
          <w:szCs w:val="24"/>
        </w:rPr>
        <w:lastRenderedPageBreak/>
        <w:t>Таблица 20. Анализ поступления земельного налога за 2020 - 2021 гг.</w:t>
      </w:r>
    </w:p>
    <w:tbl>
      <w:tblPr>
        <w:tblW w:w="9368" w:type="dxa"/>
        <w:tblInd w:w="96" w:type="dxa"/>
        <w:tblLayout w:type="fixed"/>
        <w:tblLook w:val="0000" w:firstRow="0" w:lastRow="0" w:firstColumn="0" w:lastColumn="0" w:noHBand="0" w:noVBand="0"/>
      </w:tblPr>
      <w:tblGrid>
        <w:gridCol w:w="2422"/>
        <w:gridCol w:w="1134"/>
        <w:gridCol w:w="1276"/>
        <w:gridCol w:w="1276"/>
        <w:gridCol w:w="1134"/>
        <w:gridCol w:w="1134"/>
        <w:gridCol w:w="992"/>
      </w:tblGrid>
      <w:tr>
        <w:trPr>
          <w:cantSplit/>
          <w:trHeight w:val="283"/>
        </w:trPr>
        <w:tc>
          <w:tcPr>
            <w:tcW w:w="2422"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58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r>
      <w:tr>
        <w:trPr>
          <w:cantSplit/>
          <w:trHeight w:val="766"/>
        </w:trPr>
        <w:tc>
          <w:tcPr>
            <w:tcW w:w="2422"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992"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214"/>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992"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38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 xml:space="preserve">Земельный налог, </w:t>
            </w:r>
          </w:p>
          <w:p>
            <w:pPr>
              <w:ind w:left="-57" w:right="-57"/>
            </w:pPr>
            <w:r>
              <w:t>в том числе:</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108 350,00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109 556,00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108 348,00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109 136,67</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788,67</w:t>
            </w:r>
          </w:p>
        </w:tc>
        <w:tc>
          <w:tcPr>
            <w:tcW w:w="992" w:type="dxa"/>
            <w:tcBorders>
              <w:top w:val="single" w:sz="4" w:space="0" w:color="auto"/>
              <w:left w:val="nil"/>
              <w:bottom w:val="single" w:sz="4" w:space="0" w:color="auto"/>
              <w:right w:val="single" w:sz="4" w:space="0" w:color="auto"/>
            </w:tcBorders>
            <w:vAlign w:val="center"/>
          </w:tcPr>
          <w:p>
            <w:pPr>
              <w:jc w:val="right"/>
            </w:pPr>
            <w:r>
              <w:t>100,7</w:t>
            </w:r>
          </w:p>
        </w:tc>
      </w:tr>
      <w:tr>
        <w:trPr>
          <w:cantSplit/>
          <w:trHeight w:val="38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земельный налог, уплачи-ваемый организациями</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102 058,55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102 529,00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101 963,00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103 380,33</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1 417,33</w:t>
            </w:r>
          </w:p>
        </w:tc>
        <w:tc>
          <w:tcPr>
            <w:tcW w:w="992" w:type="dxa"/>
            <w:tcBorders>
              <w:top w:val="single" w:sz="4" w:space="0" w:color="auto"/>
              <w:left w:val="nil"/>
              <w:bottom w:val="single" w:sz="4" w:space="0" w:color="auto"/>
              <w:right w:val="single" w:sz="4" w:space="0" w:color="auto"/>
            </w:tcBorders>
            <w:vAlign w:val="center"/>
          </w:tcPr>
          <w:p>
            <w:pPr>
              <w:jc w:val="right"/>
            </w:pPr>
            <w:r>
              <w:t>101,4</w:t>
            </w:r>
          </w:p>
        </w:tc>
      </w:tr>
      <w:tr>
        <w:trPr>
          <w:cantSplit/>
          <w:trHeight w:val="389"/>
        </w:trPr>
        <w:tc>
          <w:tcPr>
            <w:tcW w:w="2422"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земельный налог, уплачи-ваемый физ. лицами</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6 291,45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7 027,00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6 385,00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5 756,34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-628,66</w:t>
            </w:r>
          </w:p>
        </w:tc>
        <w:tc>
          <w:tcPr>
            <w:tcW w:w="992" w:type="dxa"/>
            <w:tcBorders>
              <w:top w:val="single" w:sz="4" w:space="0" w:color="auto"/>
              <w:left w:val="nil"/>
              <w:bottom w:val="single" w:sz="4" w:space="0" w:color="auto"/>
              <w:right w:val="single" w:sz="4" w:space="0" w:color="auto"/>
            </w:tcBorders>
            <w:vAlign w:val="center"/>
          </w:tcPr>
          <w:p>
            <w:pPr>
              <w:jc w:val="right"/>
            </w:pPr>
            <w:r>
              <w:t>90,2</w:t>
            </w:r>
          </w:p>
        </w:tc>
      </w:tr>
    </w:tbl>
    <w:p>
      <w:pPr>
        <w:shd w:val="clear" w:color="auto" w:fill="FFFFFF"/>
        <w:spacing w:before="120"/>
        <w:ind w:firstLine="709"/>
        <w:jc w:val="both"/>
        <w:rPr>
          <w:sz w:val="24"/>
          <w:szCs w:val="24"/>
        </w:rPr>
      </w:pPr>
      <w:r>
        <w:rPr>
          <w:sz w:val="24"/>
          <w:szCs w:val="24"/>
        </w:rPr>
        <w:t xml:space="preserve">Удельный вес статьи в общей структуре фактически поступивших доходов составляет 2,2%, налоговых и неналоговых доходах - 8,8%. </w:t>
      </w:r>
    </w:p>
    <w:p>
      <w:pPr>
        <w:shd w:val="clear" w:color="auto" w:fill="FFFFFF"/>
        <w:ind w:firstLine="709"/>
        <w:jc w:val="both"/>
        <w:rPr>
          <w:sz w:val="24"/>
          <w:szCs w:val="24"/>
        </w:rPr>
      </w:pPr>
      <w:r>
        <w:rPr>
          <w:sz w:val="24"/>
          <w:szCs w:val="24"/>
        </w:rPr>
        <w:t>Норматив зачисления в бюджет ЗАТО Северск 100%.</w:t>
      </w:r>
    </w:p>
    <w:p>
      <w:pPr>
        <w:shd w:val="clear" w:color="auto" w:fill="FFFFFF"/>
        <w:ind w:firstLine="709"/>
        <w:jc w:val="both"/>
        <w:rPr>
          <w:sz w:val="24"/>
          <w:szCs w:val="24"/>
        </w:rPr>
      </w:pPr>
      <w:r>
        <w:rPr>
          <w:sz w:val="24"/>
          <w:szCs w:val="24"/>
        </w:rPr>
        <w:t>Главный администратор доходов по земельному налогу – ИФНС России по ЗАТО Северск Томской области.</w:t>
      </w:r>
    </w:p>
    <w:p>
      <w:pPr>
        <w:ind w:firstLine="709"/>
        <w:jc w:val="both"/>
        <w:rPr>
          <w:sz w:val="24"/>
          <w:szCs w:val="24"/>
        </w:rPr>
      </w:pPr>
      <w:r>
        <w:rPr>
          <w:sz w:val="24"/>
          <w:szCs w:val="24"/>
        </w:rPr>
        <w:t>Исполнение по земельному налогу в разрезе подстатей следующее:</w:t>
      </w:r>
    </w:p>
    <w:p>
      <w:pPr>
        <w:ind w:firstLine="709"/>
        <w:jc w:val="both"/>
        <w:rPr>
          <w:sz w:val="24"/>
          <w:szCs w:val="24"/>
        </w:rPr>
      </w:pPr>
      <w:r>
        <w:rPr>
          <w:sz w:val="24"/>
          <w:szCs w:val="24"/>
        </w:rPr>
        <w:t>- по земельному налогу, уплачиваемому организациями, перевыполнение на 1 417,33 тыс.руб. или на 1,4% (за счет поступлений от ФГБУ «СибФНКЦ ФМБА России» ранее установленного срока 01.03.2022);</w:t>
      </w:r>
    </w:p>
    <w:p>
      <w:pPr>
        <w:ind w:firstLine="709"/>
        <w:jc w:val="both"/>
        <w:rPr>
          <w:sz w:val="24"/>
          <w:szCs w:val="24"/>
        </w:rPr>
      </w:pPr>
      <w:r>
        <w:rPr>
          <w:sz w:val="24"/>
          <w:szCs w:val="24"/>
        </w:rPr>
        <w:t>- по земельному налогу, уплачиваемому физическими лицами, невыполнение на 628,66 тыс.руб. или на 9,8%.</w:t>
      </w:r>
    </w:p>
    <w:p>
      <w:pPr>
        <w:ind w:firstLine="709"/>
        <w:jc w:val="both"/>
        <w:rPr>
          <w:sz w:val="24"/>
          <w:szCs w:val="24"/>
          <w:u w:val="single"/>
        </w:rPr>
      </w:pPr>
      <w:r>
        <w:rPr>
          <w:sz w:val="24"/>
          <w:szCs w:val="24"/>
        </w:rPr>
        <w:t>Исчисление налога осуществлено по ставкам, утвержденным решением Думы ЗАТО Северск от 07.11.2014 № 57/4 «О земельном налоге на территории ЗАТО Северск».</w:t>
      </w:r>
    </w:p>
    <w:p>
      <w:pPr>
        <w:shd w:val="clear" w:color="auto" w:fill="FFFFFF"/>
        <w:ind w:firstLine="709"/>
        <w:jc w:val="both"/>
        <w:rPr>
          <w:rFonts w:cs="Times New Roman CYR"/>
          <w:sz w:val="24"/>
          <w:szCs w:val="24"/>
        </w:rPr>
      </w:pPr>
      <w:r>
        <w:rPr>
          <w:sz w:val="24"/>
          <w:szCs w:val="24"/>
        </w:rPr>
        <w:t xml:space="preserve">По сравнению с 2020 годом рост поступлений по статье на 786,67 тыс.руб. </w:t>
      </w:r>
    </w:p>
    <w:p>
      <w:pPr>
        <w:ind w:right="45" w:firstLine="709"/>
        <w:jc w:val="both"/>
        <w:rPr>
          <w:sz w:val="24"/>
          <w:szCs w:val="24"/>
        </w:rPr>
      </w:pPr>
      <w:r>
        <w:rPr>
          <w:sz w:val="24"/>
          <w:szCs w:val="24"/>
        </w:rPr>
        <w:t>Задолженность налогоплательщиков по земельному налогу в 2021 году уменьшилась на 37,6 тыс.руб.</w:t>
      </w:r>
    </w:p>
    <w:p>
      <w:pPr>
        <w:spacing w:before="120" w:after="60"/>
        <w:ind w:right="45" w:firstLine="720"/>
        <w:jc w:val="both"/>
        <w:rPr>
          <w:sz w:val="24"/>
          <w:szCs w:val="24"/>
        </w:rPr>
      </w:pPr>
      <w:r>
        <w:rPr>
          <w:sz w:val="24"/>
          <w:szCs w:val="24"/>
        </w:rPr>
        <w:t>Таблица 21. Анализ задолженности по земельному налогу за 2020 - 2021 гг.</w:t>
      </w:r>
    </w:p>
    <w:tbl>
      <w:tblPr>
        <w:tblW w:w="9368" w:type="dxa"/>
        <w:tblInd w:w="96" w:type="dxa"/>
        <w:tblLayout w:type="fixed"/>
        <w:tblLook w:val="0000" w:firstRow="0" w:lastRow="0" w:firstColumn="0" w:lastColumn="0" w:noHBand="0" w:noVBand="0"/>
      </w:tblPr>
      <w:tblGrid>
        <w:gridCol w:w="3981"/>
        <w:gridCol w:w="1418"/>
        <w:gridCol w:w="1417"/>
        <w:gridCol w:w="1418"/>
        <w:gridCol w:w="1134"/>
      </w:tblGrid>
      <w:tr>
        <w:trPr>
          <w:cantSplit/>
          <w:trHeight w:val="324"/>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835"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552"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rPr>
            </w:pPr>
            <w:r>
              <w:rPr>
                <w:color w:val="000000"/>
              </w:rPr>
              <w:t>Отклонение</w:t>
            </w:r>
          </w:p>
        </w:tc>
      </w:tr>
      <w:tr>
        <w:trPr>
          <w:cantSplit/>
          <w:trHeight w:val="226"/>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418" w:type="dxa"/>
            <w:tcBorders>
              <w:top w:val="single" w:sz="4" w:space="0" w:color="auto"/>
              <w:left w:val="nil"/>
              <w:bottom w:val="single" w:sz="4" w:space="0" w:color="auto"/>
              <w:right w:val="single" w:sz="4" w:space="0" w:color="auto"/>
            </w:tcBorders>
            <w:vAlign w:val="center"/>
          </w:tcPr>
          <w:p>
            <w:pPr>
              <w:ind w:left="-57" w:right="-57"/>
              <w:jc w:val="center"/>
            </w:pPr>
            <w:r>
              <w:t>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на 01.01.2022</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40"/>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Земельный налог</w:t>
            </w:r>
          </w:p>
        </w:tc>
        <w:tc>
          <w:tcPr>
            <w:tcW w:w="1418" w:type="dxa"/>
            <w:tcBorders>
              <w:top w:val="single" w:sz="4" w:space="0" w:color="auto"/>
              <w:left w:val="nil"/>
              <w:bottom w:val="single" w:sz="4" w:space="0" w:color="auto"/>
              <w:right w:val="single" w:sz="4" w:space="0" w:color="auto"/>
            </w:tcBorders>
            <w:vAlign w:val="center"/>
          </w:tcPr>
          <w:p>
            <w:pPr>
              <w:ind w:left="-57"/>
              <w:jc w:val="right"/>
            </w:pPr>
            <w:r>
              <w:t>1 732,9</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jc w:val="right"/>
            </w:pPr>
            <w:r>
              <w:t>1 695,3</w:t>
            </w:r>
          </w:p>
        </w:tc>
        <w:tc>
          <w:tcPr>
            <w:tcW w:w="1418" w:type="dxa"/>
            <w:tcBorders>
              <w:top w:val="single" w:sz="4" w:space="0" w:color="auto"/>
              <w:left w:val="nil"/>
              <w:bottom w:val="single" w:sz="4" w:space="0" w:color="auto"/>
              <w:right w:val="single" w:sz="4" w:space="0" w:color="auto"/>
            </w:tcBorders>
            <w:shd w:val="clear" w:color="auto" w:fill="auto"/>
            <w:vAlign w:val="center"/>
          </w:tcPr>
          <w:p>
            <w:pPr>
              <w:ind w:left="-57"/>
              <w:jc w:val="right"/>
            </w:pPr>
            <w:r>
              <w:t>-37,6</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jc w:val="center"/>
            </w:pPr>
            <w:r>
              <w:t>97,8</w:t>
            </w:r>
          </w:p>
        </w:tc>
      </w:tr>
    </w:tbl>
    <w:p>
      <w:pPr>
        <w:spacing w:before="120"/>
        <w:ind w:firstLine="709"/>
        <w:jc w:val="both"/>
        <w:rPr>
          <w:rFonts w:ascii="Times New Roman CYR" w:hAnsi="Times New Roman CYR" w:cs="Times New Roman CYR"/>
          <w:sz w:val="24"/>
          <w:szCs w:val="24"/>
        </w:rPr>
      </w:pPr>
      <w:r>
        <w:rPr>
          <w:rFonts w:ascii="Times New Roman CYR" w:hAnsi="Times New Roman CYR"/>
          <w:sz w:val="24"/>
          <w:szCs w:val="24"/>
        </w:rPr>
        <w:t xml:space="preserve">В соответствии с </w:t>
      </w:r>
      <w:r>
        <w:rPr>
          <w:sz w:val="24"/>
          <w:szCs w:val="24"/>
        </w:rPr>
        <w:t xml:space="preserve">решением Думы ЗАТО Северск от 07.11.2014 № 57/4 «О земельном налоге на территории ЗАТО Северск» для отдельных категорий граждан ЗАТО Северск предоставляются льготы </w:t>
      </w:r>
      <w:r>
        <w:rPr>
          <w:rFonts w:ascii="Times New Roman CYR" w:hAnsi="Times New Roman CYR"/>
          <w:sz w:val="24"/>
          <w:szCs w:val="24"/>
        </w:rPr>
        <w:t>в виде полного освобождения от уплаты земельного налога (инвалиды, чернобыльцы, ветераны и инвалиды Великой Отечественной войны</w:t>
      </w:r>
      <w:r>
        <w:rPr>
          <w:rFonts w:ascii="Times New Roman CYR" w:hAnsi="Times New Roman CYR" w:cs="Times New Roman CYR"/>
          <w:sz w:val="24"/>
          <w:szCs w:val="24"/>
        </w:rPr>
        <w:t xml:space="preserve"> и другие социальные категории граждан). </w:t>
      </w:r>
    </w:p>
    <w:p>
      <w:pPr>
        <w:ind w:firstLine="709"/>
        <w:jc w:val="both"/>
        <w:rPr>
          <w:sz w:val="24"/>
          <w:szCs w:val="24"/>
        </w:rPr>
      </w:pPr>
      <w:r>
        <w:rPr>
          <w:rFonts w:ascii="Times New Roman CYR" w:hAnsi="Times New Roman CYR" w:cs="Times New Roman CYR"/>
          <w:sz w:val="24"/>
          <w:szCs w:val="24"/>
        </w:rPr>
        <w:t>В 2021 году в соответствии с п</w:t>
      </w:r>
      <w:r>
        <w:rPr>
          <w:sz w:val="24"/>
          <w:szCs w:val="24"/>
        </w:rPr>
        <w:t>остановлением Администрации ЗАТО Северск от 02.03.2020 № 363 «Об утверждении Порядка формирования перечня налоговых расходов ЗАТО Северск и оценки налоговых расходов ЗАТО Северск» проведена оценка эффективности налоговых расходов (льгот) за 2020 год. Налоговые расходы по земельному налогу, установленные решением Думы ЗАТО Северск от 07.11.2014 № 57/4, за 2020 год составили 263,0 тыс.руб. и по результатам проведения оценки признаны эффективными.</w:t>
      </w:r>
    </w:p>
    <w:p>
      <w:pPr>
        <w:shd w:val="clear" w:color="auto" w:fill="FFFFFF"/>
        <w:ind w:firstLine="709"/>
        <w:jc w:val="center"/>
        <w:rPr>
          <w:b/>
          <w:sz w:val="24"/>
          <w:szCs w:val="24"/>
        </w:rPr>
      </w:pPr>
    </w:p>
    <w:p>
      <w:pPr>
        <w:shd w:val="clear" w:color="auto" w:fill="FFFFFF"/>
        <w:spacing w:after="120"/>
        <w:jc w:val="center"/>
        <w:rPr>
          <w:b/>
          <w:sz w:val="24"/>
          <w:szCs w:val="24"/>
        </w:rPr>
      </w:pPr>
      <w:r>
        <w:rPr>
          <w:b/>
          <w:sz w:val="24"/>
          <w:szCs w:val="24"/>
        </w:rPr>
        <w:t>3.1.9. Налог на добычу полезных ископаемых</w:t>
      </w:r>
    </w:p>
    <w:p>
      <w:pPr>
        <w:shd w:val="clear" w:color="auto" w:fill="FFFFFF"/>
        <w:ind w:firstLine="709"/>
        <w:jc w:val="both"/>
        <w:rPr>
          <w:sz w:val="24"/>
          <w:szCs w:val="24"/>
        </w:rPr>
      </w:pPr>
      <w:r>
        <w:rPr>
          <w:sz w:val="24"/>
          <w:szCs w:val="24"/>
        </w:rPr>
        <w:t>Прогноз поступлений по статье «Налог на добычу полезных ископаемых» (НДПИ) составлял 1 869,66 тыс.руб., фактическое исполнение – 1 869,65 тыс.руб. (100% к годовому прогнозу).</w:t>
      </w:r>
    </w:p>
    <w:p>
      <w:pPr>
        <w:shd w:val="clear" w:color="auto" w:fill="FFFFFF"/>
        <w:ind w:firstLine="709"/>
        <w:jc w:val="both"/>
        <w:rPr>
          <w:sz w:val="24"/>
          <w:szCs w:val="24"/>
        </w:rPr>
      </w:pPr>
    </w:p>
    <w:p>
      <w:pPr>
        <w:shd w:val="clear" w:color="auto" w:fill="FFFFFF"/>
        <w:ind w:firstLine="709"/>
        <w:jc w:val="both"/>
        <w:rPr>
          <w:sz w:val="24"/>
          <w:szCs w:val="24"/>
        </w:rPr>
      </w:pPr>
    </w:p>
    <w:p>
      <w:pPr>
        <w:spacing w:before="120" w:after="60"/>
        <w:ind w:right="45" w:firstLine="720"/>
        <w:jc w:val="both"/>
        <w:rPr>
          <w:sz w:val="24"/>
          <w:szCs w:val="24"/>
        </w:rPr>
      </w:pPr>
      <w:r>
        <w:rPr>
          <w:sz w:val="24"/>
          <w:szCs w:val="24"/>
        </w:rPr>
        <w:lastRenderedPageBreak/>
        <w:t>Таблица 22. Анализ поступления НДПИ за 2020 - 2021 гг.</w:t>
      </w:r>
    </w:p>
    <w:tbl>
      <w:tblPr>
        <w:tblW w:w="9368" w:type="dxa"/>
        <w:tblInd w:w="96" w:type="dxa"/>
        <w:tblLayout w:type="fixed"/>
        <w:tblLook w:val="0000" w:firstRow="0" w:lastRow="0" w:firstColumn="0" w:lastColumn="0" w:noHBand="0" w:noVBand="0"/>
      </w:tblPr>
      <w:tblGrid>
        <w:gridCol w:w="2564"/>
        <w:gridCol w:w="1134"/>
        <w:gridCol w:w="1134"/>
        <w:gridCol w:w="1276"/>
        <w:gridCol w:w="1134"/>
        <w:gridCol w:w="1275"/>
        <w:gridCol w:w="851"/>
      </w:tblGrid>
      <w:tr>
        <w:trPr>
          <w:cantSplit/>
          <w:trHeight w:val="185"/>
        </w:trPr>
        <w:tc>
          <w:tcPr>
            <w:tcW w:w="2564"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56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r>
      <w:tr>
        <w:trPr>
          <w:cantSplit/>
          <w:trHeight w:val="766"/>
        </w:trPr>
        <w:tc>
          <w:tcPr>
            <w:tcW w:w="2564"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57" w:right="-5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851" w:type="dxa"/>
            <w:tcBorders>
              <w:top w:val="single" w:sz="4" w:space="0" w:color="auto"/>
              <w:left w:val="nil"/>
              <w:bottom w:val="single" w:sz="4" w:space="0" w:color="auto"/>
              <w:right w:val="single" w:sz="4" w:space="0" w:color="auto"/>
            </w:tcBorders>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182"/>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jc w:val="center"/>
              <w:rPr>
                <w:bCs/>
                <w:sz w:val="16"/>
                <w:szCs w:val="16"/>
              </w:rPr>
            </w:pPr>
            <w:r>
              <w:rPr>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851" w:type="dxa"/>
            <w:tcBorders>
              <w:top w:val="single" w:sz="4" w:space="0" w:color="auto"/>
              <w:left w:val="nil"/>
              <w:bottom w:val="single" w:sz="4" w:space="0" w:color="auto"/>
              <w:right w:val="single" w:sz="4" w:space="0" w:color="auto"/>
            </w:tcBorders>
            <w:vAlign w:val="center"/>
          </w:tcPr>
          <w:p>
            <w:pPr>
              <w:ind w:right="-108"/>
              <w:jc w:val="center"/>
              <w:rPr>
                <w:sz w:val="16"/>
                <w:szCs w:val="16"/>
              </w:rPr>
            </w:pPr>
            <w:r>
              <w:rPr>
                <w:sz w:val="16"/>
                <w:szCs w:val="16"/>
              </w:rPr>
              <w:t>7=5/4</w:t>
            </w:r>
          </w:p>
        </w:tc>
      </w:tr>
      <w:tr>
        <w:trPr>
          <w:cantSplit/>
          <w:trHeight w:val="421"/>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pPr>
            <w:r>
              <w:t>НДПИ</w:t>
            </w:r>
          </w:p>
        </w:tc>
        <w:tc>
          <w:tcPr>
            <w:tcW w:w="1134" w:type="dxa"/>
            <w:tcBorders>
              <w:top w:val="single" w:sz="4" w:space="0" w:color="auto"/>
              <w:left w:val="nil"/>
              <w:bottom w:val="single" w:sz="4" w:space="0" w:color="auto"/>
              <w:right w:val="single" w:sz="4" w:space="0" w:color="auto"/>
            </w:tcBorders>
            <w:vAlign w:val="center"/>
          </w:tcPr>
          <w:p>
            <w:pPr>
              <w:jc w:val="right"/>
            </w:pPr>
            <w: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0,00</w:t>
            </w:r>
          </w:p>
        </w:tc>
        <w:tc>
          <w:tcPr>
            <w:tcW w:w="1276" w:type="dxa"/>
            <w:tcBorders>
              <w:top w:val="single" w:sz="4" w:space="0" w:color="auto"/>
              <w:left w:val="nil"/>
              <w:bottom w:val="single" w:sz="4" w:space="0" w:color="auto"/>
              <w:right w:val="single" w:sz="4" w:space="0" w:color="auto"/>
            </w:tcBorders>
            <w:shd w:val="clear" w:color="auto" w:fill="auto"/>
            <w:vAlign w:val="center"/>
          </w:tcPr>
          <w:p>
            <w:pPr>
              <w:jc w:val="right"/>
            </w:pPr>
            <w:r>
              <w:t>1 869,66</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1 869,65</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-0,01</w:t>
            </w:r>
          </w:p>
        </w:tc>
        <w:tc>
          <w:tcPr>
            <w:tcW w:w="851"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100,0</w:t>
            </w:r>
          </w:p>
        </w:tc>
      </w:tr>
    </w:tbl>
    <w:p>
      <w:pPr>
        <w:shd w:val="clear" w:color="auto" w:fill="FFFFFF"/>
        <w:spacing w:before="120"/>
        <w:ind w:firstLine="709"/>
        <w:jc w:val="both"/>
        <w:rPr>
          <w:sz w:val="24"/>
          <w:szCs w:val="24"/>
        </w:rPr>
      </w:pPr>
      <w:r>
        <w:rPr>
          <w:sz w:val="24"/>
          <w:szCs w:val="24"/>
        </w:rPr>
        <w:t xml:space="preserve">Удельный вес статьи в общей структуре фактически поступивших доходов составляет 0,04%, налоговых и неналоговых доходах - 0,2%. </w:t>
      </w:r>
    </w:p>
    <w:p>
      <w:pPr>
        <w:ind w:firstLine="720"/>
        <w:jc w:val="both"/>
        <w:rPr>
          <w:sz w:val="24"/>
          <w:szCs w:val="24"/>
        </w:rPr>
      </w:pPr>
      <w:r>
        <w:rPr>
          <w:sz w:val="24"/>
          <w:szCs w:val="24"/>
        </w:rPr>
        <w:t>Налог зачислялся в бюджет ЗАТО Северск по единому нормативу 100% в соответствии Законом Томской области от 14.11.2012 № 208-ОЗ «Об установлении единых нормативов отчислений в бюджеты муниципальных районов и городских округов Томской области от отдельных федеральных налогов».</w:t>
      </w:r>
    </w:p>
    <w:p>
      <w:pPr>
        <w:ind w:firstLine="709"/>
        <w:jc w:val="both"/>
        <w:rPr>
          <w:sz w:val="24"/>
          <w:szCs w:val="24"/>
        </w:rPr>
      </w:pPr>
      <w:r>
        <w:rPr>
          <w:sz w:val="24"/>
          <w:szCs w:val="24"/>
        </w:rPr>
        <w:t>Главный администратор доходов по НДПИ – ИФНС России по ЗАТО Северск Томской области.</w:t>
      </w:r>
    </w:p>
    <w:p>
      <w:pPr>
        <w:shd w:val="clear" w:color="auto" w:fill="FFFFFF"/>
        <w:ind w:firstLine="709"/>
        <w:jc w:val="both"/>
        <w:rPr>
          <w:sz w:val="24"/>
          <w:szCs w:val="24"/>
        </w:rPr>
      </w:pPr>
      <w:r>
        <w:rPr>
          <w:sz w:val="24"/>
          <w:szCs w:val="24"/>
        </w:rPr>
        <w:t>По сравнению с 2020 годом рост поступлений по статье на 1 869,65 тыс.руб. (в 2020 году данный налог в бюджет ЗАТО Северск не поступал; добыча полезных ископаемых не производилась).</w:t>
      </w:r>
    </w:p>
    <w:p>
      <w:pPr>
        <w:ind w:right="45" w:firstLine="720"/>
        <w:jc w:val="both"/>
        <w:rPr>
          <w:sz w:val="24"/>
          <w:szCs w:val="24"/>
        </w:rPr>
      </w:pPr>
      <w:r>
        <w:rPr>
          <w:sz w:val="24"/>
          <w:szCs w:val="24"/>
        </w:rPr>
        <w:t>Задолженность налогоплательщиков по НДПИ отсутствует.</w:t>
      </w:r>
    </w:p>
    <w:p>
      <w:pPr>
        <w:shd w:val="clear" w:color="auto" w:fill="FFFFFF"/>
        <w:ind w:firstLine="709"/>
        <w:jc w:val="both"/>
        <w:rPr>
          <w:sz w:val="24"/>
          <w:szCs w:val="24"/>
        </w:rPr>
      </w:pPr>
    </w:p>
    <w:p>
      <w:pPr>
        <w:shd w:val="clear" w:color="auto" w:fill="FFFFFF"/>
        <w:spacing w:after="120"/>
        <w:jc w:val="center"/>
        <w:rPr>
          <w:b/>
          <w:sz w:val="24"/>
          <w:szCs w:val="24"/>
        </w:rPr>
      </w:pPr>
      <w:r>
        <w:rPr>
          <w:b/>
          <w:sz w:val="24"/>
          <w:szCs w:val="24"/>
        </w:rPr>
        <w:t>3.1.10. Государственная пошлина</w:t>
      </w:r>
    </w:p>
    <w:p>
      <w:pPr>
        <w:ind w:firstLine="720"/>
        <w:jc w:val="both"/>
        <w:rPr>
          <w:sz w:val="24"/>
          <w:szCs w:val="24"/>
        </w:rPr>
      </w:pPr>
      <w:r>
        <w:rPr>
          <w:sz w:val="24"/>
          <w:szCs w:val="24"/>
        </w:rPr>
        <w:t>Прогноз поступлений по статье «Государственная пошлина» составлял 14 759,40 тыс.руб., фактическое исполнение – 14 673,73 тыс.руб., невыполнение на 85,67 тыс.руб. или на 0,6%.</w:t>
      </w:r>
    </w:p>
    <w:p>
      <w:pPr>
        <w:spacing w:before="120" w:after="60"/>
        <w:ind w:right="45" w:firstLine="720"/>
        <w:jc w:val="both"/>
        <w:rPr>
          <w:sz w:val="24"/>
          <w:szCs w:val="24"/>
        </w:rPr>
      </w:pPr>
      <w:r>
        <w:rPr>
          <w:sz w:val="24"/>
          <w:szCs w:val="24"/>
        </w:rPr>
        <w:t>Таблица 23. Анализ поступления государственной пошлины за 2020 - 2021 гг.</w:t>
      </w:r>
    </w:p>
    <w:tbl>
      <w:tblPr>
        <w:tblW w:w="9509" w:type="dxa"/>
        <w:tblInd w:w="96" w:type="dxa"/>
        <w:tblLayout w:type="fixed"/>
        <w:tblLook w:val="0000" w:firstRow="0" w:lastRow="0" w:firstColumn="0" w:lastColumn="0" w:noHBand="0" w:noVBand="0"/>
      </w:tblPr>
      <w:tblGrid>
        <w:gridCol w:w="2564"/>
        <w:gridCol w:w="1134"/>
        <w:gridCol w:w="1276"/>
        <w:gridCol w:w="1275"/>
        <w:gridCol w:w="1134"/>
        <w:gridCol w:w="1134"/>
        <w:gridCol w:w="992"/>
      </w:tblGrid>
      <w:tr>
        <w:trPr>
          <w:cantSplit/>
          <w:trHeight w:val="324"/>
        </w:trPr>
        <w:tc>
          <w:tcPr>
            <w:tcW w:w="2564"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shd w:val="clear" w:color="auto" w:fill="auto"/>
            <w:vAlign w:val="center"/>
          </w:tcPr>
          <w:p>
            <w:pPr>
              <w:ind w:left="-57" w:right="-57"/>
              <w:jc w:val="center"/>
              <w:rPr>
                <w:bCs/>
              </w:rPr>
            </w:pPr>
            <w:r>
              <w:rPr>
                <w:bCs/>
              </w:rPr>
              <w:t xml:space="preserve">Факт </w:t>
            </w:r>
          </w:p>
          <w:p>
            <w:pPr>
              <w:ind w:left="-57" w:right="-57"/>
              <w:jc w:val="center"/>
              <w:rPr>
                <w:bCs/>
              </w:rPr>
            </w:pPr>
            <w:r>
              <w:rPr>
                <w:bCs/>
              </w:rPr>
              <w:t>2020 год, тыс.руб.</w:t>
            </w:r>
          </w:p>
        </w:tc>
        <w:tc>
          <w:tcPr>
            <w:tcW w:w="581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2021 год</w:t>
            </w:r>
          </w:p>
        </w:tc>
      </w:tr>
      <w:tr>
        <w:trPr>
          <w:cantSplit/>
          <w:trHeight w:val="766"/>
        </w:trPr>
        <w:tc>
          <w:tcPr>
            <w:tcW w:w="2564"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shd w:val="clear" w:color="auto" w:fill="auto"/>
            <w:vAlign w:val="center"/>
          </w:tcPr>
          <w:p>
            <w:pPr>
              <w:ind w:left="-57" w:right="-57"/>
              <w:jc w:val="center"/>
            </w:pPr>
          </w:p>
        </w:tc>
        <w:tc>
          <w:tcPr>
            <w:tcW w:w="1276" w:type="dxa"/>
            <w:tcBorders>
              <w:top w:val="single" w:sz="4" w:space="0" w:color="auto"/>
              <w:left w:val="single" w:sz="4" w:space="0" w:color="auto"/>
              <w:bottom w:val="single" w:sz="4" w:space="0" w:color="auto"/>
              <w:right w:val="single" w:sz="4" w:space="0" w:color="auto"/>
            </w:tcBorders>
            <w:shd w:val="clear" w:color="auto" w:fill="auto"/>
          </w:tcPr>
          <w:p>
            <w:pPr>
              <w:ind w:left="-158" w:right="-108"/>
              <w:jc w:val="center"/>
            </w:pPr>
            <w:r>
              <w:t>Первона-чальный прогноз, 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left="-158" w:right="-108"/>
              <w:jc w:val="center"/>
            </w:pPr>
            <w:r>
              <w:t>Уточненный прогноз,</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08" w:right="-108"/>
              <w:jc w:val="center"/>
            </w:pPr>
            <w:r>
              <w:t xml:space="preserve">Факт, </w:t>
            </w:r>
            <w:r>
              <w:br/>
              <w:t>тыс.руб.</w:t>
            </w:r>
          </w:p>
        </w:tc>
        <w:tc>
          <w:tcPr>
            <w:tcW w:w="1134" w:type="dxa"/>
            <w:tcBorders>
              <w:top w:val="single" w:sz="4" w:space="0" w:color="auto"/>
              <w:left w:val="nil"/>
              <w:bottom w:val="single" w:sz="4" w:space="0" w:color="auto"/>
              <w:right w:val="single" w:sz="4" w:space="0" w:color="auto"/>
            </w:tcBorders>
            <w:shd w:val="clear" w:color="auto" w:fill="auto"/>
            <w:vAlign w:val="center"/>
          </w:tcPr>
          <w:p>
            <w:pPr>
              <w:tabs>
                <w:tab w:val="left" w:pos="-108"/>
                <w:tab w:val="left" w:pos="-77"/>
              </w:tabs>
              <w:ind w:left="-108" w:right="-108"/>
              <w:jc w:val="center"/>
            </w:pPr>
            <w:r>
              <w:t>Отклонение</w:t>
            </w:r>
          </w:p>
          <w:p>
            <w:pPr>
              <w:tabs>
                <w:tab w:val="left" w:pos="-108"/>
                <w:tab w:val="left" w:pos="-77"/>
              </w:tabs>
              <w:ind w:left="-108" w:right="-108"/>
              <w:jc w:val="center"/>
            </w:pPr>
            <w:r>
              <w:t>тыс.руб.</w:t>
            </w:r>
          </w:p>
        </w:tc>
        <w:tc>
          <w:tcPr>
            <w:tcW w:w="992" w:type="dxa"/>
            <w:tcBorders>
              <w:top w:val="single" w:sz="4" w:space="0" w:color="auto"/>
              <w:left w:val="nil"/>
              <w:bottom w:val="single" w:sz="4" w:space="0" w:color="auto"/>
              <w:right w:val="single" w:sz="4" w:space="0" w:color="auto"/>
            </w:tcBorders>
            <w:shd w:val="clear" w:color="auto" w:fill="auto"/>
            <w:vAlign w:val="center"/>
          </w:tcPr>
          <w:p>
            <w:pPr>
              <w:tabs>
                <w:tab w:val="left" w:pos="-192"/>
                <w:tab w:val="left" w:pos="-77"/>
              </w:tabs>
              <w:ind w:left="-108" w:right="-108"/>
              <w:jc w:val="center"/>
            </w:pPr>
            <w:r>
              <w:t>%</w:t>
            </w:r>
          </w:p>
          <w:p>
            <w:pPr>
              <w:tabs>
                <w:tab w:val="left" w:pos="-192"/>
                <w:tab w:val="left" w:pos="0"/>
              </w:tabs>
              <w:ind w:left="-108" w:right="-108"/>
              <w:jc w:val="center"/>
            </w:pPr>
            <w:r>
              <w:t>испол-нения</w:t>
            </w:r>
          </w:p>
        </w:tc>
      </w:tr>
      <w:tr>
        <w:trPr>
          <w:cantSplit/>
          <w:trHeight w:val="89"/>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rPr>
                <w:bCs/>
                <w:sz w:val="16"/>
                <w:szCs w:val="16"/>
              </w:rPr>
            </w:pPr>
            <w:r>
              <w:rPr>
                <w:bCs/>
                <w:sz w:val="16"/>
                <w:szCs w:val="16"/>
              </w:rPr>
              <w:t>3</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4</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center"/>
              <w:rPr>
                <w:bCs/>
                <w:sz w:val="16"/>
                <w:szCs w:val="16"/>
              </w:rPr>
            </w:pPr>
            <w:r>
              <w:rPr>
                <w:bCs/>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76" w:right="-148"/>
              <w:jc w:val="center"/>
              <w:rPr>
                <w:sz w:val="16"/>
                <w:szCs w:val="16"/>
              </w:rPr>
            </w:pPr>
            <w:r>
              <w:rPr>
                <w:sz w:val="16"/>
                <w:szCs w:val="16"/>
              </w:rPr>
              <w:t>6=5-4</w:t>
            </w:r>
          </w:p>
        </w:tc>
        <w:tc>
          <w:tcPr>
            <w:tcW w:w="992" w:type="dxa"/>
            <w:tcBorders>
              <w:top w:val="single" w:sz="4" w:space="0" w:color="auto"/>
              <w:left w:val="nil"/>
              <w:bottom w:val="single" w:sz="4" w:space="0" w:color="auto"/>
              <w:right w:val="single" w:sz="4" w:space="0" w:color="auto"/>
            </w:tcBorders>
            <w:shd w:val="clear" w:color="auto" w:fill="auto"/>
            <w:vAlign w:val="center"/>
          </w:tcPr>
          <w:p>
            <w:pPr>
              <w:ind w:right="-108"/>
              <w:jc w:val="center"/>
              <w:rPr>
                <w:sz w:val="16"/>
                <w:szCs w:val="16"/>
              </w:rPr>
            </w:pPr>
            <w:r>
              <w:rPr>
                <w:sz w:val="16"/>
                <w:szCs w:val="16"/>
              </w:rPr>
              <w:t>7=5/4</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pPr>
            <w:r>
              <w:t>Государственная пошлина,</w:t>
            </w:r>
          </w:p>
          <w:p>
            <w:pPr>
              <w:ind w:left="-57" w:right="-57"/>
            </w:pPr>
            <w:r>
              <w:t>в том числе:</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13 866,14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14 007,40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14 759,40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14 673,73</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-85,67</w:t>
            </w:r>
          </w:p>
        </w:tc>
        <w:tc>
          <w:tcPr>
            <w:tcW w:w="992" w:type="dxa"/>
            <w:tcBorders>
              <w:top w:val="single" w:sz="4" w:space="0" w:color="auto"/>
              <w:left w:val="nil"/>
              <w:bottom w:val="single" w:sz="4" w:space="0" w:color="auto"/>
              <w:right w:val="single" w:sz="4" w:space="0" w:color="auto"/>
            </w:tcBorders>
            <w:vAlign w:val="center"/>
          </w:tcPr>
          <w:p>
            <w:pPr>
              <w:jc w:val="right"/>
            </w:pPr>
            <w:r>
              <w:t>99,4</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tcPr>
          <w:p>
            <w:r>
              <w:t>Госпошлина по делам, рассматриваемым в судах общей юрисдикции, мировыми судьями…</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13 660,34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13 867,00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14 505,00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14 382,53</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-122,47</w:t>
            </w:r>
          </w:p>
        </w:tc>
        <w:tc>
          <w:tcPr>
            <w:tcW w:w="992" w:type="dxa"/>
            <w:tcBorders>
              <w:top w:val="single" w:sz="4" w:space="0" w:color="auto"/>
              <w:left w:val="nil"/>
              <w:bottom w:val="single" w:sz="4" w:space="0" w:color="auto"/>
              <w:right w:val="single" w:sz="4" w:space="0" w:color="auto"/>
            </w:tcBorders>
            <w:vAlign w:val="center"/>
          </w:tcPr>
          <w:p>
            <w:pPr>
              <w:jc w:val="right"/>
            </w:pPr>
            <w:r>
              <w:t>99,2</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tcPr>
          <w:p>
            <w:r>
              <w:t xml:space="preserve">Госпошлина за выдачу разрешения на установку рекламной конструкции </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65,00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30,00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120,00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120,00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w:t>
            </w:r>
          </w:p>
        </w:tc>
        <w:tc>
          <w:tcPr>
            <w:tcW w:w="992" w:type="dxa"/>
            <w:tcBorders>
              <w:top w:val="single" w:sz="4" w:space="0" w:color="auto"/>
              <w:left w:val="nil"/>
              <w:bottom w:val="single" w:sz="4" w:space="0" w:color="auto"/>
              <w:right w:val="single" w:sz="4" w:space="0" w:color="auto"/>
            </w:tcBorders>
            <w:vAlign w:val="center"/>
          </w:tcPr>
          <w:p>
            <w:pPr>
              <w:jc w:val="right"/>
            </w:pPr>
            <w:r>
              <w:t>100,0</w:t>
            </w:r>
          </w:p>
        </w:tc>
      </w:tr>
      <w:tr>
        <w:trPr>
          <w:cantSplit/>
          <w:trHeight w:val="415"/>
        </w:trPr>
        <w:tc>
          <w:tcPr>
            <w:tcW w:w="2564" w:type="dxa"/>
            <w:tcBorders>
              <w:top w:val="single" w:sz="4" w:space="0" w:color="auto"/>
              <w:left w:val="single" w:sz="4" w:space="0" w:color="auto"/>
              <w:bottom w:val="single" w:sz="4" w:space="0" w:color="auto"/>
              <w:right w:val="single" w:sz="4" w:space="0" w:color="auto"/>
            </w:tcBorders>
            <w:shd w:val="clear" w:color="auto" w:fill="auto"/>
          </w:tcPr>
          <w:p>
            <w:r>
              <w:t>Госпошлина за выдачу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140,80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110,40</w:t>
            </w:r>
          </w:p>
        </w:tc>
        <w:tc>
          <w:tcPr>
            <w:tcW w:w="1275" w:type="dxa"/>
            <w:tcBorders>
              <w:top w:val="single" w:sz="4" w:space="0" w:color="auto"/>
              <w:left w:val="nil"/>
              <w:bottom w:val="single" w:sz="4" w:space="0" w:color="auto"/>
              <w:right w:val="single" w:sz="4" w:space="0" w:color="auto"/>
            </w:tcBorders>
            <w:shd w:val="clear" w:color="auto" w:fill="auto"/>
            <w:vAlign w:val="center"/>
          </w:tcPr>
          <w:p>
            <w:pPr>
              <w:jc w:val="right"/>
            </w:pPr>
            <w:r>
              <w:t>134,40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171,20</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36,80</w:t>
            </w:r>
          </w:p>
        </w:tc>
        <w:tc>
          <w:tcPr>
            <w:tcW w:w="992" w:type="dxa"/>
            <w:tcBorders>
              <w:top w:val="single" w:sz="4" w:space="0" w:color="auto"/>
              <w:left w:val="nil"/>
              <w:bottom w:val="single" w:sz="4" w:space="0" w:color="auto"/>
              <w:right w:val="single" w:sz="4" w:space="0" w:color="auto"/>
            </w:tcBorders>
            <w:vAlign w:val="center"/>
          </w:tcPr>
          <w:p>
            <w:pPr>
              <w:jc w:val="right"/>
            </w:pPr>
            <w:r>
              <w:t>127,4</w:t>
            </w:r>
          </w:p>
        </w:tc>
      </w:tr>
    </w:tbl>
    <w:p>
      <w:pPr>
        <w:spacing w:before="120"/>
        <w:ind w:firstLine="720"/>
        <w:jc w:val="both"/>
        <w:rPr>
          <w:sz w:val="24"/>
          <w:szCs w:val="24"/>
        </w:rPr>
      </w:pPr>
      <w:r>
        <w:rPr>
          <w:sz w:val="24"/>
          <w:szCs w:val="24"/>
        </w:rPr>
        <w:t>Удельный вес статьи доходов «Государственная пошлина» в общей структуре фактически поступивших доходов составляет 0,3%, налоговых и неналоговых доходов - 1,2%.</w:t>
      </w:r>
    </w:p>
    <w:p>
      <w:pPr>
        <w:ind w:firstLine="720"/>
        <w:jc w:val="both"/>
        <w:rPr>
          <w:sz w:val="24"/>
          <w:szCs w:val="24"/>
        </w:rPr>
      </w:pPr>
      <w:r>
        <w:rPr>
          <w:sz w:val="24"/>
          <w:szCs w:val="24"/>
        </w:rPr>
        <w:t>Норматив зачисления в бюджет ЗАТО Северск 100%.</w:t>
      </w:r>
    </w:p>
    <w:p>
      <w:pPr>
        <w:ind w:firstLine="720"/>
        <w:jc w:val="both"/>
        <w:rPr>
          <w:sz w:val="24"/>
          <w:szCs w:val="24"/>
        </w:rPr>
      </w:pPr>
      <w:r>
        <w:rPr>
          <w:sz w:val="24"/>
          <w:szCs w:val="24"/>
        </w:rPr>
        <w:lastRenderedPageBreak/>
        <w:t xml:space="preserve">Статью «Государственная пошлина» администрируют 3 главных администратора доходов: </w:t>
      </w:r>
    </w:p>
    <w:p>
      <w:pPr>
        <w:ind w:firstLine="720"/>
        <w:jc w:val="both"/>
        <w:rPr>
          <w:sz w:val="24"/>
          <w:szCs w:val="24"/>
        </w:rPr>
      </w:pPr>
      <w:r>
        <w:rPr>
          <w:sz w:val="24"/>
          <w:szCs w:val="24"/>
        </w:rPr>
        <w:t>- ИФНС России по ЗАТО Северск Томской области - госпошлина по делам рассматриваемым в судах общей юрисдикции, мировыми судьями (за исключением Верховного суда РФ);</w:t>
      </w:r>
    </w:p>
    <w:p>
      <w:pPr>
        <w:ind w:firstLine="720"/>
        <w:jc w:val="both"/>
        <w:rPr>
          <w:sz w:val="24"/>
          <w:szCs w:val="24"/>
        </w:rPr>
      </w:pPr>
      <w:r>
        <w:rPr>
          <w:sz w:val="24"/>
          <w:szCs w:val="24"/>
        </w:rPr>
        <w:t>- УЖКХ ТиС - госпошлина за выдачу органами местного самоуправления специального разрешения на перевозку опасных, тяжеловесных и (или) крупногабаритных грузов;</w:t>
      </w:r>
    </w:p>
    <w:p>
      <w:pPr>
        <w:ind w:firstLine="720"/>
        <w:jc w:val="both"/>
        <w:rPr>
          <w:sz w:val="24"/>
          <w:szCs w:val="24"/>
        </w:rPr>
      </w:pPr>
      <w:r>
        <w:rPr>
          <w:sz w:val="24"/>
          <w:szCs w:val="24"/>
        </w:rPr>
        <w:t xml:space="preserve">- УИО Администрации ЗАТО Северск - госпошлина за выдачу разрешения на установку рекламной конструкции. </w:t>
      </w:r>
    </w:p>
    <w:p>
      <w:pPr>
        <w:ind w:firstLine="720"/>
        <w:jc w:val="both"/>
        <w:rPr>
          <w:sz w:val="24"/>
          <w:szCs w:val="24"/>
        </w:rPr>
      </w:pPr>
      <w:r>
        <w:rPr>
          <w:sz w:val="24"/>
          <w:szCs w:val="24"/>
        </w:rPr>
        <w:t>По сравнению с 2020 годом поступление по статье в целом увеличилось на 807,59 тыс.руб. или на 5,8% в основном за счет увеличения поступлений по статье «Госпошлина по делам, рассматриваемым в судах общей юрисдикции, мировыми судьями (за исключением Верховного суда РФ)».</w:t>
      </w:r>
    </w:p>
    <w:p>
      <w:pPr>
        <w:ind w:firstLine="709"/>
        <w:jc w:val="both"/>
      </w:pPr>
    </w:p>
    <w:p>
      <w:pPr>
        <w:pStyle w:val="a5"/>
        <w:spacing w:after="0"/>
        <w:jc w:val="center"/>
        <w:rPr>
          <w:b/>
          <w:sz w:val="24"/>
          <w:szCs w:val="24"/>
        </w:rPr>
      </w:pPr>
      <w:r>
        <w:rPr>
          <w:b/>
          <w:sz w:val="24"/>
          <w:szCs w:val="24"/>
        </w:rPr>
        <w:t>3.2. НЕНАЛОГОВЫЕ ДОХОДЫ БЮДЖЕТА ЗАТО СЕВЕРСК</w:t>
      </w:r>
    </w:p>
    <w:p>
      <w:pPr>
        <w:pStyle w:val="a5"/>
        <w:spacing w:after="0"/>
        <w:ind w:firstLine="709"/>
        <w:jc w:val="center"/>
        <w:rPr>
          <w:b/>
          <w:sz w:val="16"/>
          <w:szCs w:val="16"/>
        </w:rPr>
      </w:pPr>
    </w:p>
    <w:p>
      <w:pPr>
        <w:spacing w:line="228" w:lineRule="auto"/>
        <w:ind w:firstLine="709"/>
        <w:jc w:val="both"/>
        <w:rPr>
          <w:sz w:val="24"/>
          <w:szCs w:val="24"/>
        </w:rPr>
      </w:pPr>
      <w:r>
        <w:rPr>
          <w:sz w:val="24"/>
          <w:szCs w:val="24"/>
        </w:rPr>
        <w:t>Неналоговые доходы при уточненном прогнозе 168 083,05 тыс.руб. поступили в сумме 178 813,27 тыс.руб. или 106,4%, перевыполнение на 10 730,22 тыс.руб.</w:t>
      </w:r>
    </w:p>
    <w:p>
      <w:pPr>
        <w:spacing w:line="228" w:lineRule="auto"/>
        <w:ind w:firstLine="709"/>
        <w:jc w:val="both"/>
        <w:rPr>
          <w:sz w:val="24"/>
          <w:szCs w:val="24"/>
        </w:rPr>
      </w:pPr>
      <w:r>
        <w:rPr>
          <w:sz w:val="24"/>
          <w:szCs w:val="24"/>
        </w:rPr>
        <w:t>Удельный вес неналоговых доходов в общей структуре доходной части бюджета ЗАТО Северск составляет 3,6%, налоговых и неналоговых доходах – 14,5%.</w:t>
      </w:r>
    </w:p>
    <w:p>
      <w:pPr>
        <w:spacing w:before="120" w:after="60"/>
        <w:ind w:right="45" w:firstLine="720"/>
        <w:jc w:val="both"/>
        <w:rPr>
          <w:sz w:val="24"/>
          <w:szCs w:val="24"/>
        </w:rPr>
      </w:pPr>
      <w:r>
        <w:rPr>
          <w:sz w:val="24"/>
          <w:szCs w:val="24"/>
        </w:rPr>
        <w:t>Таблица 24. Сравнительный анализ поступления неналоговых доходов бюджета ЗАТО Северск за 2020 - 2021 гг.</w:t>
      </w:r>
    </w:p>
    <w:tbl>
      <w:tblPr>
        <w:tblW w:w="9652" w:type="dxa"/>
        <w:tblInd w:w="96" w:type="dxa"/>
        <w:tblLayout w:type="fixed"/>
        <w:tblLook w:val="0000" w:firstRow="0" w:lastRow="0" w:firstColumn="0" w:lastColumn="0" w:noHBand="0" w:noVBand="0"/>
      </w:tblPr>
      <w:tblGrid>
        <w:gridCol w:w="2280"/>
        <w:gridCol w:w="1134"/>
        <w:gridCol w:w="1134"/>
        <w:gridCol w:w="1133"/>
        <w:gridCol w:w="993"/>
        <w:gridCol w:w="993"/>
        <w:gridCol w:w="1134"/>
        <w:gridCol w:w="851"/>
      </w:tblGrid>
      <w:tr>
        <w:trPr>
          <w:cantSplit/>
          <w:trHeight w:val="248"/>
        </w:trPr>
        <w:tc>
          <w:tcPr>
            <w:tcW w:w="2280"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1134" w:type="dxa"/>
            <w:vMerge w:val="restart"/>
            <w:tcBorders>
              <w:top w:val="single" w:sz="4" w:space="0" w:color="auto"/>
              <w:left w:val="nil"/>
              <w:right w:val="single" w:sz="4" w:space="0" w:color="auto"/>
            </w:tcBorders>
            <w:vAlign w:val="center"/>
          </w:tcPr>
          <w:p>
            <w:pPr>
              <w:ind w:left="-108" w:right="-108"/>
              <w:jc w:val="center"/>
              <w:rPr>
                <w:bCs/>
              </w:rPr>
            </w:pPr>
            <w:r>
              <w:rPr>
                <w:bCs/>
              </w:rPr>
              <w:t xml:space="preserve">Факт </w:t>
            </w:r>
          </w:p>
          <w:p>
            <w:pPr>
              <w:ind w:left="-108" w:right="-108"/>
              <w:jc w:val="center"/>
              <w:rPr>
                <w:bCs/>
              </w:rPr>
            </w:pPr>
            <w:r>
              <w:rPr>
                <w:bCs/>
              </w:rPr>
              <w:t>2020 год, тыс.руб.</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pPr>
              <w:ind w:left="-108" w:right="-108"/>
              <w:jc w:val="center"/>
            </w:pPr>
            <w:r>
              <w:t xml:space="preserve">2021 год, </w:t>
            </w:r>
            <w:r>
              <w:rPr>
                <w:bCs/>
              </w:rPr>
              <w:t>тыс.руб.</w:t>
            </w:r>
          </w:p>
        </w:tc>
        <w:tc>
          <w:tcPr>
            <w:tcW w:w="1985" w:type="dxa"/>
            <w:gridSpan w:val="2"/>
            <w:vMerge w:val="restart"/>
            <w:tcBorders>
              <w:top w:val="single" w:sz="4" w:space="0" w:color="auto"/>
              <w:left w:val="nil"/>
              <w:right w:val="single" w:sz="4" w:space="0" w:color="auto"/>
            </w:tcBorders>
            <w:shd w:val="clear" w:color="auto" w:fill="auto"/>
            <w:vAlign w:val="center"/>
          </w:tcPr>
          <w:p>
            <w:pPr>
              <w:ind w:left="-108" w:right="-108"/>
              <w:jc w:val="center"/>
              <w:rPr>
                <w:color w:val="000000"/>
              </w:rPr>
            </w:pPr>
            <w:r>
              <w:rPr>
                <w:color w:val="000000"/>
              </w:rPr>
              <w:t xml:space="preserve">Отклонение </w:t>
            </w:r>
          </w:p>
          <w:p>
            <w:pPr>
              <w:ind w:left="-108" w:right="-108"/>
              <w:jc w:val="center"/>
              <w:rPr>
                <w:color w:val="000000"/>
              </w:rPr>
            </w:pPr>
            <w:r>
              <w:rPr>
                <w:color w:val="000000"/>
                <w:sz w:val="18"/>
                <w:szCs w:val="18"/>
              </w:rPr>
              <w:t>(</w:t>
            </w:r>
            <w:r>
              <w:rPr>
                <w:color w:val="000000"/>
                <w:sz w:val="16"/>
                <w:szCs w:val="16"/>
              </w:rPr>
              <w:t>факт 2021г. – факт 2020г.)</w:t>
            </w:r>
          </w:p>
        </w:tc>
      </w:tr>
      <w:tr>
        <w:trPr>
          <w:cantSplit/>
          <w:trHeight w:val="267"/>
        </w:trPr>
        <w:tc>
          <w:tcPr>
            <w:tcW w:w="2280" w:type="dxa"/>
            <w:vMerge/>
            <w:tcBorders>
              <w:left w:val="single" w:sz="4" w:space="0" w:color="auto"/>
              <w:right w:val="single" w:sz="4" w:space="0" w:color="auto"/>
            </w:tcBorders>
            <w:shd w:val="clear" w:color="auto" w:fill="auto"/>
            <w:vAlign w:val="center"/>
          </w:tcPr>
          <w:p>
            <w:pPr>
              <w:jc w:val="center"/>
            </w:pPr>
          </w:p>
        </w:tc>
        <w:tc>
          <w:tcPr>
            <w:tcW w:w="1134" w:type="dxa"/>
            <w:vMerge/>
            <w:tcBorders>
              <w:left w:val="nil"/>
              <w:right w:val="single" w:sz="4" w:space="0" w:color="auto"/>
            </w:tcBorders>
            <w:vAlign w:val="center"/>
          </w:tcPr>
          <w:p>
            <w:pPr>
              <w:ind w:left="-108" w:right="-108"/>
              <w:jc w:val="center"/>
              <w:rPr>
                <w:bCs/>
              </w:rPr>
            </w:pPr>
          </w:p>
        </w:tc>
        <w:tc>
          <w:tcPr>
            <w:tcW w:w="2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Прогноз</w:t>
            </w:r>
          </w:p>
        </w:tc>
        <w:tc>
          <w:tcPr>
            <w:tcW w:w="993" w:type="dxa"/>
            <w:vMerge w:val="restart"/>
            <w:tcBorders>
              <w:top w:val="single" w:sz="4" w:space="0" w:color="auto"/>
              <w:left w:val="single" w:sz="4" w:space="0" w:color="auto"/>
              <w:right w:val="single" w:sz="4" w:space="0" w:color="auto"/>
            </w:tcBorders>
            <w:shd w:val="clear" w:color="auto" w:fill="auto"/>
            <w:vAlign w:val="center"/>
          </w:tcPr>
          <w:p>
            <w:pPr>
              <w:ind w:left="-57" w:right="-57"/>
              <w:jc w:val="center"/>
            </w:pPr>
            <w:r>
              <w:t xml:space="preserve">Факт </w:t>
            </w:r>
          </w:p>
        </w:tc>
        <w:tc>
          <w:tcPr>
            <w:tcW w:w="993" w:type="dxa"/>
            <w:vMerge w:val="restart"/>
            <w:tcBorders>
              <w:top w:val="single" w:sz="4" w:space="0" w:color="auto"/>
              <w:left w:val="single" w:sz="4" w:space="0" w:color="auto"/>
              <w:right w:val="single" w:sz="4" w:space="0" w:color="auto"/>
            </w:tcBorders>
            <w:shd w:val="clear" w:color="auto" w:fill="auto"/>
            <w:vAlign w:val="center"/>
          </w:tcPr>
          <w:p>
            <w:pPr>
              <w:ind w:left="-108" w:right="-108"/>
              <w:jc w:val="center"/>
            </w:pPr>
            <w:r>
              <w:t xml:space="preserve">Откло- нение </w:t>
            </w:r>
          </w:p>
        </w:tc>
        <w:tc>
          <w:tcPr>
            <w:tcW w:w="1985" w:type="dxa"/>
            <w:gridSpan w:val="2"/>
            <w:vMerge/>
            <w:tcBorders>
              <w:left w:val="nil"/>
              <w:bottom w:val="single" w:sz="4" w:space="0" w:color="auto"/>
              <w:right w:val="single" w:sz="4" w:space="0" w:color="auto"/>
            </w:tcBorders>
            <w:shd w:val="clear" w:color="auto" w:fill="auto"/>
            <w:vAlign w:val="center"/>
          </w:tcPr>
          <w:p>
            <w:pPr>
              <w:ind w:left="-108" w:right="-108"/>
              <w:jc w:val="center"/>
              <w:rPr>
                <w:color w:val="000000"/>
                <w:sz w:val="18"/>
                <w:szCs w:val="18"/>
              </w:rPr>
            </w:pPr>
          </w:p>
        </w:tc>
      </w:tr>
      <w:tr>
        <w:trPr>
          <w:cantSplit/>
          <w:trHeight w:val="999"/>
        </w:trPr>
        <w:tc>
          <w:tcPr>
            <w:tcW w:w="2280"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134" w:type="dxa"/>
            <w:vMerge/>
            <w:tcBorders>
              <w:left w:val="nil"/>
              <w:bottom w:val="single" w:sz="4" w:space="0" w:color="auto"/>
              <w:right w:val="single" w:sz="4" w:space="0" w:color="auto"/>
            </w:tcBorders>
            <w:vAlign w:val="center"/>
          </w:tcPr>
          <w:p>
            <w:pPr>
              <w:ind w:left="-108" w:right="-108"/>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113"/>
              <w:jc w:val="center"/>
            </w:pPr>
            <w:r>
              <w:t xml:space="preserve">Перво-начальный </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113"/>
              <w:jc w:val="center"/>
            </w:pPr>
            <w:r>
              <w:t xml:space="preserve">Уточ- ненный  </w:t>
            </w:r>
          </w:p>
        </w:tc>
        <w:tc>
          <w:tcPr>
            <w:tcW w:w="993" w:type="dxa"/>
            <w:vMerge/>
            <w:tcBorders>
              <w:left w:val="single" w:sz="4" w:space="0" w:color="auto"/>
              <w:bottom w:val="single" w:sz="4" w:space="0" w:color="auto"/>
              <w:right w:val="single" w:sz="4" w:space="0" w:color="auto"/>
            </w:tcBorders>
            <w:shd w:val="clear" w:color="auto" w:fill="auto"/>
            <w:vAlign w:val="center"/>
          </w:tcPr>
          <w:p>
            <w:pPr>
              <w:ind w:left="-57" w:right="-57"/>
              <w:jc w:val="center"/>
            </w:pPr>
          </w:p>
        </w:tc>
        <w:tc>
          <w:tcPr>
            <w:tcW w:w="993" w:type="dxa"/>
            <w:vMerge/>
            <w:tcBorders>
              <w:left w:val="single" w:sz="4" w:space="0" w:color="auto"/>
              <w:bottom w:val="single" w:sz="4" w:space="0" w:color="auto"/>
              <w:right w:val="single" w:sz="4" w:space="0" w:color="auto"/>
            </w:tcBorders>
            <w:shd w:val="clear" w:color="auto" w:fill="auto"/>
            <w:vAlign w:val="center"/>
          </w:tcPr>
          <w:p>
            <w:pPr>
              <w:ind w:left="-108" w:right="-108"/>
              <w:jc w:val="center"/>
            </w:pPr>
          </w:p>
        </w:tc>
        <w:tc>
          <w:tcPr>
            <w:tcW w:w="1134" w:type="dxa"/>
            <w:tcBorders>
              <w:top w:val="single" w:sz="4" w:space="0" w:color="auto"/>
              <w:left w:val="nil"/>
              <w:bottom w:val="single" w:sz="4" w:space="0" w:color="auto"/>
              <w:right w:val="single" w:sz="4" w:space="0" w:color="auto"/>
            </w:tcBorders>
            <w:shd w:val="clear" w:color="auto" w:fill="auto"/>
            <w:tcMar>
              <w:left w:w="28" w:type="dxa"/>
              <w:right w:w="28" w:type="dxa"/>
            </w:tcMar>
            <w:vAlign w:val="center"/>
          </w:tcPr>
          <w:p>
            <w:pPr>
              <w:jc w:val="center"/>
              <w:rPr>
                <w:sz w:val="18"/>
                <w:szCs w:val="18"/>
              </w:rPr>
            </w:pPr>
            <w:r>
              <w:rPr>
                <w:sz w:val="18"/>
                <w:szCs w:val="18"/>
              </w:rPr>
              <w:t>абсолютное,  тыс.руб.</w:t>
            </w:r>
          </w:p>
        </w:tc>
        <w:tc>
          <w:tcPr>
            <w:tcW w:w="851" w:type="dxa"/>
            <w:tcBorders>
              <w:top w:val="single" w:sz="4" w:space="0" w:color="auto"/>
              <w:left w:val="nil"/>
              <w:bottom w:val="single" w:sz="4" w:space="0" w:color="auto"/>
              <w:right w:val="single" w:sz="4" w:space="0" w:color="auto"/>
            </w:tcBorders>
            <w:tcMar>
              <w:left w:w="28" w:type="dxa"/>
              <w:right w:w="28" w:type="dxa"/>
            </w:tcMar>
            <w:vAlign w:val="center"/>
          </w:tcPr>
          <w:p>
            <w:pPr>
              <w:jc w:val="center"/>
              <w:rPr>
                <w:sz w:val="18"/>
                <w:szCs w:val="18"/>
              </w:rPr>
            </w:pPr>
            <w:r>
              <w:rPr>
                <w:color w:val="000000"/>
                <w:sz w:val="18"/>
                <w:szCs w:val="18"/>
              </w:rPr>
              <w:t>относи-тельное,  %</w:t>
            </w:r>
          </w:p>
        </w:tc>
      </w:tr>
      <w:tr>
        <w:trPr>
          <w:cantSplit/>
          <w:trHeight w:val="239"/>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vAlign w:val="center"/>
          </w:tcPr>
          <w:p>
            <w:pPr>
              <w:ind w:left="-113" w:right="-57"/>
              <w:jc w:val="center"/>
              <w:rPr>
                <w:bCs/>
                <w:sz w:val="16"/>
                <w:szCs w:val="16"/>
              </w:rPr>
            </w:pPr>
            <w:r>
              <w:rPr>
                <w:bCs/>
                <w:sz w:val="16"/>
                <w:szCs w:val="16"/>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3</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4</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6=5-4</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center"/>
              <w:rPr>
                <w:bCs/>
                <w:sz w:val="16"/>
                <w:szCs w:val="16"/>
              </w:rPr>
            </w:pPr>
            <w:r>
              <w:rPr>
                <w:bCs/>
                <w:sz w:val="16"/>
                <w:szCs w:val="16"/>
              </w:rPr>
              <w:t>7=5-2</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sz w:val="16"/>
                <w:szCs w:val="16"/>
              </w:rPr>
            </w:pPr>
            <w:r>
              <w:rPr>
                <w:bCs/>
                <w:sz w:val="16"/>
                <w:szCs w:val="16"/>
              </w:rPr>
              <w:t>8=5/2</w:t>
            </w:r>
          </w:p>
        </w:tc>
      </w:tr>
      <w:tr>
        <w:trPr>
          <w:cantSplit/>
          <w:trHeight w:val="43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rPr>
                <w:b/>
                <w:bCs/>
              </w:rPr>
            </w:pPr>
            <w:r>
              <w:rPr>
                <w:b/>
                <w:bCs/>
              </w:rPr>
              <w:t>НЕНАЛОГОВЫЕ ДОХОДЫ</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119 903,08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rPr>
                <w:b/>
                <w:bCs/>
              </w:rPr>
            </w:pPr>
            <w:r>
              <w:rPr>
                <w:b/>
                <w:bCs/>
              </w:rPr>
              <w:t>111 865,94</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168 083,05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178 813,27</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10 730,22</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rPr>
                <w:b/>
                <w:bCs/>
              </w:rPr>
            </w:pPr>
            <w:r>
              <w:rPr>
                <w:b/>
                <w:bCs/>
              </w:rPr>
              <w:t>58 910,19</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
                <w:bCs/>
              </w:rPr>
            </w:pPr>
            <w:r>
              <w:rPr>
                <w:b/>
                <w:bCs/>
              </w:rPr>
              <w:t>149,1</w:t>
            </w:r>
          </w:p>
        </w:tc>
      </w:tr>
      <w:tr>
        <w:trPr>
          <w:cantSplit/>
          <w:trHeight w:val="85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pPr>
            <w:r>
              <w:t>Доходы от использования муниципального имущества</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90 158,32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85 349,56</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133 024,23</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133 634,61</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610,38</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43 476,29</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148,2</w:t>
            </w:r>
          </w:p>
        </w:tc>
      </w:tr>
      <w:tr>
        <w:trPr>
          <w:cantSplit/>
          <w:trHeight w:val="78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108"/>
            </w:pPr>
            <w:r>
              <w:t xml:space="preserve">Платежи при пользовании природными ресурсами </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8 175,92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14 061,81</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10 038,46</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9 715,23</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-323,23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1 539,31</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118,8</w:t>
            </w:r>
          </w:p>
        </w:tc>
      </w:tr>
      <w:tr>
        <w:trPr>
          <w:cantSplit/>
          <w:trHeight w:val="69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Доходы от оказания платных услуг и компенсации затрат</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5 434,28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4 325,53</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5 814,85</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5 411,59</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-403,26</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-22,68</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99,6</w:t>
            </w:r>
          </w:p>
        </w:tc>
      </w:tr>
      <w:tr>
        <w:trPr>
          <w:cantSplit/>
          <w:trHeight w:val="704"/>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Доходы от продажи муниципального имущества</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9 795,80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4 607,83</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5 863,51</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8 452,78</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2 589,27</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-1 343,02</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86,3</w:t>
            </w:r>
          </w:p>
        </w:tc>
      </w:tr>
      <w:tr>
        <w:trPr>
          <w:cantSplit/>
          <w:trHeight w:val="402"/>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Штрафы, санкции, возмещение ущерба</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5 688,79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3 461,21</w:t>
            </w:r>
          </w:p>
        </w:tc>
        <w:tc>
          <w:tcPr>
            <w:tcW w:w="113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9 969,61</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12 693,54</w:t>
            </w:r>
          </w:p>
        </w:tc>
        <w:tc>
          <w:tcPr>
            <w:tcW w:w="993"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2 723,93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7 004,75</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223,1</w:t>
            </w:r>
          </w:p>
        </w:tc>
      </w:tr>
      <w:tr>
        <w:trPr>
          <w:cantSplit/>
          <w:trHeight w:val="366"/>
        </w:trPr>
        <w:tc>
          <w:tcPr>
            <w:tcW w:w="2280" w:type="dxa"/>
            <w:tcBorders>
              <w:top w:val="single" w:sz="4" w:space="0" w:color="auto"/>
              <w:left w:val="single" w:sz="4" w:space="0" w:color="auto"/>
              <w:bottom w:val="single" w:sz="4" w:space="0" w:color="auto"/>
              <w:right w:val="single" w:sz="4" w:space="0" w:color="auto"/>
            </w:tcBorders>
            <w:shd w:val="clear" w:color="auto" w:fill="auto"/>
            <w:vAlign w:val="center"/>
          </w:tcPr>
          <w:p>
            <w:pPr>
              <w:ind w:right="-57"/>
              <w:jc w:val="both"/>
            </w:pPr>
            <w:r>
              <w:t>Прочие неналоговые доходы</w:t>
            </w:r>
          </w:p>
        </w:tc>
        <w:tc>
          <w:tcPr>
            <w:tcW w:w="1134" w:type="dxa"/>
            <w:tcBorders>
              <w:top w:val="single" w:sz="4" w:space="0" w:color="auto"/>
              <w:left w:val="nil"/>
              <w:bottom w:val="single" w:sz="4" w:space="0" w:color="auto"/>
              <w:right w:val="single" w:sz="4" w:space="0" w:color="auto"/>
            </w:tcBorders>
            <w:shd w:val="clear" w:color="auto" w:fill="auto"/>
            <w:vAlign w:val="center"/>
          </w:tcPr>
          <w:p>
            <w:pPr>
              <w:jc w:val="right"/>
            </w:pPr>
            <w:r>
              <w:t>649,97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pPr>
              <w:ind w:left="-113" w:right="-57"/>
              <w:jc w:val="right"/>
            </w:pPr>
            <w:r>
              <w:t>60,00</w:t>
            </w:r>
          </w:p>
        </w:tc>
        <w:tc>
          <w:tcPr>
            <w:tcW w:w="1133" w:type="dxa"/>
            <w:tcBorders>
              <w:top w:val="single" w:sz="4" w:space="0" w:color="auto"/>
              <w:left w:val="nil"/>
              <w:bottom w:val="single" w:sz="4" w:space="0" w:color="auto"/>
              <w:right w:val="single" w:sz="4" w:space="0" w:color="auto"/>
            </w:tcBorders>
            <w:shd w:val="clear" w:color="auto" w:fill="auto"/>
            <w:vAlign w:val="center"/>
          </w:tcPr>
          <w:p>
            <w:pPr>
              <w:jc w:val="right"/>
            </w:pPr>
            <w:r>
              <w:t>3 372,39</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8 905,52</w:t>
            </w:r>
          </w:p>
        </w:tc>
        <w:tc>
          <w:tcPr>
            <w:tcW w:w="993" w:type="dxa"/>
            <w:tcBorders>
              <w:top w:val="single" w:sz="4" w:space="0" w:color="auto"/>
              <w:left w:val="nil"/>
              <w:bottom w:val="single" w:sz="4" w:space="0" w:color="auto"/>
              <w:right w:val="single" w:sz="4" w:space="0" w:color="auto"/>
            </w:tcBorders>
            <w:shd w:val="clear" w:color="auto" w:fill="auto"/>
            <w:vAlign w:val="center"/>
          </w:tcPr>
          <w:p>
            <w:pPr>
              <w:jc w:val="right"/>
            </w:pPr>
            <w:r>
              <w:t>5 533,13</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113" w:right="-57"/>
              <w:jc w:val="right"/>
            </w:pPr>
            <w:r>
              <w:t>8 255,55</w:t>
            </w:r>
          </w:p>
        </w:tc>
        <w:tc>
          <w:tcPr>
            <w:tcW w:w="851" w:type="dxa"/>
            <w:tcBorders>
              <w:top w:val="single" w:sz="4" w:space="0" w:color="auto"/>
              <w:left w:val="nil"/>
              <w:bottom w:val="single" w:sz="4" w:space="0" w:color="auto"/>
              <w:right w:val="single" w:sz="4" w:space="0" w:color="auto"/>
            </w:tcBorders>
            <w:vAlign w:val="center"/>
          </w:tcPr>
          <w:p>
            <w:pPr>
              <w:ind w:left="-113" w:right="-57"/>
              <w:jc w:val="center"/>
              <w:rPr>
                <w:bCs/>
              </w:rPr>
            </w:pPr>
            <w:r>
              <w:rPr>
                <w:bCs/>
              </w:rPr>
              <w:t>13,7 раз</w:t>
            </w:r>
          </w:p>
        </w:tc>
      </w:tr>
    </w:tbl>
    <w:p>
      <w:pPr>
        <w:jc w:val="both"/>
        <w:rPr>
          <w:noProof/>
          <w:sz w:val="24"/>
          <w:szCs w:val="24"/>
        </w:rPr>
      </w:pPr>
    </w:p>
    <w:p>
      <w:pPr>
        <w:spacing w:line="228" w:lineRule="auto"/>
        <w:ind w:firstLine="709"/>
        <w:jc w:val="both"/>
        <w:rPr>
          <w:sz w:val="24"/>
          <w:szCs w:val="24"/>
        </w:rPr>
      </w:pPr>
      <w:r>
        <w:rPr>
          <w:sz w:val="24"/>
          <w:szCs w:val="24"/>
        </w:rPr>
        <w:t>Поступление неналоговых доходов по сравнению с 2020 годом увеличилось на 58 910,19 тыс.руб. или на 49,1%. Основной рост за счет доходов от использования муниципального имущества, штрафов и прочих неналоговых доходов.</w:t>
      </w:r>
    </w:p>
    <w:p>
      <w:pPr>
        <w:spacing w:line="228" w:lineRule="auto"/>
        <w:jc w:val="center"/>
        <w:rPr>
          <w:sz w:val="24"/>
          <w:szCs w:val="24"/>
        </w:rPr>
      </w:pPr>
      <w:r>
        <w:rPr>
          <w:sz w:val="24"/>
          <w:szCs w:val="24"/>
        </w:rPr>
        <w:object w:dxaOrig="9850" w:dyaOrig="4456">
          <v:shape id="_x0000_i1031" type="#_x0000_t75" style="width:492.65pt;height:222.65pt" o:ole="">
            <v:imagedata r:id="rId18" o:title=""/>
          </v:shape>
          <o:OLEObject Type="Embed" ProgID="Excel.Sheet.12" ShapeID="_x0000_i1031" DrawAspect="Content" ObjectID="_1707991222" r:id="rId19"/>
        </w:object>
      </w:r>
      <w:r>
        <w:rPr>
          <w:sz w:val="24"/>
          <w:szCs w:val="24"/>
        </w:rPr>
        <w:t>Рисунок 7. Динамика поступлений неналоговых доходов в 2020 и 2021 годах, тыс.руб.</w:t>
      </w:r>
    </w:p>
    <w:p>
      <w:pPr>
        <w:spacing w:before="120"/>
        <w:ind w:firstLine="709"/>
        <w:jc w:val="both"/>
        <w:rPr>
          <w:sz w:val="24"/>
          <w:szCs w:val="24"/>
        </w:rPr>
      </w:pPr>
      <w:r>
        <w:rPr>
          <w:sz w:val="24"/>
          <w:szCs w:val="24"/>
        </w:rPr>
        <w:t>По сравнению с 2020 годом отмечается сальдированное увеличение задолженности, что объясняется низкой платежной дисциплиной, снижением авансовых платежей, а также восстановлением задолженности УИО Администрации ЗАТО Северск путем исключения из состава безнадежной к взысканию.</w:t>
      </w:r>
    </w:p>
    <w:p>
      <w:pPr>
        <w:spacing w:before="120" w:after="60"/>
        <w:ind w:right="45" w:firstLine="709"/>
        <w:jc w:val="both"/>
        <w:rPr>
          <w:sz w:val="24"/>
          <w:szCs w:val="24"/>
        </w:rPr>
      </w:pPr>
      <w:r>
        <w:rPr>
          <w:sz w:val="24"/>
          <w:szCs w:val="24"/>
        </w:rPr>
        <w:t>Таблица 25. Задолженность по неналоговым платежам в бюджет ЗАТО Северск за</w:t>
      </w:r>
      <w:r>
        <w:rPr>
          <w:sz w:val="24"/>
          <w:szCs w:val="24"/>
          <w:lang w:val="en-US"/>
        </w:rPr>
        <w:t> </w:t>
      </w:r>
      <w:r>
        <w:rPr>
          <w:sz w:val="24"/>
          <w:szCs w:val="24"/>
        </w:rPr>
        <w:t>2020-2021 гг., без учета отсроченных (рассроченных) и приостановленных к взысканию</w:t>
      </w:r>
    </w:p>
    <w:tbl>
      <w:tblPr>
        <w:tblW w:w="9368" w:type="dxa"/>
        <w:tblInd w:w="96" w:type="dxa"/>
        <w:tblLayout w:type="fixed"/>
        <w:tblLook w:val="0000" w:firstRow="0" w:lastRow="0" w:firstColumn="0" w:lastColumn="0" w:noHBand="0" w:noVBand="0"/>
      </w:tblPr>
      <w:tblGrid>
        <w:gridCol w:w="3981"/>
        <w:gridCol w:w="1560"/>
        <w:gridCol w:w="1417"/>
        <w:gridCol w:w="1276"/>
        <w:gridCol w:w="1134"/>
      </w:tblGrid>
      <w:tr>
        <w:trPr>
          <w:cantSplit/>
          <w:trHeight w:val="313"/>
        </w:trPr>
        <w:tc>
          <w:tcPr>
            <w:tcW w:w="3981" w:type="dxa"/>
            <w:vMerge w:val="restart"/>
            <w:tcBorders>
              <w:top w:val="single" w:sz="4" w:space="0" w:color="auto"/>
              <w:left w:val="single" w:sz="4" w:space="0" w:color="auto"/>
              <w:right w:val="single" w:sz="4" w:space="0" w:color="auto"/>
            </w:tcBorders>
            <w:shd w:val="clear" w:color="auto" w:fill="auto"/>
            <w:vAlign w:val="center"/>
          </w:tcPr>
          <w:p>
            <w:pPr>
              <w:jc w:val="center"/>
            </w:pPr>
            <w:r>
              <w:t>Наименование</w:t>
            </w:r>
          </w:p>
        </w:tc>
        <w:tc>
          <w:tcPr>
            <w:tcW w:w="2977" w:type="dxa"/>
            <w:gridSpan w:val="2"/>
            <w:tcBorders>
              <w:top w:val="single" w:sz="4" w:space="0" w:color="auto"/>
              <w:left w:val="nil"/>
              <w:bottom w:val="single" w:sz="4" w:space="0" w:color="auto"/>
              <w:right w:val="single" w:sz="4" w:space="0" w:color="auto"/>
            </w:tcBorders>
            <w:vAlign w:val="center"/>
          </w:tcPr>
          <w:p>
            <w:pPr>
              <w:ind w:left="-57" w:right="-57"/>
              <w:jc w:val="center"/>
            </w:pPr>
            <w:r>
              <w:rPr>
                <w:bCs/>
              </w:rPr>
              <w:t>Задолженность, тыс.руб.</w:t>
            </w:r>
          </w:p>
        </w:tc>
        <w:tc>
          <w:tcPr>
            <w:tcW w:w="2410" w:type="dxa"/>
            <w:gridSpan w:val="2"/>
            <w:tcBorders>
              <w:top w:val="single" w:sz="4" w:space="0" w:color="auto"/>
              <w:left w:val="nil"/>
              <w:bottom w:val="single" w:sz="4" w:space="0" w:color="auto"/>
              <w:right w:val="single" w:sz="4" w:space="0" w:color="auto"/>
            </w:tcBorders>
            <w:shd w:val="clear" w:color="auto" w:fill="auto"/>
            <w:vAlign w:val="center"/>
          </w:tcPr>
          <w:p>
            <w:pPr>
              <w:jc w:val="center"/>
              <w:rPr>
                <w:color w:val="000000"/>
                <w:sz w:val="18"/>
                <w:szCs w:val="18"/>
              </w:rPr>
            </w:pPr>
            <w:r>
              <w:rPr>
                <w:color w:val="000000"/>
              </w:rPr>
              <w:t xml:space="preserve">Отклонение </w:t>
            </w:r>
          </w:p>
        </w:tc>
      </w:tr>
      <w:tr>
        <w:trPr>
          <w:cantSplit/>
          <w:trHeight w:val="384"/>
        </w:trPr>
        <w:tc>
          <w:tcPr>
            <w:tcW w:w="3981" w:type="dxa"/>
            <w:vMerge/>
            <w:tcBorders>
              <w:left w:val="single" w:sz="4" w:space="0" w:color="auto"/>
              <w:bottom w:val="single" w:sz="4" w:space="0" w:color="auto"/>
              <w:right w:val="single" w:sz="4" w:space="0" w:color="auto"/>
            </w:tcBorders>
            <w:shd w:val="clear" w:color="auto" w:fill="auto"/>
            <w:vAlign w:val="center"/>
          </w:tcPr>
          <w:p>
            <w:pPr>
              <w:jc w:val="center"/>
            </w:pPr>
          </w:p>
        </w:tc>
        <w:tc>
          <w:tcPr>
            <w:tcW w:w="1560" w:type="dxa"/>
            <w:tcBorders>
              <w:top w:val="single" w:sz="4" w:space="0" w:color="auto"/>
              <w:left w:val="nil"/>
              <w:bottom w:val="single" w:sz="4" w:space="0" w:color="auto"/>
              <w:right w:val="single" w:sz="4" w:space="0" w:color="auto"/>
            </w:tcBorders>
            <w:vAlign w:val="center"/>
          </w:tcPr>
          <w:p>
            <w:r>
              <w:t xml:space="preserve"> на 01.01.2021</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center"/>
            </w:pPr>
            <w:r>
              <w:t xml:space="preserve"> на 01.01.2022</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center"/>
            </w:pPr>
            <w:r>
              <w:t>абсолютное, тыс.руб.</w:t>
            </w:r>
          </w:p>
        </w:tc>
        <w:tc>
          <w:tcPr>
            <w:tcW w:w="1134" w:type="dxa"/>
            <w:tcBorders>
              <w:top w:val="single" w:sz="4" w:space="0" w:color="auto"/>
              <w:left w:val="nil"/>
              <w:bottom w:val="single" w:sz="4" w:space="0" w:color="auto"/>
              <w:right w:val="single" w:sz="4" w:space="0" w:color="auto"/>
            </w:tcBorders>
            <w:vAlign w:val="center"/>
          </w:tcPr>
          <w:p>
            <w:pPr>
              <w:ind w:left="-57" w:right="-57"/>
              <w:jc w:val="center"/>
            </w:pPr>
            <w:r>
              <w:t>относи-тельное, %</w:t>
            </w:r>
          </w:p>
        </w:tc>
      </w:tr>
      <w:tr>
        <w:trPr>
          <w:cantSplit/>
          <w:trHeight w:val="372"/>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20"/>
            </w:pPr>
            <w:r>
              <w:t>1. Арендная плата за землю</w:t>
            </w:r>
          </w:p>
        </w:tc>
        <w:tc>
          <w:tcPr>
            <w:tcW w:w="1560" w:type="dxa"/>
            <w:tcBorders>
              <w:top w:val="single" w:sz="4" w:space="0" w:color="auto"/>
              <w:left w:val="nil"/>
              <w:bottom w:val="single" w:sz="4" w:space="0" w:color="auto"/>
              <w:right w:val="single" w:sz="4" w:space="0" w:color="auto"/>
            </w:tcBorders>
            <w:vAlign w:val="center"/>
          </w:tcPr>
          <w:p>
            <w:pPr>
              <w:jc w:val="right"/>
            </w:pPr>
            <w:r>
              <w:t>19 638,8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39 727,7</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20 088,9</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202,3</w:t>
            </w:r>
          </w:p>
        </w:tc>
      </w:tr>
      <w:tr>
        <w:trPr>
          <w:cantSplit/>
          <w:trHeight w:val="421"/>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20"/>
            </w:pPr>
            <w:r>
              <w:t>2. Аренда движимого имущества</w:t>
            </w:r>
          </w:p>
        </w:tc>
        <w:tc>
          <w:tcPr>
            <w:tcW w:w="1560" w:type="dxa"/>
            <w:tcBorders>
              <w:top w:val="single" w:sz="4" w:space="0" w:color="auto"/>
              <w:left w:val="nil"/>
              <w:bottom w:val="single" w:sz="4" w:space="0" w:color="auto"/>
              <w:right w:val="single" w:sz="4" w:space="0" w:color="auto"/>
            </w:tcBorders>
            <w:vAlign w:val="center"/>
          </w:tcPr>
          <w:p>
            <w:pPr>
              <w:jc w:val="right"/>
            </w:pPr>
            <w:r>
              <w:rPr>
                <w:color w:val="000000"/>
              </w:rPr>
              <w:t>3 244,4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3 144,8</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-99,6</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96,9</w:t>
            </w:r>
          </w:p>
        </w:tc>
      </w:tr>
      <w:tr>
        <w:trPr>
          <w:cantSplit/>
          <w:trHeight w:val="396"/>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19"/>
            </w:pPr>
            <w:r>
              <w:t>3. Аренда недвижимого имущества</w:t>
            </w:r>
          </w:p>
        </w:tc>
        <w:tc>
          <w:tcPr>
            <w:tcW w:w="1560" w:type="dxa"/>
            <w:tcBorders>
              <w:top w:val="single" w:sz="4" w:space="0" w:color="auto"/>
              <w:left w:val="nil"/>
              <w:bottom w:val="single" w:sz="4" w:space="0" w:color="auto"/>
              <w:right w:val="single" w:sz="4" w:space="0" w:color="auto"/>
            </w:tcBorders>
            <w:shd w:val="clear" w:color="auto" w:fill="auto"/>
            <w:vAlign w:val="center"/>
          </w:tcPr>
          <w:p>
            <w:pPr>
              <w:jc w:val="right"/>
            </w:pPr>
            <w:r>
              <w:t>830,7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3 510,5</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2 679,8</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color w:val="000000"/>
              </w:rPr>
            </w:pPr>
            <w:r>
              <w:rPr>
                <w:color w:val="000000"/>
              </w:rPr>
              <w:t>4,2 раза</w:t>
            </w:r>
          </w:p>
        </w:tc>
      </w:tr>
      <w:tr>
        <w:trPr>
          <w:cantSplit/>
          <w:trHeight w:val="396"/>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19"/>
            </w:pPr>
            <w:r>
              <w:t>4. Плата за наем жилых помещений</w:t>
            </w:r>
          </w:p>
        </w:tc>
        <w:tc>
          <w:tcPr>
            <w:tcW w:w="1560" w:type="dxa"/>
            <w:tcBorders>
              <w:top w:val="single" w:sz="4" w:space="0" w:color="auto"/>
              <w:left w:val="nil"/>
              <w:bottom w:val="single" w:sz="4" w:space="0" w:color="auto"/>
              <w:right w:val="single" w:sz="4" w:space="0" w:color="auto"/>
            </w:tcBorders>
            <w:shd w:val="clear" w:color="auto" w:fill="auto"/>
            <w:vAlign w:val="center"/>
          </w:tcPr>
          <w:p>
            <w:pPr>
              <w:jc w:val="right"/>
            </w:pPr>
            <w:r>
              <w:rPr>
                <w:color w:val="000000"/>
              </w:rPr>
              <w:t>7 655,7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8 103,5</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447,8</w:t>
            </w:r>
          </w:p>
        </w:tc>
        <w:tc>
          <w:tcPr>
            <w:tcW w:w="1134" w:type="dxa"/>
            <w:tcBorders>
              <w:top w:val="single" w:sz="4" w:space="0" w:color="auto"/>
              <w:left w:val="nil"/>
              <w:bottom w:val="single" w:sz="4" w:space="0" w:color="auto"/>
              <w:right w:val="single" w:sz="4" w:space="0" w:color="auto"/>
            </w:tcBorders>
            <w:shd w:val="clear" w:color="auto" w:fill="auto"/>
            <w:vAlign w:val="center"/>
          </w:tcPr>
          <w:p>
            <w:pPr>
              <w:ind w:left="-57" w:right="-57"/>
              <w:jc w:val="center"/>
              <w:rPr>
                <w:color w:val="000000"/>
              </w:rPr>
            </w:pPr>
            <w:r>
              <w:rPr>
                <w:color w:val="000000"/>
              </w:rPr>
              <w:t>105,8</w:t>
            </w:r>
          </w:p>
        </w:tc>
      </w:tr>
      <w:tr>
        <w:trPr>
          <w:cantSplit/>
          <w:trHeight w:val="418"/>
        </w:trPr>
        <w:tc>
          <w:tcPr>
            <w:tcW w:w="3981" w:type="dxa"/>
            <w:tcBorders>
              <w:top w:val="single" w:sz="4" w:space="0" w:color="auto"/>
              <w:left w:val="single" w:sz="4" w:space="0" w:color="auto"/>
              <w:bottom w:val="single" w:sz="4" w:space="0" w:color="auto"/>
              <w:right w:val="single" w:sz="4" w:space="0" w:color="auto"/>
            </w:tcBorders>
            <w:shd w:val="clear" w:color="auto" w:fill="auto"/>
            <w:vAlign w:val="center"/>
          </w:tcPr>
          <w:p>
            <w:pPr>
              <w:pStyle w:val="a5"/>
              <w:tabs>
                <w:tab w:val="left" w:pos="3966"/>
              </w:tabs>
              <w:spacing w:after="0"/>
              <w:ind w:right="-119"/>
            </w:pPr>
            <w:r>
              <w:t>5. Аренда рекламных конструкций</w:t>
            </w:r>
          </w:p>
        </w:tc>
        <w:tc>
          <w:tcPr>
            <w:tcW w:w="1560" w:type="dxa"/>
            <w:tcBorders>
              <w:top w:val="single" w:sz="4" w:space="0" w:color="auto"/>
              <w:left w:val="nil"/>
              <w:bottom w:val="single" w:sz="4" w:space="0" w:color="auto"/>
              <w:right w:val="single" w:sz="4" w:space="0" w:color="auto"/>
            </w:tcBorders>
            <w:vAlign w:val="center"/>
          </w:tcPr>
          <w:p>
            <w:pPr>
              <w:jc w:val="right"/>
            </w:pPr>
            <w:r>
              <w:rPr>
                <w:color w:val="000000"/>
              </w:rPr>
              <w:t>326,8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pPr>
              <w:ind w:left="-57" w:right="-57"/>
              <w:jc w:val="right"/>
              <w:rPr>
                <w:color w:val="000000"/>
              </w:rPr>
            </w:pPr>
            <w:r>
              <w:rPr>
                <w:color w:val="000000"/>
              </w:rPr>
              <w:t>4 088,3</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left="-57" w:right="-57"/>
              <w:jc w:val="right"/>
              <w:rPr>
                <w:color w:val="000000"/>
              </w:rPr>
            </w:pPr>
            <w:r>
              <w:rPr>
                <w:color w:val="000000"/>
              </w:rPr>
              <w:t>3 761,5</w:t>
            </w:r>
          </w:p>
        </w:tc>
        <w:tc>
          <w:tcPr>
            <w:tcW w:w="1134" w:type="dxa"/>
            <w:tcBorders>
              <w:top w:val="single" w:sz="4" w:space="0" w:color="auto"/>
              <w:left w:val="nil"/>
              <w:bottom w:val="single" w:sz="4" w:space="0" w:color="auto"/>
              <w:right w:val="single" w:sz="4" w:space="0" w:color="auto"/>
            </w:tcBorders>
            <w:vAlign w:val="center"/>
          </w:tcPr>
          <w:p>
            <w:pPr>
              <w:ind w:left="-57" w:right="-57"/>
              <w:jc w:val="center"/>
              <w:rPr>
                <w:color w:val="000000"/>
              </w:rPr>
            </w:pPr>
            <w:r>
              <w:rPr>
                <w:color w:val="000000"/>
              </w:rPr>
              <w:t>12,5 раз</w:t>
            </w:r>
          </w:p>
        </w:tc>
      </w:tr>
    </w:tbl>
    <w:p>
      <w:pPr>
        <w:jc w:val="center"/>
        <w:rPr>
          <w:b/>
          <w:sz w:val="24"/>
          <w:szCs w:val="24"/>
        </w:rPr>
      </w:pPr>
    </w:p>
    <w:p>
      <w:pPr>
        <w:jc w:val="center"/>
        <w:rPr>
          <w:b/>
          <w:sz w:val="24"/>
          <w:szCs w:val="24"/>
        </w:rPr>
      </w:pPr>
      <w:r>
        <w:rPr>
          <w:b/>
          <w:sz w:val="24"/>
          <w:szCs w:val="24"/>
        </w:rPr>
        <w:t>3.2.1. Доходы от использования имущества, находящегося</w:t>
      </w:r>
    </w:p>
    <w:p>
      <w:pPr>
        <w:spacing w:after="120"/>
        <w:jc w:val="center"/>
        <w:rPr>
          <w:b/>
          <w:sz w:val="24"/>
          <w:szCs w:val="24"/>
        </w:rPr>
      </w:pPr>
      <w:r>
        <w:rPr>
          <w:b/>
          <w:sz w:val="24"/>
          <w:szCs w:val="24"/>
        </w:rPr>
        <w:t>в государственной и муниципальной собственности</w:t>
      </w:r>
    </w:p>
    <w:p>
      <w:pPr>
        <w:pStyle w:val="a5"/>
        <w:spacing w:after="0"/>
        <w:ind w:firstLine="720"/>
        <w:jc w:val="both"/>
        <w:rPr>
          <w:sz w:val="24"/>
          <w:szCs w:val="24"/>
        </w:rPr>
      </w:pPr>
      <w:r>
        <w:rPr>
          <w:sz w:val="24"/>
          <w:szCs w:val="24"/>
        </w:rPr>
        <w:t>Прогноз поступлений по статье «Доходы от использования имущества, находящегося в муниципальной собственности» составлял 133 024,23 тыс.руб., фактическое исполнение – 133 634,61 тыс.руб., перевыполнение на 610,38 тыс.руб. или на 0,5%.</w:t>
      </w:r>
    </w:p>
    <w:p>
      <w:pPr>
        <w:pStyle w:val="a5"/>
        <w:spacing w:before="120" w:after="60"/>
        <w:ind w:firstLine="709"/>
        <w:jc w:val="both"/>
        <w:rPr>
          <w:sz w:val="24"/>
          <w:szCs w:val="24"/>
        </w:rPr>
      </w:pPr>
      <w:r>
        <w:rPr>
          <w:sz w:val="24"/>
          <w:szCs w:val="24"/>
        </w:rPr>
        <w:t>Таблица 26. Анализ поступления доходов от использования муниципального имущества за 2020 - 2021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134"/>
        <w:gridCol w:w="1134"/>
        <w:gridCol w:w="1276"/>
        <w:gridCol w:w="1134"/>
        <w:gridCol w:w="1134"/>
        <w:gridCol w:w="673"/>
      </w:tblGrid>
      <w:tr>
        <w:trPr>
          <w:trHeight w:val="274"/>
          <w:jc w:val="center"/>
        </w:trPr>
        <w:tc>
          <w:tcPr>
            <w:tcW w:w="3085"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 xml:space="preserve">Факт </w:t>
            </w:r>
          </w:p>
          <w:p>
            <w:pPr>
              <w:ind w:right="-57"/>
              <w:jc w:val="center"/>
              <w:rPr>
                <w:bCs/>
              </w:rPr>
            </w:pPr>
            <w:r>
              <w:rPr>
                <w:bCs/>
              </w:rPr>
              <w:t>2020 год, тыс.руб.</w:t>
            </w:r>
          </w:p>
        </w:tc>
        <w:tc>
          <w:tcPr>
            <w:tcW w:w="5351" w:type="dxa"/>
            <w:gridSpan w:val="5"/>
            <w:vAlign w:val="center"/>
          </w:tcPr>
          <w:p>
            <w:pPr>
              <w:ind w:left="-57" w:right="-57"/>
              <w:jc w:val="center"/>
            </w:pPr>
            <w:r>
              <w:t>2021 год</w:t>
            </w:r>
          </w:p>
        </w:tc>
      </w:tr>
      <w:tr>
        <w:trPr>
          <w:trHeight w:val="765"/>
          <w:jc w:val="center"/>
        </w:trPr>
        <w:tc>
          <w:tcPr>
            <w:tcW w:w="3085"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34" w:type="dxa"/>
          </w:tcPr>
          <w:p>
            <w:pPr>
              <w:ind w:left="-158" w:right="-108"/>
              <w:jc w:val="center"/>
            </w:pPr>
            <w:r>
              <w:t>Первона-чальный прогноз, тыс.руб.</w:t>
            </w:r>
          </w:p>
        </w:tc>
        <w:tc>
          <w:tcPr>
            <w:tcW w:w="1276" w:type="dxa"/>
            <w:vAlign w:val="center"/>
          </w:tcPr>
          <w:p>
            <w:pPr>
              <w:ind w:left="-158" w:right="-108"/>
              <w:jc w:val="center"/>
            </w:pPr>
            <w:r>
              <w:t>Уточненный прогноз, 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673"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66"/>
          <w:jc w:val="center"/>
        </w:trPr>
        <w:tc>
          <w:tcPr>
            <w:tcW w:w="3085" w:type="dxa"/>
            <w:vAlign w:val="center"/>
          </w:tcPr>
          <w:p>
            <w:pPr>
              <w:pStyle w:val="a5"/>
              <w:spacing w:after="0"/>
              <w:jc w:val="center"/>
              <w:rPr>
                <w:sz w:val="16"/>
                <w:szCs w:val="16"/>
              </w:rPr>
            </w:pPr>
            <w:r>
              <w:rPr>
                <w:sz w:val="16"/>
                <w:szCs w:val="16"/>
              </w:rPr>
              <w:t>1</w:t>
            </w:r>
          </w:p>
        </w:tc>
        <w:tc>
          <w:tcPr>
            <w:tcW w:w="1134" w:type="dxa"/>
            <w:vAlign w:val="center"/>
          </w:tcPr>
          <w:p>
            <w:pPr>
              <w:ind w:left="-57" w:right="-57"/>
              <w:jc w:val="center"/>
              <w:rPr>
                <w:color w:val="000000"/>
                <w:sz w:val="16"/>
                <w:szCs w:val="16"/>
              </w:rPr>
            </w:pPr>
            <w:r>
              <w:rPr>
                <w:color w:val="000000"/>
                <w:sz w:val="16"/>
                <w:szCs w:val="16"/>
              </w:rPr>
              <w:t>2</w:t>
            </w:r>
          </w:p>
        </w:tc>
        <w:tc>
          <w:tcPr>
            <w:tcW w:w="1134" w:type="dxa"/>
            <w:vAlign w:val="center"/>
          </w:tcPr>
          <w:p>
            <w:pPr>
              <w:ind w:left="-57" w:right="-57"/>
              <w:jc w:val="center"/>
              <w:rPr>
                <w:color w:val="000000"/>
                <w:sz w:val="16"/>
                <w:szCs w:val="16"/>
              </w:rPr>
            </w:pPr>
            <w:r>
              <w:rPr>
                <w:color w:val="000000"/>
                <w:sz w:val="16"/>
                <w:szCs w:val="16"/>
              </w:rPr>
              <w:t>3</w:t>
            </w:r>
          </w:p>
        </w:tc>
        <w:tc>
          <w:tcPr>
            <w:tcW w:w="1276" w:type="dxa"/>
            <w:shd w:val="clear" w:color="auto" w:fill="auto"/>
            <w:vAlign w:val="center"/>
          </w:tcPr>
          <w:p>
            <w:pPr>
              <w:jc w:val="center"/>
              <w:rPr>
                <w:color w:val="000000"/>
                <w:sz w:val="16"/>
                <w:szCs w:val="16"/>
              </w:rPr>
            </w:pPr>
            <w:r>
              <w:rPr>
                <w:color w:val="000000"/>
                <w:sz w:val="16"/>
                <w:szCs w:val="16"/>
              </w:rPr>
              <w:t>4</w:t>
            </w:r>
          </w:p>
        </w:tc>
        <w:tc>
          <w:tcPr>
            <w:tcW w:w="1134" w:type="dxa"/>
            <w:shd w:val="clear" w:color="auto" w:fill="auto"/>
            <w:vAlign w:val="center"/>
          </w:tcPr>
          <w:p>
            <w:pPr>
              <w:jc w:val="center"/>
              <w:rPr>
                <w:color w:val="000000"/>
                <w:sz w:val="16"/>
                <w:szCs w:val="16"/>
              </w:rPr>
            </w:pPr>
            <w:r>
              <w:rPr>
                <w:color w:val="000000"/>
                <w:sz w:val="16"/>
                <w:szCs w:val="16"/>
              </w:rPr>
              <w:t>5</w:t>
            </w:r>
          </w:p>
        </w:tc>
        <w:tc>
          <w:tcPr>
            <w:tcW w:w="1134" w:type="dxa"/>
            <w:shd w:val="clear" w:color="auto" w:fill="auto"/>
            <w:vAlign w:val="center"/>
          </w:tcPr>
          <w:p>
            <w:pPr>
              <w:jc w:val="center"/>
              <w:rPr>
                <w:color w:val="000000"/>
                <w:sz w:val="16"/>
                <w:szCs w:val="16"/>
              </w:rPr>
            </w:pPr>
            <w:r>
              <w:rPr>
                <w:color w:val="000000"/>
                <w:sz w:val="16"/>
                <w:szCs w:val="16"/>
              </w:rPr>
              <w:t>6=5-4</w:t>
            </w:r>
          </w:p>
        </w:tc>
        <w:tc>
          <w:tcPr>
            <w:tcW w:w="673" w:type="dxa"/>
            <w:shd w:val="clear" w:color="auto" w:fill="auto"/>
            <w:vAlign w:val="center"/>
          </w:tcPr>
          <w:p>
            <w:pPr>
              <w:pStyle w:val="a5"/>
              <w:spacing w:after="0"/>
              <w:ind w:left="-57" w:right="-57"/>
              <w:jc w:val="center"/>
              <w:rPr>
                <w:sz w:val="16"/>
                <w:szCs w:val="16"/>
              </w:rPr>
            </w:pPr>
            <w:r>
              <w:rPr>
                <w:sz w:val="16"/>
                <w:szCs w:val="16"/>
              </w:rPr>
              <w:t>7=5/4</w:t>
            </w:r>
          </w:p>
        </w:tc>
      </w:tr>
      <w:tr>
        <w:trPr>
          <w:trHeight w:val="804"/>
          <w:jc w:val="center"/>
        </w:trPr>
        <w:tc>
          <w:tcPr>
            <w:tcW w:w="3085" w:type="dxa"/>
            <w:vAlign w:val="center"/>
          </w:tcPr>
          <w:p>
            <w:pPr>
              <w:pStyle w:val="a5"/>
              <w:spacing w:after="0"/>
            </w:pPr>
            <w:r>
              <w:t xml:space="preserve"> Доходы от использования имущества, находящегося в муниципальной собственности</w:t>
            </w:r>
          </w:p>
        </w:tc>
        <w:tc>
          <w:tcPr>
            <w:tcW w:w="1134" w:type="dxa"/>
            <w:vAlign w:val="center"/>
          </w:tcPr>
          <w:p>
            <w:pPr>
              <w:ind w:left="-57" w:right="-57"/>
              <w:jc w:val="right"/>
              <w:rPr>
                <w:color w:val="000000"/>
              </w:rPr>
            </w:pPr>
            <w:r>
              <w:rPr>
                <w:color w:val="000000"/>
              </w:rPr>
              <w:t>90 158,32</w:t>
            </w:r>
          </w:p>
        </w:tc>
        <w:tc>
          <w:tcPr>
            <w:tcW w:w="1134" w:type="dxa"/>
            <w:vAlign w:val="center"/>
          </w:tcPr>
          <w:p>
            <w:pPr>
              <w:ind w:left="-57" w:right="-57"/>
              <w:jc w:val="right"/>
              <w:rPr>
                <w:color w:val="000000"/>
              </w:rPr>
            </w:pPr>
            <w:r>
              <w:rPr>
                <w:color w:val="000000"/>
              </w:rPr>
              <w:t>85 349,56</w:t>
            </w:r>
          </w:p>
        </w:tc>
        <w:tc>
          <w:tcPr>
            <w:tcW w:w="1276" w:type="dxa"/>
            <w:shd w:val="clear" w:color="auto" w:fill="auto"/>
            <w:vAlign w:val="center"/>
          </w:tcPr>
          <w:p>
            <w:pPr>
              <w:jc w:val="right"/>
              <w:rPr>
                <w:color w:val="000000"/>
              </w:rPr>
            </w:pPr>
            <w:r>
              <w:rPr>
                <w:color w:val="000000"/>
              </w:rPr>
              <w:t>133 024,23</w:t>
            </w:r>
          </w:p>
        </w:tc>
        <w:tc>
          <w:tcPr>
            <w:tcW w:w="1134" w:type="dxa"/>
            <w:shd w:val="clear" w:color="auto" w:fill="auto"/>
            <w:vAlign w:val="center"/>
          </w:tcPr>
          <w:p>
            <w:pPr>
              <w:jc w:val="right"/>
              <w:rPr>
                <w:color w:val="000000"/>
              </w:rPr>
            </w:pPr>
            <w:r>
              <w:rPr>
                <w:color w:val="000000"/>
              </w:rPr>
              <w:t>133 634,61</w:t>
            </w:r>
          </w:p>
        </w:tc>
        <w:tc>
          <w:tcPr>
            <w:tcW w:w="1134" w:type="dxa"/>
            <w:shd w:val="clear" w:color="auto" w:fill="auto"/>
            <w:vAlign w:val="center"/>
          </w:tcPr>
          <w:p>
            <w:pPr>
              <w:jc w:val="right"/>
              <w:rPr>
                <w:color w:val="000000"/>
              </w:rPr>
            </w:pPr>
            <w:r>
              <w:rPr>
                <w:color w:val="000000"/>
              </w:rPr>
              <w:t>610,38</w:t>
            </w:r>
          </w:p>
        </w:tc>
        <w:tc>
          <w:tcPr>
            <w:tcW w:w="673" w:type="dxa"/>
            <w:shd w:val="clear" w:color="auto" w:fill="auto"/>
            <w:vAlign w:val="center"/>
          </w:tcPr>
          <w:p>
            <w:pPr>
              <w:pStyle w:val="a5"/>
              <w:spacing w:after="0"/>
              <w:ind w:left="-57" w:right="-57"/>
              <w:jc w:val="center"/>
            </w:pPr>
            <w:r>
              <w:t>100,5</w:t>
            </w:r>
          </w:p>
        </w:tc>
      </w:tr>
    </w:tbl>
    <w:p>
      <w:pPr>
        <w:pStyle w:val="a5"/>
        <w:spacing w:before="120" w:after="0"/>
        <w:ind w:firstLine="720"/>
        <w:jc w:val="both"/>
        <w:rPr>
          <w:sz w:val="24"/>
          <w:szCs w:val="24"/>
        </w:rPr>
      </w:pPr>
      <w:r>
        <w:rPr>
          <w:sz w:val="24"/>
          <w:szCs w:val="24"/>
        </w:rPr>
        <w:lastRenderedPageBreak/>
        <w:t>Удельный вес доходов от использования муниципального имущества в общей структуре фактически поступивших доходов составляет 2,7%, налоговых и неналоговых доходах – 10,8%.</w:t>
      </w:r>
    </w:p>
    <w:p>
      <w:pPr>
        <w:pStyle w:val="a5"/>
        <w:spacing w:after="0"/>
        <w:ind w:firstLine="720"/>
        <w:jc w:val="both"/>
        <w:rPr>
          <w:sz w:val="24"/>
          <w:szCs w:val="24"/>
        </w:rPr>
      </w:pPr>
      <w:r>
        <w:rPr>
          <w:sz w:val="24"/>
          <w:szCs w:val="24"/>
        </w:rPr>
        <w:t>По сравнению с 2020 годом поступление доходов по статье увеличилось на 43 476,29 тыс.руб. или 48,2%.</w:t>
      </w:r>
    </w:p>
    <w:p>
      <w:pPr>
        <w:pStyle w:val="a5"/>
        <w:spacing w:after="0"/>
        <w:ind w:firstLine="720"/>
        <w:jc w:val="both"/>
        <w:rPr>
          <w:sz w:val="24"/>
          <w:szCs w:val="24"/>
        </w:rPr>
      </w:pPr>
    </w:p>
    <w:p>
      <w:pPr>
        <w:jc w:val="center"/>
        <w:rPr>
          <w:b/>
          <w:i/>
          <w:sz w:val="24"/>
          <w:szCs w:val="24"/>
        </w:rPr>
      </w:pPr>
      <w:r>
        <w:rPr>
          <w:b/>
          <w:i/>
          <w:sz w:val="24"/>
          <w:szCs w:val="24"/>
        </w:rPr>
        <w:t xml:space="preserve">3.2.1.1. Доходы в виде прибыли, приходящейся на доли </w:t>
      </w:r>
    </w:p>
    <w:p>
      <w:pPr>
        <w:jc w:val="center"/>
        <w:rPr>
          <w:b/>
          <w:i/>
          <w:sz w:val="24"/>
          <w:szCs w:val="24"/>
        </w:rPr>
      </w:pPr>
      <w:r>
        <w:rPr>
          <w:b/>
          <w:i/>
          <w:sz w:val="24"/>
          <w:szCs w:val="24"/>
        </w:rPr>
        <w:t xml:space="preserve">в уставных (складочных) капиталах хозяйственных товариществ </w:t>
      </w:r>
    </w:p>
    <w:p>
      <w:pPr>
        <w:spacing w:after="120"/>
        <w:jc w:val="center"/>
        <w:rPr>
          <w:b/>
          <w:i/>
          <w:sz w:val="24"/>
          <w:szCs w:val="24"/>
        </w:rPr>
      </w:pPr>
      <w:r>
        <w:rPr>
          <w:b/>
          <w:i/>
          <w:sz w:val="24"/>
          <w:szCs w:val="24"/>
        </w:rPr>
        <w:t>и обществ, или дивидендов по акциям, принадлежащим городским округам</w:t>
      </w:r>
    </w:p>
    <w:p>
      <w:pPr>
        <w:tabs>
          <w:tab w:val="left" w:pos="0"/>
        </w:tabs>
        <w:ind w:firstLine="709"/>
        <w:jc w:val="both"/>
        <w:rPr>
          <w:sz w:val="24"/>
          <w:szCs w:val="24"/>
        </w:rPr>
      </w:pPr>
      <w:r>
        <w:rPr>
          <w:sz w:val="24"/>
          <w:szCs w:val="24"/>
        </w:rPr>
        <w:t>Прогноз поступлений по данной статье составлял 33,02 тыс.руб., фактическое исполнение -  33,02 тыс.руб. или 100%.</w:t>
      </w:r>
    </w:p>
    <w:p>
      <w:pPr>
        <w:spacing w:before="120" w:after="60"/>
        <w:ind w:firstLine="709"/>
        <w:jc w:val="both"/>
        <w:rPr>
          <w:sz w:val="24"/>
          <w:szCs w:val="24"/>
        </w:rPr>
      </w:pPr>
      <w:r>
        <w:rPr>
          <w:sz w:val="24"/>
          <w:szCs w:val="24"/>
        </w:rPr>
        <w:t>Таблица 27. Анализ поступления доходов в виде прибыли, приходящейся на доли в уставных (складочных) капиталах хозяйственных товариществ и обществ, или дивидендов по акциям, принадлежащим городским округам за 2020 - 2021 гг.</w:t>
      </w:r>
    </w:p>
    <w:tbl>
      <w:tblPr>
        <w:tblW w:w="93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6"/>
        <w:gridCol w:w="1134"/>
        <w:gridCol w:w="1134"/>
        <w:gridCol w:w="1134"/>
        <w:gridCol w:w="1134"/>
        <w:gridCol w:w="1134"/>
        <w:gridCol w:w="709"/>
      </w:tblGrid>
      <w:tr>
        <w:trPr>
          <w:trHeight w:val="249"/>
          <w:jc w:val="center"/>
        </w:trPr>
        <w:tc>
          <w:tcPr>
            <w:tcW w:w="2936" w:type="dxa"/>
            <w:vMerge w:val="restart"/>
            <w:vAlign w:val="center"/>
          </w:tcPr>
          <w:p>
            <w:pPr>
              <w:pStyle w:val="a5"/>
              <w:ind w:right="-2"/>
              <w:jc w:val="center"/>
              <w:rPr>
                <w:sz w:val="22"/>
                <w:szCs w:val="22"/>
              </w:rPr>
            </w:pPr>
          </w:p>
          <w:p>
            <w:pPr>
              <w:pStyle w:val="a5"/>
              <w:ind w:right="-2"/>
              <w:jc w:val="center"/>
            </w:pPr>
            <w:r>
              <w:t xml:space="preserve">Наименование </w:t>
            </w:r>
          </w:p>
        </w:tc>
        <w:tc>
          <w:tcPr>
            <w:tcW w:w="1134" w:type="dxa"/>
            <w:vMerge w:val="restart"/>
            <w:vAlign w:val="center"/>
          </w:tcPr>
          <w:p>
            <w:pPr>
              <w:ind w:right="-57"/>
              <w:jc w:val="center"/>
              <w:rPr>
                <w:bCs/>
              </w:rPr>
            </w:pPr>
            <w:r>
              <w:rPr>
                <w:bCs/>
              </w:rPr>
              <w:t xml:space="preserve">Факт </w:t>
            </w:r>
          </w:p>
          <w:p>
            <w:pPr>
              <w:ind w:right="-57"/>
              <w:jc w:val="center"/>
              <w:rPr>
                <w:bCs/>
              </w:rPr>
            </w:pPr>
            <w:r>
              <w:rPr>
                <w:bCs/>
              </w:rPr>
              <w:t>2020 год, тыс.руб.</w:t>
            </w:r>
          </w:p>
        </w:tc>
        <w:tc>
          <w:tcPr>
            <w:tcW w:w="5245" w:type="dxa"/>
            <w:gridSpan w:val="5"/>
            <w:vAlign w:val="center"/>
          </w:tcPr>
          <w:p>
            <w:pPr>
              <w:ind w:left="-57" w:right="-57"/>
              <w:jc w:val="center"/>
            </w:pPr>
            <w:r>
              <w:t>2021 год</w:t>
            </w:r>
          </w:p>
        </w:tc>
      </w:tr>
      <w:tr>
        <w:trPr>
          <w:trHeight w:val="768"/>
          <w:jc w:val="center"/>
        </w:trPr>
        <w:tc>
          <w:tcPr>
            <w:tcW w:w="2936"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34" w:type="dxa"/>
          </w:tcPr>
          <w:p>
            <w:pPr>
              <w:ind w:left="-158" w:right="-108"/>
              <w:jc w:val="center"/>
            </w:pPr>
            <w:r>
              <w:t>Первона-чальный прогноз, тыс.руб.</w:t>
            </w:r>
          </w:p>
        </w:tc>
        <w:tc>
          <w:tcPr>
            <w:tcW w:w="1134" w:type="dxa"/>
            <w:shd w:val="clear" w:color="auto" w:fill="auto"/>
            <w:vAlign w:val="center"/>
          </w:tcPr>
          <w:p>
            <w:pPr>
              <w:ind w:left="-158" w:right="-108"/>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709"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217"/>
          <w:jc w:val="center"/>
        </w:trPr>
        <w:tc>
          <w:tcPr>
            <w:tcW w:w="2936" w:type="dxa"/>
            <w:vAlign w:val="center"/>
          </w:tcPr>
          <w:p>
            <w:pPr>
              <w:pStyle w:val="a5"/>
              <w:spacing w:after="0"/>
              <w:jc w:val="center"/>
              <w:rPr>
                <w:sz w:val="16"/>
                <w:szCs w:val="16"/>
              </w:rPr>
            </w:pPr>
            <w:r>
              <w:rPr>
                <w:sz w:val="16"/>
                <w:szCs w:val="16"/>
              </w:rPr>
              <w:t>1</w:t>
            </w:r>
          </w:p>
        </w:tc>
        <w:tc>
          <w:tcPr>
            <w:tcW w:w="1134" w:type="dxa"/>
            <w:vAlign w:val="center"/>
          </w:tcPr>
          <w:p>
            <w:pPr>
              <w:ind w:left="-57" w:right="-57"/>
              <w:jc w:val="center"/>
              <w:rPr>
                <w:color w:val="000000"/>
                <w:sz w:val="16"/>
                <w:szCs w:val="16"/>
              </w:rPr>
            </w:pPr>
            <w:r>
              <w:rPr>
                <w:color w:val="000000"/>
                <w:sz w:val="16"/>
                <w:szCs w:val="16"/>
              </w:rPr>
              <w:t>2</w:t>
            </w:r>
          </w:p>
        </w:tc>
        <w:tc>
          <w:tcPr>
            <w:tcW w:w="1134" w:type="dxa"/>
            <w:vAlign w:val="center"/>
          </w:tcPr>
          <w:p>
            <w:pPr>
              <w:ind w:left="-57" w:right="-57"/>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34" w:type="dxa"/>
            <w:shd w:val="clear" w:color="auto" w:fill="auto"/>
            <w:vAlign w:val="center"/>
          </w:tcPr>
          <w:p>
            <w:pPr>
              <w:jc w:val="center"/>
              <w:rPr>
                <w:color w:val="000000"/>
                <w:sz w:val="16"/>
                <w:szCs w:val="16"/>
              </w:rPr>
            </w:pPr>
            <w:r>
              <w:rPr>
                <w:color w:val="000000"/>
                <w:sz w:val="16"/>
                <w:szCs w:val="16"/>
              </w:rPr>
              <w:t>5</w:t>
            </w:r>
          </w:p>
        </w:tc>
        <w:tc>
          <w:tcPr>
            <w:tcW w:w="1134" w:type="dxa"/>
            <w:shd w:val="clear" w:color="auto" w:fill="auto"/>
            <w:vAlign w:val="center"/>
          </w:tcPr>
          <w:p>
            <w:pPr>
              <w:jc w:val="center"/>
              <w:rPr>
                <w:color w:val="000000"/>
                <w:sz w:val="16"/>
                <w:szCs w:val="16"/>
              </w:rPr>
            </w:pPr>
            <w:r>
              <w:rPr>
                <w:color w:val="000000"/>
                <w:sz w:val="16"/>
                <w:szCs w:val="16"/>
              </w:rPr>
              <w:t>6=5-4</w:t>
            </w:r>
          </w:p>
        </w:tc>
        <w:tc>
          <w:tcPr>
            <w:tcW w:w="709" w:type="dxa"/>
            <w:shd w:val="clear" w:color="auto" w:fill="auto"/>
            <w:vAlign w:val="center"/>
          </w:tcPr>
          <w:p>
            <w:pPr>
              <w:pStyle w:val="a5"/>
              <w:spacing w:after="0"/>
              <w:ind w:left="-57" w:right="-57"/>
              <w:jc w:val="center"/>
              <w:rPr>
                <w:sz w:val="16"/>
                <w:szCs w:val="16"/>
              </w:rPr>
            </w:pPr>
            <w:r>
              <w:rPr>
                <w:sz w:val="16"/>
                <w:szCs w:val="16"/>
              </w:rPr>
              <w:t>7=5/4</w:t>
            </w:r>
          </w:p>
        </w:tc>
      </w:tr>
      <w:tr>
        <w:trPr>
          <w:trHeight w:val="767"/>
          <w:jc w:val="center"/>
        </w:trPr>
        <w:tc>
          <w:tcPr>
            <w:tcW w:w="2936" w:type="dxa"/>
            <w:vAlign w:val="center"/>
          </w:tcPr>
          <w:p>
            <w:pPr>
              <w:pStyle w:val="a5"/>
              <w:tabs>
                <w:tab w:val="left" w:pos="3845"/>
              </w:tabs>
              <w:spacing w:after="0"/>
              <w:ind w:right="-57"/>
            </w:pPr>
            <w:r>
              <w:t>Доходы в виде прибыли на доли в УК по акциям, принадлежащим ЗАТО, в т.ч.:</w:t>
            </w:r>
          </w:p>
        </w:tc>
        <w:tc>
          <w:tcPr>
            <w:tcW w:w="1134" w:type="dxa"/>
            <w:shd w:val="clear" w:color="auto" w:fill="auto"/>
            <w:vAlign w:val="center"/>
          </w:tcPr>
          <w:p>
            <w:pPr>
              <w:jc w:val="right"/>
            </w:pPr>
            <w:r>
              <w:t>468,83</w:t>
            </w:r>
          </w:p>
        </w:tc>
        <w:tc>
          <w:tcPr>
            <w:tcW w:w="1134" w:type="dxa"/>
            <w:vAlign w:val="center"/>
          </w:tcPr>
          <w:p>
            <w:pPr>
              <w:jc w:val="right"/>
            </w:pPr>
            <w:r>
              <w:t>468,83</w:t>
            </w:r>
          </w:p>
        </w:tc>
        <w:tc>
          <w:tcPr>
            <w:tcW w:w="1134" w:type="dxa"/>
            <w:shd w:val="clear" w:color="auto" w:fill="auto"/>
            <w:vAlign w:val="center"/>
          </w:tcPr>
          <w:p>
            <w:pPr>
              <w:jc w:val="right"/>
            </w:pPr>
            <w:r>
              <w:t>33,02</w:t>
            </w:r>
          </w:p>
        </w:tc>
        <w:tc>
          <w:tcPr>
            <w:tcW w:w="1134" w:type="dxa"/>
            <w:shd w:val="clear" w:color="auto" w:fill="auto"/>
            <w:vAlign w:val="center"/>
          </w:tcPr>
          <w:p>
            <w:pPr>
              <w:jc w:val="right"/>
            </w:pPr>
            <w:r>
              <w:t>33,02</w:t>
            </w:r>
          </w:p>
        </w:tc>
        <w:tc>
          <w:tcPr>
            <w:tcW w:w="1134" w:type="dxa"/>
            <w:shd w:val="clear" w:color="auto" w:fill="auto"/>
            <w:vAlign w:val="center"/>
          </w:tcPr>
          <w:p>
            <w:pPr>
              <w:jc w:val="right"/>
            </w:pPr>
            <w:r>
              <w:t>-</w:t>
            </w:r>
          </w:p>
        </w:tc>
        <w:tc>
          <w:tcPr>
            <w:tcW w:w="709" w:type="dxa"/>
            <w:shd w:val="clear" w:color="auto" w:fill="auto"/>
            <w:vAlign w:val="center"/>
          </w:tcPr>
          <w:p>
            <w:pPr>
              <w:pStyle w:val="a5"/>
              <w:spacing w:after="0"/>
              <w:ind w:left="-57" w:right="-57"/>
              <w:jc w:val="center"/>
            </w:pPr>
            <w:r>
              <w:t>100,0</w:t>
            </w:r>
          </w:p>
        </w:tc>
      </w:tr>
      <w:tr>
        <w:trPr>
          <w:trHeight w:val="284"/>
          <w:jc w:val="center"/>
        </w:trPr>
        <w:tc>
          <w:tcPr>
            <w:tcW w:w="2936" w:type="dxa"/>
            <w:vAlign w:val="center"/>
          </w:tcPr>
          <w:p>
            <w:pPr>
              <w:pStyle w:val="a5"/>
              <w:tabs>
                <w:tab w:val="left" w:pos="3845"/>
              </w:tabs>
              <w:spacing w:after="0"/>
              <w:ind w:right="-57"/>
            </w:pPr>
            <w:r>
              <w:t>АО «ЕРКЦ»</w:t>
            </w:r>
          </w:p>
        </w:tc>
        <w:tc>
          <w:tcPr>
            <w:tcW w:w="1134" w:type="dxa"/>
            <w:shd w:val="clear" w:color="auto" w:fill="auto"/>
            <w:vAlign w:val="center"/>
          </w:tcPr>
          <w:p>
            <w:pPr>
              <w:jc w:val="right"/>
            </w:pPr>
            <w:r>
              <w:t>15,65</w:t>
            </w:r>
          </w:p>
        </w:tc>
        <w:tc>
          <w:tcPr>
            <w:tcW w:w="1134" w:type="dxa"/>
            <w:vAlign w:val="center"/>
          </w:tcPr>
          <w:p>
            <w:pPr>
              <w:jc w:val="right"/>
            </w:pPr>
            <w:r>
              <w:t>15,65</w:t>
            </w:r>
          </w:p>
        </w:tc>
        <w:tc>
          <w:tcPr>
            <w:tcW w:w="1134" w:type="dxa"/>
            <w:shd w:val="clear" w:color="auto" w:fill="auto"/>
            <w:vAlign w:val="center"/>
          </w:tcPr>
          <w:p>
            <w:pPr>
              <w:jc w:val="right"/>
            </w:pPr>
            <w:r>
              <w:t>16,40</w:t>
            </w:r>
          </w:p>
        </w:tc>
        <w:tc>
          <w:tcPr>
            <w:tcW w:w="1134" w:type="dxa"/>
            <w:shd w:val="clear" w:color="auto" w:fill="auto"/>
            <w:vAlign w:val="center"/>
          </w:tcPr>
          <w:p>
            <w:pPr>
              <w:jc w:val="right"/>
            </w:pPr>
            <w:r>
              <w:t>16,40</w:t>
            </w:r>
          </w:p>
        </w:tc>
        <w:tc>
          <w:tcPr>
            <w:tcW w:w="1134" w:type="dxa"/>
            <w:shd w:val="clear" w:color="auto" w:fill="auto"/>
            <w:vAlign w:val="center"/>
          </w:tcPr>
          <w:p>
            <w:pPr>
              <w:jc w:val="right"/>
            </w:pPr>
            <w:r>
              <w:t>-</w:t>
            </w:r>
          </w:p>
        </w:tc>
        <w:tc>
          <w:tcPr>
            <w:tcW w:w="709" w:type="dxa"/>
            <w:shd w:val="clear" w:color="auto" w:fill="auto"/>
            <w:vAlign w:val="center"/>
          </w:tcPr>
          <w:p>
            <w:pPr>
              <w:pStyle w:val="a5"/>
              <w:spacing w:after="0"/>
              <w:ind w:left="-57" w:right="-57"/>
              <w:jc w:val="center"/>
            </w:pPr>
            <w:r>
              <w:t>100,0</w:t>
            </w:r>
          </w:p>
        </w:tc>
      </w:tr>
      <w:tr>
        <w:trPr>
          <w:trHeight w:val="284"/>
          <w:jc w:val="center"/>
        </w:trPr>
        <w:tc>
          <w:tcPr>
            <w:tcW w:w="2936" w:type="dxa"/>
            <w:vAlign w:val="center"/>
          </w:tcPr>
          <w:p>
            <w:pPr>
              <w:pStyle w:val="a5"/>
              <w:tabs>
                <w:tab w:val="left" w:pos="3845"/>
              </w:tabs>
              <w:spacing w:after="0"/>
              <w:ind w:right="-57"/>
            </w:pPr>
            <w:r>
              <w:t>ООО «Городские аптеки»</w:t>
            </w:r>
          </w:p>
        </w:tc>
        <w:tc>
          <w:tcPr>
            <w:tcW w:w="1134" w:type="dxa"/>
            <w:shd w:val="clear" w:color="auto" w:fill="auto"/>
            <w:vAlign w:val="center"/>
          </w:tcPr>
          <w:p>
            <w:pPr>
              <w:jc w:val="right"/>
            </w:pPr>
          </w:p>
        </w:tc>
        <w:tc>
          <w:tcPr>
            <w:tcW w:w="1134" w:type="dxa"/>
            <w:vAlign w:val="center"/>
          </w:tcPr>
          <w:p>
            <w:pPr>
              <w:jc w:val="right"/>
            </w:pPr>
          </w:p>
        </w:tc>
        <w:tc>
          <w:tcPr>
            <w:tcW w:w="1134" w:type="dxa"/>
            <w:shd w:val="clear" w:color="auto" w:fill="auto"/>
            <w:vAlign w:val="center"/>
          </w:tcPr>
          <w:p>
            <w:pPr>
              <w:jc w:val="right"/>
            </w:pPr>
            <w:r>
              <w:t>16,62</w:t>
            </w:r>
          </w:p>
        </w:tc>
        <w:tc>
          <w:tcPr>
            <w:tcW w:w="1134" w:type="dxa"/>
            <w:shd w:val="clear" w:color="auto" w:fill="auto"/>
            <w:vAlign w:val="center"/>
          </w:tcPr>
          <w:p>
            <w:pPr>
              <w:jc w:val="right"/>
            </w:pPr>
            <w:r>
              <w:t>16,62</w:t>
            </w:r>
          </w:p>
        </w:tc>
        <w:tc>
          <w:tcPr>
            <w:tcW w:w="1134" w:type="dxa"/>
            <w:shd w:val="clear" w:color="auto" w:fill="auto"/>
            <w:vAlign w:val="center"/>
          </w:tcPr>
          <w:p>
            <w:pPr>
              <w:jc w:val="right"/>
            </w:pPr>
            <w:r>
              <w:t>-</w:t>
            </w:r>
          </w:p>
        </w:tc>
        <w:tc>
          <w:tcPr>
            <w:tcW w:w="709" w:type="dxa"/>
            <w:shd w:val="clear" w:color="auto" w:fill="auto"/>
            <w:vAlign w:val="center"/>
          </w:tcPr>
          <w:p>
            <w:pPr>
              <w:pStyle w:val="a5"/>
              <w:spacing w:after="0"/>
              <w:ind w:left="-57" w:right="-57"/>
              <w:jc w:val="center"/>
            </w:pPr>
            <w:r>
              <w:t>100,0</w:t>
            </w:r>
          </w:p>
        </w:tc>
      </w:tr>
      <w:tr>
        <w:trPr>
          <w:trHeight w:val="284"/>
          <w:jc w:val="center"/>
        </w:trPr>
        <w:tc>
          <w:tcPr>
            <w:tcW w:w="2936" w:type="dxa"/>
            <w:vAlign w:val="center"/>
          </w:tcPr>
          <w:p>
            <w:pPr>
              <w:pStyle w:val="a5"/>
              <w:tabs>
                <w:tab w:val="left" w:pos="3845"/>
              </w:tabs>
              <w:spacing w:after="0"/>
              <w:ind w:right="-57"/>
            </w:pPr>
            <w:r>
              <w:t>АО «СВК»</w:t>
            </w:r>
          </w:p>
        </w:tc>
        <w:tc>
          <w:tcPr>
            <w:tcW w:w="1134" w:type="dxa"/>
            <w:shd w:val="clear" w:color="auto" w:fill="auto"/>
            <w:vAlign w:val="center"/>
          </w:tcPr>
          <w:p>
            <w:pPr>
              <w:jc w:val="right"/>
            </w:pPr>
            <w:r>
              <w:t>453,18</w:t>
            </w:r>
          </w:p>
        </w:tc>
        <w:tc>
          <w:tcPr>
            <w:tcW w:w="1134" w:type="dxa"/>
            <w:vAlign w:val="center"/>
          </w:tcPr>
          <w:p>
            <w:pPr>
              <w:jc w:val="right"/>
            </w:pPr>
            <w:r>
              <w:t>453,18</w:t>
            </w:r>
          </w:p>
        </w:tc>
        <w:tc>
          <w:tcPr>
            <w:tcW w:w="1134" w:type="dxa"/>
            <w:shd w:val="clear" w:color="auto" w:fill="auto"/>
            <w:vAlign w:val="center"/>
          </w:tcPr>
          <w:p>
            <w:pPr>
              <w:jc w:val="right"/>
            </w:pPr>
          </w:p>
        </w:tc>
        <w:tc>
          <w:tcPr>
            <w:tcW w:w="1134" w:type="dxa"/>
            <w:shd w:val="clear" w:color="auto" w:fill="auto"/>
            <w:vAlign w:val="center"/>
          </w:tcPr>
          <w:p>
            <w:pPr>
              <w:jc w:val="right"/>
            </w:pPr>
          </w:p>
        </w:tc>
        <w:tc>
          <w:tcPr>
            <w:tcW w:w="1134" w:type="dxa"/>
            <w:shd w:val="clear" w:color="auto" w:fill="auto"/>
            <w:vAlign w:val="center"/>
          </w:tcPr>
          <w:p>
            <w:pPr>
              <w:jc w:val="right"/>
            </w:pPr>
            <w:r>
              <w:t>-</w:t>
            </w:r>
          </w:p>
        </w:tc>
        <w:tc>
          <w:tcPr>
            <w:tcW w:w="709" w:type="dxa"/>
            <w:shd w:val="clear" w:color="auto" w:fill="auto"/>
            <w:vAlign w:val="center"/>
          </w:tcPr>
          <w:p>
            <w:pPr>
              <w:pStyle w:val="a5"/>
              <w:spacing w:after="0"/>
              <w:ind w:left="-57" w:right="-57"/>
              <w:jc w:val="center"/>
            </w:pPr>
            <w:r>
              <w:t>-</w:t>
            </w:r>
          </w:p>
        </w:tc>
      </w:tr>
    </w:tbl>
    <w:p>
      <w:pPr>
        <w:spacing w:before="120"/>
        <w:ind w:firstLine="709"/>
        <w:jc w:val="both"/>
        <w:rPr>
          <w:sz w:val="24"/>
          <w:szCs w:val="24"/>
        </w:rPr>
      </w:pPr>
      <w:r>
        <w:rPr>
          <w:sz w:val="24"/>
          <w:szCs w:val="24"/>
        </w:rPr>
        <w:t>По сравнению с 2020 годом поступление доходов по статье уменьшилось на 435,81 тыс.руб., что обусловлено отсутствием прибыли АО «СВК» за 2020 год в связи созданного резерва по сомнительным долгам по группе контрагентов «население».</w:t>
      </w:r>
    </w:p>
    <w:p>
      <w:pPr>
        <w:pStyle w:val="a5"/>
        <w:jc w:val="center"/>
        <w:rPr>
          <w:b/>
          <w:i/>
          <w:sz w:val="16"/>
          <w:szCs w:val="16"/>
        </w:rPr>
      </w:pPr>
    </w:p>
    <w:p>
      <w:pPr>
        <w:pStyle w:val="a5"/>
        <w:jc w:val="center"/>
        <w:rPr>
          <w:b/>
          <w:i/>
          <w:sz w:val="24"/>
          <w:szCs w:val="24"/>
        </w:rPr>
      </w:pPr>
      <w:r>
        <w:rPr>
          <w:b/>
          <w:i/>
          <w:sz w:val="24"/>
          <w:szCs w:val="24"/>
        </w:rPr>
        <w:t>3.2.1.2. Арендная плата за землю</w:t>
      </w:r>
    </w:p>
    <w:p>
      <w:pPr>
        <w:tabs>
          <w:tab w:val="left" w:pos="0"/>
        </w:tabs>
        <w:ind w:firstLine="709"/>
        <w:jc w:val="both"/>
        <w:rPr>
          <w:sz w:val="24"/>
          <w:szCs w:val="24"/>
        </w:rPr>
      </w:pPr>
      <w:r>
        <w:rPr>
          <w:sz w:val="24"/>
          <w:szCs w:val="24"/>
        </w:rPr>
        <w:t>Прогноз поступлений по статье «Арендная плата за землю» составлял 94 466,98 тыс.руб., фактическое исполнение – 95 515,92 тыс.руб., перевыполнение на 1 048,94 тыс.руб. или на 1,1%.</w:t>
      </w:r>
    </w:p>
    <w:p>
      <w:pPr>
        <w:pStyle w:val="a5"/>
        <w:spacing w:before="120" w:after="60"/>
        <w:ind w:firstLine="709"/>
        <w:rPr>
          <w:sz w:val="24"/>
          <w:szCs w:val="24"/>
        </w:rPr>
      </w:pPr>
      <w:r>
        <w:rPr>
          <w:sz w:val="24"/>
          <w:szCs w:val="24"/>
        </w:rPr>
        <w:t>Таблица 28. Поступление арендной платы за землю в 2020-2021 гг. по подстатьям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69"/>
        <w:gridCol w:w="992"/>
        <w:gridCol w:w="1134"/>
        <w:gridCol w:w="1134"/>
        <w:gridCol w:w="992"/>
        <w:gridCol w:w="992"/>
        <w:gridCol w:w="851"/>
      </w:tblGrid>
      <w:tr>
        <w:trPr>
          <w:trHeight w:val="263"/>
        </w:trPr>
        <w:tc>
          <w:tcPr>
            <w:tcW w:w="3369" w:type="dxa"/>
            <w:vMerge w:val="restart"/>
            <w:shd w:val="clear" w:color="auto" w:fill="auto"/>
            <w:vAlign w:val="center"/>
          </w:tcPr>
          <w:p>
            <w:pPr>
              <w:pStyle w:val="a5"/>
              <w:jc w:val="center"/>
            </w:pPr>
            <w:r>
              <w:t xml:space="preserve">Наименование </w:t>
            </w:r>
          </w:p>
        </w:tc>
        <w:tc>
          <w:tcPr>
            <w:tcW w:w="992" w:type="dxa"/>
            <w:vMerge w:val="restart"/>
            <w:vAlign w:val="center"/>
          </w:tcPr>
          <w:p>
            <w:pPr>
              <w:ind w:right="-57"/>
              <w:jc w:val="center"/>
              <w:rPr>
                <w:bCs/>
              </w:rPr>
            </w:pPr>
            <w:r>
              <w:rPr>
                <w:bCs/>
              </w:rPr>
              <w:t>Факт</w:t>
            </w:r>
          </w:p>
          <w:p>
            <w:pPr>
              <w:pStyle w:val="a5"/>
              <w:spacing w:after="0"/>
              <w:ind w:left="-142" w:right="-122"/>
              <w:jc w:val="center"/>
              <w:rPr>
                <w:sz w:val="22"/>
                <w:szCs w:val="22"/>
              </w:rPr>
            </w:pPr>
            <w:r>
              <w:rPr>
                <w:bCs/>
              </w:rPr>
              <w:t>2020 год, тыс.руб.</w:t>
            </w:r>
          </w:p>
        </w:tc>
        <w:tc>
          <w:tcPr>
            <w:tcW w:w="5103" w:type="dxa"/>
            <w:gridSpan w:val="5"/>
          </w:tcPr>
          <w:p>
            <w:pPr>
              <w:pStyle w:val="a5"/>
              <w:spacing w:after="0"/>
              <w:ind w:left="-107" w:right="-156"/>
              <w:jc w:val="center"/>
              <w:rPr>
                <w:sz w:val="22"/>
                <w:szCs w:val="22"/>
              </w:rPr>
            </w:pPr>
            <w:r>
              <w:rPr>
                <w:sz w:val="22"/>
                <w:szCs w:val="22"/>
              </w:rPr>
              <w:t>2021 год</w:t>
            </w:r>
          </w:p>
        </w:tc>
      </w:tr>
      <w:tr>
        <w:trPr>
          <w:trHeight w:val="610"/>
        </w:trPr>
        <w:tc>
          <w:tcPr>
            <w:tcW w:w="3369" w:type="dxa"/>
            <w:vMerge/>
            <w:shd w:val="clear" w:color="auto" w:fill="auto"/>
            <w:vAlign w:val="center"/>
          </w:tcPr>
          <w:p>
            <w:pPr>
              <w:pStyle w:val="a5"/>
              <w:jc w:val="center"/>
              <w:rPr>
                <w:sz w:val="22"/>
                <w:szCs w:val="22"/>
              </w:rPr>
            </w:pPr>
          </w:p>
        </w:tc>
        <w:tc>
          <w:tcPr>
            <w:tcW w:w="992" w:type="dxa"/>
            <w:vMerge/>
          </w:tcPr>
          <w:p>
            <w:pPr>
              <w:pStyle w:val="a5"/>
              <w:spacing w:after="0"/>
              <w:ind w:left="-142" w:right="-122"/>
              <w:jc w:val="center"/>
              <w:rPr>
                <w:sz w:val="22"/>
                <w:szCs w:val="22"/>
              </w:rPr>
            </w:pPr>
          </w:p>
        </w:tc>
        <w:tc>
          <w:tcPr>
            <w:tcW w:w="1134" w:type="dxa"/>
          </w:tcPr>
          <w:p>
            <w:pPr>
              <w:ind w:left="-158" w:right="-108"/>
              <w:jc w:val="center"/>
            </w:pPr>
            <w:r>
              <w:t>Первона-чальный прогноз, тыс.руб.</w:t>
            </w:r>
          </w:p>
        </w:tc>
        <w:tc>
          <w:tcPr>
            <w:tcW w:w="1134" w:type="dxa"/>
            <w:shd w:val="clear" w:color="auto" w:fill="auto"/>
            <w:vAlign w:val="center"/>
          </w:tcPr>
          <w:p>
            <w:pPr>
              <w:ind w:left="-158" w:right="-108"/>
              <w:jc w:val="center"/>
            </w:pPr>
            <w:r>
              <w:t>Уточненный прогноз,</w:t>
            </w:r>
            <w:r>
              <w:br/>
              <w:t>тыс.руб.</w:t>
            </w:r>
          </w:p>
        </w:tc>
        <w:tc>
          <w:tcPr>
            <w:tcW w:w="992" w:type="dxa"/>
            <w:shd w:val="clear" w:color="auto" w:fill="auto"/>
            <w:vAlign w:val="center"/>
          </w:tcPr>
          <w:p>
            <w:pPr>
              <w:ind w:left="-108" w:right="-108"/>
              <w:jc w:val="center"/>
            </w:pPr>
            <w:r>
              <w:t xml:space="preserve">Факт, </w:t>
            </w:r>
            <w:r>
              <w:br/>
              <w:t>тыс.руб.</w:t>
            </w:r>
          </w:p>
        </w:tc>
        <w:tc>
          <w:tcPr>
            <w:tcW w:w="992" w:type="dxa"/>
            <w:shd w:val="clear" w:color="auto" w:fill="auto"/>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51" w:type="dxa"/>
            <w:shd w:val="clear" w:color="auto" w:fill="auto"/>
            <w:vAlign w:val="center"/>
          </w:tcPr>
          <w:p>
            <w:pPr>
              <w:pStyle w:val="a5"/>
              <w:tabs>
                <w:tab w:val="left" w:pos="-192"/>
                <w:tab w:val="left" w:pos="-77"/>
              </w:tabs>
              <w:spacing w:after="0"/>
              <w:ind w:left="-108" w:right="-108"/>
              <w:jc w:val="center"/>
            </w:pPr>
            <w:r>
              <w:t>%</w:t>
            </w:r>
          </w:p>
          <w:p>
            <w:pPr>
              <w:pStyle w:val="a5"/>
              <w:tabs>
                <w:tab w:val="left" w:pos="-192"/>
                <w:tab w:val="left" w:pos="-77"/>
              </w:tabs>
              <w:spacing w:after="0"/>
              <w:ind w:left="-108" w:right="-108"/>
              <w:jc w:val="center"/>
            </w:pPr>
            <w:r>
              <w:t>испол-нения</w:t>
            </w:r>
          </w:p>
        </w:tc>
      </w:tr>
      <w:tr>
        <w:trPr>
          <w:trHeight w:val="137"/>
        </w:trPr>
        <w:tc>
          <w:tcPr>
            <w:tcW w:w="3369" w:type="dxa"/>
            <w:shd w:val="clear" w:color="auto" w:fill="auto"/>
          </w:tcPr>
          <w:p>
            <w:pPr>
              <w:pStyle w:val="a5"/>
              <w:spacing w:after="0"/>
              <w:ind w:right="-2"/>
              <w:jc w:val="center"/>
              <w:rPr>
                <w:sz w:val="16"/>
                <w:szCs w:val="16"/>
              </w:rPr>
            </w:pPr>
            <w:r>
              <w:rPr>
                <w:sz w:val="16"/>
                <w:szCs w:val="16"/>
              </w:rPr>
              <w:t>1</w:t>
            </w:r>
          </w:p>
        </w:tc>
        <w:tc>
          <w:tcPr>
            <w:tcW w:w="992" w:type="dxa"/>
          </w:tcPr>
          <w:p>
            <w:pPr>
              <w:pStyle w:val="a5"/>
              <w:spacing w:after="0"/>
              <w:ind w:right="-57"/>
              <w:jc w:val="center"/>
              <w:rPr>
                <w:sz w:val="16"/>
                <w:szCs w:val="16"/>
              </w:rPr>
            </w:pPr>
            <w:r>
              <w:rPr>
                <w:sz w:val="16"/>
                <w:szCs w:val="16"/>
              </w:rPr>
              <w:t>2</w:t>
            </w:r>
          </w:p>
        </w:tc>
        <w:tc>
          <w:tcPr>
            <w:tcW w:w="1134" w:type="dxa"/>
          </w:tcPr>
          <w:p>
            <w:pPr>
              <w:pStyle w:val="a5"/>
              <w:spacing w:after="0"/>
              <w:ind w:right="-57"/>
              <w:jc w:val="center"/>
              <w:rPr>
                <w:sz w:val="16"/>
                <w:szCs w:val="16"/>
              </w:rPr>
            </w:pPr>
            <w:r>
              <w:rPr>
                <w:sz w:val="16"/>
                <w:szCs w:val="16"/>
              </w:rPr>
              <w:t>3</w:t>
            </w:r>
          </w:p>
        </w:tc>
        <w:tc>
          <w:tcPr>
            <w:tcW w:w="1134" w:type="dxa"/>
            <w:shd w:val="clear" w:color="auto" w:fill="auto"/>
          </w:tcPr>
          <w:p>
            <w:pPr>
              <w:pStyle w:val="a5"/>
              <w:spacing w:after="0"/>
              <w:ind w:right="-57"/>
              <w:jc w:val="center"/>
              <w:rPr>
                <w:sz w:val="16"/>
                <w:szCs w:val="16"/>
              </w:rPr>
            </w:pPr>
            <w:r>
              <w:rPr>
                <w:sz w:val="16"/>
                <w:szCs w:val="16"/>
              </w:rPr>
              <w:t>4</w:t>
            </w:r>
          </w:p>
        </w:tc>
        <w:tc>
          <w:tcPr>
            <w:tcW w:w="992" w:type="dxa"/>
            <w:shd w:val="clear" w:color="auto" w:fill="auto"/>
          </w:tcPr>
          <w:p>
            <w:pPr>
              <w:pStyle w:val="a5"/>
              <w:spacing w:after="0"/>
              <w:ind w:right="-57"/>
              <w:jc w:val="center"/>
              <w:rPr>
                <w:sz w:val="16"/>
                <w:szCs w:val="16"/>
              </w:rPr>
            </w:pPr>
            <w:r>
              <w:rPr>
                <w:sz w:val="16"/>
                <w:szCs w:val="16"/>
              </w:rPr>
              <w:t>5</w:t>
            </w:r>
          </w:p>
        </w:tc>
        <w:tc>
          <w:tcPr>
            <w:tcW w:w="992" w:type="dxa"/>
            <w:shd w:val="clear" w:color="auto" w:fill="auto"/>
          </w:tcPr>
          <w:p>
            <w:pPr>
              <w:pStyle w:val="a5"/>
              <w:spacing w:after="0"/>
              <w:ind w:left="-107" w:right="-108"/>
              <w:jc w:val="center"/>
              <w:rPr>
                <w:sz w:val="16"/>
                <w:szCs w:val="16"/>
              </w:rPr>
            </w:pPr>
            <w:r>
              <w:rPr>
                <w:sz w:val="16"/>
                <w:szCs w:val="16"/>
              </w:rPr>
              <w:t>6=5-4</w:t>
            </w:r>
          </w:p>
        </w:tc>
        <w:tc>
          <w:tcPr>
            <w:tcW w:w="851" w:type="dxa"/>
            <w:shd w:val="clear" w:color="auto" w:fill="auto"/>
          </w:tcPr>
          <w:p>
            <w:pPr>
              <w:pStyle w:val="a5"/>
              <w:spacing w:after="0"/>
              <w:ind w:left="-107" w:right="-108"/>
              <w:jc w:val="center"/>
              <w:rPr>
                <w:sz w:val="16"/>
                <w:szCs w:val="16"/>
              </w:rPr>
            </w:pPr>
            <w:r>
              <w:rPr>
                <w:sz w:val="16"/>
                <w:szCs w:val="16"/>
              </w:rPr>
              <w:t>7=5/4</w:t>
            </w:r>
          </w:p>
        </w:tc>
      </w:tr>
      <w:tr>
        <w:trPr>
          <w:trHeight w:val="241"/>
        </w:trPr>
        <w:tc>
          <w:tcPr>
            <w:tcW w:w="3369" w:type="dxa"/>
            <w:shd w:val="clear" w:color="auto" w:fill="auto"/>
          </w:tcPr>
          <w:p>
            <w:pPr>
              <w:pStyle w:val="a5"/>
              <w:spacing w:after="0"/>
              <w:ind w:right="-2"/>
            </w:pPr>
            <w:r>
              <w:t>Арендная плата за землю, всего:</w:t>
            </w:r>
          </w:p>
        </w:tc>
        <w:tc>
          <w:tcPr>
            <w:tcW w:w="992" w:type="dxa"/>
            <w:shd w:val="clear" w:color="auto" w:fill="auto"/>
            <w:vAlign w:val="center"/>
          </w:tcPr>
          <w:p>
            <w:pPr>
              <w:pStyle w:val="a5"/>
              <w:spacing w:after="0"/>
              <w:ind w:right="-57"/>
              <w:jc w:val="right"/>
            </w:pPr>
            <w:r>
              <w:t>52 378,91</w:t>
            </w:r>
          </w:p>
        </w:tc>
        <w:tc>
          <w:tcPr>
            <w:tcW w:w="1134" w:type="dxa"/>
            <w:vAlign w:val="center"/>
          </w:tcPr>
          <w:p>
            <w:pPr>
              <w:pStyle w:val="a5"/>
              <w:spacing w:after="0"/>
              <w:ind w:right="-57"/>
              <w:jc w:val="right"/>
            </w:pPr>
            <w:r>
              <w:t>43 378,12</w:t>
            </w:r>
          </w:p>
        </w:tc>
        <w:tc>
          <w:tcPr>
            <w:tcW w:w="1134" w:type="dxa"/>
            <w:shd w:val="clear" w:color="auto" w:fill="auto"/>
            <w:vAlign w:val="center"/>
          </w:tcPr>
          <w:p>
            <w:pPr>
              <w:pStyle w:val="a5"/>
              <w:spacing w:after="0"/>
              <w:ind w:right="-57"/>
              <w:jc w:val="right"/>
            </w:pPr>
            <w:r>
              <w:t>94 466,98</w:t>
            </w:r>
          </w:p>
        </w:tc>
        <w:tc>
          <w:tcPr>
            <w:tcW w:w="992" w:type="dxa"/>
            <w:shd w:val="clear" w:color="auto" w:fill="auto"/>
            <w:vAlign w:val="center"/>
          </w:tcPr>
          <w:p>
            <w:pPr>
              <w:pStyle w:val="a5"/>
              <w:spacing w:after="0"/>
              <w:ind w:right="-57"/>
              <w:jc w:val="right"/>
            </w:pPr>
            <w:r>
              <w:t>95 515,92</w:t>
            </w:r>
          </w:p>
        </w:tc>
        <w:tc>
          <w:tcPr>
            <w:tcW w:w="992" w:type="dxa"/>
            <w:shd w:val="clear" w:color="auto" w:fill="auto"/>
            <w:vAlign w:val="center"/>
          </w:tcPr>
          <w:p>
            <w:pPr>
              <w:pStyle w:val="a5"/>
              <w:spacing w:after="0"/>
              <w:ind w:right="-57"/>
              <w:jc w:val="right"/>
            </w:pPr>
            <w:r>
              <w:t>1 048,94</w:t>
            </w:r>
          </w:p>
        </w:tc>
        <w:tc>
          <w:tcPr>
            <w:tcW w:w="851" w:type="dxa"/>
            <w:shd w:val="clear" w:color="auto" w:fill="auto"/>
            <w:vAlign w:val="center"/>
          </w:tcPr>
          <w:p>
            <w:pPr>
              <w:pStyle w:val="a5"/>
              <w:spacing w:after="0"/>
              <w:ind w:left="-107" w:right="-108"/>
              <w:jc w:val="right"/>
            </w:pPr>
            <w:r>
              <w:t>101,1</w:t>
            </w:r>
          </w:p>
        </w:tc>
      </w:tr>
      <w:tr>
        <w:trPr>
          <w:trHeight w:val="979"/>
        </w:trPr>
        <w:tc>
          <w:tcPr>
            <w:tcW w:w="3369" w:type="dxa"/>
            <w:shd w:val="clear" w:color="auto" w:fill="auto"/>
          </w:tcPr>
          <w:p>
            <w:pPr>
              <w:pStyle w:val="a5"/>
              <w:spacing w:after="0"/>
            </w:pPr>
            <w:r>
              <w:t>Доходы, получаемые в виде арендной платы за земельные участки, государственная собственность на которые не разграничена</w:t>
            </w:r>
          </w:p>
        </w:tc>
        <w:tc>
          <w:tcPr>
            <w:tcW w:w="992" w:type="dxa"/>
            <w:shd w:val="clear" w:color="auto" w:fill="auto"/>
            <w:vAlign w:val="center"/>
          </w:tcPr>
          <w:p>
            <w:pPr>
              <w:ind w:right="-57"/>
              <w:jc w:val="right"/>
            </w:pPr>
            <w:r>
              <w:t>18 909,10</w:t>
            </w:r>
          </w:p>
        </w:tc>
        <w:tc>
          <w:tcPr>
            <w:tcW w:w="1134" w:type="dxa"/>
            <w:vAlign w:val="center"/>
          </w:tcPr>
          <w:p>
            <w:pPr>
              <w:ind w:right="-57"/>
              <w:jc w:val="right"/>
            </w:pPr>
            <w:r>
              <w:t>21 803,70</w:t>
            </w:r>
          </w:p>
        </w:tc>
        <w:tc>
          <w:tcPr>
            <w:tcW w:w="1134" w:type="dxa"/>
            <w:shd w:val="clear" w:color="auto" w:fill="auto"/>
            <w:vAlign w:val="center"/>
          </w:tcPr>
          <w:p>
            <w:pPr>
              <w:ind w:right="-57"/>
              <w:jc w:val="right"/>
            </w:pPr>
            <w:r>
              <w:t>27 034,42</w:t>
            </w:r>
          </w:p>
        </w:tc>
        <w:tc>
          <w:tcPr>
            <w:tcW w:w="992" w:type="dxa"/>
            <w:shd w:val="clear" w:color="auto" w:fill="auto"/>
            <w:vAlign w:val="center"/>
          </w:tcPr>
          <w:p>
            <w:pPr>
              <w:ind w:right="-57"/>
              <w:jc w:val="right"/>
            </w:pPr>
            <w:r>
              <w:t>27 674,65</w:t>
            </w:r>
          </w:p>
        </w:tc>
        <w:tc>
          <w:tcPr>
            <w:tcW w:w="992" w:type="dxa"/>
            <w:shd w:val="clear" w:color="auto" w:fill="auto"/>
            <w:vAlign w:val="center"/>
          </w:tcPr>
          <w:p>
            <w:pPr>
              <w:ind w:right="-57"/>
              <w:jc w:val="right"/>
              <w:rPr>
                <w:color w:val="000000"/>
              </w:rPr>
            </w:pPr>
            <w:r>
              <w:rPr>
                <w:color w:val="000000"/>
              </w:rPr>
              <w:t>640,23</w:t>
            </w:r>
          </w:p>
        </w:tc>
        <w:tc>
          <w:tcPr>
            <w:tcW w:w="851" w:type="dxa"/>
            <w:shd w:val="clear" w:color="auto" w:fill="auto"/>
            <w:vAlign w:val="center"/>
          </w:tcPr>
          <w:p>
            <w:pPr>
              <w:ind w:left="-108" w:right="-108"/>
              <w:jc w:val="right"/>
              <w:rPr>
                <w:color w:val="000000"/>
              </w:rPr>
            </w:pPr>
            <w:r>
              <w:rPr>
                <w:color w:val="000000"/>
              </w:rPr>
              <w:t>102,4</w:t>
            </w:r>
          </w:p>
        </w:tc>
      </w:tr>
      <w:tr>
        <w:trPr>
          <w:trHeight w:val="826"/>
        </w:trPr>
        <w:tc>
          <w:tcPr>
            <w:tcW w:w="3369" w:type="dxa"/>
            <w:shd w:val="clear" w:color="auto" w:fill="auto"/>
          </w:tcPr>
          <w:p>
            <w:pPr>
              <w:pStyle w:val="a5"/>
              <w:spacing w:after="0"/>
            </w:pPr>
            <w:r>
              <w:t>Доходы, получаемые в виде арендной платы за земельные участки, находящиеся в собственности городских округов</w:t>
            </w:r>
          </w:p>
        </w:tc>
        <w:tc>
          <w:tcPr>
            <w:tcW w:w="992" w:type="dxa"/>
            <w:shd w:val="clear" w:color="auto" w:fill="auto"/>
            <w:vAlign w:val="center"/>
          </w:tcPr>
          <w:p>
            <w:pPr>
              <w:ind w:right="-57"/>
              <w:jc w:val="right"/>
            </w:pPr>
            <w:r>
              <w:t>33 468,39</w:t>
            </w:r>
          </w:p>
        </w:tc>
        <w:tc>
          <w:tcPr>
            <w:tcW w:w="1134" w:type="dxa"/>
            <w:vAlign w:val="center"/>
          </w:tcPr>
          <w:p>
            <w:pPr>
              <w:ind w:right="-57"/>
              <w:jc w:val="right"/>
            </w:pPr>
            <w:r>
              <w:t>21 573,00</w:t>
            </w:r>
          </w:p>
        </w:tc>
        <w:tc>
          <w:tcPr>
            <w:tcW w:w="1134" w:type="dxa"/>
            <w:shd w:val="clear" w:color="auto" w:fill="auto"/>
            <w:vAlign w:val="center"/>
          </w:tcPr>
          <w:p>
            <w:pPr>
              <w:ind w:right="-57"/>
              <w:jc w:val="right"/>
            </w:pPr>
            <w:r>
              <w:t>67 431,14</w:t>
            </w:r>
          </w:p>
        </w:tc>
        <w:tc>
          <w:tcPr>
            <w:tcW w:w="992" w:type="dxa"/>
            <w:shd w:val="clear" w:color="auto" w:fill="auto"/>
            <w:vAlign w:val="center"/>
          </w:tcPr>
          <w:p>
            <w:pPr>
              <w:ind w:right="-57"/>
              <w:jc w:val="right"/>
            </w:pPr>
            <w:r>
              <w:t>67 841,20</w:t>
            </w:r>
          </w:p>
        </w:tc>
        <w:tc>
          <w:tcPr>
            <w:tcW w:w="992" w:type="dxa"/>
            <w:shd w:val="clear" w:color="auto" w:fill="auto"/>
            <w:vAlign w:val="center"/>
          </w:tcPr>
          <w:p>
            <w:pPr>
              <w:ind w:right="-57"/>
              <w:jc w:val="right"/>
            </w:pPr>
            <w:r>
              <w:t>410,06</w:t>
            </w:r>
          </w:p>
        </w:tc>
        <w:tc>
          <w:tcPr>
            <w:tcW w:w="851" w:type="dxa"/>
            <w:shd w:val="clear" w:color="auto" w:fill="auto"/>
            <w:vAlign w:val="center"/>
          </w:tcPr>
          <w:p>
            <w:pPr>
              <w:ind w:left="-108" w:right="-108"/>
              <w:jc w:val="right"/>
            </w:pPr>
            <w:r>
              <w:t>100,6</w:t>
            </w:r>
          </w:p>
        </w:tc>
      </w:tr>
      <w:tr>
        <w:trPr>
          <w:trHeight w:val="558"/>
        </w:trPr>
        <w:tc>
          <w:tcPr>
            <w:tcW w:w="3369" w:type="dxa"/>
            <w:shd w:val="clear" w:color="auto" w:fill="auto"/>
          </w:tcPr>
          <w:p>
            <w:pPr>
              <w:pStyle w:val="a5"/>
              <w:spacing w:after="0"/>
            </w:pPr>
            <w:r>
              <w:t>Плата по соглашениям об установлении сервитута за земельные участки, государственная собственность на которые не разграничена</w:t>
            </w:r>
          </w:p>
        </w:tc>
        <w:tc>
          <w:tcPr>
            <w:tcW w:w="992" w:type="dxa"/>
            <w:shd w:val="clear" w:color="auto" w:fill="auto"/>
            <w:vAlign w:val="center"/>
          </w:tcPr>
          <w:p>
            <w:pPr>
              <w:ind w:right="-57"/>
              <w:jc w:val="right"/>
            </w:pPr>
            <w:r>
              <w:t>0,04</w:t>
            </w:r>
          </w:p>
        </w:tc>
        <w:tc>
          <w:tcPr>
            <w:tcW w:w="1134" w:type="dxa"/>
            <w:vAlign w:val="center"/>
          </w:tcPr>
          <w:p>
            <w:pPr>
              <w:ind w:right="-57"/>
              <w:jc w:val="right"/>
            </w:pPr>
            <w:r>
              <w:t>1,42</w:t>
            </w:r>
          </w:p>
        </w:tc>
        <w:tc>
          <w:tcPr>
            <w:tcW w:w="1134" w:type="dxa"/>
            <w:shd w:val="clear" w:color="auto" w:fill="auto"/>
            <w:vAlign w:val="center"/>
          </w:tcPr>
          <w:p>
            <w:pPr>
              <w:ind w:right="-57"/>
              <w:jc w:val="right"/>
            </w:pPr>
            <w:r>
              <w:t>1,42</w:t>
            </w:r>
          </w:p>
        </w:tc>
        <w:tc>
          <w:tcPr>
            <w:tcW w:w="992" w:type="dxa"/>
            <w:shd w:val="clear" w:color="auto" w:fill="auto"/>
            <w:vAlign w:val="center"/>
          </w:tcPr>
          <w:p>
            <w:pPr>
              <w:ind w:right="-57"/>
              <w:jc w:val="right"/>
            </w:pPr>
            <w:r>
              <w:t>0,07</w:t>
            </w:r>
          </w:p>
        </w:tc>
        <w:tc>
          <w:tcPr>
            <w:tcW w:w="992" w:type="dxa"/>
            <w:shd w:val="clear" w:color="auto" w:fill="auto"/>
            <w:vAlign w:val="center"/>
          </w:tcPr>
          <w:p>
            <w:pPr>
              <w:ind w:right="-57"/>
              <w:jc w:val="right"/>
            </w:pPr>
            <w:r>
              <w:t>-1,35</w:t>
            </w:r>
          </w:p>
        </w:tc>
        <w:tc>
          <w:tcPr>
            <w:tcW w:w="851" w:type="dxa"/>
            <w:shd w:val="clear" w:color="auto" w:fill="auto"/>
            <w:vAlign w:val="center"/>
          </w:tcPr>
          <w:p>
            <w:pPr>
              <w:ind w:left="-108" w:right="-108"/>
              <w:jc w:val="right"/>
            </w:pPr>
            <w:r>
              <w:t>0,1</w:t>
            </w:r>
          </w:p>
        </w:tc>
      </w:tr>
      <w:tr>
        <w:trPr>
          <w:trHeight w:val="199"/>
        </w:trPr>
        <w:tc>
          <w:tcPr>
            <w:tcW w:w="3369" w:type="dxa"/>
            <w:shd w:val="clear" w:color="auto" w:fill="auto"/>
          </w:tcPr>
          <w:p>
            <w:pPr>
              <w:pStyle w:val="a5"/>
              <w:spacing w:after="0"/>
              <w:ind w:right="-2"/>
              <w:jc w:val="center"/>
              <w:rPr>
                <w:sz w:val="16"/>
                <w:szCs w:val="16"/>
              </w:rPr>
            </w:pPr>
            <w:r>
              <w:rPr>
                <w:sz w:val="16"/>
                <w:szCs w:val="16"/>
              </w:rPr>
              <w:lastRenderedPageBreak/>
              <w:t>1</w:t>
            </w:r>
          </w:p>
        </w:tc>
        <w:tc>
          <w:tcPr>
            <w:tcW w:w="992" w:type="dxa"/>
            <w:shd w:val="clear" w:color="auto" w:fill="auto"/>
          </w:tcPr>
          <w:p>
            <w:pPr>
              <w:pStyle w:val="a5"/>
              <w:spacing w:after="0"/>
              <w:ind w:right="-57"/>
              <w:jc w:val="center"/>
              <w:rPr>
                <w:sz w:val="16"/>
                <w:szCs w:val="16"/>
              </w:rPr>
            </w:pPr>
            <w:r>
              <w:rPr>
                <w:sz w:val="16"/>
                <w:szCs w:val="16"/>
              </w:rPr>
              <w:t>2</w:t>
            </w:r>
          </w:p>
        </w:tc>
        <w:tc>
          <w:tcPr>
            <w:tcW w:w="1134" w:type="dxa"/>
          </w:tcPr>
          <w:p>
            <w:pPr>
              <w:pStyle w:val="a5"/>
              <w:spacing w:after="0"/>
              <w:ind w:right="-57"/>
              <w:jc w:val="center"/>
              <w:rPr>
                <w:sz w:val="16"/>
                <w:szCs w:val="16"/>
              </w:rPr>
            </w:pPr>
            <w:r>
              <w:rPr>
                <w:sz w:val="16"/>
                <w:szCs w:val="16"/>
              </w:rPr>
              <w:t>3</w:t>
            </w:r>
          </w:p>
        </w:tc>
        <w:tc>
          <w:tcPr>
            <w:tcW w:w="1134" w:type="dxa"/>
            <w:shd w:val="clear" w:color="auto" w:fill="auto"/>
          </w:tcPr>
          <w:p>
            <w:pPr>
              <w:pStyle w:val="a5"/>
              <w:spacing w:after="0"/>
              <w:ind w:right="-57"/>
              <w:jc w:val="center"/>
              <w:rPr>
                <w:sz w:val="16"/>
                <w:szCs w:val="16"/>
              </w:rPr>
            </w:pPr>
            <w:r>
              <w:rPr>
                <w:sz w:val="16"/>
                <w:szCs w:val="16"/>
              </w:rPr>
              <w:t>4</w:t>
            </w:r>
          </w:p>
        </w:tc>
        <w:tc>
          <w:tcPr>
            <w:tcW w:w="992" w:type="dxa"/>
            <w:shd w:val="clear" w:color="auto" w:fill="auto"/>
          </w:tcPr>
          <w:p>
            <w:pPr>
              <w:pStyle w:val="a5"/>
              <w:spacing w:after="0"/>
              <w:ind w:right="-57"/>
              <w:jc w:val="center"/>
              <w:rPr>
                <w:sz w:val="16"/>
                <w:szCs w:val="16"/>
              </w:rPr>
            </w:pPr>
            <w:r>
              <w:rPr>
                <w:sz w:val="16"/>
                <w:szCs w:val="16"/>
              </w:rPr>
              <w:t>5</w:t>
            </w:r>
          </w:p>
        </w:tc>
        <w:tc>
          <w:tcPr>
            <w:tcW w:w="992" w:type="dxa"/>
            <w:shd w:val="clear" w:color="auto" w:fill="auto"/>
          </w:tcPr>
          <w:p>
            <w:pPr>
              <w:pStyle w:val="a5"/>
              <w:spacing w:after="0"/>
              <w:ind w:left="-107" w:right="-108"/>
              <w:jc w:val="center"/>
              <w:rPr>
                <w:sz w:val="16"/>
                <w:szCs w:val="16"/>
              </w:rPr>
            </w:pPr>
            <w:r>
              <w:rPr>
                <w:sz w:val="16"/>
                <w:szCs w:val="16"/>
              </w:rPr>
              <w:t>6=5-4</w:t>
            </w:r>
          </w:p>
        </w:tc>
        <w:tc>
          <w:tcPr>
            <w:tcW w:w="851" w:type="dxa"/>
            <w:shd w:val="clear" w:color="auto" w:fill="auto"/>
          </w:tcPr>
          <w:p>
            <w:pPr>
              <w:pStyle w:val="a5"/>
              <w:spacing w:after="0"/>
              <w:ind w:left="-107" w:right="-108"/>
              <w:jc w:val="center"/>
              <w:rPr>
                <w:sz w:val="16"/>
                <w:szCs w:val="16"/>
              </w:rPr>
            </w:pPr>
            <w:r>
              <w:rPr>
                <w:sz w:val="16"/>
                <w:szCs w:val="16"/>
              </w:rPr>
              <w:t>7=5/4</w:t>
            </w:r>
          </w:p>
        </w:tc>
      </w:tr>
      <w:tr>
        <w:trPr>
          <w:trHeight w:val="846"/>
        </w:trPr>
        <w:tc>
          <w:tcPr>
            <w:tcW w:w="3369" w:type="dxa"/>
            <w:shd w:val="clear" w:color="auto" w:fill="auto"/>
          </w:tcPr>
          <w:p>
            <w:pPr>
              <w:pStyle w:val="a5"/>
              <w:spacing w:after="0"/>
            </w:pPr>
            <w:r>
              <w:t>Плата по соглашениям об установлении сервитута за земельные участки, находящиеся в собственности городских округов</w:t>
            </w:r>
          </w:p>
        </w:tc>
        <w:tc>
          <w:tcPr>
            <w:tcW w:w="992" w:type="dxa"/>
            <w:shd w:val="clear" w:color="auto" w:fill="auto"/>
            <w:vAlign w:val="center"/>
          </w:tcPr>
          <w:p>
            <w:pPr>
              <w:ind w:right="-57"/>
              <w:jc w:val="right"/>
            </w:pPr>
            <w:r>
              <w:t>1,38</w:t>
            </w:r>
          </w:p>
        </w:tc>
        <w:tc>
          <w:tcPr>
            <w:tcW w:w="1134" w:type="dxa"/>
            <w:vAlign w:val="center"/>
          </w:tcPr>
          <w:p>
            <w:pPr>
              <w:ind w:right="-57"/>
              <w:jc w:val="right"/>
            </w:pPr>
            <w:r>
              <w:t>-</w:t>
            </w:r>
          </w:p>
        </w:tc>
        <w:tc>
          <w:tcPr>
            <w:tcW w:w="1134" w:type="dxa"/>
            <w:shd w:val="clear" w:color="auto" w:fill="auto"/>
            <w:vAlign w:val="center"/>
          </w:tcPr>
          <w:p>
            <w:pPr>
              <w:ind w:right="-57"/>
              <w:jc w:val="right"/>
            </w:pPr>
            <w:r>
              <w:t>-</w:t>
            </w:r>
          </w:p>
        </w:tc>
        <w:tc>
          <w:tcPr>
            <w:tcW w:w="992" w:type="dxa"/>
            <w:shd w:val="clear" w:color="auto" w:fill="auto"/>
            <w:vAlign w:val="center"/>
          </w:tcPr>
          <w:p>
            <w:pPr>
              <w:ind w:right="-57"/>
              <w:jc w:val="right"/>
            </w:pPr>
            <w:r>
              <w:t>-</w:t>
            </w:r>
          </w:p>
        </w:tc>
        <w:tc>
          <w:tcPr>
            <w:tcW w:w="992" w:type="dxa"/>
            <w:shd w:val="clear" w:color="auto" w:fill="auto"/>
            <w:vAlign w:val="center"/>
          </w:tcPr>
          <w:p>
            <w:pPr>
              <w:ind w:right="-57"/>
              <w:jc w:val="right"/>
            </w:pPr>
            <w:r>
              <w:t>-</w:t>
            </w:r>
          </w:p>
        </w:tc>
        <w:tc>
          <w:tcPr>
            <w:tcW w:w="851" w:type="dxa"/>
            <w:shd w:val="clear" w:color="auto" w:fill="auto"/>
            <w:vAlign w:val="center"/>
          </w:tcPr>
          <w:p>
            <w:pPr>
              <w:ind w:left="-108" w:right="-108"/>
              <w:jc w:val="right"/>
            </w:pPr>
            <w:r>
              <w:t>-</w:t>
            </w:r>
          </w:p>
        </w:tc>
      </w:tr>
    </w:tbl>
    <w:p>
      <w:pPr>
        <w:tabs>
          <w:tab w:val="left" w:pos="0"/>
        </w:tabs>
        <w:spacing w:before="120"/>
        <w:ind w:firstLine="709"/>
        <w:jc w:val="both"/>
        <w:rPr>
          <w:sz w:val="24"/>
          <w:szCs w:val="24"/>
        </w:rPr>
      </w:pPr>
      <w:r>
        <w:rPr>
          <w:sz w:val="24"/>
          <w:szCs w:val="24"/>
        </w:rPr>
        <w:t>Удельный вес статьи в общей структуре фактически поступивших доходов составляет 1,9%, налоговых и неналоговых доходах - 7,7%.</w:t>
      </w:r>
    </w:p>
    <w:p>
      <w:pPr>
        <w:tabs>
          <w:tab w:val="left" w:pos="0"/>
        </w:tabs>
        <w:ind w:firstLine="709"/>
        <w:jc w:val="both"/>
        <w:rPr>
          <w:sz w:val="24"/>
          <w:szCs w:val="24"/>
        </w:rPr>
      </w:pPr>
      <w:r>
        <w:rPr>
          <w:sz w:val="24"/>
          <w:szCs w:val="24"/>
        </w:rPr>
        <w:t>Норматив зачисления в бюджет ЗАТО Северск 100%.</w:t>
      </w:r>
    </w:p>
    <w:p>
      <w:pPr>
        <w:tabs>
          <w:tab w:val="left" w:pos="0"/>
        </w:tabs>
        <w:ind w:firstLine="709"/>
        <w:jc w:val="both"/>
        <w:rPr>
          <w:sz w:val="24"/>
          <w:szCs w:val="24"/>
        </w:rPr>
      </w:pPr>
      <w:r>
        <w:rPr>
          <w:color w:val="000000"/>
          <w:sz w:val="24"/>
          <w:szCs w:val="24"/>
        </w:rPr>
        <w:t xml:space="preserve">Уточненный прогноз поступлений по арендной плате за земельные участки по сравнению с первоначально утвержденным на 2021 год увеличился на 51 088,86 тыс.руб., что обусловлено </w:t>
      </w:r>
      <w:r>
        <w:rPr>
          <w:sz w:val="24"/>
          <w:szCs w:val="24"/>
        </w:rPr>
        <w:t>заключением новых договоров аренды под строительство по результатам проведенных торгов.</w:t>
      </w:r>
    </w:p>
    <w:p>
      <w:pPr>
        <w:pStyle w:val="af8"/>
        <w:tabs>
          <w:tab w:val="left" w:pos="993"/>
        </w:tabs>
        <w:ind w:left="0" w:firstLine="709"/>
        <w:jc w:val="both"/>
        <w:rPr>
          <w:sz w:val="24"/>
          <w:szCs w:val="24"/>
        </w:rPr>
      </w:pPr>
      <w:r>
        <w:rPr>
          <w:color w:val="000000"/>
          <w:sz w:val="24"/>
          <w:szCs w:val="24"/>
        </w:rPr>
        <w:t xml:space="preserve">По сравнению с 2020 </w:t>
      </w:r>
      <w:r>
        <w:rPr>
          <w:sz w:val="24"/>
          <w:szCs w:val="24"/>
        </w:rPr>
        <w:t>годом увеличение поступлений по статье составило                  43 137,01 тыс.руб. или на 82,4% за счет за счет заключения новых договоров аренды земельных участков под строительство по результатам проведенных торгов, из них:</w:t>
      </w:r>
    </w:p>
    <w:p>
      <w:pPr>
        <w:pStyle w:val="af8"/>
        <w:tabs>
          <w:tab w:val="left" w:pos="993"/>
        </w:tabs>
        <w:ind w:left="0" w:firstLine="709"/>
        <w:jc w:val="both"/>
        <w:rPr>
          <w:sz w:val="24"/>
          <w:szCs w:val="24"/>
        </w:rPr>
      </w:pPr>
      <w:r>
        <w:rPr>
          <w:sz w:val="24"/>
          <w:szCs w:val="24"/>
        </w:rPr>
        <w:t>- 34 372,81 тыс.руб. по земельным участкам, находящимся в собственности городских округов;</w:t>
      </w:r>
    </w:p>
    <w:p>
      <w:pPr>
        <w:pStyle w:val="af8"/>
        <w:tabs>
          <w:tab w:val="left" w:pos="993"/>
        </w:tabs>
        <w:ind w:left="0" w:firstLine="709"/>
        <w:jc w:val="both"/>
        <w:rPr>
          <w:sz w:val="24"/>
          <w:szCs w:val="24"/>
        </w:rPr>
      </w:pPr>
      <w:r>
        <w:rPr>
          <w:sz w:val="24"/>
          <w:szCs w:val="24"/>
        </w:rPr>
        <w:t xml:space="preserve">- 8 765,55 тыс.руб. по земельным участкам, государственная собственность на которые не разграничена. </w:t>
      </w:r>
    </w:p>
    <w:p>
      <w:pPr>
        <w:pStyle w:val="af8"/>
        <w:tabs>
          <w:tab w:val="left" w:pos="993"/>
        </w:tabs>
        <w:ind w:left="0" w:firstLine="709"/>
        <w:jc w:val="both"/>
        <w:rPr>
          <w:sz w:val="24"/>
          <w:szCs w:val="24"/>
        </w:rPr>
      </w:pPr>
    </w:p>
    <w:p>
      <w:pPr>
        <w:pStyle w:val="a5"/>
        <w:spacing w:after="160"/>
        <w:jc w:val="center"/>
        <w:rPr>
          <w:b/>
          <w:i/>
          <w:sz w:val="24"/>
          <w:szCs w:val="24"/>
        </w:rPr>
      </w:pPr>
      <w:r>
        <w:rPr>
          <w:b/>
          <w:i/>
          <w:sz w:val="24"/>
          <w:szCs w:val="24"/>
        </w:rPr>
        <w:t>3.2.1.3. Аренда помещений нежилого фонда</w:t>
      </w:r>
    </w:p>
    <w:p>
      <w:pPr>
        <w:spacing w:after="120" w:line="228" w:lineRule="auto"/>
        <w:ind w:firstLine="709"/>
        <w:jc w:val="both"/>
        <w:rPr>
          <w:sz w:val="24"/>
          <w:szCs w:val="24"/>
        </w:rPr>
      </w:pPr>
      <w:r>
        <w:rPr>
          <w:sz w:val="24"/>
          <w:szCs w:val="24"/>
        </w:rPr>
        <w:t>Прогноз поступлений по статье «Аренда помещений нежилого фонда» составлял 24 381,75 тыс.руб., фактическое исполнение – 23 756,49 тыс.руб., невыполнение на 625,26 тыс.руб. или на 2,6% в связи с неоплатой текущих платежей арендаторами.</w:t>
      </w:r>
    </w:p>
    <w:p>
      <w:pPr>
        <w:pStyle w:val="a5"/>
        <w:spacing w:before="120" w:after="60"/>
        <w:ind w:firstLine="709"/>
        <w:jc w:val="both"/>
        <w:rPr>
          <w:sz w:val="24"/>
          <w:szCs w:val="24"/>
        </w:rPr>
      </w:pPr>
      <w:r>
        <w:rPr>
          <w:sz w:val="24"/>
          <w:szCs w:val="24"/>
        </w:rPr>
        <w:t>Таблица 29. Анализ поступления доходов от аренды помещений нежилого фонда за 2020- 2021 гг.</w:t>
      </w:r>
    </w:p>
    <w:tbl>
      <w:tblPr>
        <w:tblW w:w="93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9"/>
        <w:gridCol w:w="1175"/>
        <w:gridCol w:w="1190"/>
        <w:gridCol w:w="1190"/>
        <w:gridCol w:w="1175"/>
        <w:gridCol w:w="1199"/>
        <w:gridCol w:w="874"/>
      </w:tblGrid>
      <w:tr>
        <w:trPr>
          <w:trHeight w:val="324"/>
          <w:jc w:val="center"/>
        </w:trPr>
        <w:tc>
          <w:tcPr>
            <w:tcW w:w="2509" w:type="dxa"/>
            <w:vMerge w:val="restart"/>
            <w:vAlign w:val="center"/>
          </w:tcPr>
          <w:p>
            <w:pPr>
              <w:pStyle w:val="a5"/>
              <w:ind w:right="-2"/>
              <w:jc w:val="center"/>
            </w:pPr>
            <w:r>
              <w:t xml:space="preserve">Наименование </w:t>
            </w:r>
          </w:p>
        </w:tc>
        <w:tc>
          <w:tcPr>
            <w:tcW w:w="1175" w:type="dxa"/>
            <w:vMerge w:val="restart"/>
            <w:vAlign w:val="center"/>
          </w:tcPr>
          <w:p>
            <w:pPr>
              <w:ind w:right="-57"/>
              <w:jc w:val="center"/>
              <w:rPr>
                <w:bCs/>
              </w:rPr>
            </w:pPr>
            <w:r>
              <w:rPr>
                <w:bCs/>
              </w:rPr>
              <w:t xml:space="preserve">Факт </w:t>
            </w:r>
          </w:p>
          <w:p>
            <w:pPr>
              <w:ind w:right="-57"/>
              <w:jc w:val="center"/>
              <w:rPr>
                <w:bCs/>
              </w:rPr>
            </w:pPr>
            <w:r>
              <w:rPr>
                <w:bCs/>
              </w:rPr>
              <w:t>2020 год, тыс.руб.</w:t>
            </w:r>
          </w:p>
        </w:tc>
        <w:tc>
          <w:tcPr>
            <w:tcW w:w="5628" w:type="dxa"/>
            <w:gridSpan w:val="5"/>
            <w:vAlign w:val="center"/>
          </w:tcPr>
          <w:p>
            <w:pPr>
              <w:ind w:left="-57" w:right="-57"/>
              <w:jc w:val="center"/>
            </w:pPr>
            <w:r>
              <w:t>2021 год</w:t>
            </w:r>
          </w:p>
        </w:tc>
      </w:tr>
      <w:tr>
        <w:trPr>
          <w:trHeight w:val="979"/>
          <w:jc w:val="center"/>
        </w:trPr>
        <w:tc>
          <w:tcPr>
            <w:tcW w:w="2509" w:type="dxa"/>
            <w:vMerge/>
            <w:vAlign w:val="center"/>
          </w:tcPr>
          <w:p>
            <w:pPr>
              <w:pStyle w:val="a5"/>
              <w:spacing w:after="0"/>
              <w:ind w:right="-2"/>
              <w:jc w:val="center"/>
              <w:rPr>
                <w:sz w:val="22"/>
                <w:szCs w:val="22"/>
              </w:rPr>
            </w:pPr>
          </w:p>
        </w:tc>
        <w:tc>
          <w:tcPr>
            <w:tcW w:w="1175" w:type="dxa"/>
            <w:vMerge/>
            <w:vAlign w:val="center"/>
          </w:tcPr>
          <w:p>
            <w:pPr>
              <w:ind w:left="-108" w:right="-108"/>
              <w:jc w:val="center"/>
            </w:pPr>
          </w:p>
        </w:tc>
        <w:tc>
          <w:tcPr>
            <w:tcW w:w="1190" w:type="dxa"/>
          </w:tcPr>
          <w:p>
            <w:pPr>
              <w:ind w:left="-158" w:right="-108"/>
              <w:jc w:val="center"/>
            </w:pPr>
            <w:r>
              <w:t>Первона-чальный прогноз, тыс.руб.</w:t>
            </w:r>
          </w:p>
        </w:tc>
        <w:tc>
          <w:tcPr>
            <w:tcW w:w="1190" w:type="dxa"/>
            <w:vAlign w:val="center"/>
          </w:tcPr>
          <w:p>
            <w:pPr>
              <w:ind w:left="-41" w:right="-108"/>
              <w:jc w:val="center"/>
            </w:pPr>
            <w:r>
              <w:t>Уточненный прогноз,</w:t>
            </w:r>
            <w:r>
              <w:br/>
              <w:t>тыс.руб.</w:t>
            </w:r>
          </w:p>
        </w:tc>
        <w:tc>
          <w:tcPr>
            <w:tcW w:w="1175" w:type="dxa"/>
            <w:vAlign w:val="center"/>
          </w:tcPr>
          <w:p>
            <w:pPr>
              <w:ind w:left="-108" w:right="-108"/>
              <w:jc w:val="center"/>
            </w:pPr>
            <w:r>
              <w:t xml:space="preserve">Факт, </w:t>
            </w:r>
            <w:r>
              <w:br/>
              <w:t>тыс.руб.</w:t>
            </w:r>
          </w:p>
        </w:tc>
        <w:tc>
          <w:tcPr>
            <w:tcW w:w="1199"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74"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12"/>
          <w:jc w:val="center"/>
        </w:trPr>
        <w:tc>
          <w:tcPr>
            <w:tcW w:w="2509" w:type="dxa"/>
            <w:vAlign w:val="center"/>
          </w:tcPr>
          <w:p>
            <w:pPr>
              <w:pStyle w:val="a5"/>
              <w:tabs>
                <w:tab w:val="left" w:pos="3966"/>
              </w:tabs>
              <w:spacing w:after="0"/>
              <w:ind w:right="-120"/>
              <w:jc w:val="center"/>
              <w:rPr>
                <w:sz w:val="16"/>
                <w:szCs w:val="16"/>
              </w:rPr>
            </w:pPr>
            <w:r>
              <w:rPr>
                <w:sz w:val="16"/>
                <w:szCs w:val="16"/>
              </w:rPr>
              <w:t>1</w:t>
            </w:r>
          </w:p>
        </w:tc>
        <w:tc>
          <w:tcPr>
            <w:tcW w:w="1175" w:type="dxa"/>
            <w:vAlign w:val="center"/>
          </w:tcPr>
          <w:p>
            <w:pPr>
              <w:jc w:val="center"/>
              <w:rPr>
                <w:color w:val="000000"/>
                <w:sz w:val="16"/>
                <w:szCs w:val="16"/>
              </w:rPr>
            </w:pPr>
            <w:r>
              <w:rPr>
                <w:color w:val="000000"/>
                <w:sz w:val="16"/>
                <w:szCs w:val="16"/>
              </w:rPr>
              <w:t>2</w:t>
            </w:r>
          </w:p>
        </w:tc>
        <w:tc>
          <w:tcPr>
            <w:tcW w:w="1190" w:type="dxa"/>
            <w:vAlign w:val="center"/>
          </w:tcPr>
          <w:p>
            <w:pPr>
              <w:jc w:val="center"/>
              <w:rPr>
                <w:color w:val="000000"/>
                <w:sz w:val="16"/>
                <w:szCs w:val="16"/>
              </w:rPr>
            </w:pPr>
            <w:r>
              <w:rPr>
                <w:color w:val="000000"/>
                <w:sz w:val="16"/>
                <w:szCs w:val="16"/>
              </w:rPr>
              <w:t>3</w:t>
            </w:r>
          </w:p>
        </w:tc>
        <w:tc>
          <w:tcPr>
            <w:tcW w:w="1190" w:type="dxa"/>
            <w:shd w:val="clear" w:color="auto" w:fill="auto"/>
            <w:vAlign w:val="center"/>
          </w:tcPr>
          <w:p>
            <w:pPr>
              <w:jc w:val="center"/>
              <w:rPr>
                <w:color w:val="000000"/>
                <w:sz w:val="16"/>
                <w:szCs w:val="16"/>
              </w:rPr>
            </w:pPr>
            <w:r>
              <w:rPr>
                <w:color w:val="000000"/>
                <w:sz w:val="16"/>
                <w:szCs w:val="16"/>
              </w:rPr>
              <w:t>4</w:t>
            </w:r>
          </w:p>
        </w:tc>
        <w:tc>
          <w:tcPr>
            <w:tcW w:w="1175" w:type="dxa"/>
            <w:shd w:val="clear" w:color="auto" w:fill="auto"/>
            <w:vAlign w:val="center"/>
          </w:tcPr>
          <w:p>
            <w:pPr>
              <w:jc w:val="center"/>
              <w:rPr>
                <w:color w:val="000000"/>
                <w:sz w:val="16"/>
                <w:szCs w:val="16"/>
              </w:rPr>
            </w:pPr>
            <w:r>
              <w:rPr>
                <w:color w:val="000000"/>
                <w:sz w:val="16"/>
                <w:szCs w:val="16"/>
              </w:rPr>
              <w:t>5</w:t>
            </w:r>
          </w:p>
        </w:tc>
        <w:tc>
          <w:tcPr>
            <w:tcW w:w="1199" w:type="dxa"/>
            <w:shd w:val="clear" w:color="auto" w:fill="auto"/>
            <w:vAlign w:val="center"/>
          </w:tcPr>
          <w:p>
            <w:pPr>
              <w:jc w:val="center"/>
              <w:rPr>
                <w:color w:val="000000"/>
                <w:sz w:val="16"/>
                <w:szCs w:val="16"/>
              </w:rPr>
            </w:pPr>
            <w:r>
              <w:rPr>
                <w:color w:val="000000"/>
                <w:sz w:val="16"/>
                <w:szCs w:val="16"/>
              </w:rPr>
              <w:t>6=5-4</w:t>
            </w:r>
          </w:p>
        </w:tc>
        <w:tc>
          <w:tcPr>
            <w:tcW w:w="874" w:type="dxa"/>
            <w:shd w:val="clear" w:color="auto" w:fill="auto"/>
            <w:vAlign w:val="center"/>
          </w:tcPr>
          <w:p>
            <w:pPr>
              <w:pStyle w:val="a5"/>
              <w:spacing w:after="0"/>
              <w:ind w:left="-57" w:right="-57"/>
              <w:jc w:val="center"/>
              <w:rPr>
                <w:sz w:val="16"/>
                <w:szCs w:val="16"/>
              </w:rPr>
            </w:pPr>
            <w:r>
              <w:rPr>
                <w:sz w:val="16"/>
                <w:szCs w:val="16"/>
              </w:rPr>
              <w:t>7=5/4</w:t>
            </w:r>
          </w:p>
        </w:tc>
      </w:tr>
      <w:tr>
        <w:trPr>
          <w:trHeight w:val="556"/>
          <w:jc w:val="center"/>
        </w:trPr>
        <w:tc>
          <w:tcPr>
            <w:tcW w:w="2509" w:type="dxa"/>
            <w:vAlign w:val="center"/>
          </w:tcPr>
          <w:p>
            <w:pPr>
              <w:pStyle w:val="a5"/>
              <w:tabs>
                <w:tab w:val="left" w:pos="3966"/>
              </w:tabs>
              <w:spacing w:after="0"/>
              <w:ind w:right="-120"/>
            </w:pPr>
            <w:r>
              <w:t xml:space="preserve">Аренда нежилых помещений </w:t>
            </w:r>
          </w:p>
        </w:tc>
        <w:tc>
          <w:tcPr>
            <w:tcW w:w="1175" w:type="dxa"/>
            <w:vAlign w:val="center"/>
          </w:tcPr>
          <w:p>
            <w:pPr>
              <w:jc w:val="right"/>
              <w:rPr>
                <w:color w:val="000000"/>
              </w:rPr>
            </w:pPr>
            <w:r>
              <w:rPr>
                <w:color w:val="000000"/>
              </w:rPr>
              <w:t>21 958,09</w:t>
            </w:r>
          </w:p>
        </w:tc>
        <w:tc>
          <w:tcPr>
            <w:tcW w:w="1190" w:type="dxa"/>
            <w:vAlign w:val="center"/>
          </w:tcPr>
          <w:p>
            <w:pPr>
              <w:jc w:val="right"/>
              <w:rPr>
                <w:color w:val="000000"/>
              </w:rPr>
            </w:pPr>
            <w:r>
              <w:rPr>
                <w:color w:val="000000"/>
              </w:rPr>
              <w:t>25 925,47</w:t>
            </w:r>
          </w:p>
        </w:tc>
        <w:tc>
          <w:tcPr>
            <w:tcW w:w="1190" w:type="dxa"/>
            <w:shd w:val="clear" w:color="auto" w:fill="auto"/>
            <w:vAlign w:val="center"/>
          </w:tcPr>
          <w:p>
            <w:pPr>
              <w:jc w:val="right"/>
              <w:rPr>
                <w:color w:val="000000"/>
              </w:rPr>
            </w:pPr>
            <w:r>
              <w:rPr>
                <w:color w:val="000000"/>
              </w:rPr>
              <w:t>24 381,75</w:t>
            </w:r>
          </w:p>
        </w:tc>
        <w:tc>
          <w:tcPr>
            <w:tcW w:w="1175" w:type="dxa"/>
            <w:shd w:val="clear" w:color="auto" w:fill="auto"/>
            <w:vAlign w:val="center"/>
          </w:tcPr>
          <w:p>
            <w:pPr>
              <w:jc w:val="right"/>
              <w:rPr>
                <w:color w:val="000000"/>
              </w:rPr>
            </w:pPr>
            <w:r>
              <w:rPr>
                <w:color w:val="000000"/>
              </w:rPr>
              <w:t>23 756,49</w:t>
            </w:r>
          </w:p>
        </w:tc>
        <w:tc>
          <w:tcPr>
            <w:tcW w:w="1199" w:type="dxa"/>
            <w:shd w:val="clear" w:color="auto" w:fill="auto"/>
            <w:vAlign w:val="center"/>
          </w:tcPr>
          <w:p>
            <w:pPr>
              <w:jc w:val="right"/>
              <w:rPr>
                <w:color w:val="000000"/>
              </w:rPr>
            </w:pPr>
            <w:r>
              <w:rPr>
                <w:color w:val="000000"/>
              </w:rPr>
              <w:t>-625,26</w:t>
            </w:r>
          </w:p>
        </w:tc>
        <w:tc>
          <w:tcPr>
            <w:tcW w:w="874" w:type="dxa"/>
            <w:shd w:val="clear" w:color="auto" w:fill="auto"/>
            <w:vAlign w:val="center"/>
          </w:tcPr>
          <w:p>
            <w:pPr>
              <w:pStyle w:val="a5"/>
              <w:spacing w:after="0"/>
              <w:ind w:left="-57" w:right="-57"/>
              <w:jc w:val="center"/>
            </w:pPr>
            <w:r>
              <w:t>97,4</w:t>
            </w:r>
          </w:p>
        </w:tc>
      </w:tr>
    </w:tbl>
    <w:p>
      <w:pPr>
        <w:spacing w:before="160" w:line="228" w:lineRule="auto"/>
        <w:ind w:firstLine="709"/>
        <w:jc w:val="both"/>
        <w:rPr>
          <w:sz w:val="24"/>
          <w:szCs w:val="24"/>
        </w:rPr>
      </w:pPr>
      <w:r>
        <w:rPr>
          <w:sz w:val="24"/>
          <w:szCs w:val="24"/>
        </w:rPr>
        <w:t>Удельный вес статьи в общей структуре фактически поступивших доходов составляет 0,5%, налоговых и неналоговых доходах - 1,9%.</w:t>
      </w:r>
    </w:p>
    <w:p>
      <w:pPr>
        <w:tabs>
          <w:tab w:val="left" w:pos="0"/>
        </w:tabs>
        <w:spacing w:line="228" w:lineRule="auto"/>
        <w:ind w:firstLine="709"/>
        <w:jc w:val="both"/>
        <w:rPr>
          <w:sz w:val="24"/>
          <w:szCs w:val="24"/>
        </w:rPr>
      </w:pPr>
      <w:r>
        <w:rPr>
          <w:sz w:val="24"/>
          <w:szCs w:val="24"/>
        </w:rPr>
        <w:t>Норматив зачисления в бюджет ЗАТО Северск 100%.</w:t>
      </w:r>
    </w:p>
    <w:p>
      <w:pPr>
        <w:ind w:firstLine="720"/>
        <w:jc w:val="both"/>
        <w:rPr>
          <w:sz w:val="24"/>
          <w:szCs w:val="24"/>
        </w:rPr>
      </w:pPr>
      <w:r>
        <w:rPr>
          <w:sz w:val="24"/>
          <w:szCs w:val="24"/>
        </w:rPr>
        <w:t>По сравнению с 2020 годом увеличение поступлений по статье составило 1 798,40 тыс.руб. или на 8,2%, в том числе в связи с переносом сроков уплаты, обусловленных предоставлением в 2020 году отсрочек по уплате арендных платежей нежилого фонда в рамках реализации антикризисных мер поддержки субъектов предпринимательства, занятых в сферах деятельности, наиболее пострадавших в условиях сложной эпидемиологической ситуации (распространение коронавирусной инфекции).</w:t>
      </w:r>
    </w:p>
    <w:p>
      <w:pPr>
        <w:pStyle w:val="a5"/>
        <w:spacing w:after="0"/>
        <w:jc w:val="center"/>
        <w:rPr>
          <w:b/>
          <w:i/>
          <w:sz w:val="24"/>
          <w:szCs w:val="24"/>
        </w:rPr>
      </w:pPr>
    </w:p>
    <w:p>
      <w:pPr>
        <w:pStyle w:val="a5"/>
        <w:spacing w:after="160"/>
        <w:jc w:val="center"/>
        <w:rPr>
          <w:b/>
          <w:i/>
          <w:sz w:val="24"/>
          <w:szCs w:val="24"/>
        </w:rPr>
      </w:pPr>
      <w:r>
        <w:rPr>
          <w:b/>
          <w:i/>
          <w:sz w:val="24"/>
          <w:szCs w:val="24"/>
        </w:rPr>
        <w:t>3.2.1.4. Аренда сетей инженерно-технического обеспечения</w:t>
      </w:r>
    </w:p>
    <w:p>
      <w:pPr>
        <w:ind w:firstLine="709"/>
        <w:jc w:val="both"/>
        <w:rPr>
          <w:sz w:val="24"/>
          <w:szCs w:val="24"/>
        </w:rPr>
      </w:pPr>
      <w:r>
        <w:rPr>
          <w:sz w:val="24"/>
          <w:szCs w:val="24"/>
        </w:rPr>
        <w:t>Прогноз поступлений по статье «Аренда сетей инженерно-технического обеспечения» составлял 1 281,89 тыс.руб., фактическое исполнение – 1 297,33 тыс.руб., перевыполнение на 15,44 тыс.руб. или на 1,2%.</w:t>
      </w:r>
    </w:p>
    <w:p>
      <w:pPr>
        <w:pStyle w:val="a5"/>
        <w:spacing w:before="120" w:after="60"/>
        <w:ind w:firstLine="709"/>
        <w:jc w:val="both"/>
        <w:rPr>
          <w:sz w:val="24"/>
          <w:szCs w:val="24"/>
        </w:rPr>
      </w:pPr>
    </w:p>
    <w:p>
      <w:pPr>
        <w:pStyle w:val="a5"/>
        <w:spacing w:before="120" w:after="60"/>
        <w:ind w:firstLine="709"/>
        <w:jc w:val="both"/>
        <w:rPr>
          <w:sz w:val="24"/>
          <w:szCs w:val="24"/>
        </w:rPr>
      </w:pPr>
    </w:p>
    <w:p>
      <w:pPr>
        <w:pStyle w:val="a5"/>
        <w:spacing w:before="120" w:after="60"/>
        <w:ind w:firstLine="709"/>
        <w:jc w:val="both"/>
        <w:rPr>
          <w:sz w:val="24"/>
          <w:szCs w:val="24"/>
        </w:rPr>
      </w:pPr>
    </w:p>
    <w:p>
      <w:pPr>
        <w:pStyle w:val="a5"/>
        <w:spacing w:before="120" w:after="60"/>
        <w:ind w:firstLine="709"/>
        <w:jc w:val="both"/>
        <w:rPr>
          <w:sz w:val="24"/>
          <w:szCs w:val="24"/>
        </w:rPr>
      </w:pPr>
      <w:r>
        <w:rPr>
          <w:sz w:val="24"/>
          <w:szCs w:val="24"/>
        </w:rPr>
        <w:lastRenderedPageBreak/>
        <w:t>Таблица 30. Анализ поступления доходов от аренды инженерных сетей                             за 2020 - 2021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992"/>
        <w:gridCol w:w="1134"/>
        <w:gridCol w:w="1134"/>
        <w:gridCol w:w="1134"/>
        <w:gridCol w:w="1134"/>
        <w:gridCol w:w="815"/>
      </w:tblGrid>
      <w:tr>
        <w:trPr>
          <w:trHeight w:val="316"/>
          <w:jc w:val="center"/>
        </w:trPr>
        <w:tc>
          <w:tcPr>
            <w:tcW w:w="3227" w:type="dxa"/>
            <w:vMerge w:val="restart"/>
            <w:vAlign w:val="center"/>
          </w:tcPr>
          <w:p>
            <w:pPr>
              <w:pStyle w:val="a5"/>
              <w:ind w:right="-2"/>
              <w:jc w:val="center"/>
            </w:pPr>
            <w:r>
              <w:t xml:space="preserve">Наименование </w:t>
            </w:r>
          </w:p>
        </w:tc>
        <w:tc>
          <w:tcPr>
            <w:tcW w:w="992" w:type="dxa"/>
            <w:vMerge w:val="restart"/>
            <w:vAlign w:val="center"/>
          </w:tcPr>
          <w:p>
            <w:pPr>
              <w:ind w:right="-57"/>
              <w:jc w:val="center"/>
              <w:rPr>
                <w:bCs/>
              </w:rPr>
            </w:pPr>
            <w:r>
              <w:rPr>
                <w:bCs/>
              </w:rPr>
              <w:t xml:space="preserve">Факт </w:t>
            </w:r>
          </w:p>
          <w:p>
            <w:pPr>
              <w:ind w:left="-108" w:right="-108"/>
              <w:jc w:val="center"/>
            </w:pPr>
            <w:r>
              <w:rPr>
                <w:bCs/>
              </w:rPr>
              <w:t>2020 год, тыс.руб.</w:t>
            </w:r>
          </w:p>
        </w:tc>
        <w:tc>
          <w:tcPr>
            <w:tcW w:w="5351" w:type="dxa"/>
            <w:gridSpan w:val="5"/>
            <w:vAlign w:val="center"/>
          </w:tcPr>
          <w:p>
            <w:pPr>
              <w:pStyle w:val="a5"/>
              <w:spacing w:after="0"/>
              <w:ind w:left="-57" w:right="-57"/>
              <w:jc w:val="center"/>
            </w:pPr>
            <w:r>
              <w:t>2021 год</w:t>
            </w:r>
          </w:p>
        </w:tc>
      </w:tr>
      <w:tr>
        <w:trPr>
          <w:trHeight w:val="942"/>
          <w:jc w:val="center"/>
        </w:trPr>
        <w:tc>
          <w:tcPr>
            <w:tcW w:w="3227" w:type="dxa"/>
            <w:vMerge/>
            <w:vAlign w:val="center"/>
          </w:tcPr>
          <w:p>
            <w:pPr>
              <w:pStyle w:val="a5"/>
              <w:spacing w:after="0"/>
              <w:ind w:right="-2"/>
              <w:jc w:val="center"/>
              <w:rPr>
                <w:sz w:val="22"/>
                <w:szCs w:val="22"/>
              </w:rPr>
            </w:pPr>
          </w:p>
        </w:tc>
        <w:tc>
          <w:tcPr>
            <w:tcW w:w="992" w:type="dxa"/>
            <w:vMerge/>
          </w:tcPr>
          <w:p>
            <w:pPr>
              <w:ind w:left="-108" w:right="-108"/>
              <w:jc w:val="center"/>
            </w:pPr>
          </w:p>
        </w:tc>
        <w:tc>
          <w:tcPr>
            <w:tcW w:w="1134"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15"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57"/>
          <w:jc w:val="center"/>
        </w:trPr>
        <w:tc>
          <w:tcPr>
            <w:tcW w:w="3227" w:type="dxa"/>
            <w:vAlign w:val="center"/>
          </w:tcPr>
          <w:p>
            <w:pPr>
              <w:pStyle w:val="a5"/>
              <w:tabs>
                <w:tab w:val="left" w:pos="3966"/>
              </w:tabs>
              <w:spacing w:after="0"/>
              <w:ind w:right="-120"/>
              <w:jc w:val="center"/>
              <w:rPr>
                <w:sz w:val="16"/>
                <w:szCs w:val="16"/>
              </w:rPr>
            </w:pPr>
            <w:r>
              <w:rPr>
                <w:sz w:val="16"/>
                <w:szCs w:val="16"/>
              </w:rPr>
              <w:t>1</w:t>
            </w:r>
          </w:p>
        </w:tc>
        <w:tc>
          <w:tcPr>
            <w:tcW w:w="992" w:type="dxa"/>
            <w:vAlign w:val="center"/>
          </w:tcPr>
          <w:p>
            <w:pPr>
              <w:jc w:val="center"/>
              <w:rPr>
                <w:color w:val="000000"/>
                <w:sz w:val="16"/>
                <w:szCs w:val="16"/>
              </w:rPr>
            </w:pPr>
            <w:r>
              <w:rPr>
                <w:color w:val="000000"/>
                <w:sz w:val="16"/>
                <w:szCs w:val="16"/>
              </w:rPr>
              <w:t>2</w:t>
            </w:r>
          </w:p>
        </w:tc>
        <w:tc>
          <w:tcPr>
            <w:tcW w:w="1134"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34" w:type="dxa"/>
            <w:shd w:val="clear" w:color="auto" w:fill="auto"/>
            <w:vAlign w:val="center"/>
          </w:tcPr>
          <w:p>
            <w:pPr>
              <w:jc w:val="center"/>
              <w:rPr>
                <w:color w:val="000000"/>
                <w:sz w:val="16"/>
                <w:szCs w:val="16"/>
              </w:rPr>
            </w:pPr>
            <w:r>
              <w:rPr>
                <w:color w:val="000000"/>
                <w:sz w:val="16"/>
                <w:szCs w:val="16"/>
              </w:rPr>
              <w:t>5</w:t>
            </w:r>
          </w:p>
        </w:tc>
        <w:tc>
          <w:tcPr>
            <w:tcW w:w="1134" w:type="dxa"/>
            <w:shd w:val="clear" w:color="auto" w:fill="auto"/>
            <w:vAlign w:val="center"/>
          </w:tcPr>
          <w:p>
            <w:pPr>
              <w:jc w:val="center"/>
              <w:rPr>
                <w:color w:val="000000"/>
                <w:sz w:val="16"/>
                <w:szCs w:val="16"/>
              </w:rPr>
            </w:pPr>
            <w:r>
              <w:rPr>
                <w:color w:val="000000"/>
                <w:sz w:val="16"/>
                <w:szCs w:val="16"/>
              </w:rPr>
              <w:t>6=5-4</w:t>
            </w:r>
          </w:p>
        </w:tc>
        <w:tc>
          <w:tcPr>
            <w:tcW w:w="815" w:type="dxa"/>
            <w:shd w:val="clear" w:color="auto" w:fill="auto"/>
            <w:vAlign w:val="center"/>
          </w:tcPr>
          <w:p>
            <w:pPr>
              <w:pStyle w:val="a5"/>
              <w:spacing w:after="0"/>
              <w:ind w:left="-57" w:right="-57"/>
              <w:jc w:val="center"/>
              <w:rPr>
                <w:sz w:val="16"/>
                <w:szCs w:val="16"/>
              </w:rPr>
            </w:pPr>
            <w:r>
              <w:rPr>
                <w:sz w:val="16"/>
                <w:szCs w:val="16"/>
              </w:rPr>
              <w:t>7=5/4</w:t>
            </w:r>
          </w:p>
        </w:tc>
      </w:tr>
      <w:tr>
        <w:trPr>
          <w:trHeight w:val="444"/>
          <w:jc w:val="center"/>
        </w:trPr>
        <w:tc>
          <w:tcPr>
            <w:tcW w:w="3227" w:type="dxa"/>
            <w:vAlign w:val="center"/>
          </w:tcPr>
          <w:p>
            <w:pPr>
              <w:pStyle w:val="a5"/>
              <w:tabs>
                <w:tab w:val="left" w:pos="3966"/>
              </w:tabs>
              <w:spacing w:after="0"/>
              <w:ind w:right="-120"/>
            </w:pPr>
            <w:r>
              <w:t xml:space="preserve">Аренда инженерных сетей </w:t>
            </w:r>
          </w:p>
        </w:tc>
        <w:tc>
          <w:tcPr>
            <w:tcW w:w="992" w:type="dxa"/>
            <w:vAlign w:val="center"/>
          </w:tcPr>
          <w:p>
            <w:pPr>
              <w:jc w:val="right"/>
              <w:rPr>
                <w:color w:val="000000"/>
              </w:rPr>
            </w:pPr>
            <w:r>
              <w:rPr>
                <w:color w:val="000000"/>
              </w:rPr>
              <w:t>1 261,37</w:t>
            </w:r>
          </w:p>
        </w:tc>
        <w:tc>
          <w:tcPr>
            <w:tcW w:w="1134" w:type="dxa"/>
            <w:vAlign w:val="center"/>
          </w:tcPr>
          <w:p>
            <w:pPr>
              <w:jc w:val="right"/>
              <w:rPr>
                <w:color w:val="000000"/>
              </w:rPr>
            </w:pPr>
            <w:r>
              <w:rPr>
                <w:color w:val="000000"/>
              </w:rPr>
              <w:t>1 300,07</w:t>
            </w:r>
          </w:p>
        </w:tc>
        <w:tc>
          <w:tcPr>
            <w:tcW w:w="1134" w:type="dxa"/>
            <w:shd w:val="clear" w:color="auto" w:fill="auto"/>
            <w:vAlign w:val="center"/>
          </w:tcPr>
          <w:p>
            <w:pPr>
              <w:jc w:val="right"/>
              <w:rPr>
                <w:color w:val="000000"/>
              </w:rPr>
            </w:pPr>
            <w:r>
              <w:rPr>
                <w:color w:val="000000"/>
              </w:rPr>
              <w:t>1 281,89</w:t>
            </w:r>
          </w:p>
        </w:tc>
        <w:tc>
          <w:tcPr>
            <w:tcW w:w="1134" w:type="dxa"/>
            <w:shd w:val="clear" w:color="auto" w:fill="auto"/>
            <w:vAlign w:val="center"/>
          </w:tcPr>
          <w:p>
            <w:pPr>
              <w:jc w:val="right"/>
              <w:rPr>
                <w:color w:val="000000"/>
              </w:rPr>
            </w:pPr>
            <w:r>
              <w:rPr>
                <w:color w:val="000000"/>
              </w:rPr>
              <w:t>1 297,33</w:t>
            </w:r>
          </w:p>
        </w:tc>
        <w:tc>
          <w:tcPr>
            <w:tcW w:w="1134" w:type="dxa"/>
            <w:shd w:val="clear" w:color="auto" w:fill="auto"/>
            <w:vAlign w:val="center"/>
          </w:tcPr>
          <w:p>
            <w:pPr>
              <w:jc w:val="right"/>
              <w:rPr>
                <w:color w:val="000000"/>
              </w:rPr>
            </w:pPr>
            <w:r>
              <w:rPr>
                <w:color w:val="000000"/>
              </w:rPr>
              <w:t>15,44</w:t>
            </w:r>
          </w:p>
        </w:tc>
        <w:tc>
          <w:tcPr>
            <w:tcW w:w="815" w:type="dxa"/>
            <w:shd w:val="clear" w:color="auto" w:fill="auto"/>
            <w:vAlign w:val="center"/>
          </w:tcPr>
          <w:p>
            <w:pPr>
              <w:pStyle w:val="a5"/>
              <w:spacing w:after="0"/>
              <w:ind w:left="-57" w:right="-57"/>
              <w:jc w:val="center"/>
            </w:pPr>
            <w:r>
              <w:t>101,2</w:t>
            </w:r>
          </w:p>
        </w:tc>
      </w:tr>
      <w:tr>
        <w:trPr>
          <w:trHeight w:val="193"/>
          <w:jc w:val="center"/>
        </w:trPr>
        <w:tc>
          <w:tcPr>
            <w:tcW w:w="3227" w:type="dxa"/>
            <w:vAlign w:val="center"/>
          </w:tcPr>
          <w:p>
            <w:pPr>
              <w:pStyle w:val="a5"/>
              <w:tabs>
                <w:tab w:val="left" w:pos="3966"/>
              </w:tabs>
              <w:spacing w:after="0"/>
              <w:ind w:right="-120"/>
              <w:rPr>
                <w:i/>
              </w:rPr>
            </w:pPr>
            <w:r>
              <w:rPr>
                <w:i/>
              </w:rPr>
              <w:t>из них:</w:t>
            </w:r>
          </w:p>
        </w:tc>
        <w:tc>
          <w:tcPr>
            <w:tcW w:w="992" w:type="dxa"/>
            <w:vAlign w:val="center"/>
          </w:tcPr>
          <w:p>
            <w:pPr>
              <w:jc w:val="right"/>
              <w:rPr>
                <w:color w:val="000000"/>
              </w:rPr>
            </w:pPr>
          </w:p>
        </w:tc>
        <w:tc>
          <w:tcPr>
            <w:tcW w:w="1134" w:type="dxa"/>
            <w:vAlign w:val="center"/>
          </w:tcPr>
          <w:p>
            <w:pPr>
              <w:jc w:val="right"/>
              <w:rPr>
                <w:color w:val="000000"/>
              </w:rPr>
            </w:pPr>
          </w:p>
        </w:tc>
        <w:tc>
          <w:tcPr>
            <w:tcW w:w="1134" w:type="dxa"/>
            <w:shd w:val="clear" w:color="auto" w:fill="auto"/>
            <w:vAlign w:val="center"/>
          </w:tcPr>
          <w:p>
            <w:pPr>
              <w:jc w:val="right"/>
              <w:rPr>
                <w:color w:val="000000"/>
              </w:rPr>
            </w:pPr>
          </w:p>
        </w:tc>
        <w:tc>
          <w:tcPr>
            <w:tcW w:w="1134" w:type="dxa"/>
            <w:shd w:val="clear" w:color="auto" w:fill="auto"/>
            <w:vAlign w:val="center"/>
          </w:tcPr>
          <w:p>
            <w:pPr>
              <w:jc w:val="right"/>
              <w:rPr>
                <w:color w:val="000000"/>
              </w:rPr>
            </w:pPr>
          </w:p>
        </w:tc>
        <w:tc>
          <w:tcPr>
            <w:tcW w:w="1134" w:type="dxa"/>
            <w:shd w:val="clear" w:color="auto" w:fill="auto"/>
            <w:vAlign w:val="center"/>
          </w:tcPr>
          <w:p>
            <w:pPr>
              <w:jc w:val="right"/>
              <w:rPr>
                <w:color w:val="000000"/>
              </w:rPr>
            </w:pPr>
          </w:p>
        </w:tc>
        <w:tc>
          <w:tcPr>
            <w:tcW w:w="815" w:type="dxa"/>
            <w:shd w:val="clear" w:color="auto" w:fill="auto"/>
            <w:vAlign w:val="center"/>
          </w:tcPr>
          <w:p>
            <w:pPr>
              <w:pStyle w:val="a5"/>
              <w:spacing w:after="0"/>
              <w:ind w:left="-57" w:right="-57"/>
              <w:jc w:val="center"/>
            </w:pPr>
          </w:p>
        </w:tc>
      </w:tr>
      <w:tr>
        <w:trPr>
          <w:trHeight w:val="394"/>
          <w:jc w:val="center"/>
        </w:trPr>
        <w:tc>
          <w:tcPr>
            <w:tcW w:w="3227" w:type="dxa"/>
            <w:vAlign w:val="center"/>
          </w:tcPr>
          <w:p>
            <w:pPr>
              <w:pStyle w:val="a5"/>
              <w:tabs>
                <w:tab w:val="left" w:pos="3966"/>
              </w:tabs>
              <w:spacing w:after="0"/>
              <w:ind w:right="-120"/>
            </w:pPr>
            <w:r>
              <w:t>АО «СВК»</w:t>
            </w:r>
          </w:p>
        </w:tc>
        <w:tc>
          <w:tcPr>
            <w:tcW w:w="992" w:type="dxa"/>
            <w:vAlign w:val="center"/>
          </w:tcPr>
          <w:p>
            <w:pPr>
              <w:jc w:val="right"/>
              <w:rPr>
                <w:color w:val="000000"/>
              </w:rPr>
            </w:pPr>
            <w:r>
              <w:rPr>
                <w:color w:val="000000"/>
              </w:rPr>
              <w:t>672,48</w:t>
            </w:r>
          </w:p>
        </w:tc>
        <w:tc>
          <w:tcPr>
            <w:tcW w:w="1134" w:type="dxa"/>
            <w:vAlign w:val="center"/>
          </w:tcPr>
          <w:p>
            <w:pPr>
              <w:jc w:val="right"/>
              <w:rPr>
                <w:color w:val="000000"/>
              </w:rPr>
            </w:pPr>
            <w:r>
              <w:rPr>
                <w:color w:val="000000"/>
              </w:rPr>
              <w:t>672,48</w:t>
            </w:r>
          </w:p>
        </w:tc>
        <w:tc>
          <w:tcPr>
            <w:tcW w:w="1134" w:type="dxa"/>
            <w:shd w:val="clear" w:color="auto" w:fill="auto"/>
            <w:vAlign w:val="center"/>
          </w:tcPr>
          <w:p>
            <w:pPr>
              <w:jc w:val="right"/>
              <w:rPr>
                <w:color w:val="000000"/>
              </w:rPr>
            </w:pPr>
            <w:r>
              <w:rPr>
                <w:color w:val="000000"/>
              </w:rPr>
              <w:t>672,48</w:t>
            </w:r>
          </w:p>
        </w:tc>
        <w:tc>
          <w:tcPr>
            <w:tcW w:w="1134" w:type="dxa"/>
            <w:shd w:val="clear" w:color="auto" w:fill="auto"/>
            <w:vAlign w:val="center"/>
          </w:tcPr>
          <w:p>
            <w:pPr>
              <w:jc w:val="right"/>
              <w:rPr>
                <w:color w:val="000000"/>
              </w:rPr>
            </w:pPr>
            <w:r>
              <w:rPr>
                <w:color w:val="000000"/>
              </w:rPr>
              <w:t>672,48</w:t>
            </w:r>
          </w:p>
        </w:tc>
        <w:tc>
          <w:tcPr>
            <w:tcW w:w="1134" w:type="dxa"/>
            <w:shd w:val="clear" w:color="auto" w:fill="auto"/>
            <w:vAlign w:val="center"/>
          </w:tcPr>
          <w:p>
            <w:pPr>
              <w:jc w:val="right"/>
              <w:rPr>
                <w:color w:val="000000"/>
              </w:rPr>
            </w:pPr>
            <w:r>
              <w:rPr>
                <w:color w:val="000000"/>
              </w:rPr>
              <w:t>-</w:t>
            </w:r>
          </w:p>
        </w:tc>
        <w:tc>
          <w:tcPr>
            <w:tcW w:w="815" w:type="dxa"/>
            <w:shd w:val="clear" w:color="auto" w:fill="auto"/>
            <w:vAlign w:val="center"/>
          </w:tcPr>
          <w:p>
            <w:pPr>
              <w:pStyle w:val="a5"/>
              <w:spacing w:after="0"/>
              <w:ind w:left="-57" w:right="-57"/>
              <w:jc w:val="center"/>
            </w:pPr>
            <w:r>
              <w:t>100,0</w:t>
            </w:r>
          </w:p>
        </w:tc>
      </w:tr>
      <w:tr>
        <w:trPr>
          <w:trHeight w:val="415"/>
          <w:jc w:val="center"/>
        </w:trPr>
        <w:tc>
          <w:tcPr>
            <w:tcW w:w="3227" w:type="dxa"/>
            <w:vAlign w:val="center"/>
          </w:tcPr>
          <w:p>
            <w:pPr>
              <w:pStyle w:val="a5"/>
              <w:tabs>
                <w:tab w:val="left" w:pos="3966"/>
              </w:tabs>
              <w:spacing w:after="0"/>
              <w:ind w:right="-120"/>
            </w:pPr>
            <w:r>
              <w:t>ООО «СЭЛС»</w:t>
            </w:r>
          </w:p>
        </w:tc>
        <w:tc>
          <w:tcPr>
            <w:tcW w:w="992" w:type="dxa"/>
            <w:vAlign w:val="center"/>
          </w:tcPr>
          <w:p>
            <w:pPr>
              <w:jc w:val="right"/>
              <w:rPr>
                <w:color w:val="000000"/>
              </w:rPr>
            </w:pPr>
            <w:r>
              <w:rPr>
                <w:color w:val="000000"/>
              </w:rPr>
              <w:t>466,01</w:t>
            </w:r>
          </w:p>
        </w:tc>
        <w:tc>
          <w:tcPr>
            <w:tcW w:w="1134" w:type="dxa"/>
            <w:vAlign w:val="center"/>
          </w:tcPr>
          <w:p>
            <w:pPr>
              <w:jc w:val="right"/>
              <w:rPr>
                <w:color w:val="000000"/>
              </w:rPr>
            </w:pPr>
            <w:r>
              <w:rPr>
                <w:color w:val="000000"/>
              </w:rPr>
              <w:t>489,16</w:t>
            </w:r>
          </w:p>
        </w:tc>
        <w:tc>
          <w:tcPr>
            <w:tcW w:w="1134" w:type="dxa"/>
            <w:shd w:val="clear" w:color="auto" w:fill="auto"/>
            <w:vAlign w:val="center"/>
          </w:tcPr>
          <w:p>
            <w:pPr>
              <w:jc w:val="right"/>
              <w:rPr>
                <w:color w:val="000000"/>
              </w:rPr>
            </w:pPr>
            <w:r>
              <w:rPr>
                <w:color w:val="000000"/>
              </w:rPr>
              <w:t>470,98</w:t>
            </w:r>
          </w:p>
        </w:tc>
        <w:tc>
          <w:tcPr>
            <w:tcW w:w="1134" w:type="dxa"/>
            <w:shd w:val="clear" w:color="auto" w:fill="auto"/>
            <w:vAlign w:val="center"/>
          </w:tcPr>
          <w:p>
            <w:pPr>
              <w:jc w:val="right"/>
              <w:rPr>
                <w:color w:val="000000"/>
              </w:rPr>
            </w:pPr>
            <w:r>
              <w:rPr>
                <w:color w:val="000000"/>
              </w:rPr>
              <w:t>470,98</w:t>
            </w:r>
          </w:p>
        </w:tc>
        <w:tc>
          <w:tcPr>
            <w:tcW w:w="1134" w:type="dxa"/>
            <w:shd w:val="clear" w:color="auto" w:fill="auto"/>
            <w:vAlign w:val="center"/>
          </w:tcPr>
          <w:p>
            <w:pPr>
              <w:jc w:val="right"/>
              <w:rPr>
                <w:color w:val="000000"/>
              </w:rPr>
            </w:pPr>
            <w:r>
              <w:rPr>
                <w:color w:val="000000"/>
              </w:rPr>
              <w:t>-</w:t>
            </w:r>
          </w:p>
        </w:tc>
        <w:tc>
          <w:tcPr>
            <w:tcW w:w="815" w:type="dxa"/>
            <w:shd w:val="clear" w:color="auto" w:fill="auto"/>
            <w:vAlign w:val="center"/>
          </w:tcPr>
          <w:p>
            <w:pPr>
              <w:pStyle w:val="a5"/>
              <w:spacing w:after="0"/>
              <w:ind w:left="-57" w:right="-57"/>
              <w:jc w:val="center"/>
            </w:pPr>
            <w:r>
              <w:t>100,0</w:t>
            </w:r>
          </w:p>
        </w:tc>
      </w:tr>
      <w:tr>
        <w:trPr>
          <w:trHeight w:val="420"/>
          <w:jc w:val="center"/>
        </w:trPr>
        <w:tc>
          <w:tcPr>
            <w:tcW w:w="3227" w:type="dxa"/>
            <w:vAlign w:val="center"/>
          </w:tcPr>
          <w:p>
            <w:pPr>
              <w:pStyle w:val="a5"/>
              <w:tabs>
                <w:tab w:val="left" w:pos="3966"/>
              </w:tabs>
              <w:spacing w:after="0"/>
              <w:ind w:right="-120"/>
            </w:pPr>
            <w:r>
              <w:t>ООО «Радио Северска»</w:t>
            </w:r>
          </w:p>
        </w:tc>
        <w:tc>
          <w:tcPr>
            <w:tcW w:w="992" w:type="dxa"/>
            <w:vAlign w:val="center"/>
          </w:tcPr>
          <w:p>
            <w:pPr>
              <w:jc w:val="right"/>
              <w:rPr>
                <w:color w:val="000000"/>
              </w:rPr>
            </w:pPr>
            <w:r>
              <w:rPr>
                <w:color w:val="000000"/>
              </w:rPr>
              <w:t>82,68</w:t>
            </w:r>
          </w:p>
        </w:tc>
        <w:tc>
          <w:tcPr>
            <w:tcW w:w="1134" w:type="dxa"/>
            <w:vAlign w:val="center"/>
          </w:tcPr>
          <w:p>
            <w:pPr>
              <w:jc w:val="right"/>
              <w:rPr>
                <w:color w:val="000000"/>
              </w:rPr>
            </w:pPr>
            <w:r>
              <w:rPr>
                <w:color w:val="000000"/>
              </w:rPr>
              <w:t>82,68</w:t>
            </w:r>
          </w:p>
        </w:tc>
        <w:tc>
          <w:tcPr>
            <w:tcW w:w="1134" w:type="dxa"/>
            <w:shd w:val="clear" w:color="auto" w:fill="auto"/>
            <w:vAlign w:val="center"/>
          </w:tcPr>
          <w:p>
            <w:pPr>
              <w:jc w:val="right"/>
              <w:rPr>
                <w:color w:val="000000"/>
              </w:rPr>
            </w:pPr>
            <w:r>
              <w:rPr>
                <w:color w:val="000000"/>
              </w:rPr>
              <w:t>82,68</w:t>
            </w:r>
          </w:p>
        </w:tc>
        <w:tc>
          <w:tcPr>
            <w:tcW w:w="1134" w:type="dxa"/>
            <w:shd w:val="clear" w:color="auto" w:fill="auto"/>
            <w:vAlign w:val="center"/>
          </w:tcPr>
          <w:p>
            <w:pPr>
              <w:jc w:val="right"/>
              <w:rPr>
                <w:color w:val="000000"/>
              </w:rPr>
            </w:pPr>
            <w:r>
              <w:rPr>
                <w:color w:val="000000"/>
              </w:rPr>
              <w:t>82,68</w:t>
            </w:r>
          </w:p>
        </w:tc>
        <w:tc>
          <w:tcPr>
            <w:tcW w:w="1134" w:type="dxa"/>
            <w:shd w:val="clear" w:color="auto" w:fill="auto"/>
            <w:vAlign w:val="center"/>
          </w:tcPr>
          <w:p>
            <w:pPr>
              <w:jc w:val="right"/>
              <w:rPr>
                <w:color w:val="000000"/>
              </w:rPr>
            </w:pPr>
            <w:r>
              <w:rPr>
                <w:color w:val="000000"/>
              </w:rPr>
              <w:t>-</w:t>
            </w:r>
          </w:p>
        </w:tc>
        <w:tc>
          <w:tcPr>
            <w:tcW w:w="815" w:type="dxa"/>
            <w:shd w:val="clear" w:color="auto" w:fill="auto"/>
            <w:vAlign w:val="center"/>
          </w:tcPr>
          <w:p>
            <w:pPr>
              <w:pStyle w:val="a5"/>
              <w:spacing w:after="0"/>
              <w:ind w:left="-57" w:right="-57"/>
              <w:jc w:val="center"/>
            </w:pPr>
            <w:r>
              <w:t>100,0</w:t>
            </w:r>
          </w:p>
        </w:tc>
      </w:tr>
      <w:tr>
        <w:trPr>
          <w:trHeight w:val="420"/>
          <w:jc w:val="center"/>
        </w:trPr>
        <w:tc>
          <w:tcPr>
            <w:tcW w:w="3227" w:type="dxa"/>
            <w:vAlign w:val="center"/>
          </w:tcPr>
          <w:p>
            <w:pPr>
              <w:pStyle w:val="a5"/>
              <w:tabs>
                <w:tab w:val="left" w:pos="3966"/>
              </w:tabs>
              <w:spacing w:after="0"/>
              <w:ind w:right="-120"/>
            </w:pPr>
            <w:r>
              <w:t>ООО «ВКХ Самусь»</w:t>
            </w:r>
          </w:p>
        </w:tc>
        <w:tc>
          <w:tcPr>
            <w:tcW w:w="992" w:type="dxa"/>
            <w:vAlign w:val="center"/>
          </w:tcPr>
          <w:p>
            <w:pPr>
              <w:jc w:val="right"/>
              <w:rPr>
                <w:color w:val="000000"/>
              </w:rPr>
            </w:pPr>
            <w:r>
              <w:rPr>
                <w:color w:val="000000"/>
              </w:rPr>
              <w:t>13,57</w:t>
            </w:r>
          </w:p>
        </w:tc>
        <w:tc>
          <w:tcPr>
            <w:tcW w:w="1134" w:type="dxa"/>
            <w:vAlign w:val="center"/>
          </w:tcPr>
          <w:p>
            <w:pPr>
              <w:jc w:val="right"/>
              <w:rPr>
                <w:color w:val="000000"/>
              </w:rPr>
            </w:pPr>
            <w:r>
              <w:rPr>
                <w:color w:val="000000"/>
              </w:rPr>
              <w:t>27,15</w:t>
            </w:r>
          </w:p>
        </w:tc>
        <w:tc>
          <w:tcPr>
            <w:tcW w:w="1134" w:type="dxa"/>
            <w:shd w:val="clear" w:color="auto" w:fill="auto"/>
            <w:vAlign w:val="center"/>
          </w:tcPr>
          <w:p>
            <w:pPr>
              <w:jc w:val="right"/>
              <w:rPr>
                <w:color w:val="000000"/>
              </w:rPr>
            </w:pPr>
            <w:r>
              <w:rPr>
                <w:color w:val="000000"/>
              </w:rPr>
              <w:t>27,15</w:t>
            </w:r>
          </w:p>
        </w:tc>
        <w:tc>
          <w:tcPr>
            <w:tcW w:w="1134" w:type="dxa"/>
            <w:shd w:val="clear" w:color="auto" w:fill="auto"/>
            <w:vAlign w:val="center"/>
          </w:tcPr>
          <w:p>
            <w:pPr>
              <w:jc w:val="right"/>
              <w:rPr>
                <w:color w:val="000000"/>
              </w:rPr>
            </w:pPr>
            <w:r>
              <w:rPr>
                <w:color w:val="000000"/>
              </w:rPr>
              <w:t>40,72</w:t>
            </w:r>
          </w:p>
        </w:tc>
        <w:tc>
          <w:tcPr>
            <w:tcW w:w="1134" w:type="dxa"/>
            <w:shd w:val="clear" w:color="auto" w:fill="auto"/>
            <w:vAlign w:val="center"/>
          </w:tcPr>
          <w:p>
            <w:pPr>
              <w:jc w:val="right"/>
              <w:rPr>
                <w:color w:val="000000"/>
              </w:rPr>
            </w:pPr>
            <w:r>
              <w:rPr>
                <w:color w:val="000000"/>
              </w:rPr>
              <w:t>13,57</w:t>
            </w:r>
          </w:p>
        </w:tc>
        <w:tc>
          <w:tcPr>
            <w:tcW w:w="815" w:type="dxa"/>
            <w:shd w:val="clear" w:color="auto" w:fill="auto"/>
            <w:vAlign w:val="center"/>
          </w:tcPr>
          <w:p>
            <w:pPr>
              <w:pStyle w:val="a5"/>
              <w:spacing w:after="0"/>
              <w:ind w:left="-57" w:right="-57"/>
              <w:jc w:val="center"/>
            </w:pPr>
            <w:r>
              <w:t>150,0</w:t>
            </w:r>
          </w:p>
        </w:tc>
      </w:tr>
    </w:tbl>
    <w:p>
      <w:pPr>
        <w:pStyle w:val="a5"/>
        <w:spacing w:before="160" w:after="0" w:line="228" w:lineRule="auto"/>
        <w:ind w:firstLine="709"/>
        <w:jc w:val="both"/>
        <w:rPr>
          <w:sz w:val="24"/>
          <w:szCs w:val="24"/>
        </w:rPr>
      </w:pPr>
      <w:r>
        <w:rPr>
          <w:sz w:val="24"/>
          <w:szCs w:val="24"/>
        </w:rPr>
        <w:t>Удельный вес статьи в общей структуре фактически поступивших налоговых и неналоговых доходов - 0,1%.</w:t>
      </w:r>
    </w:p>
    <w:p>
      <w:pPr>
        <w:tabs>
          <w:tab w:val="left" w:pos="0"/>
        </w:tabs>
        <w:ind w:firstLine="709"/>
        <w:jc w:val="both"/>
        <w:rPr>
          <w:sz w:val="24"/>
          <w:szCs w:val="24"/>
        </w:rPr>
      </w:pPr>
      <w:r>
        <w:rPr>
          <w:sz w:val="24"/>
          <w:szCs w:val="24"/>
        </w:rPr>
        <w:t>Норматив зачисления в бюджет ЗАТО Северск 100%.</w:t>
      </w:r>
    </w:p>
    <w:p>
      <w:pPr>
        <w:spacing w:line="228" w:lineRule="auto"/>
        <w:ind w:firstLine="709"/>
        <w:jc w:val="both"/>
        <w:rPr>
          <w:sz w:val="24"/>
          <w:szCs w:val="24"/>
        </w:rPr>
      </w:pPr>
      <w:r>
        <w:rPr>
          <w:sz w:val="24"/>
          <w:szCs w:val="24"/>
        </w:rPr>
        <w:t xml:space="preserve">По сравнению с 2020 годом увеличение поступлений по статье составило 35,96 тыс.руб. или на 2,9%. </w:t>
      </w:r>
    </w:p>
    <w:p>
      <w:pPr>
        <w:ind w:firstLine="709"/>
        <w:jc w:val="both"/>
        <w:rPr>
          <w:sz w:val="24"/>
          <w:szCs w:val="24"/>
        </w:rPr>
      </w:pPr>
    </w:p>
    <w:p>
      <w:pPr>
        <w:pStyle w:val="a5"/>
        <w:tabs>
          <w:tab w:val="num" w:pos="0"/>
        </w:tabs>
        <w:spacing w:after="160"/>
        <w:jc w:val="center"/>
        <w:rPr>
          <w:b/>
          <w:i/>
          <w:sz w:val="24"/>
          <w:szCs w:val="24"/>
        </w:rPr>
      </w:pPr>
      <w:r>
        <w:rPr>
          <w:b/>
          <w:i/>
          <w:sz w:val="24"/>
          <w:szCs w:val="24"/>
        </w:rPr>
        <w:t>3.2.1.5. Плата за наем жилых помещений</w:t>
      </w:r>
    </w:p>
    <w:p>
      <w:pPr>
        <w:widowControl w:val="0"/>
        <w:ind w:firstLine="709"/>
        <w:jc w:val="both"/>
        <w:rPr>
          <w:sz w:val="24"/>
          <w:szCs w:val="24"/>
        </w:rPr>
      </w:pPr>
      <w:r>
        <w:rPr>
          <w:sz w:val="24"/>
          <w:szCs w:val="24"/>
        </w:rPr>
        <w:t>Прогноз поступлений по статье «Плата за наем жилых помещений» составлял 6 208,09 тыс.руб., фактическое исполнение – 6 495,06 тыс.руб., перевыполнение к плану на 286,97 тыс.руб. или 4,6%.</w:t>
      </w:r>
    </w:p>
    <w:p>
      <w:pPr>
        <w:pStyle w:val="a5"/>
        <w:spacing w:before="60" w:after="60"/>
        <w:ind w:firstLine="709"/>
        <w:jc w:val="both"/>
        <w:rPr>
          <w:sz w:val="24"/>
          <w:szCs w:val="24"/>
        </w:rPr>
      </w:pPr>
      <w:r>
        <w:rPr>
          <w:sz w:val="24"/>
          <w:szCs w:val="24"/>
        </w:rPr>
        <w:t>Таблица 31. Анализ поступления доходов от платы за наем жилых помещений                                   за 2020- 2021 гг.</w:t>
      </w:r>
    </w:p>
    <w:tbl>
      <w:tblPr>
        <w:tblW w:w="92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33"/>
        <w:gridCol w:w="1134"/>
        <w:gridCol w:w="1134"/>
        <w:gridCol w:w="1134"/>
        <w:gridCol w:w="992"/>
        <w:gridCol w:w="1111"/>
        <w:gridCol w:w="828"/>
      </w:tblGrid>
      <w:tr>
        <w:trPr>
          <w:trHeight w:val="205"/>
          <w:jc w:val="center"/>
        </w:trPr>
        <w:tc>
          <w:tcPr>
            <w:tcW w:w="2933" w:type="dxa"/>
            <w:vMerge w:val="restart"/>
            <w:vAlign w:val="center"/>
          </w:tcPr>
          <w:p>
            <w:pPr>
              <w:pStyle w:val="a5"/>
              <w:ind w:right="-2"/>
              <w:jc w:val="center"/>
            </w:pPr>
            <w:r>
              <w:t>Наименование</w:t>
            </w:r>
          </w:p>
        </w:tc>
        <w:tc>
          <w:tcPr>
            <w:tcW w:w="1134" w:type="dxa"/>
            <w:vMerge w:val="restart"/>
          </w:tcPr>
          <w:p>
            <w:pPr>
              <w:ind w:left="-108" w:right="-108"/>
              <w:jc w:val="center"/>
            </w:pPr>
          </w:p>
          <w:p>
            <w:pPr>
              <w:ind w:right="-57"/>
              <w:jc w:val="center"/>
              <w:rPr>
                <w:bCs/>
              </w:rPr>
            </w:pPr>
            <w:r>
              <w:rPr>
                <w:bCs/>
              </w:rPr>
              <w:t>Факт</w:t>
            </w:r>
          </w:p>
          <w:p>
            <w:pPr>
              <w:ind w:left="-108" w:right="-108"/>
              <w:jc w:val="center"/>
            </w:pPr>
            <w:r>
              <w:rPr>
                <w:bCs/>
              </w:rPr>
              <w:t>2020 год, тыс.руб.</w:t>
            </w:r>
          </w:p>
        </w:tc>
        <w:tc>
          <w:tcPr>
            <w:tcW w:w="5199" w:type="dxa"/>
            <w:gridSpan w:val="5"/>
            <w:vAlign w:val="center"/>
          </w:tcPr>
          <w:p>
            <w:pPr>
              <w:pStyle w:val="a5"/>
              <w:spacing w:after="0"/>
              <w:ind w:left="-57" w:right="-57"/>
              <w:jc w:val="center"/>
            </w:pPr>
            <w:r>
              <w:t>2021 год</w:t>
            </w:r>
          </w:p>
        </w:tc>
      </w:tr>
      <w:tr>
        <w:trPr>
          <w:trHeight w:val="844"/>
          <w:jc w:val="center"/>
        </w:trPr>
        <w:tc>
          <w:tcPr>
            <w:tcW w:w="2933" w:type="dxa"/>
            <w:vMerge/>
            <w:vAlign w:val="center"/>
          </w:tcPr>
          <w:p>
            <w:pPr>
              <w:pStyle w:val="a5"/>
              <w:spacing w:after="0"/>
              <w:ind w:right="-2"/>
              <w:jc w:val="center"/>
              <w:rPr>
                <w:sz w:val="22"/>
                <w:szCs w:val="22"/>
              </w:rPr>
            </w:pPr>
          </w:p>
        </w:tc>
        <w:tc>
          <w:tcPr>
            <w:tcW w:w="1134" w:type="dxa"/>
            <w:vMerge/>
          </w:tcPr>
          <w:p>
            <w:pPr>
              <w:ind w:left="-108" w:right="-108"/>
              <w:jc w:val="center"/>
            </w:pPr>
          </w:p>
        </w:tc>
        <w:tc>
          <w:tcPr>
            <w:tcW w:w="1134"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992" w:type="dxa"/>
            <w:vAlign w:val="center"/>
          </w:tcPr>
          <w:p>
            <w:pPr>
              <w:ind w:left="-108" w:right="-108"/>
              <w:jc w:val="center"/>
            </w:pPr>
            <w:r>
              <w:t xml:space="preserve">Факт, </w:t>
            </w:r>
            <w:r>
              <w:br/>
              <w:t>тыс.руб.</w:t>
            </w:r>
          </w:p>
        </w:tc>
        <w:tc>
          <w:tcPr>
            <w:tcW w:w="1111"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28"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29"/>
          <w:jc w:val="center"/>
        </w:trPr>
        <w:tc>
          <w:tcPr>
            <w:tcW w:w="2933"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34"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992" w:type="dxa"/>
            <w:shd w:val="clear" w:color="auto" w:fill="auto"/>
            <w:vAlign w:val="center"/>
          </w:tcPr>
          <w:p>
            <w:pPr>
              <w:jc w:val="center"/>
              <w:rPr>
                <w:color w:val="000000"/>
                <w:sz w:val="16"/>
                <w:szCs w:val="16"/>
              </w:rPr>
            </w:pPr>
            <w:r>
              <w:rPr>
                <w:color w:val="000000"/>
                <w:sz w:val="16"/>
                <w:szCs w:val="16"/>
              </w:rPr>
              <w:t>5</w:t>
            </w:r>
          </w:p>
        </w:tc>
        <w:tc>
          <w:tcPr>
            <w:tcW w:w="1111" w:type="dxa"/>
            <w:shd w:val="clear" w:color="auto" w:fill="auto"/>
            <w:vAlign w:val="center"/>
          </w:tcPr>
          <w:p>
            <w:pPr>
              <w:jc w:val="center"/>
              <w:rPr>
                <w:color w:val="000000"/>
                <w:sz w:val="16"/>
                <w:szCs w:val="16"/>
              </w:rPr>
            </w:pPr>
            <w:r>
              <w:rPr>
                <w:color w:val="000000"/>
                <w:sz w:val="16"/>
                <w:szCs w:val="16"/>
              </w:rPr>
              <w:t>6=5-4</w:t>
            </w:r>
          </w:p>
        </w:tc>
        <w:tc>
          <w:tcPr>
            <w:tcW w:w="828" w:type="dxa"/>
            <w:shd w:val="clear" w:color="auto" w:fill="auto"/>
            <w:vAlign w:val="center"/>
          </w:tcPr>
          <w:p>
            <w:pPr>
              <w:pStyle w:val="a5"/>
              <w:spacing w:after="0"/>
              <w:ind w:left="-57" w:right="-57"/>
              <w:jc w:val="center"/>
              <w:rPr>
                <w:sz w:val="16"/>
                <w:szCs w:val="16"/>
              </w:rPr>
            </w:pPr>
            <w:r>
              <w:rPr>
                <w:sz w:val="16"/>
                <w:szCs w:val="16"/>
              </w:rPr>
              <w:t>7=5/4</w:t>
            </w:r>
          </w:p>
        </w:tc>
      </w:tr>
      <w:tr>
        <w:trPr>
          <w:trHeight w:val="274"/>
          <w:jc w:val="center"/>
        </w:trPr>
        <w:tc>
          <w:tcPr>
            <w:tcW w:w="2933" w:type="dxa"/>
            <w:vAlign w:val="center"/>
          </w:tcPr>
          <w:p>
            <w:pPr>
              <w:pStyle w:val="a5"/>
              <w:tabs>
                <w:tab w:val="left" w:pos="3966"/>
              </w:tabs>
              <w:spacing w:after="0"/>
              <w:ind w:right="-119"/>
            </w:pPr>
            <w:r>
              <w:t>Плата за наем жилых помещений</w:t>
            </w:r>
          </w:p>
        </w:tc>
        <w:tc>
          <w:tcPr>
            <w:tcW w:w="1134" w:type="dxa"/>
            <w:vAlign w:val="center"/>
          </w:tcPr>
          <w:p>
            <w:pPr>
              <w:jc w:val="right"/>
              <w:rPr>
                <w:color w:val="000000"/>
              </w:rPr>
            </w:pPr>
            <w:r>
              <w:rPr>
                <w:color w:val="000000"/>
              </w:rPr>
              <w:t>7 089,47</w:t>
            </w:r>
          </w:p>
        </w:tc>
        <w:tc>
          <w:tcPr>
            <w:tcW w:w="1134" w:type="dxa"/>
            <w:vAlign w:val="center"/>
          </w:tcPr>
          <w:p>
            <w:pPr>
              <w:jc w:val="right"/>
              <w:rPr>
                <w:color w:val="000000"/>
              </w:rPr>
            </w:pPr>
            <w:r>
              <w:rPr>
                <w:color w:val="000000"/>
              </w:rPr>
              <w:t>7 179,40</w:t>
            </w:r>
          </w:p>
        </w:tc>
        <w:tc>
          <w:tcPr>
            <w:tcW w:w="1134" w:type="dxa"/>
            <w:shd w:val="clear" w:color="auto" w:fill="auto"/>
            <w:vAlign w:val="center"/>
          </w:tcPr>
          <w:p>
            <w:pPr>
              <w:jc w:val="right"/>
              <w:rPr>
                <w:color w:val="000000"/>
              </w:rPr>
            </w:pPr>
            <w:r>
              <w:rPr>
                <w:color w:val="000000"/>
              </w:rPr>
              <w:t>6 208,09</w:t>
            </w:r>
          </w:p>
        </w:tc>
        <w:tc>
          <w:tcPr>
            <w:tcW w:w="992" w:type="dxa"/>
            <w:shd w:val="clear" w:color="auto" w:fill="auto"/>
            <w:vAlign w:val="center"/>
          </w:tcPr>
          <w:p>
            <w:pPr>
              <w:jc w:val="right"/>
              <w:rPr>
                <w:color w:val="000000"/>
              </w:rPr>
            </w:pPr>
            <w:r>
              <w:rPr>
                <w:color w:val="000000"/>
              </w:rPr>
              <w:t>6 495,06</w:t>
            </w:r>
          </w:p>
        </w:tc>
        <w:tc>
          <w:tcPr>
            <w:tcW w:w="1111" w:type="dxa"/>
            <w:shd w:val="clear" w:color="auto" w:fill="auto"/>
            <w:vAlign w:val="center"/>
          </w:tcPr>
          <w:p>
            <w:pPr>
              <w:jc w:val="right"/>
              <w:rPr>
                <w:color w:val="000000"/>
              </w:rPr>
            </w:pPr>
            <w:r>
              <w:rPr>
                <w:color w:val="000000"/>
              </w:rPr>
              <w:t>286,97</w:t>
            </w:r>
          </w:p>
        </w:tc>
        <w:tc>
          <w:tcPr>
            <w:tcW w:w="828" w:type="dxa"/>
            <w:shd w:val="clear" w:color="auto" w:fill="auto"/>
            <w:vAlign w:val="center"/>
          </w:tcPr>
          <w:p>
            <w:pPr>
              <w:pStyle w:val="a5"/>
              <w:spacing w:after="0"/>
              <w:ind w:left="-57" w:right="-57"/>
              <w:jc w:val="center"/>
            </w:pPr>
            <w:r>
              <w:t>107,6</w:t>
            </w:r>
          </w:p>
        </w:tc>
      </w:tr>
    </w:tbl>
    <w:p>
      <w:pPr>
        <w:pStyle w:val="a5"/>
        <w:spacing w:before="80" w:after="0"/>
        <w:ind w:firstLine="709"/>
        <w:jc w:val="both"/>
        <w:rPr>
          <w:sz w:val="24"/>
          <w:szCs w:val="24"/>
        </w:rPr>
      </w:pPr>
      <w:r>
        <w:rPr>
          <w:sz w:val="24"/>
          <w:szCs w:val="24"/>
        </w:rPr>
        <w:t>Удельный вес в общей структуре фактически поступивших доходов составляет 0,1%, налоговых и неналоговых доходах - 0,5%.</w:t>
      </w:r>
    </w:p>
    <w:p>
      <w:pPr>
        <w:tabs>
          <w:tab w:val="left" w:pos="0"/>
        </w:tabs>
        <w:ind w:firstLine="709"/>
        <w:jc w:val="both"/>
        <w:rPr>
          <w:sz w:val="24"/>
          <w:szCs w:val="24"/>
        </w:rPr>
      </w:pPr>
      <w:r>
        <w:rPr>
          <w:sz w:val="24"/>
          <w:szCs w:val="24"/>
        </w:rPr>
        <w:t>Норматив зачисления в бюджет ЗАТО Северск 100%.</w:t>
      </w:r>
    </w:p>
    <w:p>
      <w:pPr>
        <w:ind w:firstLine="709"/>
        <w:jc w:val="both"/>
        <w:rPr>
          <w:color w:val="000000"/>
          <w:sz w:val="24"/>
          <w:szCs w:val="24"/>
        </w:rPr>
      </w:pPr>
      <w:r>
        <w:rPr>
          <w:sz w:val="24"/>
          <w:szCs w:val="24"/>
        </w:rPr>
        <w:t xml:space="preserve">По сравнению с 2020 годом уменьшение поступлений по статье составило 594,41 тыс.руб. или на 8,4%, что </w:t>
      </w:r>
      <w:r>
        <w:rPr>
          <w:color w:val="000000"/>
          <w:sz w:val="24"/>
          <w:szCs w:val="24"/>
        </w:rPr>
        <w:t>обусловлено снижением площадей муниципального жилищного фонда (м</w:t>
      </w:r>
      <w:r>
        <w:rPr>
          <w:sz w:val="24"/>
          <w:szCs w:val="24"/>
        </w:rPr>
        <w:t>униципальный жилищный фонд по состоянию на 01.01.2021 составлял 124,61 тыс.м</w:t>
      </w:r>
      <w:r>
        <w:rPr>
          <w:sz w:val="24"/>
          <w:szCs w:val="24"/>
          <w:vertAlign w:val="superscript"/>
        </w:rPr>
        <w:t>2</w:t>
      </w:r>
      <w:r>
        <w:rPr>
          <w:sz w:val="24"/>
          <w:szCs w:val="24"/>
        </w:rPr>
        <w:t>, на 01.01.2022 – 113,39 тыс.м</w:t>
      </w:r>
      <w:r>
        <w:rPr>
          <w:sz w:val="24"/>
          <w:szCs w:val="24"/>
          <w:vertAlign w:val="superscript"/>
        </w:rPr>
        <w:t>2</w:t>
      </w:r>
      <w:r>
        <w:rPr>
          <w:color w:val="000000"/>
          <w:sz w:val="24"/>
          <w:szCs w:val="24"/>
        </w:rPr>
        <w:t>), корректировкой начислений за предыдущие периоды по итогам инвентаризации, а также низкой платежной дисциплиной нанимателей.</w:t>
      </w:r>
    </w:p>
    <w:p>
      <w:pPr>
        <w:pStyle w:val="a5"/>
        <w:spacing w:after="0"/>
        <w:ind w:firstLine="709"/>
        <w:jc w:val="both"/>
        <w:rPr>
          <w:color w:val="000000"/>
          <w:sz w:val="24"/>
          <w:szCs w:val="24"/>
        </w:rPr>
      </w:pPr>
      <w:r>
        <w:rPr>
          <w:sz w:val="24"/>
          <w:szCs w:val="24"/>
        </w:rPr>
        <w:t xml:space="preserve">Задолженность по плате за наем жилых помещений в 2021 году по сравнению с 2020 годом увеличилась на 447,72 тыс.руб., что объясняется низкой платежной дисциплиной нанимателей (на 01.01.2021 – 7 655,73 тыс.руб., на 01.01.2022 – 8 103,45 тыс.руб.). </w:t>
      </w:r>
    </w:p>
    <w:p>
      <w:pPr>
        <w:pStyle w:val="a5"/>
        <w:spacing w:after="0"/>
        <w:jc w:val="center"/>
        <w:rPr>
          <w:sz w:val="18"/>
          <w:szCs w:val="18"/>
        </w:rPr>
      </w:pPr>
    </w:p>
    <w:p>
      <w:pPr>
        <w:pStyle w:val="a5"/>
        <w:spacing w:after="80"/>
        <w:jc w:val="center"/>
        <w:rPr>
          <w:b/>
          <w:i/>
          <w:sz w:val="24"/>
          <w:szCs w:val="24"/>
        </w:rPr>
      </w:pPr>
      <w:r>
        <w:rPr>
          <w:b/>
          <w:i/>
          <w:sz w:val="24"/>
          <w:szCs w:val="24"/>
        </w:rPr>
        <w:t>3.2.1.6. Аренда движимого имущества</w:t>
      </w:r>
    </w:p>
    <w:p>
      <w:pPr>
        <w:pStyle w:val="a5"/>
        <w:spacing w:after="0"/>
        <w:ind w:firstLine="709"/>
        <w:jc w:val="both"/>
        <w:rPr>
          <w:sz w:val="24"/>
          <w:szCs w:val="24"/>
        </w:rPr>
      </w:pPr>
      <w:r>
        <w:rPr>
          <w:sz w:val="24"/>
          <w:szCs w:val="24"/>
        </w:rPr>
        <w:t xml:space="preserve">Прогноз поступлений по статье «Аренда движимого имущества» составлял 1 587,48 тыс.руб., фактическое исполнение – 1 376,67 тыс.руб., невыполнение на 210,81 тыс.руб. или на 13,3%, что обусловлено несвоевременной уплатой текущих </w:t>
      </w:r>
      <w:r>
        <w:rPr>
          <w:sz w:val="24"/>
          <w:szCs w:val="24"/>
        </w:rPr>
        <w:lastRenderedPageBreak/>
        <w:t xml:space="preserve">платежей, а также погашением задолженности ООО «Автотранс» в меньшем объеме, чем предусмотрено соглашением о погашении задолженности. </w:t>
      </w:r>
    </w:p>
    <w:p>
      <w:pPr>
        <w:pStyle w:val="a5"/>
        <w:spacing w:before="60" w:after="60"/>
        <w:ind w:firstLine="709"/>
        <w:jc w:val="both"/>
        <w:rPr>
          <w:sz w:val="24"/>
          <w:szCs w:val="24"/>
        </w:rPr>
      </w:pPr>
      <w:r>
        <w:rPr>
          <w:sz w:val="24"/>
          <w:szCs w:val="24"/>
        </w:rPr>
        <w:t>Таблица 32. Анализ поступления доходов от аренды движимого имущества                                     за 2020 - 2021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5"/>
        <w:gridCol w:w="1134"/>
        <w:gridCol w:w="1134"/>
        <w:gridCol w:w="1134"/>
        <w:gridCol w:w="1070"/>
        <w:gridCol w:w="1113"/>
        <w:gridCol w:w="900"/>
      </w:tblGrid>
      <w:tr>
        <w:trPr>
          <w:trHeight w:val="187"/>
          <w:jc w:val="center"/>
        </w:trPr>
        <w:tc>
          <w:tcPr>
            <w:tcW w:w="3085" w:type="dxa"/>
            <w:vMerge w:val="restart"/>
            <w:vAlign w:val="center"/>
          </w:tcPr>
          <w:p>
            <w:pPr>
              <w:pStyle w:val="a5"/>
              <w:ind w:right="-2"/>
              <w:jc w:val="center"/>
            </w:pPr>
            <w:r>
              <w:t xml:space="preserve">Наименование </w:t>
            </w:r>
          </w:p>
        </w:tc>
        <w:tc>
          <w:tcPr>
            <w:tcW w:w="1134" w:type="dxa"/>
            <w:vMerge w:val="restart"/>
          </w:tcPr>
          <w:p>
            <w:pPr>
              <w:ind w:left="-108" w:right="-108"/>
              <w:jc w:val="center"/>
            </w:pPr>
          </w:p>
          <w:p>
            <w:pPr>
              <w:ind w:right="-57"/>
              <w:jc w:val="center"/>
              <w:rPr>
                <w:bCs/>
              </w:rPr>
            </w:pPr>
            <w:r>
              <w:rPr>
                <w:bCs/>
              </w:rPr>
              <w:t>Факт</w:t>
            </w:r>
          </w:p>
          <w:p>
            <w:pPr>
              <w:ind w:left="-108" w:right="-108"/>
              <w:jc w:val="center"/>
            </w:pPr>
            <w:r>
              <w:rPr>
                <w:bCs/>
              </w:rPr>
              <w:t>2020 год, тыс.руб.</w:t>
            </w:r>
          </w:p>
        </w:tc>
        <w:tc>
          <w:tcPr>
            <w:tcW w:w="5351" w:type="dxa"/>
            <w:gridSpan w:val="5"/>
            <w:vAlign w:val="center"/>
          </w:tcPr>
          <w:p>
            <w:pPr>
              <w:pStyle w:val="a5"/>
              <w:spacing w:after="0"/>
              <w:ind w:left="-57" w:right="-57"/>
              <w:jc w:val="center"/>
            </w:pPr>
            <w:r>
              <w:t>2021 год</w:t>
            </w:r>
          </w:p>
        </w:tc>
      </w:tr>
      <w:tr>
        <w:trPr>
          <w:trHeight w:val="559"/>
          <w:jc w:val="center"/>
        </w:trPr>
        <w:tc>
          <w:tcPr>
            <w:tcW w:w="3085" w:type="dxa"/>
            <w:vMerge/>
            <w:vAlign w:val="center"/>
          </w:tcPr>
          <w:p>
            <w:pPr>
              <w:pStyle w:val="a5"/>
              <w:spacing w:after="0"/>
              <w:ind w:right="-2"/>
              <w:jc w:val="center"/>
              <w:rPr>
                <w:sz w:val="22"/>
                <w:szCs w:val="22"/>
              </w:rPr>
            </w:pPr>
          </w:p>
        </w:tc>
        <w:tc>
          <w:tcPr>
            <w:tcW w:w="1134" w:type="dxa"/>
            <w:vMerge/>
          </w:tcPr>
          <w:p>
            <w:pPr>
              <w:ind w:left="-108" w:right="-108"/>
              <w:jc w:val="center"/>
            </w:pPr>
          </w:p>
        </w:tc>
        <w:tc>
          <w:tcPr>
            <w:tcW w:w="1134"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070" w:type="dxa"/>
            <w:vAlign w:val="center"/>
          </w:tcPr>
          <w:p>
            <w:pPr>
              <w:ind w:left="-108" w:right="-108"/>
              <w:jc w:val="center"/>
            </w:pPr>
            <w:r>
              <w:t xml:space="preserve">Факт, </w:t>
            </w:r>
            <w:r>
              <w:br/>
              <w:t>тыс.руб.</w:t>
            </w:r>
          </w:p>
        </w:tc>
        <w:tc>
          <w:tcPr>
            <w:tcW w:w="1113"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00"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42"/>
          <w:jc w:val="center"/>
        </w:trPr>
        <w:tc>
          <w:tcPr>
            <w:tcW w:w="3085"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34"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070" w:type="dxa"/>
            <w:shd w:val="clear" w:color="auto" w:fill="auto"/>
            <w:vAlign w:val="center"/>
          </w:tcPr>
          <w:p>
            <w:pPr>
              <w:jc w:val="center"/>
              <w:rPr>
                <w:color w:val="000000"/>
                <w:sz w:val="16"/>
                <w:szCs w:val="16"/>
              </w:rPr>
            </w:pPr>
            <w:r>
              <w:rPr>
                <w:color w:val="000000"/>
                <w:sz w:val="16"/>
                <w:szCs w:val="16"/>
              </w:rPr>
              <w:t>5</w:t>
            </w:r>
          </w:p>
        </w:tc>
        <w:tc>
          <w:tcPr>
            <w:tcW w:w="1113" w:type="dxa"/>
            <w:shd w:val="clear" w:color="auto" w:fill="auto"/>
            <w:vAlign w:val="center"/>
          </w:tcPr>
          <w:p>
            <w:pPr>
              <w:jc w:val="center"/>
              <w:rPr>
                <w:color w:val="000000"/>
                <w:sz w:val="16"/>
                <w:szCs w:val="16"/>
              </w:rPr>
            </w:pPr>
            <w:r>
              <w:rPr>
                <w:color w:val="000000"/>
                <w:sz w:val="16"/>
                <w:szCs w:val="16"/>
              </w:rPr>
              <w:t>6=5-4</w:t>
            </w:r>
          </w:p>
        </w:tc>
        <w:tc>
          <w:tcPr>
            <w:tcW w:w="900" w:type="dxa"/>
            <w:shd w:val="clear" w:color="auto" w:fill="auto"/>
            <w:vAlign w:val="center"/>
          </w:tcPr>
          <w:p>
            <w:pPr>
              <w:pStyle w:val="a5"/>
              <w:spacing w:after="0"/>
              <w:ind w:left="-57" w:right="-57"/>
              <w:jc w:val="center"/>
              <w:rPr>
                <w:sz w:val="16"/>
                <w:szCs w:val="16"/>
              </w:rPr>
            </w:pPr>
            <w:r>
              <w:rPr>
                <w:sz w:val="16"/>
                <w:szCs w:val="16"/>
              </w:rPr>
              <w:t>7=5/4</w:t>
            </w:r>
          </w:p>
        </w:tc>
      </w:tr>
      <w:tr>
        <w:trPr>
          <w:trHeight w:val="435"/>
          <w:jc w:val="center"/>
        </w:trPr>
        <w:tc>
          <w:tcPr>
            <w:tcW w:w="3085" w:type="dxa"/>
            <w:vAlign w:val="center"/>
          </w:tcPr>
          <w:p>
            <w:pPr>
              <w:pStyle w:val="a5"/>
              <w:tabs>
                <w:tab w:val="left" w:pos="3966"/>
              </w:tabs>
              <w:spacing w:after="0"/>
              <w:ind w:right="-120"/>
            </w:pPr>
            <w:r>
              <w:t>Аренда движимого имущества</w:t>
            </w:r>
          </w:p>
        </w:tc>
        <w:tc>
          <w:tcPr>
            <w:tcW w:w="1134" w:type="dxa"/>
            <w:vAlign w:val="center"/>
          </w:tcPr>
          <w:p>
            <w:pPr>
              <w:jc w:val="right"/>
              <w:rPr>
                <w:color w:val="000000"/>
              </w:rPr>
            </w:pPr>
            <w:r>
              <w:rPr>
                <w:color w:val="000000"/>
              </w:rPr>
              <w:t>1 893,00</w:t>
            </w:r>
          </w:p>
        </w:tc>
        <w:tc>
          <w:tcPr>
            <w:tcW w:w="1134" w:type="dxa"/>
            <w:vAlign w:val="center"/>
          </w:tcPr>
          <w:p>
            <w:pPr>
              <w:jc w:val="right"/>
              <w:rPr>
                <w:color w:val="000000"/>
              </w:rPr>
            </w:pPr>
            <w:r>
              <w:rPr>
                <w:color w:val="000000"/>
              </w:rPr>
              <w:t>1 774,45</w:t>
            </w:r>
          </w:p>
        </w:tc>
        <w:tc>
          <w:tcPr>
            <w:tcW w:w="1134" w:type="dxa"/>
            <w:shd w:val="clear" w:color="auto" w:fill="auto"/>
            <w:vAlign w:val="center"/>
          </w:tcPr>
          <w:p>
            <w:pPr>
              <w:jc w:val="right"/>
              <w:rPr>
                <w:color w:val="000000"/>
              </w:rPr>
            </w:pPr>
            <w:r>
              <w:rPr>
                <w:color w:val="000000"/>
              </w:rPr>
              <w:t>1 587,48</w:t>
            </w:r>
          </w:p>
        </w:tc>
        <w:tc>
          <w:tcPr>
            <w:tcW w:w="1070" w:type="dxa"/>
            <w:shd w:val="clear" w:color="auto" w:fill="auto"/>
            <w:vAlign w:val="center"/>
          </w:tcPr>
          <w:p>
            <w:pPr>
              <w:jc w:val="right"/>
              <w:rPr>
                <w:color w:val="000000"/>
              </w:rPr>
            </w:pPr>
            <w:r>
              <w:rPr>
                <w:color w:val="000000"/>
              </w:rPr>
              <w:t>1 376,67</w:t>
            </w:r>
          </w:p>
        </w:tc>
        <w:tc>
          <w:tcPr>
            <w:tcW w:w="1113" w:type="dxa"/>
            <w:shd w:val="clear" w:color="auto" w:fill="auto"/>
            <w:vAlign w:val="center"/>
          </w:tcPr>
          <w:p>
            <w:pPr>
              <w:jc w:val="right"/>
              <w:rPr>
                <w:color w:val="000000"/>
              </w:rPr>
            </w:pPr>
            <w:r>
              <w:rPr>
                <w:color w:val="000000"/>
              </w:rPr>
              <w:t>-210,81</w:t>
            </w:r>
          </w:p>
        </w:tc>
        <w:tc>
          <w:tcPr>
            <w:tcW w:w="900" w:type="dxa"/>
            <w:shd w:val="clear" w:color="auto" w:fill="auto"/>
            <w:vAlign w:val="center"/>
          </w:tcPr>
          <w:p>
            <w:pPr>
              <w:pStyle w:val="a5"/>
              <w:spacing w:after="0"/>
              <w:ind w:left="-57" w:right="-57"/>
              <w:jc w:val="center"/>
            </w:pPr>
            <w:r>
              <w:t>86,7</w:t>
            </w:r>
          </w:p>
        </w:tc>
      </w:tr>
    </w:tbl>
    <w:p>
      <w:pPr>
        <w:pStyle w:val="a5"/>
        <w:spacing w:before="120" w:after="0"/>
        <w:ind w:firstLine="709"/>
        <w:jc w:val="both"/>
        <w:rPr>
          <w:sz w:val="24"/>
          <w:szCs w:val="24"/>
        </w:rPr>
      </w:pPr>
      <w:r>
        <w:rPr>
          <w:sz w:val="24"/>
          <w:szCs w:val="24"/>
        </w:rPr>
        <w:t>Удельный вес статьи в общей структуре фактически поступивших налоговых и неналоговых доходах - 0,1%.</w:t>
      </w:r>
    </w:p>
    <w:p>
      <w:pPr>
        <w:tabs>
          <w:tab w:val="left" w:pos="0"/>
        </w:tabs>
        <w:ind w:firstLine="709"/>
        <w:jc w:val="both"/>
        <w:rPr>
          <w:sz w:val="24"/>
          <w:szCs w:val="24"/>
        </w:rPr>
      </w:pPr>
      <w:r>
        <w:rPr>
          <w:sz w:val="24"/>
          <w:szCs w:val="24"/>
        </w:rPr>
        <w:t>Норматив зачисления в бюджет ЗАТО Северск 100%.</w:t>
      </w:r>
    </w:p>
    <w:p>
      <w:pPr>
        <w:pStyle w:val="a5"/>
        <w:spacing w:after="0"/>
        <w:ind w:right="23" w:firstLine="720"/>
        <w:jc w:val="both"/>
        <w:rPr>
          <w:sz w:val="24"/>
          <w:szCs w:val="24"/>
        </w:rPr>
      </w:pPr>
      <w:r>
        <w:rPr>
          <w:sz w:val="24"/>
          <w:szCs w:val="24"/>
        </w:rPr>
        <w:t>По сравнению с 2020 годом снижение по статье составило 516,33 тыс.руб. или на 27,3%, что в основном обусловлено погашением задолженности ООО «Автотранс» в 2020 году.</w:t>
      </w:r>
    </w:p>
    <w:p>
      <w:pPr>
        <w:pStyle w:val="a5"/>
        <w:tabs>
          <w:tab w:val="num" w:pos="0"/>
        </w:tabs>
        <w:spacing w:after="0"/>
        <w:rPr>
          <w:b/>
          <w:sz w:val="18"/>
          <w:szCs w:val="18"/>
        </w:rPr>
      </w:pPr>
    </w:p>
    <w:p>
      <w:pPr>
        <w:pStyle w:val="a5"/>
        <w:spacing w:after="80"/>
        <w:jc w:val="center"/>
        <w:rPr>
          <w:b/>
          <w:i/>
          <w:sz w:val="24"/>
          <w:szCs w:val="24"/>
        </w:rPr>
      </w:pPr>
      <w:r>
        <w:rPr>
          <w:b/>
          <w:i/>
          <w:sz w:val="24"/>
          <w:szCs w:val="24"/>
        </w:rPr>
        <w:t>3.2.1.7. Плата за установку и эксплуатацию рекламных конструкций</w:t>
      </w:r>
    </w:p>
    <w:p>
      <w:pPr>
        <w:tabs>
          <w:tab w:val="left" w:pos="0"/>
        </w:tabs>
        <w:ind w:firstLine="709"/>
        <w:jc w:val="both"/>
        <w:rPr>
          <w:sz w:val="24"/>
          <w:szCs w:val="24"/>
        </w:rPr>
      </w:pPr>
      <w:r>
        <w:rPr>
          <w:sz w:val="24"/>
          <w:szCs w:val="24"/>
        </w:rPr>
        <w:t>Прогноз поступлений по статье «Плата за установку и эксплуатацию рекламных конструкций» составлял 3 039,54 тыс.руб., фактическое исполнение – 3 003,24 тыс.руб., невыполнение на 36,30 тыс.руб. или на 1,2%.</w:t>
      </w:r>
    </w:p>
    <w:p>
      <w:pPr>
        <w:pStyle w:val="a5"/>
        <w:spacing w:before="60" w:after="60"/>
        <w:ind w:firstLine="709"/>
        <w:jc w:val="both"/>
        <w:rPr>
          <w:sz w:val="24"/>
          <w:szCs w:val="24"/>
        </w:rPr>
      </w:pPr>
      <w:r>
        <w:rPr>
          <w:sz w:val="24"/>
          <w:szCs w:val="24"/>
        </w:rPr>
        <w:t>Таблица 33. Анализ поступления доходов от аренды рекламных конструкций                   за 2020 - 2021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134"/>
        <w:gridCol w:w="1275"/>
        <w:gridCol w:w="1134"/>
        <w:gridCol w:w="1126"/>
        <w:gridCol w:w="8"/>
        <w:gridCol w:w="1134"/>
        <w:gridCol w:w="957"/>
      </w:tblGrid>
      <w:tr>
        <w:trPr>
          <w:trHeight w:val="205"/>
          <w:jc w:val="center"/>
        </w:trPr>
        <w:tc>
          <w:tcPr>
            <w:tcW w:w="2802"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08" w:right="-108"/>
              <w:jc w:val="center"/>
            </w:pPr>
            <w:r>
              <w:rPr>
                <w:bCs/>
              </w:rPr>
              <w:t>2020 год, тыс.руб.</w:t>
            </w:r>
          </w:p>
        </w:tc>
        <w:tc>
          <w:tcPr>
            <w:tcW w:w="5634" w:type="dxa"/>
            <w:gridSpan w:val="6"/>
            <w:vAlign w:val="center"/>
          </w:tcPr>
          <w:p>
            <w:pPr>
              <w:pStyle w:val="a5"/>
              <w:spacing w:after="0"/>
              <w:ind w:left="-57" w:right="-57"/>
              <w:jc w:val="center"/>
            </w:pPr>
            <w:r>
              <w:t>2021 год</w:t>
            </w:r>
          </w:p>
        </w:tc>
      </w:tr>
      <w:tr>
        <w:trPr>
          <w:trHeight w:val="732"/>
          <w:jc w:val="center"/>
        </w:trPr>
        <w:tc>
          <w:tcPr>
            <w:tcW w:w="2802" w:type="dxa"/>
            <w:vMerge/>
            <w:vAlign w:val="center"/>
          </w:tcPr>
          <w:p>
            <w:pPr>
              <w:pStyle w:val="a5"/>
              <w:spacing w:after="0"/>
              <w:ind w:right="-2"/>
              <w:jc w:val="center"/>
              <w:rPr>
                <w:sz w:val="22"/>
                <w:szCs w:val="22"/>
              </w:rPr>
            </w:pPr>
          </w:p>
        </w:tc>
        <w:tc>
          <w:tcPr>
            <w:tcW w:w="1134" w:type="dxa"/>
            <w:vMerge/>
          </w:tcPr>
          <w:p>
            <w:pPr>
              <w:ind w:left="-108" w:right="-108"/>
              <w:jc w:val="center"/>
            </w:pPr>
          </w:p>
        </w:tc>
        <w:tc>
          <w:tcPr>
            <w:tcW w:w="1275"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134" w:type="dxa"/>
            <w:gridSpan w:val="2"/>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57"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58"/>
          <w:jc w:val="center"/>
        </w:trPr>
        <w:tc>
          <w:tcPr>
            <w:tcW w:w="2802"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275"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26" w:type="dxa"/>
            <w:shd w:val="clear" w:color="auto" w:fill="auto"/>
            <w:vAlign w:val="center"/>
          </w:tcPr>
          <w:p>
            <w:pPr>
              <w:jc w:val="center"/>
              <w:rPr>
                <w:color w:val="000000"/>
                <w:sz w:val="16"/>
                <w:szCs w:val="16"/>
              </w:rPr>
            </w:pPr>
            <w:r>
              <w:rPr>
                <w:color w:val="000000"/>
                <w:sz w:val="16"/>
                <w:szCs w:val="16"/>
              </w:rPr>
              <w:t>5</w:t>
            </w:r>
          </w:p>
        </w:tc>
        <w:tc>
          <w:tcPr>
            <w:tcW w:w="1142" w:type="dxa"/>
            <w:gridSpan w:val="2"/>
            <w:shd w:val="clear" w:color="auto" w:fill="auto"/>
            <w:vAlign w:val="center"/>
          </w:tcPr>
          <w:p>
            <w:pPr>
              <w:jc w:val="center"/>
              <w:rPr>
                <w:color w:val="000000"/>
                <w:sz w:val="16"/>
                <w:szCs w:val="16"/>
              </w:rPr>
            </w:pPr>
            <w:r>
              <w:rPr>
                <w:color w:val="000000"/>
                <w:sz w:val="16"/>
                <w:szCs w:val="16"/>
              </w:rPr>
              <w:t>6=5-4</w:t>
            </w:r>
          </w:p>
        </w:tc>
        <w:tc>
          <w:tcPr>
            <w:tcW w:w="957" w:type="dxa"/>
            <w:shd w:val="clear" w:color="auto" w:fill="auto"/>
            <w:vAlign w:val="center"/>
          </w:tcPr>
          <w:p>
            <w:pPr>
              <w:pStyle w:val="a5"/>
              <w:spacing w:after="0"/>
              <w:ind w:left="-57" w:right="-57"/>
              <w:jc w:val="center"/>
              <w:rPr>
                <w:sz w:val="16"/>
                <w:szCs w:val="16"/>
              </w:rPr>
            </w:pPr>
            <w:r>
              <w:rPr>
                <w:sz w:val="16"/>
                <w:szCs w:val="16"/>
              </w:rPr>
              <w:t>7=5/4</w:t>
            </w:r>
          </w:p>
        </w:tc>
      </w:tr>
      <w:tr>
        <w:trPr>
          <w:trHeight w:val="274"/>
          <w:jc w:val="center"/>
        </w:trPr>
        <w:tc>
          <w:tcPr>
            <w:tcW w:w="2802" w:type="dxa"/>
            <w:vAlign w:val="center"/>
          </w:tcPr>
          <w:p>
            <w:pPr>
              <w:pStyle w:val="a5"/>
              <w:tabs>
                <w:tab w:val="left" w:pos="3966"/>
              </w:tabs>
              <w:spacing w:after="0"/>
              <w:ind w:right="-119"/>
            </w:pPr>
            <w:r>
              <w:t>Аренда рекламных конструкций</w:t>
            </w:r>
          </w:p>
        </w:tc>
        <w:tc>
          <w:tcPr>
            <w:tcW w:w="1134" w:type="dxa"/>
            <w:vAlign w:val="center"/>
          </w:tcPr>
          <w:p>
            <w:pPr>
              <w:jc w:val="right"/>
              <w:rPr>
                <w:color w:val="000000"/>
              </w:rPr>
            </w:pPr>
            <w:r>
              <w:rPr>
                <w:color w:val="000000"/>
              </w:rPr>
              <w:t>3 126,50</w:t>
            </w:r>
          </w:p>
        </w:tc>
        <w:tc>
          <w:tcPr>
            <w:tcW w:w="1275" w:type="dxa"/>
            <w:vAlign w:val="center"/>
          </w:tcPr>
          <w:p>
            <w:pPr>
              <w:jc w:val="right"/>
              <w:rPr>
                <w:color w:val="000000"/>
              </w:rPr>
            </w:pPr>
            <w:r>
              <w:rPr>
                <w:color w:val="000000"/>
              </w:rPr>
              <w:t>2 935,86</w:t>
            </w:r>
          </w:p>
        </w:tc>
        <w:tc>
          <w:tcPr>
            <w:tcW w:w="1134" w:type="dxa"/>
            <w:shd w:val="clear" w:color="auto" w:fill="auto"/>
            <w:vAlign w:val="center"/>
          </w:tcPr>
          <w:p>
            <w:pPr>
              <w:jc w:val="right"/>
              <w:rPr>
                <w:color w:val="000000"/>
              </w:rPr>
            </w:pPr>
            <w:r>
              <w:rPr>
                <w:color w:val="000000"/>
              </w:rPr>
              <w:t>3 039,54</w:t>
            </w:r>
          </w:p>
        </w:tc>
        <w:tc>
          <w:tcPr>
            <w:tcW w:w="1126" w:type="dxa"/>
            <w:shd w:val="clear" w:color="auto" w:fill="auto"/>
            <w:vAlign w:val="center"/>
          </w:tcPr>
          <w:p>
            <w:pPr>
              <w:jc w:val="right"/>
              <w:rPr>
                <w:color w:val="000000"/>
              </w:rPr>
            </w:pPr>
            <w:r>
              <w:rPr>
                <w:color w:val="000000"/>
              </w:rPr>
              <w:t>3 003,24</w:t>
            </w:r>
          </w:p>
        </w:tc>
        <w:tc>
          <w:tcPr>
            <w:tcW w:w="1142" w:type="dxa"/>
            <w:gridSpan w:val="2"/>
            <w:shd w:val="clear" w:color="auto" w:fill="auto"/>
            <w:vAlign w:val="center"/>
          </w:tcPr>
          <w:p>
            <w:pPr>
              <w:jc w:val="right"/>
              <w:rPr>
                <w:color w:val="000000"/>
              </w:rPr>
            </w:pPr>
            <w:r>
              <w:rPr>
                <w:color w:val="000000"/>
              </w:rPr>
              <w:t>-36,30</w:t>
            </w:r>
          </w:p>
        </w:tc>
        <w:tc>
          <w:tcPr>
            <w:tcW w:w="957" w:type="dxa"/>
            <w:shd w:val="clear" w:color="auto" w:fill="auto"/>
            <w:vAlign w:val="center"/>
          </w:tcPr>
          <w:p>
            <w:pPr>
              <w:pStyle w:val="a5"/>
              <w:spacing w:after="0"/>
              <w:ind w:left="-57" w:right="-57"/>
              <w:jc w:val="center"/>
            </w:pPr>
            <w:r>
              <w:t>98,8</w:t>
            </w:r>
          </w:p>
        </w:tc>
      </w:tr>
    </w:tbl>
    <w:p>
      <w:pPr>
        <w:pStyle w:val="a5"/>
        <w:spacing w:before="120" w:after="0"/>
        <w:ind w:firstLine="720"/>
        <w:jc w:val="both"/>
        <w:rPr>
          <w:sz w:val="24"/>
          <w:szCs w:val="24"/>
        </w:rPr>
      </w:pPr>
      <w:r>
        <w:rPr>
          <w:sz w:val="24"/>
          <w:szCs w:val="24"/>
        </w:rPr>
        <w:t>Удельный вес статьи в общей структуре фактически поступивших доходов составляет 0,1%, налоговых и неналоговых доходах - 0,2%.</w:t>
      </w:r>
    </w:p>
    <w:p>
      <w:pPr>
        <w:tabs>
          <w:tab w:val="left" w:pos="0"/>
        </w:tabs>
        <w:ind w:firstLine="709"/>
        <w:jc w:val="both"/>
        <w:rPr>
          <w:sz w:val="24"/>
          <w:szCs w:val="24"/>
        </w:rPr>
      </w:pPr>
      <w:r>
        <w:rPr>
          <w:sz w:val="24"/>
          <w:szCs w:val="24"/>
        </w:rPr>
        <w:t>Норматив зачисления в бюджет ЗАТО Северск 100%.</w:t>
      </w:r>
    </w:p>
    <w:p>
      <w:pPr>
        <w:pStyle w:val="a5"/>
        <w:spacing w:after="0"/>
        <w:ind w:firstLine="720"/>
        <w:jc w:val="both"/>
        <w:rPr>
          <w:sz w:val="24"/>
          <w:szCs w:val="24"/>
        </w:rPr>
      </w:pPr>
      <w:r>
        <w:rPr>
          <w:sz w:val="24"/>
          <w:szCs w:val="24"/>
        </w:rPr>
        <w:t>По сравнению с 2020 годом сокращение поступлений по статье составило 123,26 тыс.руб. или на 3,9%.</w:t>
      </w:r>
    </w:p>
    <w:p>
      <w:pPr>
        <w:pStyle w:val="a5"/>
        <w:spacing w:after="80"/>
        <w:jc w:val="center"/>
        <w:rPr>
          <w:b/>
          <w:i/>
          <w:sz w:val="24"/>
          <w:szCs w:val="24"/>
        </w:rPr>
      </w:pPr>
    </w:p>
    <w:p>
      <w:pPr>
        <w:pStyle w:val="a5"/>
        <w:spacing w:after="80"/>
        <w:jc w:val="center"/>
        <w:rPr>
          <w:b/>
          <w:i/>
          <w:sz w:val="24"/>
          <w:szCs w:val="24"/>
        </w:rPr>
      </w:pPr>
      <w:r>
        <w:rPr>
          <w:b/>
          <w:i/>
          <w:sz w:val="24"/>
          <w:szCs w:val="24"/>
        </w:rPr>
        <w:t>3.2.1.8. Плата за размещение временных торговых сооружений</w:t>
      </w:r>
    </w:p>
    <w:p>
      <w:pPr>
        <w:tabs>
          <w:tab w:val="left" w:pos="0"/>
        </w:tabs>
        <w:ind w:firstLine="709"/>
        <w:jc w:val="both"/>
        <w:rPr>
          <w:sz w:val="24"/>
          <w:szCs w:val="24"/>
        </w:rPr>
      </w:pPr>
      <w:r>
        <w:rPr>
          <w:sz w:val="24"/>
          <w:szCs w:val="24"/>
        </w:rPr>
        <w:t>Прогноз поступлений по статье «Плата за размещение временных торговых сооружений» составлял 2 025,48 тыс.руб., фактическое исполнение – 2 156,89 тыс.руб., перевыполнение на 131,41 тыс.руб. или на 6,5% за счет поступления авансовых платежей за 2022 год.</w:t>
      </w:r>
    </w:p>
    <w:p>
      <w:pPr>
        <w:pStyle w:val="a5"/>
        <w:spacing w:before="60" w:after="60"/>
        <w:ind w:firstLine="709"/>
        <w:jc w:val="both"/>
        <w:rPr>
          <w:sz w:val="24"/>
          <w:szCs w:val="24"/>
        </w:rPr>
      </w:pPr>
      <w:r>
        <w:rPr>
          <w:sz w:val="24"/>
          <w:szCs w:val="24"/>
        </w:rPr>
        <w:t>Таблица 34. Анализ поступления доходов от платы за размещение временных торговых объектов за 2020 - 2021 гг.</w:t>
      </w:r>
    </w:p>
    <w:tbl>
      <w:tblPr>
        <w:tblW w:w="95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2"/>
        <w:gridCol w:w="1134"/>
        <w:gridCol w:w="1275"/>
        <w:gridCol w:w="1134"/>
        <w:gridCol w:w="1126"/>
        <w:gridCol w:w="8"/>
        <w:gridCol w:w="1134"/>
        <w:gridCol w:w="957"/>
      </w:tblGrid>
      <w:tr>
        <w:trPr>
          <w:trHeight w:val="205"/>
          <w:jc w:val="center"/>
        </w:trPr>
        <w:tc>
          <w:tcPr>
            <w:tcW w:w="2802"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08" w:right="-108"/>
              <w:jc w:val="center"/>
            </w:pPr>
            <w:r>
              <w:rPr>
                <w:bCs/>
              </w:rPr>
              <w:t>2020 год, тыс.руб.</w:t>
            </w:r>
          </w:p>
        </w:tc>
        <w:tc>
          <w:tcPr>
            <w:tcW w:w="5634" w:type="dxa"/>
            <w:gridSpan w:val="6"/>
            <w:vAlign w:val="center"/>
          </w:tcPr>
          <w:p>
            <w:pPr>
              <w:pStyle w:val="a5"/>
              <w:spacing w:after="0"/>
              <w:ind w:left="-57" w:right="-57"/>
              <w:jc w:val="center"/>
            </w:pPr>
            <w:r>
              <w:t>2021 год</w:t>
            </w:r>
          </w:p>
        </w:tc>
      </w:tr>
      <w:tr>
        <w:trPr>
          <w:trHeight w:val="732"/>
          <w:jc w:val="center"/>
        </w:trPr>
        <w:tc>
          <w:tcPr>
            <w:tcW w:w="2802" w:type="dxa"/>
            <w:vMerge/>
            <w:vAlign w:val="center"/>
          </w:tcPr>
          <w:p>
            <w:pPr>
              <w:pStyle w:val="a5"/>
              <w:spacing w:after="0"/>
              <w:ind w:right="-2"/>
              <w:jc w:val="center"/>
              <w:rPr>
                <w:sz w:val="22"/>
                <w:szCs w:val="22"/>
              </w:rPr>
            </w:pPr>
          </w:p>
        </w:tc>
        <w:tc>
          <w:tcPr>
            <w:tcW w:w="1134" w:type="dxa"/>
            <w:vMerge/>
          </w:tcPr>
          <w:p>
            <w:pPr>
              <w:ind w:left="-108" w:right="-108"/>
              <w:jc w:val="center"/>
            </w:pPr>
          </w:p>
        </w:tc>
        <w:tc>
          <w:tcPr>
            <w:tcW w:w="1275" w:type="dxa"/>
          </w:tcPr>
          <w:p>
            <w:pPr>
              <w:ind w:left="-158" w:right="-108"/>
              <w:jc w:val="center"/>
            </w:pPr>
            <w:r>
              <w:t>Первона-чальный прогноз, тыс.руб.</w:t>
            </w:r>
          </w:p>
        </w:tc>
        <w:tc>
          <w:tcPr>
            <w:tcW w:w="1134" w:type="dxa"/>
            <w:vAlign w:val="center"/>
          </w:tcPr>
          <w:p>
            <w:pPr>
              <w:ind w:left="-158" w:right="-108"/>
              <w:jc w:val="center"/>
            </w:pPr>
            <w:r>
              <w:t>Уточненный прогноз,</w:t>
            </w:r>
            <w:r>
              <w:br/>
              <w:t>тыс.руб.</w:t>
            </w:r>
          </w:p>
        </w:tc>
        <w:tc>
          <w:tcPr>
            <w:tcW w:w="1134" w:type="dxa"/>
            <w:gridSpan w:val="2"/>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57"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58"/>
          <w:jc w:val="center"/>
        </w:trPr>
        <w:tc>
          <w:tcPr>
            <w:tcW w:w="2802"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275" w:type="dxa"/>
            <w:vAlign w:val="center"/>
          </w:tcPr>
          <w:p>
            <w:pPr>
              <w:jc w:val="center"/>
              <w:rPr>
                <w:color w:val="000000"/>
                <w:sz w:val="16"/>
                <w:szCs w:val="16"/>
              </w:rPr>
            </w:pPr>
            <w:r>
              <w:rPr>
                <w:color w:val="000000"/>
                <w:sz w:val="16"/>
                <w:szCs w:val="16"/>
              </w:rPr>
              <w:t>3</w:t>
            </w:r>
          </w:p>
        </w:tc>
        <w:tc>
          <w:tcPr>
            <w:tcW w:w="1134" w:type="dxa"/>
            <w:shd w:val="clear" w:color="auto" w:fill="auto"/>
            <w:vAlign w:val="center"/>
          </w:tcPr>
          <w:p>
            <w:pPr>
              <w:jc w:val="center"/>
              <w:rPr>
                <w:color w:val="000000"/>
                <w:sz w:val="16"/>
                <w:szCs w:val="16"/>
              </w:rPr>
            </w:pPr>
            <w:r>
              <w:rPr>
                <w:color w:val="000000"/>
                <w:sz w:val="16"/>
                <w:szCs w:val="16"/>
              </w:rPr>
              <w:t>4</w:t>
            </w:r>
          </w:p>
        </w:tc>
        <w:tc>
          <w:tcPr>
            <w:tcW w:w="1126" w:type="dxa"/>
            <w:shd w:val="clear" w:color="auto" w:fill="auto"/>
            <w:vAlign w:val="center"/>
          </w:tcPr>
          <w:p>
            <w:pPr>
              <w:jc w:val="center"/>
              <w:rPr>
                <w:color w:val="000000"/>
                <w:sz w:val="16"/>
                <w:szCs w:val="16"/>
              </w:rPr>
            </w:pPr>
            <w:r>
              <w:rPr>
                <w:color w:val="000000"/>
                <w:sz w:val="16"/>
                <w:szCs w:val="16"/>
              </w:rPr>
              <w:t>5</w:t>
            </w:r>
          </w:p>
        </w:tc>
        <w:tc>
          <w:tcPr>
            <w:tcW w:w="1142" w:type="dxa"/>
            <w:gridSpan w:val="2"/>
            <w:shd w:val="clear" w:color="auto" w:fill="auto"/>
            <w:vAlign w:val="center"/>
          </w:tcPr>
          <w:p>
            <w:pPr>
              <w:jc w:val="center"/>
              <w:rPr>
                <w:color w:val="000000"/>
                <w:sz w:val="16"/>
                <w:szCs w:val="16"/>
              </w:rPr>
            </w:pPr>
            <w:r>
              <w:rPr>
                <w:color w:val="000000"/>
                <w:sz w:val="16"/>
                <w:szCs w:val="16"/>
              </w:rPr>
              <w:t>6=5-4</w:t>
            </w:r>
          </w:p>
        </w:tc>
        <w:tc>
          <w:tcPr>
            <w:tcW w:w="957" w:type="dxa"/>
            <w:shd w:val="clear" w:color="auto" w:fill="auto"/>
            <w:vAlign w:val="center"/>
          </w:tcPr>
          <w:p>
            <w:pPr>
              <w:pStyle w:val="a5"/>
              <w:spacing w:after="0"/>
              <w:ind w:left="-57" w:right="-57"/>
              <w:jc w:val="center"/>
              <w:rPr>
                <w:sz w:val="16"/>
                <w:szCs w:val="16"/>
              </w:rPr>
            </w:pPr>
            <w:r>
              <w:rPr>
                <w:sz w:val="16"/>
                <w:szCs w:val="16"/>
              </w:rPr>
              <w:t>7=5/4</w:t>
            </w:r>
          </w:p>
        </w:tc>
      </w:tr>
      <w:tr>
        <w:trPr>
          <w:trHeight w:val="274"/>
          <w:jc w:val="center"/>
        </w:trPr>
        <w:tc>
          <w:tcPr>
            <w:tcW w:w="2802" w:type="dxa"/>
            <w:vAlign w:val="center"/>
          </w:tcPr>
          <w:p>
            <w:pPr>
              <w:pStyle w:val="a5"/>
              <w:tabs>
                <w:tab w:val="left" w:pos="3966"/>
              </w:tabs>
              <w:spacing w:after="0"/>
              <w:ind w:right="-119"/>
            </w:pPr>
            <w:r>
              <w:t>Плата за размещение временных торговых объектов</w:t>
            </w:r>
          </w:p>
        </w:tc>
        <w:tc>
          <w:tcPr>
            <w:tcW w:w="1134" w:type="dxa"/>
            <w:vAlign w:val="center"/>
          </w:tcPr>
          <w:p>
            <w:pPr>
              <w:jc w:val="right"/>
              <w:rPr>
                <w:color w:val="000000"/>
              </w:rPr>
            </w:pPr>
            <w:r>
              <w:rPr>
                <w:color w:val="000000"/>
              </w:rPr>
              <w:t>1 982,15</w:t>
            </w:r>
          </w:p>
        </w:tc>
        <w:tc>
          <w:tcPr>
            <w:tcW w:w="1275" w:type="dxa"/>
            <w:vAlign w:val="center"/>
          </w:tcPr>
          <w:p>
            <w:pPr>
              <w:jc w:val="right"/>
              <w:rPr>
                <w:color w:val="000000"/>
              </w:rPr>
            </w:pPr>
            <w:r>
              <w:rPr>
                <w:color w:val="000000"/>
              </w:rPr>
              <w:t>2 387,36</w:t>
            </w:r>
          </w:p>
        </w:tc>
        <w:tc>
          <w:tcPr>
            <w:tcW w:w="1134" w:type="dxa"/>
            <w:shd w:val="clear" w:color="auto" w:fill="auto"/>
            <w:vAlign w:val="center"/>
          </w:tcPr>
          <w:p>
            <w:pPr>
              <w:jc w:val="right"/>
              <w:rPr>
                <w:color w:val="000000"/>
              </w:rPr>
            </w:pPr>
            <w:r>
              <w:rPr>
                <w:color w:val="000000"/>
              </w:rPr>
              <w:t>2 025,48</w:t>
            </w:r>
          </w:p>
        </w:tc>
        <w:tc>
          <w:tcPr>
            <w:tcW w:w="1126" w:type="dxa"/>
            <w:shd w:val="clear" w:color="auto" w:fill="auto"/>
            <w:vAlign w:val="center"/>
          </w:tcPr>
          <w:p>
            <w:pPr>
              <w:jc w:val="right"/>
              <w:rPr>
                <w:color w:val="000000"/>
              </w:rPr>
            </w:pPr>
            <w:r>
              <w:rPr>
                <w:color w:val="000000"/>
              </w:rPr>
              <w:t>2 156,89</w:t>
            </w:r>
          </w:p>
        </w:tc>
        <w:tc>
          <w:tcPr>
            <w:tcW w:w="1142" w:type="dxa"/>
            <w:gridSpan w:val="2"/>
            <w:shd w:val="clear" w:color="auto" w:fill="auto"/>
            <w:vAlign w:val="center"/>
          </w:tcPr>
          <w:p>
            <w:pPr>
              <w:jc w:val="right"/>
              <w:rPr>
                <w:color w:val="000000"/>
              </w:rPr>
            </w:pPr>
            <w:r>
              <w:rPr>
                <w:color w:val="000000"/>
              </w:rPr>
              <w:t>131,41</w:t>
            </w:r>
          </w:p>
        </w:tc>
        <w:tc>
          <w:tcPr>
            <w:tcW w:w="957" w:type="dxa"/>
            <w:shd w:val="clear" w:color="auto" w:fill="auto"/>
            <w:vAlign w:val="center"/>
          </w:tcPr>
          <w:p>
            <w:pPr>
              <w:pStyle w:val="a5"/>
              <w:spacing w:after="0"/>
              <w:ind w:left="-57" w:right="-57"/>
              <w:jc w:val="center"/>
            </w:pPr>
            <w:r>
              <w:t>106,5</w:t>
            </w:r>
          </w:p>
        </w:tc>
      </w:tr>
    </w:tbl>
    <w:p>
      <w:pPr>
        <w:pStyle w:val="a5"/>
        <w:spacing w:before="120" w:after="0"/>
        <w:ind w:firstLine="720"/>
        <w:jc w:val="both"/>
        <w:rPr>
          <w:sz w:val="24"/>
          <w:szCs w:val="24"/>
        </w:rPr>
      </w:pPr>
      <w:r>
        <w:rPr>
          <w:sz w:val="24"/>
          <w:szCs w:val="24"/>
        </w:rPr>
        <w:lastRenderedPageBreak/>
        <w:t>Удельный вес статьи в общей структуре фактически поступивших налоговых и неналоговых доходах - 0,2%.</w:t>
      </w:r>
    </w:p>
    <w:p>
      <w:pPr>
        <w:tabs>
          <w:tab w:val="left" w:pos="0"/>
        </w:tabs>
        <w:ind w:firstLine="709"/>
        <w:jc w:val="both"/>
        <w:rPr>
          <w:sz w:val="24"/>
          <w:szCs w:val="24"/>
        </w:rPr>
      </w:pPr>
      <w:r>
        <w:rPr>
          <w:sz w:val="24"/>
          <w:szCs w:val="24"/>
        </w:rPr>
        <w:t>Норматив зачисления в бюджет ЗАТО Северск 100%.</w:t>
      </w:r>
    </w:p>
    <w:p>
      <w:pPr>
        <w:pStyle w:val="a5"/>
        <w:spacing w:after="0"/>
        <w:ind w:firstLine="720"/>
        <w:jc w:val="both"/>
        <w:rPr>
          <w:sz w:val="24"/>
          <w:szCs w:val="24"/>
        </w:rPr>
      </w:pPr>
      <w:r>
        <w:rPr>
          <w:sz w:val="24"/>
          <w:szCs w:val="24"/>
        </w:rPr>
        <w:t>По сравнению с 2020 годом рост поступлений по статье составил 174,74 тыс.руб. или на 8,8%.</w:t>
      </w:r>
    </w:p>
    <w:p>
      <w:pPr>
        <w:pStyle w:val="a5"/>
        <w:spacing w:after="160"/>
        <w:rPr>
          <w:b/>
          <w:sz w:val="24"/>
          <w:szCs w:val="24"/>
        </w:rPr>
      </w:pPr>
    </w:p>
    <w:p>
      <w:pPr>
        <w:pStyle w:val="a5"/>
        <w:spacing w:after="160"/>
        <w:jc w:val="center"/>
        <w:rPr>
          <w:b/>
          <w:sz w:val="24"/>
          <w:szCs w:val="24"/>
        </w:rPr>
      </w:pPr>
      <w:r>
        <w:rPr>
          <w:b/>
          <w:sz w:val="24"/>
          <w:szCs w:val="24"/>
        </w:rPr>
        <w:t>3.2.2. Платежи при пользовании природными ресурсами</w:t>
      </w:r>
    </w:p>
    <w:p>
      <w:pPr>
        <w:ind w:firstLine="709"/>
        <w:jc w:val="both"/>
        <w:rPr>
          <w:sz w:val="24"/>
          <w:szCs w:val="24"/>
        </w:rPr>
      </w:pPr>
      <w:r>
        <w:rPr>
          <w:sz w:val="24"/>
          <w:szCs w:val="24"/>
        </w:rPr>
        <w:t>Прогноз поступлений по статье «Плата за негативное воздействие на окружающую среду» составлял 10 038,46 тыс.руб., фактически поступило 9 715,23 тыс.руб., невыполнение на 323,23 тыс.руб. или на 3,2%.</w:t>
      </w:r>
    </w:p>
    <w:p>
      <w:pPr>
        <w:pStyle w:val="a5"/>
        <w:spacing w:before="120" w:after="60"/>
        <w:ind w:firstLine="709"/>
        <w:jc w:val="both"/>
        <w:rPr>
          <w:sz w:val="24"/>
          <w:szCs w:val="24"/>
        </w:rPr>
      </w:pPr>
      <w:r>
        <w:rPr>
          <w:sz w:val="24"/>
          <w:szCs w:val="24"/>
        </w:rPr>
        <w:t>Таблица 35. Анализ поступления платы за негативное воздействие на окружающую среду за 2020 - 2021 гг.</w:t>
      </w:r>
    </w:p>
    <w:tbl>
      <w:tblPr>
        <w:tblW w:w="95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4"/>
        <w:gridCol w:w="1184"/>
        <w:gridCol w:w="1096"/>
        <w:gridCol w:w="1129"/>
        <w:gridCol w:w="1132"/>
        <w:gridCol w:w="1066"/>
        <w:gridCol w:w="733"/>
      </w:tblGrid>
      <w:tr>
        <w:trPr>
          <w:trHeight w:val="211"/>
          <w:jc w:val="center"/>
        </w:trPr>
        <w:tc>
          <w:tcPr>
            <w:tcW w:w="3224" w:type="dxa"/>
            <w:vMerge w:val="restart"/>
            <w:vAlign w:val="center"/>
          </w:tcPr>
          <w:p>
            <w:pPr>
              <w:pStyle w:val="a5"/>
              <w:ind w:right="-2"/>
              <w:jc w:val="center"/>
            </w:pPr>
            <w:r>
              <w:t xml:space="preserve">Наименование </w:t>
            </w:r>
          </w:p>
        </w:tc>
        <w:tc>
          <w:tcPr>
            <w:tcW w:w="1184" w:type="dxa"/>
            <w:vMerge w:val="restart"/>
            <w:vAlign w:val="center"/>
          </w:tcPr>
          <w:p>
            <w:pPr>
              <w:ind w:right="-57"/>
              <w:jc w:val="center"/>
              <w:rPr>
                <w:bCs/>
              </w:rPr>
            </w:pPr>
            <w:r>
              <w:rPr>
                <w:bCs/>
              </w:rPr>
              <w:t>Факт</w:t>
            </w:r>
          </w:p>
          <w:p>
            <w:pPr>
              <w:ind w:left="-158" w:right="-108"/>
              <w:jc w:val="center"/>
            </w:pPr>
            <w:r>
              <w:rPr>
                <w:bCs/>
              </w:rPr>
              <w:t>2020 год, тыс.руб</w:t>
            </w:r>
          </w:p>
        </w:tc>
        <w:tc>
          <w:tcPr>
            <w:tcW w:w="5156" w:type="dxa"/>
            <w:gridSpan w:val="5"/>
            <w:vAlign w:val="center"/>
          </w:tcPr>
          <w:p>
            <w:pPr>
              <w:ind w:left="-108" w:right="-108"/>
              <w:jc w:val="center"/>
            </w:pPr>
            <w:r>
              <w:t>2021 год</w:t>
            </w:r>
          </w:p>
        </w:tc>
      </w:tr>
      <w:tr>
        <w:trPr>
          <w:trHeight w:val="840"/>
          <w:jc w:val="center"/>
        </w:trPr>
        <w:tc>
          <w:tcPr>
            <w:tcW w:w="3224" w:type="dxa"/>
            <w:vMerge/>
            <w:vAlign w:val="center"/>
          </w:tcPr>
          <w:p>
            <w:pPr>
              <w:pStyle w:val="a5"/>
              <w:spacing w:after="0"/>
              <w:ind w:right="-2"/>
              <w:jc w:val="center"/>
              <w:rPr>
                <w:sz w:val="22"/>
                <w:szCs w:val="22"/>
              </w:rPr>
            </w:pPr>
          </w:p>
        </w:tc>
        <w:tc>
          <w:tcPr>
            <w:tcW w:w="1184" w:type="dxa"/>
            <w:vMerge/>
            <w:vAlign w:val="center"/>
          </w:tcPr>
          <w:p>
            <w:pPr>
              <w:ind w:left="-108" w:right="-108"/>
              <w:jc w:val="center"/>
            </w:pPr>
          </w:p>
        </w:tc>
        <w:tc>
          <w:tcPr>
            <w:tcW w:w="1096" w:type="dxa"/>
          </w:tcPr>
          <w:p>
            <w:pPr>
              <w:ind w:left="-158" w:right="-108"/>
              <w:jc w:val="center"/>
            </w:pPr>
            <w:r>
              <w:t>Первона-чальный прогноз, тыс.руб.</w:t>
            </w:r>
          </w:p>
        </w:tc>
        <w:tc>
          <w:tcPr>
            <w:tcW w:w="1129" w:type="dxa"/>
            <w:vAlign w:val="center"/>
          </w:tcPr>
          <w:p>
            <w:pPr>
              <w:ind w:left="-158" w:right="-108"/>
              <w:jc w:val="center"/>
            </w:pPr>
            <w:r>
              <w:t>Уточненный прогноз,</w:t>
            </w:r>
            <w:r>
              <w:br/>
              <w:t>тыс.руб.</w:t>
            </w:r>
          </w:p>
        </w:tc>
        <w:tc>
          <w:tcPr>
            <w:tcW w:w="1132" w:type="dxa"/>
            <w:vAlign w:val="center"/>
          </w:tcPr>
          <w:p>
            <w:pPr>
              <w:ind w:left="-108" w:right="-108"/>
              <w:jc w:val="center"/>
            </w:pPr>
            <w:r>
              <w:t xml:space="preserve">Факт, </w:t>
            </w:r>
            <w:r>
              <w:br/>
              <w:t>тыс.руб.</w:t>
            </w:r>
          </w:p>
        </w:tc>
        <w:tc>
          <w:tcPr>
            <w:tcW w:w="1066"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733"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93"/>
          <w:jc w:val="center"/>
        </w:trPr>
        <w:tc>
          <w:tcPr>
            <w:tcW w:w="3224" w:type="dxa"/>
            <w:vAlign w:val="center"/>
          </w:tcPr>
          <w:p>
            <w:pPr>
              <w:pStyle w:val="a5"/>
              <w:tabs>
                <w:tab w:val="left" w:pos="3966"/>
              </w:tabs>
              <w:spacing w:after="0"/>
              <w:ind w:right="-120"/>
              <w:jc w:val="center"/>
              <w:rPr>
                <w:sz w:val="16"/>
                <w:szCs w:val="16"/>
              </w:rPr>
            </w:pPr>
            <w:r>
              <w:rPr>
                <w:sz w:val="16"/>
                <w:szCs w:val="16"/>
              </w:rPr>
              <w:t>1</w:t>
            </w:r>
          </w:p>
        </w:tc>
        <w:tc>
          <w:tcPr>
            <w:tcW w:w="1184" w:type="dxa"/>
            <w:vAlign w:val="center"/>
          </w:tcPr>
          <w:p>
            <w:pPr>
              <w:jc w:val="center"/>
              <w:rPr>
                <w:color w:val="000000"/>
                <w:sz w:val="16"/>
                <w:szCs w:val="16"/>
              </w:rPr>
            </w:pPr>
            <w:r>
              <w:rPr>
                <w:color w:val="000000"/>
                <w:sz w:val="16"/>
                <w:szCs w:val="16"/>
              </w:rPr>
              <w:t>2</w:t>
            </w:r>
          </w:p>
        </w:tc>
        <w:tc>
          <w:tcPr>
            <w:tcW w:w="1096" w:type="dxa"/>
            <w:vAlign w:val="center"/>
          </w:tcPr>
          <w:p>
            <w:pPr>
              <w:jc w:val="center"/>
              <w:rPr>
                <w:color w:val="000000"/>
                <w:sz w:val="16"/>
                <w:szCs w:val="16"/>
              </w:rPr>
            </w:pPr>
            <w:r>
              <w:rPr>
                <w:color w:val="000000"/>
                <w:sz w:val="16"/>
                <w:szCs w:val="16"/>
              </w:rPr>
              <w:t>3</w:t>
            </w:r>
          </w:p>
        </w:tc>
        <w:tc>
          <w:tcPr>
            <w:tcW w:w="1129" w:type="dxa"/>
            <w:shd w:val="clear" w:color="auto" w:fill="auto"/>
            <w:vAlign w:val="center"/>
          </w:tcPr>
          <w:p>
            <w:pPr>
              <w:jc w:val="center"/>
              <w:rPr>
                <w:color w:val="000000"/>
                <w:sz w:val="16"/>
                <w:szCs w:val="16"/>
              </w:rPr>
            </w:pPr>
            <w:r>
              <w:rPr>
                <w:color w:val="000000"/>
                <w:sz w:val="16"/>
                <w:szCs w:val="16"/>
              </w:rPr>
              <w:t>4</w:t>
            </w:r>
          </w:p>
        </w:tc>
        <w:tc>
          <w:tcPr>
            <w:tcW w:w="1132" w:type="dxa"/>
            <w:shd w:val="clear" w:color="auto" w:fill="auto"/>
            <w:vAlign w:val="center"/>
          </w:tcPr>
          <w:p>
            <w:pPr>
              <w:jc w:val="center"/>
              <w:rPr>
                <w:color w:val="000000"/>
                <w:sz w:val="16"/>
                <w:szCs w:val="16"/>
              </w:rPr>
            </w:pPr>
            <w:r>
              <w:rPr>
                <w:color w:val="000000"/>
                <w:sz w:val="16"/>
                <w:szCs w:val="16"/>
              </w:rPr>
              <w:t>5</w:t>
            </w:r>
          </w:p>
        </w:tc>
        <w:tc>
          <w:tcPr>
            <w:tcW w:w="1066" w:type="dxa"/>
            <w:shd w:val="clear" w:color="auto" w:fill="auto"/>
            <w:vAlign w:val="center"/>
          </w:tcPr>
          <w:p>
            <w:pPr>
              <w:jc w:val="center"/>
              <w:rPr>
                <w:color w:val="000000"/>
                <w:sz w:val="16"/>
                <w:szCs w:val="16"/>
              </w:rPr>
            </w:pPr>
            <w:r>
              <w:rPr>
                <w:color w:val="000000"/>
                <w:sz w:val="16"/>
                <w:szCs w:val="16"/>
              </w:rPr>
              <w:t>6=5-4</w:t>
            </w:r>
          </w:p>
        </w:tc>
        <w:tc>
          <w:tcPr>
            <w:tcW w:w="733" w:type="dxa"/>
            <w:shd w:val="clear" w:color="auto" w:fill="auto"/>
            <w:vAlign w:val="center"/>
          </w:tcPr>
          <w:p>
            <w:pPr>
              <w:pStyle w:val="a5"/>
              <w:spacing w:after="0"/>
              <w:ind w:left="-57" w:right="-57"/>
              <w:jc w:val="center"/>
              <w:rPr>
                <w:sz w:val="16"/>
                <w:szCs w:val="16"/>
              </w:rPr>
            </w:pPr>
            <w:r>
              <w:rPr>
                <w:sz w:val="16"/>
                <w:szCs w:val="16"/>
              </w:rPr>
              <w:t>7=5/4</w:t>
            </w:r>
          </w:p>
        </w:tc>
      </w:tr>
      <w:tr>
        <w:trPr>
          <w:trHeight w:val="669"/>
          <w:jc w:val="center"/>
        </w:trPr>
        <w:tc>
          <w:tcPr>
            <w:tcW w:w="3224" w:type="dxa"/>
            <w:vAlign w:val="center"/>
          </w:tcPr>
          <w:p>
            <w:pPr>
              <w:pStyle w:val="a5"/>
              <w:tabs>
                <w:tab w:val="left" w:pos="3966"/>
              </w:tabs>
              <w:spacing w:after="0"/>
              <w:ind w:right="-119"/>
            </w:pPr>
            <w:r>
              <w:t xml:space="preserve">Плата за негативное воздействие </w:t>
            </w:r>
          </w:p>
          <w:p>
            <w:pPr>
              <w:pStyle w:val="a5"/>
              <w:tabs>
                <w:tab w:val="left" w:pos="3966"/>
              </w:tabs>
              <w:spacing w:after="0"/>
              <w:ind w:right="-119"/>
            </w:pPr>
            <w:r>
              <w:t>на окружающую среду,</w:t>
            </w:r>
          </w:p>
          <w:p>
            <w:pPr>
              <w:pStyle w:val="a5"/>
              <w:tabs>
                <w:tab w:val="left" w:pos="3966"/>
              </w:tabs>
              <w:spacing w:after="0"/>
              <w:ind w:right="-119"/>
            </w:pPr>
            <w:r>
              <w:t>в т.ч. в разрезе плательщиков:</w:t>
            </w:r>
          </w:p>
        </w:tc>
        <w:tc>
          <w:tcPr>
            <w:tcW w:w="1184" w:type="dxa"/>
            <w:shd w:val="clear" w:color="auto" w:fill="auto"/>
            <w:vAlign w:val="center"/>
          </w:tcPr>
          <w:p>
            <w:pPr>
              <w:jc w:val="right"/>
              <w:rPr>
                <w:color w:val="000000"/>
              </w:rPr>
            </w:pPr>
            <w:r>
              <w:rPr>
                <w:color w:val="000000"/>
              </w:rPr>
              <w:t>8 175,92</w:t>
            </w:r>
          </w:p>
        </w:tc>
        <w:tc>
          <w:tcPr>
            <w:tcW w:w="1096" w:type="dxa"/>
            <w:vAlign w:val="center"/>
          </w:tcPr>
          <w:p>
            <w:pPr>
              <w:jc w:val="right"/>
              <w:rPr>
                <w:color w:val="000000"/>
              </w:rPr>
            </w:pPr>
            <w:r>
              <w:rPr>
                <w:color w:val="000000"/>
              </w:rPr>
              <w:t>14 061,81</w:t>
            </w:r>
          </w:p>
        </w:tc>
        <w:tc>
          <w:tcPr>
            <w:tcW w:w="1129" w:type="dxa"/>
            <w:shd w:val="clear" w:color="auto" w:fill="auto"/>
            <w:vAlign w:val="center"/>
          </w:tcPr>
          <w:p>
            <w:pPr>
              <w:jc w:val="right"/>
              <w:rPr>
                <w:color w:val="000000"/>
              </w:rPr>
            </w:pPr>
            <w:r>
              <w:rPr>
                <w:color w:val="000000"/>
              </w:rPr>
              <w:t>10 038,46</w:t>
            </w:r>
          </w:p>
        </w:tc>
        <w:tc>
          <w:tcPr>
            <w:tcW w:w="1132" w:type="dxa"/>
            <w:shd w:val="clear" w:color="auto" w:fill="auto"/>
            <w:vAlign w:val="center"/>
          </w:tcPr>
          <w:p>
            <w:pPr>
              <w:jc w:val="right"/>
              <w:rPr>
                <w:color w:val="000000"/>
              </w:rPr>
            </w:pPr>
            <w:r>
              <w:rPr>
                <w:color w:val="000000"/>
              </w:rPr>
              <w:t>9 715,23</w:t>
            </w:r>
          </w:p>
        </w:tc>
        <w:tc>
          <w:tcPr>
            <w:tcW w:w="1066" w:type="dxa"/>
            <w:shd w:val="clear" w:color="auto" w:fill="auto"/>
            <w:vAlign w:val="center"/>
          </w:tcPr>
          <w:p>
            <w:pPr>
              <w:jc w:val="right"/>
              <w:rPr>
                <w:color w:val="000000"/>
              </w:rPr>
            </w:pPr>
            <w:r>
              <w:rPr>
                <w:color w:val="000000"/>
              </w:rPr>
              <w:t>-323,23</w:t>
            </w:r>
          </w:p>
        </w:tc>
        <w:tc>
          <w:tcPr>
            <w:tcW w:w="733" w:type="dxa"/>
            <w:shd w:val="clear" w:color="auto" w:fill="auto"/>
            <w:vAlign w:val="center"/>
          </w:tcPr>
          <w:p>
            <w:pPr>
              <w:pStyle w:val="a5"/>
              <w:spacing w:after="0"/>
              <w:ind w:left="-57" w:right="-57"/>
              <w:jc w:val="center"/>
            </w:pPr>
            <w:r>
              <w:t>96,8</w:t>
            </w:r>
          </w:p>
        </w:tc>
      </w:tr>
      <w:tr>
        <w:trPr>
          <w:trHeight w:val="255"/>
          <w:jc w:val="center"/>
        </w:trPr>
        <w:tc>
          <w:tcPr>
            <w:tcW w:w="3224" w:type="dxa"/>
            <w:vAlign w:val="center"/>
          </w:tcPr>
          <w:p>
            <w:pPr>
              <w:pStyle w:val="a5"/>
              <w:tabs>
                <w:tab w:val="left" w:pos="3966"/>
              </w:tabs>
              <w:spacing w:after="0"/>
              <w:ind w:right="-119"/>
            </w:pPr>
            <w:r>
              <w:t>АО «СХК»</w:t>
            </w:r>
          </w:p>
        </w:tc>
        <w:tc>
          <w:tcPr>
            <w:tcW w:w="1184" w:type="dxa"/>
            <w:shd w:val="clear" w:color="auto" w:fill="auto"/>
            <w:vAlign w:val="center"/>
          </w:tcPr>
          <w:p>
            <w:pPr>
              <w:jc w:val="right"/>
            </w:pPr>
            <w:r>
              <w:t>1 330,37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6 840,00</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right"/>
            </w:pPr>
            <w:r>
              <w:t>-605,36</w:t>
            </w:r>
          </w:p>
        </w:tc>
        <w:tc>
          <w:tcPr>
            <w:tcW w:w="1132" w:type="dxa"/>
            <w:tcBorders>
              <w:bottom w:val="single" w:sz="4" w:space="0" w:color="auto"/>
            </w:tcBorders>
            <w:shd w:val="clear" w:color="auto" w:fill="auto"/>
            <w:vAlign w:val="center"/>
          </w:tcPr>
          <w:p>
            <w:pPr>
              <w:jc w:val="right"/>
            </w:pPr>
            <w:r>
              <w:t>-605,36</w:t>
            </w:r>
          </w:p>
        </w:tc>
        <w:tc>
          <w:tcPr>
            <w:tcW w:w="1066" w:type="dxa"/>
            <w:shd w:val="clear" w:color="auto" w:fill="auto"/>
            <w:vAlign w:val="center"/>
          </w:tcPr>
          <w:p>
            <w:pPr>
              <w:jc w:val="right"/>
              <w:rPr>
                <w:color w:val="000000"/>
              </w:rPr>
            </w:pPr>
            <w:r>
              <w:rPr>
                <w:color w:val="000000"/>
              </w:rPr>
              <w:t>-</w:t>
            </w:r>
          </w:p>
        </w:tc>
        <w:tc>
          <w:tcPr>
            <w:tcW w:w="733" w:type="dxa"/>
            <w:shd w:val="clear" w:color="auto" w:fill="auto"/>
            <w:vAlign w:val="center"/>
          </w:tcPr>
          <w:p>
            <w:pPr>
              <w:pStyle w:val="a5"/>
              <w:spacing w:after="0"/>
              <w:ind w:left="-57" w:right="-57"/>
              <w:jc w:val="center"/>
            </w:pPr>
            <w:r>
              <w:t>100,0</w:t>
            </w:r>
          </w:p>
        </w:tc>
      </w:tr>
      <w:tr>
        <w:trPr>
          <w:trHeight w:val="272"/>
          <w:jc w:val="center"/>
        </w:trPr>
        <w:tc>
          <w:tcPr>
            <w:tcW w:w="3224" w:type="dxa"/>
            <w:vAlign w:val="center"/>
          </w:tcPr>
          <w:p>
            <w:pPr>
              <w:pStyle w:val="a5"/>
              <w:tabs>
                <w:tab w:val="left" w:pos="3966"/>
              </w:tabs>
              <w:spacing w:after="0"/>
              <w:ind w:right="-119"/>
            </w:pPr>
            <w:r>
              <w:t>АО «РИР»</w:t>
            </w:r>
          </w:p>
        </w:tc>
        <w:tc>
          <w:tcPr>
            <w:tcW w:w="1184" w:type="dxa"/>
            <w:shd w:val="clear" w:color="auto" w:fill="auto"/>
            <w:vAlign w:val="center"/>
          </w:tcPr>
          <w:p>
            <w:pPr>
              <w:jc w:val="right"/>
            </w:pPr>
            <w:r>
              <w:t>4 575,07</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5 008,10</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right"/>
            </w:pPr>
            <w:r>
              <w:t>9 393,40</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pPr>
              <w:jc w:val="right"/>
            </w:pPr>
            <w:r>
              <w:t>9 393,40</w:t>
            </w:r>
          </w:p>
        </w:tc>
        <w:tc>
          <w:tcPr>
            <w:tcW w:w="1066" w:type="dxa"/>
            <w:tcBorders>
              <w:left w:val="single" w:sz="4" w:space="0" w:color="auto"/>
            </w:tcBorders>
            <w:shd w:val="clear" w:color="auto" w:fill="auto"/>
            <w:vAlign w:val="center"/>
          </w:tcPr>
          <w:p>
            <w:pPr>
              <w:jc w:val="right"/>
              <w:rPr>
                <w:color w:val="000000"/>
              </w:rPr>
            </w:pPr>
            <w:r>
              <w:rPr>
                <w:color w:val="000000"/>
              </w:rPr>
              <w:t>-</w:t>
            </w:r>
          </w:p>
        </w:tc>
        <w:tc>
          <w:tcPr>
            <w:tcW w:w="733" w:type="dxa"/>
            <w:shd w:val="clear" w:color="auto" w:fill="auto"/>
            <w:vAlign w:val="center"/>
          </w:tcPr>
          <w:p>
            <w:pPr>
              <w:pStyle w:val="a5"/>
              <w:spacing w:after="0"/>
              <w:ind w:left="-57" w:right="-57"/>
              <w:jc w:val="center"/>
            </w:pPr>
            <w:r>
              <w:t>100,0</w:t>
            </w:r>
          </w:p>
        </w:tc>
      </w:tr>
      <w:tr>
        <w:trPr>
          <w:trHeight w:val="277"/>
          <w:jc w:val="center"/>
        </w:trPr>
        <w:tc>
          <w:tcPr>
            <w:tcW w:w="3224" w:type="dxa"/>
            <w:vAlign w:val="center"/>
          </w:tcPr>
          <w:p>
            <w:pPr>
              <w:pStyle w:val="a5"/>
              <w:tabs>
                <w:tab w:val="left" w:pos="3966"/>
              </w:tabs>
              <w:spacing w:after="0"/>
              <w:ind w:right="-119"/>
            </w:pPr>
            <w:r>
              <w:t>Прочие</w:t>
            </w:r>
          </w:p>
        </w:tc>
        <w:tc>
          <w:tcPr>
            <w:tcW w:w="1184" w:type="dxa"/>
            <w:shd w:val="clear" w:color="auto" w:fill="auto"/>
            <w:vAlign w:val="center"/>
          </w:tcPr>
          <w:p>
            <w:pPr>
              <w:jc w:val="right"/>
            </w:pPr>
            <w:r>
              <w:t>2 270,48</w:t>
            </w:r>
          </w:p>
        </w:tc>
        <w:tc>
          <w:tcPr>
            <w:tcW w:w="1096" w:type="dxa"/>
            <w:tcBorders>
              <w:top w:val="nil"/>
              <w:left w:val="single" w:sz="4" w:space="0" w:color="auto"/>
              <w:bottom w:val="single" w:sz="4" w:space="0" w:color="auto"/>
              <w:right w:val="single" w:sz="4" w:space="0" w:color="auto"/>
            </w:tcBorders>
            <w:shd w:val="clear" w:color="auto" w:fill="auto"/>
            <w:vAlign w:val="center"/>
          </w:tcPr>
          <w:p>
            <w:pPr>
              <w:jc w:val="right"/>
            </w:pPr>
            <w:r>
              <w:t>2 213,71</w:t>
            </w:r>
          </w:p>
        </w:tc>
        <w:tc>
          <w:tcPr>
            <w:tcW w:w="112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right"/>
            </w:pPr>
            <w:r>
              <w:t>1 250,42</w:t>
            </w:r>
          </w:p>
        </w:tc>
        <w:tc>
          <w:tcPr>
            <w:tcW w:w="1132" w:type="dxa"/>
            <w:tcBorders>
              <w:top w:val="single" w:sz="4" w:space="0" w:color="auto"/>
            </w:tcBorders>
            <w:shd w:val="clear" w:color="auto" w:fill="auto"/>
            <w:vAlign w:val="center"/>
          </w:tcPr>
          <w:p>
            <w:pPr>
              <w:jc w:val="right"/>
            </w:pPr>
            <w:r>
              <w:t>927,19</w:t>
            </w:r>
          </w:p>
        </w:tc>
        <w:tc>
          <w:tcPr>
            <w:tcW w:w="1066" w:type="dxa"/>
            <w:shd w:val="clear" w:color="auto" w:fill="auto"/>
            <w:vAlign w:val="center"/>
          </w:tcPr>
          <w:p>
            <w:pPr>
              <w:jc w:val="right"/>
              <w:rPr>
                <w:color w:val="000000"/>
              </w:rPr>
            </w:pPr>
            <w:r>
              <w:rPr>
                <w:color w:val="000000"/>
              </w:rPr>
              <w:t>-323,23</w:t>
            </w:r>
          </w:p>
        </w:tc>
        <w:tc>
          <w:tcPr>
            <w:tcW w:w="733" w:type="dxa"/>
            <w:shd w:val="clear" w:color="auto" w:fill="auto"/>
            <w:vAlign w:val="center"/>
          </w:tcPr>
          <w:p>
            <w:pPr>
              <w:pStyle w:val="a5"/>
              <w:spacing w:after="0"/>
              <w:ind w:left="-57" w:right="-57"/>
              <w:jc w:val="center"/>
            </w:pPr>
            <w:r>
              <w:t>74,2</w:t>
            </w:r>
          </w:p>
        </w:tc>
      </w:tr>
    </w:tbl>
    <w:p>
      <w:pPr>
        <w:pStyle w:val="a5"/>
        <w:spacing w:before="200" w:after="0"/>
        <w:ind w:firstLine="709"/>
        <w:jc w:val="both"/>
        <w:rPr>
          <w:sz w:val="24"/>
          <w:szCs w:val="24"/>
        </w:rPr>
      </w:pPr>
      <w:r>
        <w:rPr>
          <w:sz w:val="24"/>
          <w:szCs w:val="24"/>
        </w:rPr>
        <w:t>Удельный вес статьи в структуре общих доходов составляет 0,2%, налоговых и неналоговых доходах – 0,8%.</w:t>
      </w:r>
    </w:p>
    <w:p>
      <w:pPr>
        <w:ind w:firstLine="708"/>
        <w:jc w:val="both"/>
        <w:rPr>
          <w:sz w:val="24"/>
          <w:szCs w:val="24"/>
        </w:rPr>
      </w:pPr>
      <w:r>
        <w:rPr>
          <w:sz w:val="24"/>
          <w:szCs w:val="24"/>
        </w:rPr>
        <w:t>Норматив зачисления в бюджет ЗАТО Северск 60%.</w:t>
      </w:r>
    </w:p>
    <w:p>
      <w:pPr>
        <w:ind w:firstLine="708"/>
        <w:jc w:val="both"/>
        <w:rPr>
          <w:sz w:val="24"/>
          <w:szCs w:val="24"/>
        </w:rPr>
      </w:pPr>
      <w:r>
        <w:rPr>
          <w:sz w:val="24"/>
          <w:szCs w:val="24"/>
        </w:rPr>
        <w:t>Основным плательщиком платы за негативное воздействие на окружающую среду в отчетном периоде являлось АО «РИР». По АО «СХК» поступления составили отрицательное значение, что объясняется возвратом авансовых платежей за 2020 год.</w:t>
      </w:r>
    </w:p>
    <w:p>
      <w:pPr>
        <w:pStyle w:val="a5"/>
        <w:spacing w:after="0"/>
        <w:ind w:firstLine="709"/>
        <w:jc w:val="both"/>
        <w:rPr>
          <w:sz w:val="24"/>
          <w:szCs w:val="24"/>
        </w:rPr>
      </w:pPr>
      <w:r>
        <w:rPr>
          <w:sz w:val="24"/>
          <w:szCs w:val="24"/>
        </w:rPr>
        <w:t>Главный администратор доходов по данной статье - Сибирское межрегиональное управление Федеральной службы по надзору в сфере природопользования.</w:t>
      </w:r>
    </w:p>
    <w:p>
      <w:pPr>
        <w:pStyle w:val="22"/>
        <w:ind w:firstLine="709"/>
      </w:pPr>
      <w:r>
        <w:rPr>
          <w:szCs w:val="24"/>
        </w:rPr>
        <w:t xml:space="preserve">По сравнению с 2020 годом увеличение поступлений по статье составило </w:t>
      </w:r>
      <w:r>
        <w:rPr>
          <w:szCs w:val="24"/>
        </w:rPr>
        <w:br/>
        <w:t>1 539,31 тыс.руб. или на 18,8%, что обусловлено ростом поступлений от АО «РИР».</w:t>
      </w:r>
    </w:p>
    <w:p>
      <w:pPr>
        <w:pStyle w:val="a5"/>
        <w:spacing w:before="320" w:after="200"/>
        <w:ind w:firstLine="284"/>
        <w:jc w:val="center"/>
        <w:rPr>
          <w:b/>
          <w:sz w:val="24"/>
          <w:szCs w:val="24"/>
        </w:rPr>
      </w:pPr>
      <w:r>
        <w:rPr>
          <w:b/>
          <w:sz w:val="24"/>
          <w:szCs w:val="24"/>
        </w:rPr>
        <w:t>3.2.3. Доходы от оказания платных услуг и компенсации затрат государства</w:t>
      </w:r>
    </w:p>
    <w:p>
      <w:pPr>
        <w:tabs>
          <w:tab w:val="left" w:pos="0"/>
        </w:tabs>
        <w:spacing w:before="120"/>
        <w:ind w:firstLine="709"/>
        <w:jc w:val="both"/>
        <w:rPr>
          <w:sz w:val="24"/>
          <w:szCs w:val="24"/>
        </w:rPr>
      </w:pPr>
      <w:r>
        <w:rPr>
          <w:sz w:val="24"/>
          <w:szCs w:val="24"/>
        </w:rPr>
        <w:t xml:space="preserve">Прогноз поступлений по статье «Доходы от оказания платных услуг и компенсации затрат государства» составлял 5 814,85 тыс.руб., фактическое исполнение – 5 411,59 тыс.руб., невыполнение на 403,26 тыс.руб. или на 6,9%, что обусловлено невыполнением по доходам </w:t>
      </w:r>
      <w:r>
        <w:rPr>
          <w:color w:val="000000"/>
          <w:sz w:val="24"/>
          <w:szCs w:val="24"/>
        </w:rPr>
        <w:t>от оказания платных услуг муниципальным казенным учреждением «Централизованная бухгалтерия образовательных учреждений».</w:t>
      </w:r>
    </w:p>
    <w:p>
      <w:pPr>
        <w:pStyle w:val="a5"/>
        <w:spacing w:before="120" w:after="60"/>
        <w:ind w:firstLine="709"/>
        <w:jc w:val="both"/>
        <w:rPr>
          <w:sz w:val="24"/>
          <w:szCs w:val="24"/>
        </w:rPr>
      </w:pPr>
      <w:r>
        <w:rPr>
          <w:sz w:val="24"/>
          <w:szCs w:val="24"/>
        </w:rPr>
        <w:t>Таблица 36. Анализ поступлений доходов от оказания платных услуг и компенсации затрат государства в 2020 - 2021 гг.</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1134"/>
        <w:gridCol w:w="1276"/>
        <w:gridCol w:w="1276"/>
        <w:gridCol w:w="1042"/>
        <w:gridCol w:w="1028"/>
        <w:gridCol w:w="729"/>
      </w:tblGrid>
      <w:tr>
        <w:trPr>
          <w:trHeight w:val="235"/>
          <w:jc w:val="center"/>
        </w:trPr>
        <w:tc>
          <w:tcPr>
            <w:tcW w:w="3085" w:type="dxa"/>
            <w:vMerge w:val="restart"/>
            <w:vAlign w:val="center"/>
          </w:tcPr>
          <w:p>
            <w:pPr>
              <w:pStyle w:val="a5"/>
              <w:ind w:right="-2"/>
              <w:jc w:val="center"/>
            </w:pPr>
            <w:r>
              <w:t>Наименование статьи, наименование ГАД</w:t>
            </w:r>
          </w:p>
        </w:tc>
        <w:tc>
          <w:tcPr>
            <w:tcW w:w="1134" w:type="dxa"/>
            <w:vMerge w:val="restart"/>
            <w:vAlign w:val="center"/>
          </w:tcPr>
          <w:p>
            <w:pPr>
              <w:ind w:right="-57"/>
              <w:jc w:val="center"/>
              <w:rPr>
                <w:bCs/>
              </w:rPr>
            </w:pPr>
            <w:r>
              <w:rPr>
                <w:bCs/>
              </w:rPr>
              <w:t>Факт</w:t>
            </w:r>
          </w:p>
          <w:p>
            <w:pPr>
              <w:ind w:left="-158" w:right="-108"/>
              <w:jc w:val="center"/>
            </w:pPr>
            <w:r>
              <w:rPr>
                <w:bCs/>
              </w:rPr>
              <w:t>2020 год, тыс.руб</w:t>
            </w:r>
          </w:p>
        </w:tc>
        <w:tc>
          <w:tcPr>
            <w:tcW w:w="5351" w:type="dxa"/>
            <w:gridSpan w:val="5"/>
            <w:vAlign w:val="center"/>
          </w:tcPr>
          <w:p>
            <w:pPr>
              <w:ind w:left="-108" w:right="-108"/>
              <w:jc w:val="center"/>
            </w:pPr>
            <w:r>
              <w:t>2021 год</w:t>
            </w:r>
          </w:p>
        </w:tc>
      </w:tr>
      <w:tr>
        <w:trPr>
          <w:trHeight w:val="768"/>
          <w:jc w:val="center"/>
        </w:trPr>
        <w:tc>
          <w:tcPr>
            <w:tcW w:w="3085"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276" w:type="dxa"/>
          </w:tcPr>
          <w:p>
            <w:pPr>
              <w:ind w:left="-158" w:right="-108"/>
              <w:jc w:val="center"/>
            </w:pPr>
            <w:r>
              <w:t>Первона-чальный прогноз, тыс.руб.</w:t>
            </w:r>
          </w:p>
        </w:tc>
        <w:tc>
          <w:tcPr>
            <w:tcW w:w="1276" w:type="dxa"/>
            <w:vAlign w:val="center"/>
          </w:tcPr>
          <w:p>
            <w:pPr>
              <w:ind w:left="-158" w:right="-108"/>
              <w:jc w:val="center"/>
            </w:pPr>
            <w:r>
              <w:t>Уточненный прогноз,</w:t>
            </w:r>
            <w:r>
              <w:br/>
              <w:t>тыс.руб.</w:t>
            </w:r>
          </w:p>
        </w:tc>
        <w:tc>
          <w:tcPr>
            <w:tcW w:w="1042" w:type="dxa"/>
            <w:vAlign w:val="center"/>
          </w:tcPr>
          <w:p>
            <w:pPr>
              <w:ind w:left="-108" w:right="-108"/>
              <w:jc w:val="center"/>
            </w:pPr>
            <w:r>
              <w:t xml:space="preserve">Факт, </w:t>
            </w:r>
            <w:r>
              <w:br/>
              <w:t>тыс.руб.</w:t>
            </w:r>
          </w:p>
        </w:tc>
        <w:tc>
          <w:tcPr>
            <w:tcW w:w="0" w:type="auto"/>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0" w:type="auto"/>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134"/>
          <w:jc w:val="center"/>
        </w:trPr>
        <w:tc>
          <w:tcPr>
            <w:tcW w:w="3085"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276" w:type="dxa"/>
            <w:vAlign w:val="center"/>
          </w:tcPr>
          <w:p>
            <w:pPr>
              <w:jc w:val="center"/>
              <w:rPr>
                <w:color w:val="000000"/>
                <w:sz w:val="16"/>
                <w:szCs w:val="16"/>
              </w:rPr>
            </w:pPr>
            <w:r>
              <w:rPr>
                <w:color w:val="000000"/>
                <w:sz w:val="16"/>
                <w:szCs w:val="16"/>
              </w:rPr>
              <w:t>3</w:t>
            </w:r>
          </w:p>
        </w:tc>
        <w:tc>
          <w:tcPr>
            <w:tcW w:w="1276" w:type="dxa"/>
            <w:shd w:val="clear" w:color="auto" w:fill="auto"/>
            <w:vAlign w:val="center"/>
          </w:tcPr>
          <w:p>
            <w:pPr>
              <w:jc w:val="center"/>
              <w:rPr>
                <w:color w:val="000000"/>
                <w:sz w:val="16"/>
                <w:szCs w:val="16"/>
              </w:rPr>
            </w:pPr>
            <w:r>
              <w:rPr>
                <w:color w:val="000000"/>
                <w:sz w:val="16"/>
                <w:szCs w:val="16"/>
              </w:rPr>
              <w:t>4</w:t>
            </w:r>
          </w:p>
        </w:tc>
        <w:tc>
          <w:tcPr>
            <w:tcW w:w="1042" w:type="dxa"/>
            <w:shd w:val="clear" w:color="auto" w:fill="auto"/>
            <w:vAlign w:val="center"/>
          </w:tcPr>
          <w:p>
            <w:pPr>
              <w:jc w:val="center"/>
              <w:rPr>
                <w:color w:val="000000"/>
                <w:sz w:val="16"/>
                <w:szCs w:val="16"/>
              </w:rPr>
            </w:pPr>
            <w:r>
              <w:rPr>
                <w:color w:val="000000"/>
                <w:sz w:val="16"/>
                <w:szCs w:val="16"/>
              </w:rPr>
              <w:t>5</w:t>
            </w:r>
          </w:p>
        </w:tc>
        <w:tc>
          <w:tcPr>
            <w:tcW w:w="0" w:type="auto"/>
            <w:shd w:val="clear" w:color="auto" w:fill="auto"/>
            <w:vAlign w:val="center"/>
          </w:tcPr>
          <w:p>
            <w:pPr>
              <w:jc w:val="center"/>
              <w:rPr>
                <w:color w:val="000000"/>
                <w:sz w:val="16"/>
                <w:szCs w:val="16"/>
              </w:rPr>
            </w:pPr>
            <w:r>
              <w:rPr>
                <w:color w:val="000000"/>
                <w:sz w:val="16"/>
                <w:szCs w:val="16"/>
              </w:rPr>
              <w:t>6=5-4</w:t>
            </w:r>
          </w:p>
        </w:tc>
        <w:tc>
          <w:tcPr>
            <w:tcW w:w="0" w:type="auto"/>
            <w:shd w:val="clear" w:color="auto" w:fill="auto"/>
            <w:vAlign w:val="center"/>
          </w:tcPr>
          <w:p>
            <w:pPr>
              <w:pStyle w:val="a5"/>
              <w:spacing w:after="0"/>
              <w:ind w:left="-57" w:right="-57"/>
              <w:jc w:val="center"/>
              <w:rPr>
                <w:sz w:val="16"/>
                <w:szCs w:val="16"/>
              </w:rPr>
            </w:pPr>
            <w:r>
              <w:rPr>
                <w:sz w:val="16"/>
                <w:szCs w:val="16"/>
              </w:rPr>
              <w:t>7=5/4</w:t>
            </w:r>
          </w:p>
        </w:tc>
      </w:tr>
      <w:tr>
        <w:trPr>
          <w:trHeight w:val="267"/>
          <w:jc w:val="center"/>
        </w:trPr>
        <w:tc>
          <w:tcPr>
            <w:tcW w:w="3085" w:type="dxa"/>
            <w:vAlign w:val="center"/>
          </w:tcPr>
          <w:p>
            <w:pPr>
              <w:pStyle w:val="a5"/>
              <w:tabs>
                <w:tab w:val="left" w:pos="3966"/>
              </w:tabs>
              <w:spacing w:after="0"/>
              <w:ind w:right="-119"/>
            </w:pPr>
            <w:r>
              <w:t xml:space="preserve">Доходы от оказания платных услуг и компенсации затрат государства, </w:t>
            </w:r>
          </w:p>
          <w:p>
            <w:pPr>
              <w:pStyle w:val="a5"/>
              <w:tabs>
                <w:tab w:val="left" w:pos="3966"/>
              </w:tabs>
              <w:spacing w:after="0"/>
              <w:ind w:right="-119"/>
            </w:pPr>
            <w:r>
              <w:t>из них:</w:t>
            </w:r>
          </w:p>
        </w:tc>
        <w:tc>
          <w:tcPr>
            <w:tcW w:w="1134" w:type="dxa"/>
            <w:shd w:val="clear" w:color="auto" w:fill="auto"/>
            <w:vAlign w:val="center"/>
          </w:tcPr>
          <w:p>
            <w:pPr>
              <w:jc w:val="right"/>
              <w:rPr>
                <w:color w:val="000000"/>
              </w:rPr>
            </w:pPr>
            <w:r>
              <w:rPr>
                <w:color w:val="000000"/>
              </w:rPr>
              <w:t>5 434,28</w:t>
            </w:r>
          </w:p>
        </w:tc>
        <w:tc>
          <w:tcPr>
            <w:tcW w:w="1276" w:type="dxa"/>
            <w:vAlign w:val="center"/>
          </w:tcPr>
          <w:p>
            <w:pPr>
              <w:jc w:val="right"/>
              <w:rPr>
                <w:color w:val="000000"/>
              </w:rPr>
            </w:pPr>
            <w:r>
              <w:rPr>
                <w:color w:val="000000"/>
              </w:rPr>
              <w:t>4 325,53</w:t>
            </w:r>
          </w:p>
        </w:tc>
        <w:tc>
          <w:tcPr>
            <w:tcW w:w="1276" w:type="dxa"/>
            <w:shd w:val="clear" w:color="auto" w:fill="auto"/>
            <w:vAlign w:val="center"/>
          </w:tcPr>
          <w:p>
            <w:pPr>
              <w:jc w:val="right"/>
              <w:rPr>
                <w:color w:val="000000"/>
              </w:rPr>
            </w:pPr>
            <w:r>
              <w:rPr>
                <w:color w:val="000000"/>
              </w:rPr>
              <w:t>5 814,85</w:t>
            </w:r>
          </w:p>
        </w:tc>
        <w:tc>
          <w:tcPr>
            <w:tcW w:w="1042" w:type="dxa"/>
            <w:shd w:val="clear" w:color="auto" w:fill="auto"/>
            <w:vAlign w:val="center"/>
          </w:tcPr>
          <w:p>
            <w:pPr>
              <w:jc w:val="right"/>
              <w:rPr>
                <w:color w:val="000000"/>
              </w:rPr>
            </w:pPr>
            <w:r>
              <w:rPr>
                <w:color w:val="000000"/>
              </w:rPr>
              <w:t>5 411,59</w:t>
            </w:r>
          </w:p>
        </w:tc>
        <w:tc>
          <w:tcPr>
            <w:tcW w:w="0" w:type="auto"/>
            <w:shd w:val="clear" w:color="auto" w:fill="auto"/>
            <w:vAlign w:val="center"/>
          </w:tcPr>
          <w:p>
            <w:pPr>
              <w:jc w:val="right"/>
              <w:rPr>
                <w:color w:val="000000"/>
              </w:rPr>
            </w:pPr>
            <w:r>
              <w:rPr>
                <w:color w:val="000000"/>
              </w:rPr>
              <w:t>-403,26</w:t>
            </w:r>
          </w:p>
        </w:tc>
        <w:tc>
          <w:tcPr>
            <w:tcW w:w="0" w:type="auto"/>
            <w:shd w:val="clear" w:color="auto" w:fill="auto"/>
            <w:vAlign w:val="center"/>
          </w:tcPr>
          <w:p>
            <w:pPr>
              <w:pStyle w:val="a5"/>
              <w:spacing w:after="0"/>
              <w:ind w:left="-57" w:right="-57"/>
              <w:jc w:val="center"/>
            </w:pPr>
            <w:r>
              <w:t>93,1</w:t>
            </w:r>
          </w:p>
        </w:tc>
      </w:tr>
      <w:tr>
        <w:trPr>
          <w:trHeight w:val="296"/>
          <w:jc w:val="center"/>
        </w:trPr>
        <w:tc>
          <w:tcPr>
            <w:tcW w:w="3085" w:type="dxa"/>
            <w:vAlign w:val="center"/>
          </w:tcPr>
          <w:p>
            <w:pPr>
              <w:pStyle w:val="a5"/>
              <w:tabs>
                <w:tab w:val="left" w:pos="3966"/>
              </w:tabs>
              <w:spacing w:after="0"/>
              <w:ind w:right="-120"/>
              <w:jc w:val="center"/>
              <w:rPr>
                <w:sz w:val="16"/>
                <w:szCs w:val="16"/>
              </w:rPr>
            </w:pPr>
            <w:r>
              <w:rPr>
                <w:sz w:val="16"/>
                <w:szCs w:val="16"/>
              </w:rPr>
              <w:lastRenderedPageBreak/>
              <w:t>1</w:t>
            </w:r>
          </w:p>
        </w:tc>
        <w:tc>
          <w:tcPr>
            <w:tcW w:w="1134" w:type="dxa"/>
            <w:shd w:val="clear" w:color="auto" w:fill="auto"/>
            <w:vAlign w:val="center"/>
          </w:tcPr>
          <w:p>
            <w:pPr>
              <w:jc w:val="center"/>
              <w:rPr>
                <w:color w:val="000000"/>
                <w:sz w:val="16"/>
                <w:szCs w:val="16"/>
              </w:rPr>
            </w:pPr>
            <w:r>
              <w:rPr>
                <w:color w:val="000000"/>
                <w:sz w:val="16"/>
                <w:szCs w:val="16"/>
              </w:rPr>
              <w:t>2</w:t>
            </w:r>
          </w:p>
        </w:tc>
        <w:tc>
          <w:tcPr>
            <w:tcW w:w="1276" w:type="dxa"/>
            <w:vAlign w:val="center"/>
          </w:tcPr>
          <w:p>
            <w:pPr>
              <w:jc w:val="center"/>
              <w:rPr>
                <w:color w:val="000000"/>
                <w:sz w:val="16"/>
                <w:szCs w:val="16"/>
              </w:rPr>
            </w:pPr>
            <w:r>
              <w:rPr>
                <w:color w:val="000000"/>
                <w:sz w:val="16"/>
                <w:szCs w:val="16"/>
              </w:rPr>
              <w:t>3</w:t>
            </w:r>
          </w:p>
        </w:tc>
        <w:tc>
          <w:tcPr>
            <w:tcW w:w="1276" w:type="dxa"/>
            <w:shd w:val="clear" w:color="auto" w:fill="auto"/>
            <w:vAlign w:val="center"/>
          </w:tcPr>
          <w:p>
            <w:pPr>
              <w:jc w:val="center"/>
              <w:rPr>
                <w:color w:val="000000"/>
                <w:sz w:val="16"/>
                <w:szCs w:val="16"/>
              </w:rPr>
            </w:pPr>
            <w:r>
              <w:rPr>
                <w:color w:val="000000"/>
                <w:sz w:val="16"/>
                <w:szCs w:val="16"/>
              </w:rPr>
              <w:t>4</w:t>
            </w:r>
          </w:p>
        </w:tc>
        <w:tc>
          <w:tcPr>
            <w:tcW w:w="1042" w:type="dxa"/>
            <w:shd w:val="clear" w:color="auto" w:fill="auto"/>
            <w:vAlign w:val="center"/>
          </w:tcPr>
          <w:p>
            <w:pPr>
              <w:jc w:val="center"/>
              <w:rPr>
                <w:color w:val="000000"/>
                <w:sz w:val="16"/>
                <w:szCs w:val="16"/>
              </w:rPr>
            </w:pPr>
            <w:r>
              <w:rPr>
                <w:color w:val="000000"/>
                <w:sz w:val="16"/>
                <w:szCs w:val="16"/>
              </w:rPr>
              <w:t>5</w:t>
            </w:r>
          </w:p>
        </w:tc>
        <w:tc>
          <w:tcPr>
            <w:tcW w:w="0" w:type="auto"/>
            <w:shd w:val="clear" w:color="auto" w:fill="auto"/>
            <w:vAlign w:val="center"/>
          </w:tcPr>
          <w:p>
            <w:pPr>
              <w:jc w:val="center"/>
              <w:rPr>
                <w:color w:val="000000"/>
                <w:sz w:val="16"/>
                <w:szCs w:val="16"/>
              </w:rPr>
            </w:pPr>
            <w:r>
              <w:rPr>
                <w:color w:val="000000"/>
                <w:sz w:val="16"/>
                <w:szCs w:val="16"/>
              </w:rPr>
              <w:t>6=5-4</w:t>
            </w:r>
          </w:p>
        </w:tc>
        <w:tc>
          <w:tcPr>
            <w:tcW w:w="0" w:type="auto"/>
            <w:shd w:val="clear" w:color="auto" w:fill="auto"/>
            <w:vAlign w:val="center"/>
          </w:tcPr>
          <w:p>
            <w:pPr>
              <w:pStyle w:val="a5"/>
              <w:spacing w:after="0"/>
              <w:ind w:left="-57" w:right="-57"/>
              <w:jc w:val="center"/>
              <w:rPr>
                <w:sz w:val="16"/>
                <w:szCs w:val="16"/>
              </w:rPr>
            </w:pPr>
            <w:r>
              <w:rPr>
                <w:sz w:val="16"/>
                <w:szCs w:val="16"/>
              </w:rPr>
              <w:t>7=5/4</w:t>
            </w:r>
          </w:p>
        </w:tc>
      </w:tr>
      <w:tr>
        <w:trPr>
          <w:trHeight w:val="296"/>
          <w:jc w:val="center"/>
        </w:trPr>
        <w:tc>
          <w:tcPr>
            <w:tcW w:w="3085" w:type="dxa"/>
            <w:vAlign w:val="center"/>
          </w:tcPr>
          <w:p>
            <w:pPr>
              <w:pStyle w:val="a5"/>
              <w:tabs>
                <w:tab w:val="left" w:pos="3966"/>
              </w:tabs>
              <w:spacing w:after="0"/>
              <w:ind w:right="-119"/>
            </w:pPr>
            <w:r>
              <w:t>Управление образования</w:t>
            </w:r>
          </w:p>
        </w:tc>
        <w:tc>
          <w:tcPr>
            <w:tcW w:w="1134" w:type="dxa"/>
            <w:shd w:val="clear" w:color="auto" w:fill="auto"/>
            <w:vAlign w:val="center"/>
          </w:tcPr>
          <w:p>
            <w:pPr>
              <w:jc w:val="right"/>
              <w:rPr>
                <w:color w:val="000000"/>
              </w:rPr>
            </w:pPr>
            <w:r>
              <w:rPr>
                <w:color w:val="000000"/>
              </w:rPr>
              <w:t>1 338,41</w:t>
            </w:r>
          </w:p>
        </w:tc>
        <w:tc>
          <w:tcPr>
            <w:tcW w:w="1276" w:type="dxa"/>
            <w:vAlign w:val="center"/>
          </w:tcPr>
          <w:p>
            <w:pPr>
              <w:jc w:val="right"/>
              <w:rPr>
                <w:color w:val="000000"/>
              </w:rPr>
            </w:pPr>
            <w:r>
              <w:rPr>
                <w:color w:val="000000"/>
              </w:rPr>
              <w:t>2 223,76</w:t>
            </w:r>
          </w:p>
        </w:tc>
        <w:tc>
          <w:tcPr>
            <w:tcW w:w="1276" w:type="dxa"/>
            <w:shd w:val="clear" w:color="auto" w:fill="auto"/>
            <w:vAlign w:val="center"/>
          </w:tcPr>
          <w:p>
            <w:pPr>
              <w:jc w:val="right"/>
              <w:rPr>
                <w:color w:val="000000"/>
              </w:rPr>
            </w:pPr>
            <w:r>
              <w:rPr>
                <w:color w:val="000000"/>
              </w:rPr>
              <w:t>2 222,60</w:t>
            </w:r>
          </w:p>
        </w:tc>
        <w:tc>
          <w:tcPr>
            <w:tcW w:w="1042" w:type="dxa"/>
            <w:shd w:val="clear" w:color="auto" w:fill="auto"/>
            <w:vAlign w:val="center"/>
          </w:tcPr>
          <w:p>
            <w:pPr>
              <w:jc w:val="right"/>
              <w:rPr>
                <w:color w:val="000000"/>
              </w:rPr>
            </w:pPr>
            <w:r>
              <w:rPr>
                <w:color w:val="000000"/>
              </w:rPr>
              <w:t>1 705,41</w:t>
            </w:r>
          </w:p>
        </w:tc>
        <w:tc>
          <w:tcPr>
            <w:tcW w:w="0" w:type="auto"/>
            <w:shd w:val="clear" w:color="auto" w:fill="auto"/>
            <w:vAlign w:val="center"/>
          </w:tcPr>
          <w:p>
            <w:pPr>
              <w:jc w:val="right"/>
              <w:rPr>
                <w:color w:val="000000"/>
              </w:rPr>
            </w:pPr>
            <w:r>
              <w:rPr>
                <w:color w:val="000000"/>
              </w:rPr>
              <w:t>-517,19</w:t>
            </w:r>
          </w:p>
        </w:tc>
        <w:tc>
          <w:tcPr>
            <w:tcW w:w="0" w:type="auto"/>
            <w:shd w:val="clear" w:color="auto" w:fill="auto"/>
            <w:vAlign w:val="center"/>
          </w:tcPr>
          <w:p>
            <w:pPr>
              <w:pStyle w:val="a5"/>
              <w:spacing w:after="0"/>
              <w:ind w:left="-57" w:right="-57"/>
              <w:jc w:val="center"/>
            </w:pPr>
            <w:r>
              <w:t>76,7</w:t>
            </w:r>
          </w:p>
        </w:tc>
      </w:tr>
      <w:tr>
        <w:trPr>
          <w:trHeight w:val="267"/>
          <w:jc w:val="center"/>
        </w:trPr>
        <w:tc>
          <w:tcPr>
            <w:tcW w:w="3085" w:type="dxa"/>
            <w:vAlign w:val="center"/>
          </w:tcPr>
          <w:p>
            <w:pPr>
              <w:pStyle w:val="a5"/>
              <w:tabs>
                <w:tab w:val="left" w:pos="3966"/>
              </w:tabs>
              <w:spacing w:after="0"/>
              <w:ind w:right="-119"/>
            </w:pPr>
            <w:r>
              <w:t>Управление имущественных отношений</w:t>
            </w:r>
          </w:p>
        </w:tc>
        <w:tc>
          <w:tcPr>
            <w:tcW w:w="1134" w:type="dxa"/>
            <w:shd w:val="clear" w:color="auto" w:fill="auto"/>
            <w:vAlign w:val="center"/>
          </w:tcPr>
          <w:p>
            <w:pPr>
              <w:jc w:val="right"/>
              <w:rPr>
                <w:color w:val="000000"/>
              </w:rPr>
            </w:pPr>
            <w:r>
              <w:rPr>
                <w:color w:val="000000"/>
              </w:rPr>
              <w:t>2 069,24</w:t>
            </w:r>
          </w:p>
        </w:tc>
        <w:tc>
          <w:tcPr>
            <w:tcW w:w="1276" w:type="dxa"/>
            <w:vAlign w:val="center"/>
          </w:tcPr>
          <w:p>
            <w:pPr>
              <w:jc w:val="right"/>
              <w:rPr>
                <w:color w:val="000000"/>
              </w:rPr>
            </w:pPr>
            <w:r>
              <w:rPr>
                <w:color w:val="000000"/>
              </w:rPr>
              <w:t>2 089,67</w:t>
            </w:r>
          </w:p>
        </w:tc>
        <w:tc>
          <w:tcPr>
            <w:tcW w:w="1276" w:type="dxa"/>
            <w:shd w:val="clear" w:color="auto" w:fill="auto"/>
            <w:vAlign w:val="center"/>
          </w:tcPr>
          <w:p>
            <w:pPr>
              <w:jc w:val="right"/>
              <w:rPr>
                <w:color w:val="000000"/>
              </w:rPr>
            </w:pPr>
            <w:r>
              <w:rPr>
                <w:color w:val="000000"/>
              </w:rPr>
              <w:t>1 660,00</w:t>
            </w:r>
          </w:p>
        </w:tc>
        <w:tc>
          <w:tcPr>
            <w:tcW w:w="1042" w:type="dxa"/>
            <w:shd w:val="clear" w:color="auto" w:fill="auto"/>
            <w:vAlign w:val="center"/>
          </w:tcPr>
          <w:p>
            <w:pPr>
              <w:jc w:val="right"/>
              <w:rPr>
                <w:color w:val="000000"/>
              </w:rPr>
            </w:pPr>
            <w:r>
              <w:rPr>
                <w:color w:val="000000"/>
              </w:rPr>
              <w:t>1 728,59</w:t>
            </w:r>
          </w:p>
        </w:tc>
        <w:tc>
          <w:tcPr>
            <w:tcW w:w="0" w:type="auto"/>
            <w:shd w:val="clear" w:color="auto" w:fill="auto"/>
            <w:vAlign w:val="center"/>
          </w:tcPr>
          <w:p>
            <w:pPr>
              <w:jc w:val="right"/>
              <w:rPr>
                <w:color w:val="000000"/>
              </w:rPr>
            </w:pPr>
            <w:r>
              <w:rPr>
                <w:color w:val="000000"/>
              </w:rPr>
              <w:t>68,59</w:t>
            </w:r>
          </w:p>
        </w:tc>
        <w:tc>
          <w:tcPr>
            <w:tcW w:w="0" w:type="auto"/>
            <w:shd w:val="clear" w:color="auto" w:fill="auto"/>
            <w:vAlign w:val="center"/>
          </w:tcPr>
          <w:p>
            <w:pPr>
              <w:pStyle w:val="a5"/>
              <w:spacing w:after="0"/>
              <w:ind w:left="-57" w:right="-57"/>
              <w:jc w:val="center"/>
            </w:pPr>
            <w:r>
              <w:t>104,1</w:t>
            </w:r>
          </w:p>
        </w:tc>
      </w:tr>
      <w:tr>
        <w:trPr>
          <w:trHeight w:val="364"/>
          <w:jc w:val="center"/>
        </w:trPr>
        <w:tc>
          <w:tcPr>
            <w:tcW w:w="3085" w:type="dxa"/>
            <w:vAlign w:val="center"/>
          </w:tcPr>
          <w:p>
            <w:pPr>
              <w:pStyle w:val="a5"/>
              <w:tabs>
                <w:tab w:val="left" w:pos="3966"/>
              </w:tabs>
              <w:spacing w:after="0"/>
              <w:ind w:right="-119"/>
            </w:pPr>
            <w:r>
              <w:t xml:space="preserve">Администрация ЗАТО Северск </w:t>
            </w:r>
          </w:p>
        </w:tc>
        <w:tc>
          <w:tcPr>
            <w:tcW w:w="1134" w:type="dxa"/>
            <w:shd w:val="clear" w:color="auto" w:fill="auto"/>
            <w:vAlign w:val="center"/>
          </w:tcPr>
          <w:p>
            <w:pPr>
              <w:jc w:val="right"/>
              <w:rPr>
                <w:color w:val="000000"/>
              </w:rPr>
            </w:pPr>
            <w:r>
              <w:rPr>
                <w:color w:val="000000"/>
              </w:rPr>
              <w:t>1 705,10</w:t>
            </w:r>
          </w:p>
        </w:tc>
        <w:tc>
          <w:tcPr>
            <w:tcW w:w="1276" w:type="dxa"/>
            <w:vAlign w:val="center"/>
          </w:tcPr>
          <w:p>
            <w:pPr>
              <w:jc w:val="center"/>
              <w:rPr>
                <w:color w:val="000000"/>
              </w:rPr>
            </w:pPr>
          </w:p>
        </w:tc>
        <w:tc>
          <w:tcPr>
            <w:tcW w:w="1276" w:type="dxa"/>
            <w:shd w:val="clear" w:color="auto" w:fill="auto"/>
            <w:vAlign w:val="center"/>
          </w:tcPr>
          <w:p>
            <w:pPr>
              <w:jc w:val="right"/>
              <w:rPr>
                <w:color w:val="000000"/>
              </w:rPr>
            </w:pPr>
            <w:r>
              <w:rPr>
                <w:color w:val="000000"/>
              </w:rPr>
              <w:t>1 308,65</w:t>
            </w:r>
          </w:p>
        </w:tc>
        <w:tc>
          <w:tcPr>
            <w:tcW w:w="1042" w:type="dxa"/>
            <w:shd w:val="clear" w:color="auto" w:fill="auto"/>
            <w:vAlign w:val="center"/>
          </w:tcPr>
          <w:p>
            <w:pPr>
              <w:jc w:val="right"/>
              <w:rPr>
                <w:color w:val="000000"/>
              </w:rPr>
            </w:pPr>
            <w:r>
              <w:rPr>
                <w:color w:val="000000"/>
              </w:rPr>
              <w:t>1 309,76</w:t>
            </w:r>
          </w:p>
        </w:tc>
        <w:tc>
          <w:tcPr>
            <w:tcW w:w="0" w:type="auto"/>
            <w:shd w:val="clear" w:color="auto" w:fill="auto"/>
            <w:vAlign w:val="center"/>
          </w:tcPr>
          <w:p>
            <w:pPr>
              <w:jc w:val="right"/>
              <w:rPr>
                <w:color w:val="000000"/>
              </w:rPr>
            </w:pPr>
            <w:r>
              <w:rPr>
                <w:color w:val="000000"/>
              </w:rPr>
              <w:t>1,11</w:t>
            </w:r>
          </w:p>
        </w:tc>
        <w:tc>
          <w:tcPr>
            <w:tcW w:w="0" w:type="auto"/>
            <w:shd w:val="clear" w:color="auto" w:fill="auto"/>
            <w:vAlign w:val="center"/>
          </w:tcPr>
          <w:p>
            <w:pPr>
              <w:pStyle w:val="a5"/>
              <w:spacing w:after="0"/>
              <w:ind w:left="-57" w:right="-57"/>
              <w:jc w:val="center"/>
            </w:pPr>
            <w:r>
              <w:t>100,1</w:t>
            </w:r>
          </w:p>
        </w:tc>
      </w:tr>
    </w:tbl>
    <w:p>
      <w:pPr>
        <w:pStyle w:val="a5"/>
        <w:spacing w:before="120" w:after="0"/>
        <w:ind w:firstLine="709"/>
        <w:jc w:val="both"/>
        <w:rPr>
          <w:sz w:val="24"/>
          <w:szCs w:val="24"/>
        </w:rPr>
      </w:pPr>
      <w:r>
        <w:rPr>
          <w:sz w:val="24"/>
          <w:szCs w:val="24"/>
        </w:rPr>
        <w:t>Удельный вес статьи в общей структуре фактически поступивших доходов составляет 0,1%, налоговых и неналоговых доходах - 0,4%.</w:t>
      </w:r>
    </w:p>
    <w:p>
      <w:pPr>
        <w:pStyle w:val="a8"/>
        <w:spacing w:after="0"/>
        <w:ind w:left="0" w:firstLine="720"/>
        <w:jc w:val="both"/>
        <w:rPr>
          <w:sz w:val="24"/>
          <w:szCs w:val="24"/>
        </w:rPr>
      </w:pPr>
      <w:r>
        <w:rPr>
          <w:sz w:val="24"/>
          <w:szCs w:val="24"/>
        </w:rPr>
        <w:t>Норматив зачисления в бюджет ЗАТО Северск 100%.</w:t>
      </w:r>
    </w:p>
    <w:p>
      <w:pPr>
        <w:pStyle w:val="a5"/>
        <w:spacing w:after="0"/>
        <w:ind w:firstLine="720"/>
        <w:jc w:val="both"/>
        <w:rPr>
          <w:sz w:val="24"/>
          <w:szCs w:val="24"/>
        </w:rPr>
      </w:pPr>
      <w:r>
        <w:rPr>
          <w:sz w:val="24"/>
          <w:szCs w:val="24"/>
        </w:rPr>
        <w:t>Доходы от оказания платных услуг и компенсации затрат государства поступают по следующим подстатьям:</w:t>
      </w:r>
    </w:p>
    <w:p>
      <w:pPr>
        <w:pStyle w:val="a5"/>
        <w:spacing w:after="0"/>
        <w:ind w:firstLine="720"/>
        <w:jc w:val="both"/>
        <w:rPr>
          <w:color w:val="000000"/>
          <w:sz w:val="24"/>
          <w:szCs w:val="24"/>
        </w:rPr>
      </w:pPr>
      <w:r>
        <w:rPr>
          <w:sz w:val="24"/>
          <w:szCs w:val="24"/>
        </w:rPr>
        <w:t xml:space="preserve">- прочие доходы от оказания платных услуг (работ) получателями средств бюджетов городских округов, оказываемых </w:t>
      </w:r>
      <w:r>
        <w:rPr>
          <w:color w:val="000000"/>
          <w:sz w:val="24"/>
          <w:szCs w:val="24"/>
        </w:rPr>
        <w:t>муниципальным казенным учреждением «Централизованная бухгалтерия образовательных учреждений» (главный администратор - Управление образования Администрации ЗАТО Северск);</w:t>
      </w:r>
    </w:p>
    <w:p>
      <w:pPr>
        <w:pStyle w:val="a5"/>
        <w:spacing w:after="0"/>
        <w:ind w:firstLine="720"/>
        <w:jc w:val="both"/>
        <w:rPr>
          <w:color w:val="000000"/>
          <w:sz w:val="24"/>
          <w:szCs w:val="24"/>
        </w:rPr>
      </w:pPr>
      <w:r>
        <w:rPr>
          <w:color w:val="000000"/>
          <w:sz w:val="24"/>
          <w:szCs w:val="24"/>
        </w:rPr>
        <w:t>- доходы, поступающие в порядке возмещения расходов, понесенных в связи с эксплуатацией имущества городских округов (главные администраторы – УИО Администрации ЗАТО Северск, УЖКХ ТиС, Счетная палата ЗАТО Северск);</w:t>
      </w:r>
    </w:p>
    <w:p>
      <w:pPr>
        <w:pStyle w:val="a5"/>
        <w:spacing w:after="0"/>
        <w:ind w:firstLine="720"/>
        <w:jc w:val="both"/>
        <w:rPr>
          <w:color w:val="000000"/>
          <w:sz w:val="24"/>
          <w:szCs w:val="24"/>
        </w:rPr>
      </w:pPr>
      <w:r>
        <w:rPr>
          <w:color w:val="000000"/>
          <w:sz w:val="24"/>
          <w:szCs w:val="24"/>
        </w:rPr>
        <w:t>- прочие доходы от компенсации затрат бюджетов городских округов (возврат дебиторской задолженности прошлых лет и прочая компенсация затрат).</w:t>
      </w:r>
    </w:p>
    <w:p>
      <w:pPr>
        <w:pStyle w:val="a8"/>
        <w:spacing w:after="0"/>
        <w:ind w:left="0" w:firstLine="720"/>
        <w:jc w:val="both"/>
        <w:rPr>
          <w:sz w:val="24"/>
          <w:szCs w:val="24"/>
        </w:rPr>
      </w:pPr>
      <w:r>
        <w:rPr>
          <w:sz w:val="24"/>
          <w:szCs w:val="24"/>
        </w:rPr>
        <w:t>По сравнению с 2020 годом сокращение поступлений по статье составило 22,69 тыс.руб. или на 0,4%.</w:t>
      </w:r>
    </w:p>
    <w:p>
      <w:pPr>
        <w:pStyle w:val="a5"/>
        <w:spacing w:after="0"/>
        <w:ind w:firstLine="720"/>
        <w:jc w:val="center"/>
        <w:rPr>
          <w:b/>
        </w:rPr>
      </w:pPr>
    </w:p>
    <w:p>
      <w:pPr>
        <w:pStyle w:val="a5"/>
        <w:spacing w:after="100"/>
        <w:ind w:firstLine="567"/>
        <w:jc w:val="center"/>
        <w:rPr>
          <w:b/>
          <w:sz w:val="24"/>
          <w:szCs w:val="24"/>
        </w:rPr>
      </w:pPr>
      <w:r>
        <w:rPr>
          <w:b/>
          <w:sz w:val="24"/>
          <w:szCs w:val="24"/>
        </w:rPr>
        <w:t>3.2.4. Доходы от продажи материальных и нематериальных активов</w:t>
      </w:r>
    </w:p>
    <w:p>
      <w:pPr>
        <w:pStyle w:val="a8"/>
        <w:spacing w:after="0"/>
        <w:ind w:left="0" w:firstLine="720"/>
        <w:jc w:val="both"/>
        <w:rPr>
          <w:color w:val="000000"/>
          <w:sz w:val="24"/>
          <w:szCs w:val="24"/>
        </w:rPr>
      </w:pPr>
      <w:r>
        <w:rPr>
          <w:sz w:val="24"/>
          <w:szCs w:val="24"/>
        </w:rPr>
        <w:t xml:space="preserve">Прогноз поступлений по статье «Доходы от продажи материальных и нематериальных активов» </w:t>
      </w:r>
      <w:r>
        <w:rPr>
          <w:color w:val="000000"/>
          <w:sz w:val="24"/>
          <w:szCs w:val="24"/>
        </w:rPr>
        <w:t>составлял 5 863,51 тыс.руб., фактическое исполнение – 8 452,78 тыс.руб., перевыполнение на 2 589,27 тыс.руб. или на 44,2%.</w:t>
      </w:r>
    </w:p>
    <w:p>
      <w:pPr>
        <w:spacing w:before="120" w:after="60"/>
        <w:ind w:firstLine="709"/>
        <w:jc w:val="both"/>
        <w:rPr>
          <w:sz w:val="24"/>
          <w:szCs w:val="24"/>
        </w:rPr>
      </w:pPr>
      <w:r>
        <w:rPr>
          <w:sz w:val="24"/>
          <w:szCs w:val="24"/>
        </w:rPr>
        <w:t>Таблица 37. Анализ поступления доходов от продажи материальных и нематериальных активов в 2020-2021 гг.</w:t>
      </w:r>
    </w:p>
    <w:tbl>
      <w:tblPr>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8"/>
        <w:gridCol w:w="1134"/>
        <w:gridCol w:w="1124"/>
        <w:gridCol w:w="1175"/>
        <w:gridCol w:w="1134"/>
        <w:gridCol w:w="1134"/>
        <w:gridCol w:w="992"/>
      </w:tblGrid>
      <w:tr>
        <w:trPr>
          <w:trHeight w:val="247"/>
          <w:jc w:val="center"/>
        </w:trPr>
        <w:tc>
          <w:tcPr>
            <w:tcW w:w="2798"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58" w:right="-108"/>
              <w:jc w:val="center"/>
            </w:pPr>
            <w:r>
              <w:rPr>
                <w:bCs/>
              </w:rPr>
              <w:t>2020 год, тыс.руб.</w:t>
            </w:r>
          </w:p>
        </w:tc>
        <w:tc>
          <w:tcPr>
            <w:tcW w:w="5559" w:type="dxa"/>
            <w:gridSpan w:val="5"/>
            <w:vAlign w:val="center"/>
          </w:tcPr>
          <w:p>
            <w:pPr>
              <w:ind w:left="-108" w:right="-108"/>
              <w:jc w:val="center"/>
            </w:pPr>
            <w:r>
              <w:t>2021 год</w:t>
            </w:r>
          </w:p>
        </w:tc>
      </w:tr>
      <w:tr>
        <w:trPr>
          <w:trHeight w:val="804"/>
          <w:jc w:val="center"/>
        </w:trPr>
        <w:tc>
          <w:tcPr>
            <w:tcW w:w="2798"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24" w:type="dxa"/>
          </w:tcPr>
          <w:p>
            <w:pPr>
              <w:ind w:left="-158" w:right="-108"/>
              <w:jc w:val="center"/>
            </w:pPr>
            <w:r>
              <w:t>Первона-чальный прогноз, тыс.руб.</w:t>
            </w:r>
          </w:p>
        </w:tc>
        <w:tc>
          <w:tcPr>
            <w:tcW w:w="1175" w:type="dxa"/>
            <w:vAlign w:val="center"/>
          </w:tcPr>
          <w:p>
            <w:pPr>
              <w:ind w:left="-250" w:right="-108" w:firstLine="92"/>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92"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243"/>
          <w:jc w:val="center"/>
        </w:trPr>
        <w:tc>
          <w:tcPr>
            <w:tcW w:w="2798"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24" w:type="dxa"/>
            <w:vAlign w:val="center"/>
          </w:tcPr>
          <w:p>
            <w:pPr>
              <w:jc w:val="center"/>
              <w:rPr>
                <w:color w:val="000000"/>
                <w:sz w:val="16"/>
                <w:szCs w:val="16"/>
              </w:rPr>
            </w:pPr>
            <w:r>
              <w:rPr>
                <w:color w:val="000000"/>
                <w:sz w:val="16"/>
                <w:szCs w:val="16"/>
              </w:rPr>
              <w:t>3</w:t>
            </w:r>
          </w:p>
        </w:tc>
        <w:tc>
          <w:tcPr>
            <w:tcW w:w="1175" w:type="dxa"/>
            <w:vAlign w:val="center"/>
          </w:tcPr>
          <w:p>
            <w:pPr>
              <w:jc w:val="center"/>
              <w:rPr>
                <w:color w:val="000000"/>
                <w:sz w:val="16"/>
                <w:szCs w:val="16"/>
              </w:rPr>
            </w:pPr>
            <w:r>
              <w:rPr>
                <w:color w:val="000000"/>
                <w:sz w:val="16"/>
                <w:szCs w:val="16"/>
              </w:rPr>
              <w:t>4</w:t>
            </w:r>
          </w:p>
        </w:tc>
        <w:tc>
          <w:tcPr>
            <w:tcW w:w="1134" w:type="dxa"/>
            <w:vAlign w:val="center"/>
          </w:tcPr>
          <w:p>
            <w:pPr>
              <w:jc w:val="center"/>
              <w:rPr>
                <w:color w:val="000000"/>
                <w:sz w:val="16"/>
                <w:szCs w:val="16"/>
              </w:rPr>
            </w:pPr>
            <w:r>
              <w:rPr>
                <w:color w:val="000000"/>
                <w:sz w:val="16"/>
                <w:szCs w:val="16"/>
              </w:rPr>
              <w:t>5</w:t>
            </w:r>
          </w:p>
        </w:tc>
        <w:tc>
          <w:tcPr>
            <w:tcW w:w="1134" w:type="dxa"/>
            <w:vAlign w:val="center"/>
          </w:tcPr>
          <w:p>
            <w:pPr>
              <w:jc w:val="center"/>
              <w:rPr>
                <w:color w:val="000000"/>
                <w:sz w:val="16"/>
                <w:szCs w:val="16"/>
              </w:rPr>
            </w:pPr>
            <w:r>
              <w:rPr>
                <w:color w:val="000000"/>
                <w:sz w:val="16"/>
                <w:szCs w:val="16"/>
              </w:rPr>
              <w:t>6=5-4</w:t>
            </w:r>
          </w:p>
        </w:tc>
        <w:tc>
          <w:tcPr>
            <w:tcW w:w="992" w:type="dxa"/>
            <w:vAlign w:val="center"/>
          </w:tcPr>
          <w:p>
            <w:pPr>
              <w:pStyle w:val="a5"/>
              <w:spacing w:after="0"/>
              <w:ind w:left="-57" w:right="-57"/>
              <w:jc w:val="center"/>
              <w:rPr>
                <w:sz w:val="16"/>
                <w:szCs w:val="16"/>
              </w:rPr>
            </w:pPr>
            <w:r>
              <w:rPr>
                <w:sz w:val="16"/>
                <w:szCs w:val="16"/>
              </w:rPr>
              <w:t>7=5/4</w:t>
            </w:r>
          </w:p>
        </w:tc>
      </w:tr>
      <w:tr>
        <w:trPr>
          <w:trHeight w:val="665"/>
          <w:jc w:val="center"/>
        </w:trPr>
        <w:tc>
          <w:tcPr>
            <w:tcW w:w="2798" w:type="dxa"/>
            <w:vAlign w:val="center"/>
          </w:tcPr>
          <w:p>
            <w:r>
              <w:t>Доходы от продажи материальных и нематериальных активов</w:t>
            </w:r>
          </w:p>
        </w:tc>
        <w:tc>
          <w:tcPr>
            <w:tcW w:w="1134" w:type="dxa"/>
            <w:vAlign w:val="center"/>
          </w:tcPr>
          <w:p>
            <w:pPr>
              <w:spacing w:before="40" w:after="40"/>
              <w:ind w:left="-108" w:right="-57"/>
              <w:jc w:val="right"/>
            </w:pPr>
            <w:r>
              <w:t>9 795,80</w:t>
            </w:r>
          </w:p>
        </w:tc>
        <w:tc>
          <w:tcPr>
            <w:tcW w:w="1124" w:type="dxa"/>
            <w:vAlign w:val="center"/>
          </w:tcPr>
          <w:p>
            <w:pPr>
              <w:spacing w:before="40" w:after="40"/>
              <w:ind w:left="-108" w:right="-57"/>
              <w:jc w:val="right"/>
            </w:pPr>
            <w:r>
              <w:t>4 607,83</w:t>
            </w:r>
          </w:p>
        </w:tc>
        <w:tc>
          <w:tcPr>
            <w:tcW w:w="1175" w:type="dxa"/>
            <w:vAlign w:val="center"/>
          </w:tcPr>
          <w:p>
            <w:pPr>
              <w:spacing w:before="40" w:after="40"/>
              <w:ind w:left="-108" w:right="-57"/>
              <w:jc w:val="right"/>
            </w:pPr>
            <w:r>
              <w:t>5 863,51</w:t>
            </w:r>
          </w:p>
        </w:tc>
        <w:tc>
          <w:tcPr>
            <w:tcW w:w="1134" w:type="dxa"/>
            <w:vAlign w:val="center"/>
          </w:tcPr>
          <w:p>
            <w:pPr>
              <w:spacing w:before="40" w:after="40"/>
              <w:ind w:left="-108" w:right="-57"/>
              <w:jc w:val="right"/>
            </w:pPr>
            <w:r>
              <w:t>8 452,78</w:t>
            </w:r>
          </w:p>
        </w:tc>
        <w:tc>
          <w:tcPr>
            <w:tcW w:w="1134" w:type="dxa"/>
            <w:vAlign w:val="center"/>
          </w:tcPr>
          <w:p>
            <w:pPr>
              <w:spacing w:before="40" w:after="40"/>
              <w:ind w:left="-108" w:right="-57"/>
              <w:jc w:val="right"/>
            </w:pPr>
            <w:r>
              <w:t>2 589,27</w:t>
            </w:r>
          </w:p>
        </w:tc>
        <w:tc>
          <w:tcPr>
            <w:tcW w:w="992" w:type="dxa"/>
            <w:vAlign w:val="center"/>
          </w:tcPr>
          <w:p>
            <w:pPr>
              <w:ind w:left="-108" w:right="-108"/>
              <w:jc w:val="center"/>
            </w:pPr>
            <w:r>
              <w:t>144,2</w:t>
            </w:r>
          </w:p>
        </w:tc>
      </w:tr>
    </w:tbl>
    <w:p>
      <w:pPr>
        <w:pStyle w:val="a5"/>
        <w:spacing w:before="120" w:after="0"/>
        <w:ind w:firstLine="709"/>
        <w:jc w:val="both"/>
        <w:rPr>
          <w:sz w:val="24"/>
          <w:szCs w:val="24"/>
        </w:rPr>
      </w:pPr>
      <w:r>
        <w:rPr>
          <w:sz w:val="24"/>
          <w:szCs w:val="24"/>
        </w:rPr>
        <w:t>Удельный вес статьи в общей структуре фактически поступивших доходов составляет 0,2%, налоговых и неналоговых доходах – 0,7%.</w:t>
      </w:r>
    </w:p>
    <w:p>
      <w:pPr>
        <w:pStyle w:val="a8"/>
        <w:spacing w:after="0"/>
        <w:ind w:left="0" w:firstLine="720"/>
        <w:jc w:val="both"/>
        <w:rPr>
          <w:sz w:val="24"/>
          <w:szCs w:val="24"/>
        </w:rPr>
      </w:pPr>
      <w:r>
        <w:rPr>
          <w:sz w:val="24"/>
          <w:szCs w:val="24"/>
        </w:rPr>
        <w:t>Норматив зачисления в бюджет ЗАТО Северск 100%.</w:t>
      </w:r>
    </w:p>
    <w:p>
      <w:pPr>
        <w:pStyle w:val="a8"/>
        <w:spacing w:after="0"/>
        <w:ind w:left="0" w:firstLine="720"/>
        <w:jc w:val="both"/>
        <w:rPr>
          <w:sz w:val="24"/>
          <w:szCs w:val="24"/>
        </w:rPr>
      </w:pPr>
      <w:r>
        <w:rPr>
          <w:sz w:val="24"/>
          <w:szCs w:val="24"/>
        </w:rPr>
        <w:t>По сравнению с 2020 годом уменьшение поступлений по статье составило 1 343,02 тыс.руб. или на 13,7%.</w:t>
      </w:r>
    </w:p>
    <w:p>
      <w:pPr>
        <w:pStyle w:val="a5"/>
        <w:spacing w:after="0"/>
        <w:jc w:val="center"/>
        <w:rPr>
          <w:b/>
          <w:i/>
          <w:sz w:val="18"/>
          <w:szCs w:val="18"/>
        </w:rPr>
      </w:pPr>
    </w:p>
    <w:p>
      <w:pPr>
        <w:pStyle w:val="a5"/>
        <w:spacing w:after="0"/>
        <w:jc w:val="center"/>
        <w:rPr>
          <w:b/>
          <w:i/>
          <w:sz w:val="24"/>
          <w:szCs w:val="24"/>
        </w:rPr>
      </w:pPr>
      <w:r>
        <w:rPr>
          <w:b/>
          <w:i/>
          <w:sz w:val="24"/>
          <w:szCs w:val="24"/>
        </w:rPr>
        <w:t xml:space="preserve">3.2.4.1. Доходы от реализации иного имущества, находящегося </w:t>
      </w:r>
    </w:p>
    <w:p>
      <w:pPr>
        <w:pStyle w:val="a5"/>
        <w:spacing w:after="100"/>
        <w:ind w:firstLine="567"/>
        <w:jc w:val="center"/>
        <w:rPr>
          <w:b/>
          <w:i/>
          <w:sz w:val="24"/>
          <w:szCs w:val="24"/>
        </w:rPr>
      </w:pPr>
      <w:r>
        <w:rPr>
          <w:b/>
          <w:i/>
          <w:sz w:val="24"/>
          <w:szCs w:val="24"/>
        </w:rPr>
        <w:t>в собственности городских округов</w:t>
      </w:r>
    </w:p>
    <w:p>
      <w:pPr>
        <w:pStyle w:val="a8"/>
        <w:spacing w:after="0"/>
        <w:ind w:left="0" w:firstLine="720"/>
        <w:jc w:val="both"/>
        <w:rPr>
          <w:color w:val="000000"/>
          <w:sz w:val="24"/>
          <w:szCs w:val="24"/>
        </w:rPr>
      </w:pPr>
      <w:r>
        <w:rPr>
          <w:color w:val="000000"/>
          <w:sz w:val="24"/>
          <w:szCs w:val="24"/>
        </w:rPr>
        <w:t>Прогноз поступлений по подстатье «Доходы от реализации иного имущества, находящегося в собственности городских округов» составлял 5 692,51 тыс.руб., фактическое исполнение – 8 264,52 тыс.руб., перевыполнение на 2 572,01 тыс.руб. или на 45,2%.</w:t>
      </w:r>
    </w:p>
    <w:p>
      <w:pPr>
        <w:pStyle w:val="a8"/>
        <w:spacing w:after="0"/>
        <w:ind w:left="0" w:firstLine="720"/>
        <w:jc w:val="both"/>
        <w:rPr>
          <w:sz w:val="24"/>
          <w:szCs w:val="24"/>
        </w:rPr>
      </w:pPr>
      <w:r>
        <w:rPr>
          <w:sz w:val="24"/>
          <w:szCs w:val="24"/>
        </w:rPr>
        <w:t>Норматив зачисления в бюджет ЗАТО Северск 100%.</w:t>
      </w:r>
    </w:p>
    <w:p>
      <w:pPr>
        <w:pStyle w:val="a8"/>
        <w:spacing w:after="0"/>
        <w:ind w:left="0" w:firstLine="720"/>
        <w:jc w:val="both"/>
        <w:rPr>
          <w:sz w:val="24"/>
          <w:szCs w:val="24"/>
        </w:rPr>
      </w:pPr>
      <w:r>
        <w:rPr>
          <w:sz w:val="24"/>
          <w:szCs w:val="24"/>
        </w:rPr>
        <w:t>Приватизация объектов муниципальной собственности в 2021 году осуществлялась в соответствии с Прогнозным планом, утвержденным Решением Думы ЗАТО Северск от 24.12.2020 № 6/8 «Об утверждении Прогнозного плана (программы) приватизации муниципального имущества ЗАТО Северск на 2021 год» (далее – План приватизации).</w:t>
      </w:r>
    </w:p>
    <w:p>
      <w:pPr>
        <w:suppressAutoHyphens/>
        <w:autoSpaceDE w:val="0"/>
        <w:ind w:firstLine="700"/>
        <w:jc w:val="both"/>
        <w:rPr>
          <w:sz w:val="24"/>
          <w:szCs w:val="24"/>
          <w:lang w:eastAsia="ar-SA"/>
        </w:rPr>
      </w:pPr>
      <w:r>
        <w:rPr>
          <w:sz w:val="24"/>
          <w:szCs w:val="24"/>
          <w:lang w:eastAsia="ar-SA"/>
        </w:rPr>
        <w:lastRenderedPageBreak/>
        <w:t xml:space="preserve">Первоначальный План приватизации на 2021 год содержал 21 объект муниципального имущества ЗАТО Северск, подлежащих приватизации в 2021 году. </w:t>
      </w:r>
    </w:p>
    <w:p>
      <w:pPr>
        <w:suppressAutoHyphens/>
        <w:autoSpaceDE w:val="0"/>
        <w:ind w:firstLine="700"/>
        <w:jc w:val="both"/>
        <w:rPr>
          <w:sz w:val="24"/>
          <w:szCs w:val="24"/>
          <w:lang w:eastAsia="ar-SA"/>
        </w:rPr>
      </w:pPr>
      <w:r>
        <w:rPr>
          <w:sz w:val="24"/>
          <w:szCs w:val="24"/>
          <w:lang w:eastAsia="ar-SA"/>
        </w:rPr>
        <w:t>В течение отчетного года:</w:t>
      </w:r>
    </w:p>
    <w:p>
      <w:pPr>
        <w:autoSpaceDE w:val="0"/>
        <w:autoSpaceDN w:val="0"/>
        <w:adjustRightInd w:val="0"/>
        <w:ind w:firstLine="700"/>
        <w:jc w:val="both"/>
        <w:rPr>
          <w:sz w:val="24"/>
          <w:szCs w:val="24"/>
        </w:rPr>
      </w:pPr>
      <w:r>
        <w:rPr>
          <w:sz w:val="24"/>
          <w:szCs w:val="24"/>
          <w:lang w:eastAsia="ar-SA"/>
        </w:rPr>
        <w:t>1)</w:t>
      </w:r>
      <w:r>
        <w:rPr>
          <w:sz w:val="24"/>
          <w:szCs w:val="24"/>
          <w:lang w:val="en-US" w:eastAsia="ar-SA"/>
        </w:rPr>
        <w:t> </w:t>
      </w:r>
      <w:r>
        <w:rPr>
          <w:sz w:val="24"/>
          <w:szCs w:val="24"/>
          <w:lang w:eastAsia="ar-SA"/>
        </w:rPr>
        <w:t>дополнительно в План приватизации были включены 6 объектов недвижимого имущества ЗАТО Северск (Решения Думы ЗАТО Северск от 25.02.2021 № 9/4, от</w:t>
      </w:r>
      <w:r>
        <w:rPr>
          <w:sz w:val="24"/>
          <w:szCs w:val="24"/>
        </w:rPr>
        <w:t> 29.04.2021 № 12/11, от 26.08.2021 № 16/3</w:t>
      </w:r>
      <w:r>
        <w:rPr>
          <w:sz w:val="24"/>
          <w:szCs w:val="24"/>
          <w:lang w:eastAsia="ar-SA"/>
        </w:rPr>
        <w:t>);</w:t>
      </w:r>
    </w:p>
    <w:p>
      <w:pPr>
        <w:suppressAutoHyphens/>
        <w:autoSpaceDE w:val="0"/>
        <w:ind w:firstLine="700"/>
        <w:jc w:val="both"/>
        <w:rPr>
          <w:sz w:val="24"/>
          <w:szCs w:val="24"/>
          <w:lang w:eastAsia="ar-SA"/>
        </w:rPr>
      </w:pPr>
      <w:r>
        <w:rPr>
          <w:sz w:val="24"/>
          <w:szCs w:val="24"/>
          <w:lang w:eastAsia="ar-SA"/>
        </w:rPr>
        <w:t>2)</w:t>
      </w:r>
      <w:r>
        <w:rPr>
          <w:sz w:val="24"/>
          <w:szCs w:val="24"/>
          <w:lang w:val="en-US" w:eastAsia="ar-SA"/>
        </w:rPr>
        <w:t> </w:t>
      </w:r>
      <w:r>
        <w:rPr>
          <w:sz w:val="24"/>
          <w:szCs w:val="24"/>
          <w:lang w:eastAsia="ar-SA"/>
        </w:rPr>
        <w:t>из Плана приватизации были исключены 2 объекта недвижимого имущества (Решение Думы ЗАТО Северск от 24.06.2021 № 15/2).</w:t>
      </w:r>
    </w:p>
    <w:p>
      <w:pPr>
        <w:suppressAutoHyphens/>
        <w:autoSpaceDE w:val="0"/>
        <w:ind w:firstLine="700"/>
        <w:jc w:val="both"/>
        <w:rPr>
          <w:sz w:val="24"/>
          <w:szCs w:val="24"/>
          <w:lang w:eastAsia="ar-SA"/>
        </w:rPr>
      </w:pPr>
      <w:r>
        <w:rPr>
          <w:sz w:val="24"/>
          <w:szCs w:val="24"/>
          <w:lang w:eastAsia="ar-SA"/>
        </w:rPr>
        <w:t xml:space="preserve">С учетом изменений в отчетном году приватизации подлежали 25 объектов муниципального имущества ЗАТО Северск, в том числе: </w:t>
      </w:r>
    </w:p>
    <w:p>
      <w:pPr>
        <w:shd w:val="clear" w:color="auto" w:fill="FFFFFF"/>
        <w:tabs>
          <w:tab w:val="left" w:pos="6115"/>
        </w:tabs>
        <w:suppressAutoHyphens/>
        <w:ind w:firstLine="700"/>
        <w:jc w:val="both"/>
        <w:rPr>
          <w:sz w:val="24"/>
          <w:szCs w:val="24"/>
          <w:lang w:eastAsia="ar-SA"/>
        </w:rPr>
      </w:pPr>
      <w:r>
        <w:rPr>
          <w:sz w:val="24"/>
          <w:szCs w:val="24"/>
          <w:lang w:eastAsia="ar-SA"/>
        </w:rPr>
        <w:t>1) 20 объектов недвижимого имущества;</w:t>
      </w:r>
      <w:r>
        <w:rPr>
          <w:sz w:val="24"/>
          <w:szCs w:val="24"/>
          <w:lang w:eastAsia="ar-SA"/>
        </w:rPr>
        <w:tab/>
      </w:r>
    </w:p>
    <w:p>
      <w:pPr>
        <w:suppressAutoHyphens/>
        <w:autoSpaceDE w:val="0"/>
        <w:ind w:firstLine="700"/>
        <w:jc w:val="both"/>
        <w:rPr>
          <w:sz w:val="24"/>
          <w:szCs w:val="24"/>
          <w:lang w:eastAsia="ar-SA"/>
        </w:rPr>
      </w:pPr>
      <w:r>
        <w:rPr>
          <w:sz w:val="24"/>
          <w:szCs w:val="24"/>
          <w:lang w:eastAsia="ar-SA"/>
        </w:rPr>
        <w:t>2) 5 объектов движимого имущества.</w:t>
      </w:r>
    </w:p>
    <w:p>
      <w:pPr>
        <w:pStyle w:val="a8"/>
        <w:spacing w:after="0"/>
        <w:ind w:left="0" w:firstLine="720"/>
        <w:jc w:val="both"/>
        <w:rPr>
          <w:color w:val="FF0000"/>
          <w:sz w:val="24"/>
          <w:szCs w:val="24"/>
        </w:rPr>
      </w:pPr>
      <w:r>
        <w:rPr>
          <w:sz w:val="24"/>
          <w:szCs w:val="24"/>
        </w:rPr>
        <w:t>В 2020 году приватизировано 8 объектов (32% от общего количества подлежащих приватизации объектов).</w:t>
      </w:r>
    </w:p>
    <w:p>
      <w:pPr>
        <w:spacing w:before="120" w:after="60"/>
        <w:ind w:firstLine="709"/>
        <w:jc w:val="both"/>
        <w:rPr>
          <w:sz w:val="24"/>
          <w:szCs w:val="24"/>
        </w:rPr>
      </w:pPr>
      <w:r>
        <w:rPr>
          <w:sz w:val="24"/>
          <w:szCs w:val="24"/>
        </w:rPr>
        <w:t xml:space="preserve">Таблица 38. Анализ поступления доходов от </w:t>
      </w:r>
      <w:r>
        <w:rPr>
          <w:color w:val="000000"/>
          <w:sz w:val="24"/>
          <w:szCs w:val="24"/>
        </w:rPr>
        <w:t>реализации иного имущества, находящегося в собственности городских округов</w:t>
      </w:r>
      <w:r>
        <w:rPr>
          <w:sz w:val="24"/>
          <w:szCs w:val="24"/>
        </w:rPr>
        <w:t xml:space="preserve"> в 2021 году</w:t>
      </w:r>
    </w:p>
    <w:tbl>
      <w:tblPr>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98"/>
        <w:gridCol w:w="1134"/>
        <w:gridCol w:w="1124"/>
        <w:gridCol w:w="1175"/>
        <w:gridCol w:w="1134"/>
        <w:gridCol w:w="1134"/>
        <w:gridCol w:w="992"/>
      </w:tblGrid>
      <w:tr>
        <w:trPr>
          <w:trHeight w:val="247"/>
          <w:jc w:val="center"/>
        </w:trPr>
        <w:tc>
          <w:tcPr>
            <w:tcW w:w="2798" w:type="dxa"/>
            <w:vMerge w:val="restart"/>
            <w:vAlign w:val="center"/>
          </w:tcPr>
          <w:p>
            <w:pPr>
              <w:pStyle w:val="a5"/>
              <w:ind w:right="-2"/>
              <w:jc w:val="center"/>
            </w:pPr>
            <w:r>
              <w:t xml:space="preserve">Наименование </w:t>
            </w:r>
          </w:p>
        </w:tc>
        <w:tc>
          <w:tcPr>
            <w:tcW w:w="1134" w:type="dxa"/>
            <w:vMerge w:val="restart"/>
            <w:vAlign w:val="center"/>
          </w:tcPr>
          <w:p>
            <w:pPr>
              <w:ind w:right="-57"/>
              <w:jc w:val="center"/>
              <w:rPr>
                <w:bCs/>
              </w:rPr>
            </w:pPr>
            <w:r>
              <w:rPr>
                <w:bCs/>
              </w:rPr>
              <w:t>Факт</w:t>
            </w:r>
          </w:p>
          <w:p>
            <w:pPr>
              <w:ind w:left="-158" w:right="-108"/>
              <w:jc w:val="center"/>
            </w:pPr>
            <w:r>
              <w:rPr>
                <w:bCs/>
              </w:rPr>
              <w:t>2020 год, тыс.руб.</w:t>
            </w:r>
          </w:p>
        </w:tc>
        <w:tc>
          <w:tcPr>
            <w:tcW w:w="5559" w:type="dxa"/>
            <w:gridSpan w:val="5"/>
            <w:vAlign w:val="center"/>
          </w:tcPr>
          <w:p>
            <w:pPr>
              <w:ind w:left="-108" w:right="-108"/>
              <w:jc w:val="center"/>
            </w:pPr>
            <w:r>
              <w:t>2021 год</w:t>
            </w:r>
          </w:p>
        </w:tc>
      </w:tr>
      <w:tr>
        <w:trPr>
          <w:trHeight w:val="804"/>
          <w:jc w:val="center"/>
        </w:trPr>
        <w:tc>
          <w:tcPr>
            <w:tcW w:w="2798" w:type="dxa"/>
            <w:vMerge/>
            <w:vAlign w:val="center"/>
          </w:tcPr>
          <w:p>
            <w:pPr>
              <w:pStyle w:val="a5"/>
              <w:spacing w:after="0"/>
              <w:ind w:right="-2"/>
              <w:jc w:val="center"/>
              <w:rPr>
                <w:sz w:val="22"/>
                <w:szCs w:val="22"/>
              </w:rPr>
            </w:pPr>
          </w:p>
        </w:tc>
        <w:tc>
          <w:tcPr>
            <w:tcW w:w="1134" w:type="dxa"/>
            <w:vMerge/>
            <w:vAlign w:val="center"/>
          </w:tcPr>
          <w:p>
            <w:pPr>
              <w:ind w:left="-108" w:right="-108"/>
              <w:jc w:val="center"/>
            </w:pPr>
          </w:p>
        </w:tc>
        <w:tc>
          <w:tcPr>
            <w:tcW w:w="1124" w:type="dxa"/>
          </w:tcPr>
          <w:p>
            <w:pPr>
              <w:ind w:left="-158" w:right="-108"/>
              <w:jc w:val="center"/>
            </w:pPr>
            <w:r>
              <w:t>Первона-чальный прогноз, тыс.руб.</w:t>
            </w:r>
          </w:p>
        </w:tc>
        <w:tc>
          <w:tcPr>
            <w:tcW w:w="1175" w:type="dxa"/>
            <w:vAlign w:val="center"/>
          </w:tcPr>
          <w:p>
            <w:pPr>
              <w:ind w:left="-250" w:right="-108" w:firstLine="92"/>
              <w:jc w:val="center"/>
            </w:pPr>
            <w:r>
              <w:t>Уточненный прогноз,</w:t>
            </w:r>
            <w:r>
              <w:br/>
              <w:t>тыс.руб.</w:t>
            </w:r>
          </w:p>
        </w:tc>
        <w:tc>
          <w:tcPr>
            <w:tcW w:w="1134" w:type="dxa"/>
            <w:vAlign w:val="center"/>
          </w:tcPr>
          <w:p>
            <w:pPr>
              <w:ind w:left="-108" w:right="-108"/>
              <w:jc w:val="center"/>
            </w:pPr>
            <w:r>
              <w:t xml:space="preserve">Факт, </w:t>
            </w:r>
            <w:r>
              <w:br/>
              <w:t>тыс.руб.</w:t>
            </w:r>
          </w:p>
        </w:tc>
        <w:tc>
          <w:tcPr>
            <w:tcW w:w="1134"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92"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243"/>
          <w:jc w:val="center"/>
        </w:trPr>
        <w:tc>
          <w:tcPr>
            <w:tcW w:w="2798"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24" w:type="dxa"/>
            <w:vAlign w:val="center"/>
          </w:tcPr>
          <w:p>
            <w:pPr>
              <w:jc w:val="center"/>
              <w:rPr>
                <w:color w:val="000000"/>
                <w:sz w:val="16"/>
                <w:szCs w:val="16"/>
              </w:rPr>
            </w:pPr>
            <w:r>
              <w:rPr>
                <w:color w:val="000000"/>
                <w:sz w:val="16"/>
                <w:szCs w:val="16"/>
              </w:rPr>
              <w:t>3</w:t>
            </w:r>
          </w:p>
        </w:tc>
        <w:tc>
          <w:tcPr>
            <w:tcW w:w="1175" w:type="dxa"/>
            <w:vAlign w:val="center"/>
          </w:tcPr>
          <w:p>
            <w:pPr>
              <w:jc w:val="center"/>
              <w:rPr>
                <w:color w:val="000000"/>
                <w:sz w:val="16"/>
                <w:szCs w:val="16"/>
              </w:rPr>
            </w:pPr>
            <w:r>
              <w:rPr>
                <w:color w:val="000000"/>
                <w:sz w:val="16"/>
                <w:szCs w:val="16"/>
              </w:rPr>
              <w:t>4</w:t>
            </w:r>
          </w:p>
        </w:tc>
        <w:tc>
          <w:tcPr>
            <w:tcW w:w="1134" w:type="dxa"/>
            <w:vAlign w:val="center"/>
          </w:tcPr>
          <w:p>
            <w:pPr>
              <w:jc w:val="center"/>
              <w:rPr>
                <w:color w:val="000000"/>
                <w:sz w:val="16"/>
                <w:szCs w:val="16"/>
              </w:rPr>
            </w:pPr>
            <w:r>
              <w:rPr>
                <w:color w:val="000000"/>
                <w:sz w:val="16"/>
                <w:szCs w:val="16"/>
              </w:rPr>
              <w:t>5</w:t>
            </w:r>
          </w:p>
        </w:tc>
        <w:tc>
          <w:tcPr>
            <w:tcW w:w="1134" w:type="dxa"/>
            <w:vAlign w:val="center"/>
          </w:tcPr>
          <w:p>
            <w:pPr>
              <w:jc w:val="center"/>
              <w:rPr>
                <w:color w:val="000000"/>
                <w:sz w:val="16"/>
                <w:szCs w:val="16"/>
              </w:rPr>
            </w:pPr>
            <w:r>
              <w:rPr>
                <w:color w:val="000000"/>
                <w:sz w:val="16"/>
                <w:szCs w:val="16"/>
              </w:rPr>
              <w:t>6=5-4</w:t>
            </w:r>
          </w:p>
        </w:tc>
        <w:tc>
          <w:tcPr>
            <w:tcW w:w="992" w:type="dxa"/>
            <w:vAlign w:val="center"/>
          </w:tcPr>
          <w:p>
            <w:pPr>
              <w:pStyle w:val="a5"/>
              <w:spacing w:after="0"/>
              <w:ind w:left="-57" w:right="-57"/>
              <w:jc w:val="center"/>
              <w:rPr>
                <w:sz w:val="16"/>
                <w:szCs w:val="16"/>
              </w:rPr>
            </w:pPr>
            <w:r>
              <w:rPr>
                <w:sz w:val="16"/>
                <w:szCs w:val="16"/>
              </w:rPr>
              <w:t>7=5/4</w:t>
            </w:r>
          </w:p>
        </w:tc>
      </w:tr>
      <w:tr>
        <w:trPr>
          <w:trHeight w:val="665"/>
          <w:jc w:val="center"/>
        </w:trPr>
        <w:tc>
          <w:tcPr>
            <w:tcW w:w="2798" w:type="dxa"/>
            <w:vAlign w:val="center"/>
          </w:tcPr>
          <w:p>
            <w:r>
              <w:t>Доходы от реализации иного имущества, находящегося в собственности городских округов</w:t>
            </w:r>
          </w:p>
        </w:tc>
        <w:tc>
          <w:tcPr>
            <w:tcW w:w="1134" w:type="dxa"/>
            <w:vAlign w:val="center"/>
          </w:tcPr>
          <w:p>
            <w:pPr>
              <w:spacing w:before="40" w:after="40"/>
              <w:ind w:left="-108" w:right="-57"/>
              <w:jc w:val="right"/>
            </w:pPr>
            <w:r>
              <w:t>9 382,93</w:t>
            </w:r>
          </w:p>
        </w:tc>
        <w:tc>
          <w:tcPr>
            <w:tcW w:w="1124" w:type="dxa"/>
            <w:vAlign w:val="center"/>
          </w:tcPr>
          <w:p>
            <w:pPr>
              <w:spacing w:before="40" w:after="40"/>
              <w:ind w:left="-108" w:right="-57"/>
              <w:jc w:val="right"/>
            </w:pPr>
            <w:r>
              <w:t>4 436,83</w:t>
            </w:r>
          </w:p>
        </w:tc>
        <w:tc>
          <w:tcPr>
            <w:tcW w:w="1175" w:type="dxa"/>
            <w:vAlign w:val="center"/>
          </w:tcPr>
          <w:p>
            <w:pPr>
              <w:spacing w:before="40" w:after="40"/>
              <w:ind w:left="-57" w:right="-57"/>
              <w:jc w:val="right"/>
            </w:pPr>
            <w:r>
              <w:t>5 692,51</w:t>
            </w:r>
          </w:p>
        </w:tc>
        <w:tc>
          <w:tcPr>
            <w:tcW w:w="1134" w:type="dxa"/>
            <w:vAlign w:val="center"/>
          </w:tcPr>
          <w:p>
            <w:pPr>
              <w:spacing w:before="40" w:after="40"/>
              <w:ind w:left="-57" w:right="-57"/>
              <w:jc w:val="right"/>
            </w:pPr>
            <w:r>
              <w:t>8 264,52</w:t>
            </w:r>
          </w:p>
        </w:tc>
        <w:tc>
          <w:tcPr>
            <w:tcW w:w="1134" w:type="dxa"/>
            <w:vAlign w:val="center"/>
          </w:tcPr>
          <w:p>
            <w:pPr>
              <w:spacing w:before="40" w:after="40"/>
              <w:ind w:left="-108" w:right="-57"/>
              <w:jc w:val="right"/>
            </w:pPr>
            <w:r>
              <w:t>2 572,01</w:t>
            </w:r>
          </w:p>
        </w:tc>
        <w:tc>
          <w:tcPr>
            <w:tcW w:w="992" w:type="dxa"/>
            <w:vAlign w:val="center"/>
          </w:tcPr>
          <w:p>
            <w:pPr>
              <w:spacing w:before="40" w:after="40"/>
              <w:ind w:left="-108" w:right="-108"/>
              <w:jc w:val="center"/>
            </w:pPr>
            <w:r>
              <w:t>145,2</w:t>
            </w:r>
          </w:p>
        </w:tc>
      </w:tr>
      <w:tr>
        <w:trPr>
          <w:trHeight w:val="223"/>
          <w:jc w:val="center"/>
        </w:trPr>
        <w:tc>
          <w:tcPr>
            <w:tcW w:w="2798" w:type="dxa"/>
            <w:vAlign w:val="center"/>
          </w:tcPr>
          <w:p>
            <w:pPr>
              <w:rPr>
                <w:i/>
              </w:rPr>
            </w:pPr>
            <w:r>
              <w:rPr>
                <w:i/>
              </w:rPr>
              <w:t>в том числе:</w:t>
            </w:r>
          </w:p>
        </w:tc>
        <w:tc>
          <w:tcPr>
            <w:tcW w:w="1134" w:type="dxa"/>
            <w:vAlign w:val="center"/>
          </w:tcPr>
          <w:p>
            <w:pPr>
              <w:spacing w:before="40" w:after="40"/>
              <w:ind w:left="-108" w:right="-57"/>
              <w:jc w:val="right"/>
            </w:pPr>
          </w:p>
        </w:tc>
        <w:tc>
          <w:tcPr>
            <w:tcW w:w="1124" w:type="dxa"/>
            <w:vAlign w:val="center"/>
          </w:tcPr>
          <w:p>
            <w:pPr>
              <w:spacing w:before="40" w:after="40"/>
              <w:ind w:left="-108" w:right="-57"/>
              <w:jc w:val="right"/>
            </w:pPr>
          </w:p>
        </w:tc>
        <w:tc>
          <w:tcPr>
            <w:tcW w:w="1175" w:type="dxa"/>
            <w:vAlign w:val="center"/>
          </w:tcPr>
          <w:p>
            <w:pPr>
              <w:spacing w:before="40" w:after="40"/>
              <w:ind w:left="-57" w:right="-57"/>
              <w:jc w:val="right"/>
            </w:pPr>
          </w:p>
        </w:tc>
        <w:tc>
          <w:tcPr>
            <w:tcW w:w="1134" w:type="dxa"/>
            <w:vAlign w:val="center"/>
          </w:tcPr>
          <w:p>
            <w:pPr>
              <w:spacing w:before="40" w:after="40"/>
              <w:ind w:left="-57" w:right="-57"/>
              <w:jc w:val="right"/>
            </w:pPr>
          </w:p>
        </w:tc>
        <w:tc>
          <w:tcPr>
            <w:tcW w:w="1134" w:type="dxa"/>
            <w:vAlign w:val="center"/>
          </w:tcPr>
          <w:p>
            <w:pPr>
              <w:spacing w:before="40" w:after="40"/>
              <w:ind w:left="-108" w:right="-57"/>
              <w:jc w:val="right"/>
            </w:pPr>
          </w:p>
        </w:tc>
        <w:tc>
          <w:tcPr>
            <w:tcW w:w="992" w:type="dxa"/>
            <w:vAlign w:val="center"/>
          </w:tcPr>
          <w:p>
            <w:pPr>
              <w:spacing w:before="40" w:after="40"/>
              <w:ind w:left="-108" w:right="-108"/>
              <w:jc w:val="center"/>
            </w:pPr>
          </w:p>
        </w:tc>
      </w:tr>
      <w:tr>
        <w:trPr>
          <w:trHeight w:val="665"/>
          <w:jc w:val="center"/>
        </w:trPr>
        <w:tc>
          <w:tcPr>
            <w:tcW w:w="2798" w:type="dxa"/>
            <w:vAlign w:val="center"/>
          </w:tcPr>
          <w:p>
            <w:r>
              <w:t xml:space="preserve">согласно Федеральному закону от 22.07.2008 </w:t>
            </w:r>
          </w:p>
          <w:p>
            <w:r>
              <w:t>№ 159-ФЗ</w:t>
            </w:r>
          </w:p>
        </w:tc>
        <w:tc>
          <w:tcPr>
            <w:tcW w:w="1134" w:type="dxa"/>
            <w:vAlign w:val="center"/>
          </w:tcPr>
          <w:p>
            <w:pPr>
              <w:spacing w:before="40" w:after="40"/>
              <w:ind w:left="-108" w:right="-57"/>
              <w:jc w:val="right"/>
            </w:pPr>
            <w:r>
              <w:t>3 881,89</w:t>
            </w:r>
          </w:p>
        </w:tc>
        <w:tc>
          <w:tcPr>
            <w:tcW w:w="1124" w:type="dxa"/>
            <w:vAlign w:val="center"/>
          </w:tcPr>
          <w:p>
            <w:pPr>
              <w:spacing w:before="40" w:after="40"/>
              <w:ind w:left="-108" w:right="-57"/>
              <w:jc w:val="right"/>
            </w:pPr>
            <w:r>
              <w:t>4 436,83</w:t>
            </w:r>
          </w:p>
        </w:tc>
        <w:tc>
          <w:tcPr>
            <w:tcW w:w="1175" w:type="dxa"/>
            <w:vAlign w:val="center"/>
          </w:tcPr>
          <w:p>
            <w:pPr>
              <w:spacing w:before="40" w:after="40"/>
              <w:ind w:left="-57" w:right="-57"/>
              <w:jc w:val="right"/>
            </w:pPr>
            <w:r>
              <w:t>4 479,71</w:t>
            </w:r>
          </w:p>
        </w:tc>
        <w:tc>
          <w:tcPr>
            <w:tcW w:w="1134" w:type="dxa"/>
            <w:vAlign w:val="center"/>
          </w:tcPr>
          <w:p>
            <w:pPr>
              <w:spacing w:before="40" w:after="40"/>
              <w:ind w:left="-57" w:right="-57"/>
              <w:jc w:val="right"/>
            </w:pPr>
            <w:r>
              <w:t>3 569,77</w:t>
            </w:r>
          </w:p>
        </w:tc>
        <w:tc>
          <w:tcPr>
            <w:tcW w:w="1134" w:type="dxa"/>
            <w:vAlign w:val="center"/>
          </w:tcPr>
          <w:p>
            <w:pPr>
              <w:spacing w:before="40" w:after="40"/>
              <w:ind w:left="-108" w:right="-57"/>
              <w:jc w:val="right"/>
            </w:pPr>
            <w:r>
              <w:t>-909,94</w:t>
            </w:r>
          </w:p>
        </w:tc>
        <w:tc>
          <w:tcPr>
            <w:tcW w:w="992" w:type="dxa"/>
            <w:vAlign w:val="center"/>
          </w:tcPr>
          <w:p>
            <w:pPr>
              <w:spacing w:before="40" w:after="40"/>
              <w:ind w:left="-108" w:right="-108"/>
              <w:jc w:val="center"/>
            </w:pPr>
            <w:r>
              <w:t>79,7</w:t>
            </w:r>
          </w:p>
        </w:tc>
      </w:tr>
      <w:tr>
        <w:trPr>
          <w:trHeight w:val="665"/>
          <w:jc w:val="center"/>
        </w:trPr>
        <w:tc>
          <w:tcPr>
            <w:tcW w:w="2798" w:type="dxa"/>
            <w:vAlign w:val="center"/>
          </w:tcPr>
          <w:p>
            <w:r>
              <w:t xml:space="preserve">согласно Федеральному закону от 21.12.2001 </w:t>
            </w:r>
          </w:p>
          <w:p>
            <w:r>
              <w:t xml:space="preserve">№ 178-ФЗ, </w:t>
            </w:r>
            <w:r>
              <w:rPr>
                <w:i/>
              </w:rPr>
              <w:t>из них:</w:t>
            </w:r>
          </w:p>
        </w:tc>
        <w:tc>
          <w:tcPr>
            <w:tcW w:w="1134" w:type="dxa"/>
            <w:vAlign w:val="center"/>
          </w:tcPr>
          <w:p>
            <w:pPr>
              <w:spacing w:before="40" w:after="40"/>
              <w:ind w:left="-108" w:right="-57"/>
              <w:jc w:val="right"/>
            </w:pPr>
            <w:r>
              <w:t>5 501,04</w:t>
            </w:r>
          </w:p>
        </w:tc>
        <w:tc>
          <w:tcPr>
            <w:tcW w:w="1124" w:type="dxa"/>
            <w:vAlign w:val="center"/>
          </w:tcPr>
          <w:p>
            <w:pPr>
              <w:spacing w:before="40" w:after="40"/>
              <w:ind w:left="-108" w:right="-57"/>
              <w:jc w:val="right"/>
            </w:pPr>
            <w:r>
              <w:t>-</w:t>
            </w:r>
          </w:p>
        </w:tc>
        <w:tc>
          <w:tcPr>
            <w:tcW w:w="1175" w:type="dxa"/>
            <w:vAlign w:val="center"/>
          </w:tcPr>
          <w:p>
            <w:pPr>
              <w:spacing w:before="40" w:after="40"/>
              <w:ind w:left="-57" w:right="-57"/>
              <w:jc w:val="right"/>
            </w:pPr>
            <w:r>
              <w:t>1 212,80</w:t>
            </w:r>
          </w:p>
        </w:tc>
        <w:tc>
          <w:tcPr>
            <w:tcW w:w="1134" w:type="dxa"/>
            <w:vAlign w:val="center"/>
          </w:tcPr>
          <w:p>
            <w:pPr>
              <w:spacing w:before="40" w:after="40"/>
              <w:ind w:left="-57" w:right="-57"/>
              <w:jc w:val="right"/>
            </w:pPr>
            <w:r>
              <w:t>4 694,75</w:t>
            </w:r>
          </w:p>
        </w:tc>
        <w:tc>
          <w:tcPr>
            <w:tcW w:w="1134" w:type="dxa"/>
            <w:vAlign w:val="center"/>
          </w:tcPr>
          <w:p>
            <w:pPr>
              <w:spacing w:before="40" w:after="40"/>
              <w:ind w:left="-108" w:right="-57"/>
              <w:jc w:val="right"/>
            </w:pPr>
            <w:r>
              <w:t>3 481,95</w:t>
            </w:r>
          </w:p>
        </w:tc>
        <w:tc>
          <w:tcPr>
            <w:tcW w:w="992" w:type="dxa"/>
            <w:vAlign w:val="center"/>
          </w:tcPr>
          <w:p>
            <w:pPr>
              <w:spacing w:before="40" w:after="40"/>
              <w:ind w:left="-108" w:right="-108"/>
              <w:jc w:val="center"/>
            </w:pPr>
            <w:r>
              <w:t>387,1</w:t>
            </w:r>
          </w:p>
        </w:tc>
      </w:tr>
      <w:tr>
        <w:trPr>
          <w:trHeight w:val="474"/>
          <w:jc w:val="center"/>
        </w:trPr>
        <w:tc>
          <w:tcPr>
            <w:tcW w:w="2798" w:type="dxa"/>
            <w:vAlign w:val="center"/>
          </w:tcPr>
          <w:p>
            <w:pPr>
              <w:rPr>
                <w:i/>
              </w:rPr>
            </w:pPr>
            <w:r>
              <w:rPr>
                <w:i/>
              </w:rPr>
              <w:t>пассажирские теплоходы Заря</w:t>
            </w:r>
          </w:p>
        </w:tc>
        <w:tc>
          <w:tcPr>
            <w:tcW w:w="1134" w:type="dxa"/>
            <w:vAlign w:val="center"/>
          </w:tcPr>
          <w:p>
            <w:pPr>
              <w:spacing w:before="40" w:after="40"/>
              <w:ind w:left="-108" w:right="-57"/>
              <w:jc w:val="right"/>
              <w:rPr>
                <w:i/>
              </w:rPr>
            </w:pPr>
            <w:r>
              <w:rPr>
                <w:i/>
              </w:rPr>
              <w:t>-</w:t>
            </w:r>
          </w:p>
        </w:tc>
        <w:tc>
          <w:tcPr>
            <w:tcW w:w="1124" w:type="dxa"/>
            <w:vAlign w:val="center"/>
          </w:tcPr>
          <w:p>
            <w:pPr>
              <w:spacing w:before="40" w:after="40"/>
              <w:ind w:left="-108" w:right="-57"/>
              <w:jc w:val="right"/>
              <w:rPr>
                <w:i/>
              </w:rPr>
            </w:pPr>
            <w:r>
              <w:rPr>
                <w:i/>
              </w:rPr>
              <w:t>-</w:t>
            </w:r>
          </w:p>
        </w:tc>
        <w:tc>
          <w:tcPr>
            <w:tcW w:w="1175" w:type="dxa"/>
            <w:vAlign w:val="center"/>
          </w:tcPr>
          <w:p>
            <w:pPr>
              <w:spacing w:before="40" w:after="40"/>
              <w:ind w:left="-57" w:right="-57"/>
              <w:jc w:val="right"/>
              <w:rPr>
                <w:i/>
              </w:rPr>
            </w:pPr>
            <w:r>
              <w:rPr>
                <w:i/>
              </w:rPr>
              <w:t>1 212,80</w:t>
            </w:r>
          </w:p>
        </w:tc>
        <w:tc>
          <w:tcPr>
            <w:tcW w:w="1134" w:type="dxa"/>
            <w:vAlign w:val="center"/>
          </w:tcPr>
          <w:p>
            <w:pPr>
              <w:spacing w:before="40" w:after="40"/>
              <w:ind w:left="-57" w:right="-57"/>
              <w:jc w:val="right"/>
              <w:rPr>
                <w:i/>
              </w:rPr>
            </w:pPr>
            <w:r>
              <w:rPr>
                <w:i/>
              </w:rPr>
              <w:t>1 263,75</w:t>
            </w:r>
          </w:p>
        </w:tc>
        <w:tc>
          <w:tcPr>
            <w:tcW w:w="1134" w:type="dxa"/>
            <w:vAlign w:val="center"/>
          </w:tcPr>
          <w:p>
            <w:pPr>
              <w:spacing w:before="40" w:after="40"/>
              <w:ind w:left="-108" w:right="-57"/>
              <w:jc w:val="right"/>
              <w:rPr>
                <w:i/>
              </w:rPr>
            </w:pPr>
            <w:r>
              <w:rPr>
                <w:i/>
              </w:rPr>
              <w:t>50,95</w:t>
            </w:r>
          </w:p>
        </w:tc>
        <w:tc>
          <w:tcPr>
            <w:tcW w:w="992" w:type="dxa"/>
            <w:vAlign w:val="center"/>
          </w:tcPr>
          <w:p>
            <w:pPr>
              <w:spacing w:before="40" w:after="40"/>
              <w:ind w:left="-108" w:right="-108"/>
              <w:jc w:val="center"/>
              <w:rPr>
                <w:i/>
              </w:rPr>
            </w:pPr>
            <w:r>
              <w:rPr>
                <w:i/>
              </w:rPr>
              <w:t>104,2</w:t>
            </w:r>
          </w:p>
        </w:tc>
      </w:tr>
      <w:tr>
        <w:trPr>
          <w:trHeight w:val="424"/>
          <w:jc w:val="center"/>
        </w:trPr>
        <w:tc>
          <w:tcPr>
            <w:tcW w:w="2798" w:type="dxa"/>
            <w:vAlign w:val="center"/>
          </w:tcPr>
          <w:p>
            <w:pPr>
              <w:rPr>
                <w:i/>
              </w:rPr>
            </w:pPr>
            <w:r>
              <w:rPr>
                <w:i/>
              </w:rPr>
              <w:t>нежилое здание по ул.Строителей, 12</w:t>
            </w:r>
          </w:p>
        </w:tc>
        <w:tc>
          <w:tcPr>
            <w:tcW w:w="1134" w:type="dxa"/>
            <w:vAlign w:val="center"/>
          </w:tcPr>
          <w:p>
            <w:pPr>
              <w:spacing w:before="40" w:after="40"/>
              <w:ind w:left="-108" w:right="-57"/>
              <w:jc w:val="right"/>
              <w:rPr>
                <w:i/>
              </w:rPr>
            </w:pPr>
            <w:r>
              <w:rPr>
                <w:i/>
              </w:rPr>
              <w:t>-</w:t>
            </w:r>
          </w:p>
        </w:tc>
        <w:tc>
          <w:tcPr>
            <w:tcW w:w="1124" w:type="dxa"/>
            <w:vAlign w:val="center"/>
          </w:tcPr>
          <w:p>
            <w:pPr>
              <w:spacing w:before="40" w:after="40"/>
              <w:ind w:left="-108" w:right="-57"/>
              <w:jc w:val="right"/>
              <w:rPr>
                <w:i/>
              </w:rPr>
            </w:pPr>
            <w:r>
              <w:rPr>
                <w:i/>
              </w:rPr>
              <w:t>-</w:t>
            </w:r>
          </w:p>
        </w:tc>
        <w:tc>
          <w:tcPr>
            <w:tcW w:w="1175" w:type="dxa"/>
            <w:vAlign w:val="center"/>
          </w:tcPr>
          <w:p>
            <w:pPr>
              <w:spacing w:before="40" w:after="40"/>
              <w:ind w:left="-57" w:right="-57"/>
              <w:jc w:val="right"/>
              <w:rPr>
                <w:i/>
              </w:rPr>
            </w:pPr>
            <w:r>
              <w:rPr>
                <w:i/>
              </w:rPr>
              <w:t>-</w:t>
            </w:r>
          </w:p>
        </w:tc>
        <w:tc>
          <w:tcPr>
            <w:tcW w:w="1134" w:type="dxa"/>
            <w:vAlign w:val="center"/>
          </w:tcPr>
          <w:p>
            <w:pPr>
              <w:spacing w:before="40" w:after="40"/>
              <w:ind w:left="-57" w:right="-57"/>
              <w:jc w:val="right"/>
              <w:rPr>
                <w:i/>
              </w:rPr>
            </w:pPr>
            <w:r>
              <w:rPr>
                <w:i/>
              </w:rPr>
              <w:t>2 180,00</w:t>
            </w:r>
          </w:p>
        </w:tc>
        <w:tc>
          <w:tcPr>
            <w:tcW w:w="1134" w:type="dxa"/>
            <w:vAlign w:val="center"/>
          </w:tcPr>
          <w:p>
            <w:pPr>
              <w:spacing w:before="40" w:after="40"/>
              <w:ind w:left="-57" w:right="-57"/>
              <w:jc w:val="right"/>
              <w:rPr>
                <w:i/>
              </w:rPr>
            </w:pPr>
            <w:r>
              <w:rPr>
                <w:i/>
              </w:rPr>
              <w:t>2 180,00</w:t>
            </w:r>
          </w:p>
        </w:tc>
        <w:tc>
          <w:tcPr>
            <w:tcW w:w="992" w:type="dxa"/>
            <w:vAlign w:val="center"/>
          </w:tcPr>
          <w:p>
            <w:pPr>
              <w:spacing w:before="40" w:after="40"/>
              <w:ind w:left="-108" w:right="-108"/>
              <w:jc w:val="center"/>
              <w:rPr>
                <w:i/>
              </w:rPr>
            </w:pPr>
            <w:r>
              <w:rPr>
                <w:i/>
              </w:rPr>
              <w:t>-</w:t>
            </w:r>
          </w:p>
        </w:tc>
      </w:tr>
      <w:tr>
        <w:trPr>
          <w:trHeight w:val="665"/>
          <w:jc w:val="center"/>
        </w:trPr>
        <w:tc>
          <w:tcPr>
            <w:tcW w:w="2798" w:type="dxa"/>
            <w:vAlign w:val="center"/>
          </w:tcPr>
          <w:p>
            <w:pPr>
              <w:rPr>
                <w:i/>
              </w:rPr>
            </w:pPr>
            <w:r>
              <w:rPr>
                <w:i/>
              </w:rPr>
              <w:t>нежилые помещения на 1-ом этаже жилого дома по ул.Северная, 8</w:t>
            </w:r>
          </w:p>
        </w:tc>
        <w:tc>
          <w:tcPr>
            <w:tcW w:w="1134" w:type="dxa"/>
            <w:vAlign w:val="center"/>
          </w:tcPr>
          <w:p>
            <w:pPr>
              <w:spacing w:before="40" w:after="40"/>
              <w:ind w:left="-108" w:right="-57"/>
              <w:jc w:val="right"/>
              <w:rPr>
                <w:i/>
              </w:rPr>
            </w:pPr>
            <w:r>
              <w:rPr>
                <w:i/>
              </w:rPr>
              <w:t>-</w:t>
            </w:r>
          </w:p>
        </w:tc>
        <w:tc>
          <w:tcPr>
            <w:tcW w:w="1124" w:type="dxa"/>
            <w:vAlign w:val="center"/>
          </w:tcPr>
          <w:p>
            <w:pPr>
              <w:spacing w:before="40" w:after="40"/>
              <w:ind w:left="-108" w:right="-57"/>
              <w:jc w:val="right"/>
              <w:rPr>
                <w:i/>
              </w:rPr>
            </w:pPr>
            <w:r>
              <w:rPr>
                <w:i/>
              </w:rPr>
              <w:t>-</w:t>
            </w:r>
          </w:p>
        </w:tc>
        <w:tc>
          <w:tcPr>
            <w:tcW w:w="1175" w:type="dxa"/>
            <w:vAlign w:val="center"/>
          </w:tcPr>
          <w:p>
            <w:pPr>
              <w:spacing w:before="40" w:after="40"/>
              <w:ind w:left="-57" w:right="-57"/>
              <w:jc w:val="right"/>
              <w:rPr>
                <w:i/>
              </w:rPr>
            </w:pPr>
            <w:r>
              <w:rPr>
                <w:i/>
              </w:rPr>
              <w:t>-</w:t>
            </w:r>
          </w:p>
        </w:tc>
        <w:tc>
          <w:tcPr>
            <w:tcW w:w="1134" w:type="dxa"/>
            <w:vAlign w:val="center"/>
          </w:tcPr>
          <w:p>
            <w:pPr>
              <w:spacing w:before="40" w:after="40"/>
              <w:ind w:left="-57" w:right="-57"/>
              <w:jc w:val="right"/>
              <w:rPr>
                <w:i/>
              </w:rPr>
            </w:pPr>
            <w:r>
              <w:rPr>
                <w:i/>
              </w:rPr>
              <w:t>1 048,00</w:t>
            </w:r>
          </w:p>
        </w:tc>
        <w:tc>
          <w:tcPr>
            <w:tcW w:w="1134" w:type="dxa"/>
            <w:vAlign w:val="center"/>
          </w:tcPr>
          <w:p>
            <w:pPr>
              <w:spacing w:before="40" w:after="40"/>
              <w:ind w:left="-57" w:right="-57"/>
              <w:jc w:val="right"/>
              <w:rPr>
                <w:i/>
              </w:rPr>
            </w:pPr>
            <w:r>
              <w:rPr>
                <w:i/>
              </w:rPr>
              <w:t>1 048,00</w:t>
            </w:r>
          </w:p>
        </w:tc>
        <w:tc>
          <w:tcPr>
            <w:tcW w:w="992" w:type="dxa"/>
            <w:vAlign w:val="center"/>
          </w:tcPr>
          <w:p>
            <w:pPr>
              <w:spacing w:before="40" w:after="40"/>
              <w:ind w:left="-108" w:right="-108"/>
              <w:jc w:val="center"/>
              <w:rPr>
                <w:i/>
              </w:rPr>
            </w:pPr>
            <w:r>
              <w:rPr>
                <w:i/>
              </w:rPr>
              <w:t>-</w:t>
            </w:r>
          </w:p>
        </w:tc>
      </w:tr>
    </w:tbl>
    <w:p>
      <w:pPr>
        <w:pStyle w:val="ConsPlusNormal"/>
        <w:ind w:firstLine="709"/>
        <w:jc w:val="both"/>
      </w:pPr>
    </w:p>
    <w:p>
      <w:pPr>
        <w:pStyle w:val="ConsPlusNormal"/>
        <w:ind w:firstLine="709"/>
        <w:jc w:val="both"/>
      </w:pPr>
      <w:r>
        <w:t>Доходы от приватизации муниципального имущества в 2021 году составили 8 264,52 тыс.руб., в том числе:</w:t>
      </w:r>
    </w:p>
    <w:p>
      <w:pPr>
        <w:pStyle w:val="ConsPlusNormal"/>
        <w:ind w:firstLine="709"/>
        <w:jc w:val="both"/>
        <w:rPr>
          <w:color w:val="000000"/>
        </w:rPr>
      </w:pPr>
      <w:r>
        <w:t xml:space="preserve">-  в соответствии с Федеральным законом от 21.12.2001 № 178-ФЗ «О приватизации </w:t>
      </w:r>
      <w:r>
        <w:rPr>
          <w:color w:val="000000"/>
        </w:rPr>
        <w:t>государственного и муниципального имущества» – 4 694,75 тыс.руб. или 56,8% от общей суммы поступлений по подстатье;</w:t>
      </w:r>
    </w:p>
    <w:p>
      <w:pPr>
        <w:pStyle w:val="ConsPlusNormal"/>
        <w:ind w:firstLine="709"/>
        <w:jc w:val="both"/>
        <w:rPr>
          <w:color w:val="000000"/>
        </w:rPr>
      </w:pPr>
      <w:r>
        <w:rPr>
          <w:color w:val="000000"/>
        </w:rPr>
        <w:t>-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(доходы от приватизации в 2015-2021 гг.) – 3 569,77 тыс.руб. или 43,2% от общей суммы поступлений по подстатье.</w:t>
      </w:r>
    </w:p>
    <w:p>
      <w:pPr>
        <w:pStyle w:val="a8"/>
        <w:spacing w:after="0"/>
        <w:ind w:left="0" w:firstLine="720"/>
        <w:jc w:val="both"/>
        <w:rPr>
          <w:sz w:val="24"/>
          <w:szCs w:val="24"/>
        </w:rPr>
      </w:pPr>
      <w:r>
        <w:rPr>
          <w:sz w:val="24"/>
          <w:szCs w:val="24"/>
        </w:rPr>
        <w:t>По сравнению с 2020 годом снижение поступлений по подстатье составило 1 118,40 тыс.руб. или на 11,9%.</w:t>
      </w:r>
    </w:p>
    <w:p>
      <w:pPr>
        <w:pStyle w:val="a8"/>
        <w:spacing w:after="0"/>
        <w:ind w:left="0" w:firstLine="720"/>
        <w:jc w:val="both"/>
        <w:rPr>
          <w:sz w:val="24"/>
          <w:szCs w:val="24"/>
        </w:rPr>
      </w:pPr>
    </w:p>
    <w:p>
      <w:pPr>
        <w:pStyle w:val="a8"/>
        <w:ind w:left="0"/>
        <w:jc w:val="center"/>
        <w:rPr>
          <w:b/>
          <w:i/>
          <w:sz w:val="24"/>
          <w:szCs w:val="24"/>
        </w:rPr>
      </w:pPr>
    </w:p>
    <w:p>
      <w:pPr>
        <w:pStyle w:val="a8"/>
        <w:ind w:left="0"/>
        <w:jc w:val="center"/>
        <w:rPr>
          <w:b/>
          <w:i/>
          <w:sz w:val="24"/>
          <w:szCs w:val="24"/>
        </w:rPr>
      </w:pPr>
      <w:r>
        <w:rPr>
          <w:b/>
          <w:i/>
          <w:sz w:val="24"/>
          <w:szCs w:val="24"/>
        </w:rPr>
        <w:lastRenderedPageBreak/>
        <w:t>3.2.4.2. Доходы от продажи земельных участков</w:t>
      </w:r>
    </w:p>
    <w:p>
      <w:pPr>
        <w:pStyle w:val="a8"/>
        <w:spacing w:after="0"/>
        <w:ind w:left="0" w:firstLine="720"/>
        <w:jc w:val="both"/>
        <w:rPr>
          <w:sz w:val="24"/>
          <w:szCs w:val="24"/>
        </w:rPr>
      </w:pPr>
      <w:r>
        <w:rPr>
          <w:sz w:val="24"/>
          <w:szCs w:val="24"/>
        </w:rPr>
        <w:t>Прогноз поступлений по доходам от продажи земельных участков составлял      171,00 тыс.руб., фактическое исполнение – 188,26 тыс.руб., перевыполнение                                        на 17,26 тыс.руб. или на 10,1%.</w:t>
      </w:r>
    </w:p>
    <w:p>
      <w:pPr>
        <w:spacing w:before="120" w:after="60"/>
        <w:ind w:firstLine="709"/>
        <w:jc w:val="both"/>
        <w:rPr>
          <w:sz w:val="24"/>
          <w:szCs w:val="24"/>
        </w:rPr>
      </w:pPr>
      <w:r>
        <w:rPr>
          <w:sz w:val="24"/>
          <w:szCs w:val="24"/>
        </w:rPr>
        <w:t>Таблица 39 Анализ поступления от продажи земельных участков в 2020 - 2021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1134"/>
        <w:gridCol w:w="1134"/>
        <w:gridCol w:w="1233"/>
        <w:gridCol w:w="1177"/>
        <w:gridCol w:w="1082"/>
        <w:gridCol w:w="867"/>
      </w:tblGrid>
      <w:tr>
        <w:trPr>
          <w:trHeight w:val="302"/>
        </w:trPr>
        <w:tc>
          <w:tcPr>
            <w:tcW w:w="2943" w:type="dxa"/>
            <w:vMerge w:val="restart"/>
            <w:vAlign w:val="center"/>
          </w:tcPr>
          <w:p>
            <w:pPr>
              <w:jc w:val="center"/>
            </w:pPr>
            <w:r>
              <w:t xml:space="preserve">Наименование </w:t>
            </w:r>
          </w:p>
        </w:tc>
        <w:tc>
          <w:tcPr>
            <w:tcW w:w="1134" w:type="dxa"/>
            <w:vMerge w:val="restart"/>
          </w:tcPr>
          <w:p>
            <w:pPr>
              <w:ind w:left="-108" w:right="-108"/>
              <w:jc w:val="center"/>
              <w:rPr>
                <w:sz w:val="22"/>
                <w:szCs w:val="22"/>
              </w:rPr>
            </w:pPr>
          </w:p>
          <w:p>
            <w:pPr>
              <w:ind w:right="-57"/>
              <w:jc w:val="center"/>
              <w:rPr>
                <w:bCs/>
              </w:rPr>
            </w:pPr>
            <w:r>
              <w:rPr>
                <w:bCs/>
              </w:rPr>
              <w:t>Факт</w:t>
            </w:r>
          </w:p>
          <w:p>
            <w:pPr>
              <w:ind w:left="-108" w:right="-108"/>
              <w:jc w:val="center"/>
              <w:rPr>
                <w:sz w:val="22"/>
                <w:szCs w:val="22"/>
              </w:rPr>
            </w:pPr>
            <w:r>
              <w:rPr>
                <w:bCs/>
              </w:rPr>
              <w:t>2020 год, тыс.руб.</w:t>
            </w:r>
          </w:p>
        </w:tc>
        <w:tc>
          <w:tcPr>
            <w:tcW w:w="5493" w:type="dxa"/>
            <w:gridSpan w:val="5"/>
            <w:vAlign w:val="center"/>
          </w:tcPr>
          <w:p>
            <w:pPr>
              <w:pStyle w:val="a5"/>
              <w:spacing w:after="0"/>
              <w:ind w:left="-57" w:right="-57"/>
              <w:jc w:val="center"/>
            </w:pPr>
            <w:r>
              <w:t>2021 год</w:t>
            </w:r>
          </w:p>
        </w:tc>
      </w:tr>
      <w:tr>
        <w:trPr>
          <w:trHeight w:val="554"/>
        </w:trPr>
        <w:tc>
          <w:tcPr>
            <w:tcW w:w="2943" w:type="dxa"/>
            <w:vMerge/>
            <w:vAlign w:val="center"/>
          </w:tcPr>
          <w:p>
            <w:pPr>
              <w:jc w:val="center"/>
              <w:rPr>
                <w:sz w:val="22"/>
                <w:szCs w:val="22"/>
              </w:rPr>
            </w:pPr>
          </w:p>
        </w:tc>
        <w:tc>
          <w:tcPr>
            <w:tcW w:w="1134" w:type="dxa"/>
            <w:vMerge/>
          </w:tcPr>
          <w:p>
            <w:pPr>
              <w:ind w:left="-108" w:right="-108"/>
              <w:jc w:val="center"/>
              <w:rPr>
                <w:sz w:val="22"/>
                <w:szCs w:val="22"/>
              </w:rPr>
            </w:pPr>
          </w:p>
        </w:tc>
        <w:tc>
          <w:tcPr>
            <w:tcW w:w="1134" w:type="dxa"/>
          </w:tcPr>
          <w:p>
            <w:pPr>
              <w:ind w:left="-158" w:right="-108"/>
              <w:jc w:val="center"/>
            </w:pPr>
            <w:r>
              <w:t>Первона-чальный прогноз, тыс.руб.</w:t>
            </w:r>
          </w:p>
        </w:tc>
        <w:tc>
          <w:tcPr>
            <w:tcW w:w="1233" w:type="dxa"/>
            <w:vAlign w:val="center"/>
          </w:tcPr>
          <w:p>
            <w:pPr>
              <w:ind w:left="-158" w:right="-108"/>
              <w:jc w:val="center"/>
            </w:pPr>
            <w:r>
              <w:t>Уточненный прогноз,</w:t>
            </w:r>
            <w:r>
              <w:br/>
              <w:t>тыс.руб.</w:t>
            </w:r>
          </w:p>
        </w:tc>
        <w:tc>
          <w:tcPr>
            <w:tcW w:w="1177" w:type="dxa"/>
            <w:vAlign w:val="center"/>
          </w:tcPr>
          <w:p>
            <w:pPr>
              <w:ind w:left="-108" w:right="-108"/>
              <w:jc w:val="center"/>
            </w:pPr>
            <w:r>
              <w:t xml:space="preserve">Факт, </w:t>
            </w:r>
            <w:r>
              <w:br/>
              <w:t>тыс.руб.</w:t>
            </w:r>
          </w:p>
        </w:tc>
        <w:tc>
          <w:tcPr>
            <w:tcW w:w="1082"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867"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c>
          <w:tcPr>
            <w:tcW w:w="2943" w:type="dxa"/>
            <w:vAlign w:val="center"/>
          </w:tcPr>
          <w:p>
            <w:pPr>
              <w:pStyle w:val="a5"/>
              <w:tabs>
                <w:tab w:val="left" w:pos="3966"/>
              </w:tabs>
              <w:spacing w:after="0"/>
              <w:ind w:right="-120"/>
              <w:jc w:val="center"/>
              <w:rPr>
                <w:sz w:val="16"/>
                <w:szCs w:val="16"/>
              </w:rPr>
            </w:pPr>
            <w:r>
              <w:rPr>
                <w:sz w:val="16"/>
                <w:szCs w:val="16"/>
              </w:rPr>
              <w:t>1</w:t>
            </w:r>
          </w:p>
        </w:tc>
        <w:tc>
          <w:tcPr>
            <w:tcW w:w="1134" w:type="dxa"/>
            <w:vAlign w:val="center"/>
          </w:tcPr>
          <w:p>
            <w:pPr>
              <w:jc w:val="center"/>
              <w:rPr>
                <w:color w:val="000000"/>
                <w:sz w:val="16"/>
                <w:szCs w:val="16"/>
              </w:rPr>
            </w:pPr>
            <w:r>
              <w:rPr>
                <w:color w:val="000000"/>
                <w:sz w:val="16"/>
                <w:szCs w:val="16"/>
              </w:rPr>
              <w:t>2</w:t>
            </w:r>
          </w:p>
        </w:tc>
        <w:tc>
          <w:tcPr>
            <w:tcW w:w="1134" w:type="dxa"/>
            <w:shd w:val="clear" w:color="auto" w:fill="auto"/>
            <w:vAlign w:val="center"/>
          </w:tcPr>
          <w:p>
            <w:pPr>
              <w:jc w:val="center"/>
              <w:rPr>
                <w:color w:val="000000"/>
                <w:sz w:val="16"/>
                <w:szCs w:val="16"/>
              </w:rPr>
            </w:pPr>
            <w:r>
              <w:rPr>
                <w:color w:val="000000"/>
                <w:sz w:val="16"/>
                <w:szCs w:val="16"/>
              </w:rPr>
              <w:t>3</w:t>
            </w:r>
          </w:p>
        </w:tc>
        <w:tc>
          <w:tcPr>
            <w:tcW w:w="1233" w:type="dxa"/>
            <w:shd w:val="clear" w:color="auto" w:fill="auto"/>
            <w:vAlign w:val="center"/>
          </w:tcPr>
          <w:p>
            <w:pPr>
              <w:jc w:val="center"/>
              <w:rPr>
                <w:color w:val="000000"/>
                <w:sz w:val="16"/>
                <w:szCs w:val="16"/>
              </w:rPr>
            </w:pPr>
            <w:r>
              <w:rPr>
                <w:color w:val="000000"/>
                <w:sz w:val="16"/>
                <w:szCs w:val="16"/>
              </w:rPr>
              <w:t>4</w:t>
            </w:r>
          </w:p>
        </w:tc>
        <w:tc>
          <w:tcPr>
            <w:tcW w:w="1177" w:type="dxa"/>
            <w:shd w:val="clear" w:color="auto" w:fill="auto"/>
            <w:vAlign w:val="center"/>
          </w:tcPr>
          <w:p>
            <w:pPr>
              <w:jc w:val="center"/>
              <w:rPr>
                <w:color w:val="000000"/>
                <w:sz w:val="16"/>
                <w:szCs w:val="16"/>
              </w:rPr>
            </w:pPr>
            <w:r>
              <w:rPr>
                <w:color w:val="000000"/>
                <w:sz w:val="16"/>
                <w:szCs w:val="16"/>
              </w:rPr>
              <w:t>5</w:t>
            </w:r>
          </w:p>
        </w:tc>
        <w:tc>
          <w:tcPr>
            <w:tcW w:w="1082" w:type="dxa"/>
            <w:shd w:val="clear" w:color="auto" w:fill="auto"/>
            <w:vAlign w:val="center"/>
          </w:tcPr>
          <w:p>
            <w:pPr>
              <w:jc w:val="center"/>
              <w:rPr>
                <w:color w:val="000000"/>
                <w:sz w:val="16"/>
                <w:szCs w:val="16"/>
              </w:rPr>
            </w:pPr>
            <w:r>
              <w:rPr>
                <w:color w:val="000000"/>
                <w:sz w:val="16"/>
                <w:szCs w:val="16"/>
              </w:rPr>
              <w:t>6=5-4</w:t>
            </w:r>
          </w:p>
        </w:tc>
        <w:tc>
          <w:tcPr>
            <w:tcW w:w="867" w:type="dxa"/>
            <w:shd w:val="clear" w:color="auto" w:fill="auto"/>
            <w:vAlign w:val="center"/>
          </w:tcPr>
          <w:p>
            <w:pPr>
              <w:pStyle w:val="a5"/>
              <w:spacing w:after="0"/>
              <w:ind w:left="-57" w:right="-57"/>
              <w:jc w:val="center"/>
              <w:rPr>
                <w:sz w:val="16"/>
                <w:szCs w:val="16"/>
              </w:rPr>
            </w:pPr>
            <w:r>
              <w:rPr>
                <w:sz w:val="16"/>
                <w:szCs w:val="16"/>
              </w:rPr>
              <w:t>7=5/4</w:t>
            </w:r>
          </w:p>
        </w:tc>
      </w:tr>
      <w:tr>
        <w:trPr>
          <w:trHeight w:val="606"/>
        </w:trPr>
        <w:tc>
          <w:tcPr>
            <w:tcW w:w="2943" w:type="dxa"/>
            <w:vAlign w:val="center"/>
          </w:tcPr>
          <w:p>
            <w:pPr>
              <w:ind w:right="-108"/>
            </w:pPr>
            <w:r>
              <w:t>Доходы от продажи земельных участков</w:t>
            </w:r>
          </w:p>
        </w:tc>
        <w:tc>
          <w:tcPr>
            <w:tcW w:w="1134" w:type="dxa"/>
            <w:vAlign w:val="center"/>
          </w:tcPr>
          <w:p>
            <w:pPr>
              <w:spacing w:before="40" w:after="40"/>
              <w:ind w:left="-108" w:right="-57"/>
              <w:jc w:val="center"/>
            </w:pPr>
            <w:r>
              <w:t>412,88</w:t>
            </w:r>
          </w:p>
        </w:tc>
        <w:tc>
          <w:tcPr>
            <w:tcW w:w="1134" w:type="dxa"/>
            <w:shd w:val="clear" w:color="auto" w:fill="auto"/>
            <w:vAlign w:val="center"/>
          </w:tcPr>
          <w:p>
            <w:pPr>
              <w:spacing w:before="40" w:after="40"/>
              <w:ind w:left="-108" w:right="-57"/>
              <w:jc w:val="center"/>
            </w:pPr>
            <w:r>
              <w:t>171,00</w:t>
            </w:r>
          </w:p>
        </w:tc>
        <w:tc>
          <w:tcPr>
            <w:tcW w:w="1233" w:type="dxa"/>
            <w:shd w:val="clear" w:color="auto" w:fill="auto"/>
            <w:vAlign w:val="center"/>
          </w:tcPr>
          <w:p>
            <w:pPr>
              <w:spacing w:before="40" w:after="40"/>
              <w:ind w:left="-108" w:right="-57"/>
              <w:jc w:val="center"/>
            </w:pPr>
            <w:r>
              <w:t>171,00</w:t>
            </w:r>
          </w:p>
        </w:tc>
        <w:tc>
          <w:tcPr>
            <w:tcW w:w="1177" w:type="dxa"/>
            <w:shd w:val="clear" w:color="auto" w:fill="auto"/>
            <w:vAlign w:val="center"/>
          </w:tcPr>
          <w:p>
            <w:pPr>
              <w:spacing w:before="40" w:after="40"/>
              <w:ind w:left="-108" w:right="-57"/>
              <w:jc w:val="center"/>
            </w:pPr>
            <w:r>
              <w:t>188,26</w:t>
            </w:r>
          </w:p>
        </w:tc>
        <w:tc>
          <w:tcPr>
            <w:tcW w:w="1082" w:type="dxa"/>
            <w:shd w:val="clear" w:color="auto" w:fill="auto"/>
            <w:vAlign w:val="center"/>
          </w:tcPr>
          <w:p>
            <w:pPr>
              <w:spacing w:before="40" w:after="40"/>
              <w:ind w:left="-108" w:right="-57"/>
              <w:jc w:val="center"/>
            </w:pPr>
            <w:r>
              <w:t>17,26</w:t>
            </w:r>
          </w:p>
        </w:tc>
        <w:tc>
          <w:tcPr>
            <w:tcW w:w="867" w:type="dxa"/>
            <w:shd w:val="clear" w:color="auto" w:fill="auto"/>
            <w:vAlign w:val="center"/>
          </w:tcPr>
          <w:p>
            <w:pPr>
              <w:spacing w:before="40" w:after="40"/>
              <w:ind w:left="-108" w:right="-108"/>
              <w:jc w:val="center"/>
            </w:pPr>
            <w:r>
              <w:t>110,1</w:t>
            </w:r>
          </w:p>
        </w:tc>
      </w:tr>
    </w:tbl>
    <w:p>
      <w:pPr>
        <w:pStyle w:val="a8"/>
        <w:spacing w:before="120" w:after="0"/>
        <w:ind w:left="0" w:firstLine="709"/>
        <w:jc w:val="both"/>
        <w:rPr>
          <w:sz w:val="24"/>
          <w:szCs w:val="24"/>
        </w:rPr>
      </w:pPr>
      <w:r>
        <w:rPr>
          <w:sz w:val="24"/>
          <w:szCs w:val="24"/>
        </w:rPr>
        <w:t>Норматив зачисления в бюджет ЗАТО Северск 100%.</w:t>
      </w:r>
    </w:p>
    <w:p>
      <w:pPr>
        <w:pStyle w:val="a8"/>
        <w:spacing w:after="0"/>
        <w:ind w:left="0" w:firstLine="720"/>
        <w:jc w:val="both"/>
        <w:rPr>
          <w:sz w:val="24"/>
          <w:szCs w:val="24"/>
        </w:rPr>
      </w:pPr>
      <w:r>
        <w:rPr>
          <w:sz w:val="24"/>
          <w:szCs w:val="24"/>
        </w:rPr>
        <w:t>По сравнению с 2020 годом уменьшение поступлений по статье составило 224,61 тыс.руб. на 54,4%.</w:t>
      </w:r>
    </w:p>
    <w:p>
      <w:pPr>
        <w:pStyle w:val="a5"/>
        <w:jc w:val="center"/>
        <w:rPr>
          <w:b/>
          <w:sz w:val="24"/>
          <w:szCs w:val="24"/>
        </w:rPr>
      </w:pPr>
    </w:p>
    <w:p>
      <w:pPr>
        <w:pStyle w:val="a5"/>
        <w:jc w:val="center"/>
        <w:rPr>
          <w:b/>
          <w:sz w:val="24"/>
          <w:szCs w:val="24"/>
        </w:rPr>
      </w:pPr>
      <w:r>
        <w:rPr>
          <w:b/>
          <w:sz w:val="24"/>
          <w:szCs w:val="24"/>
        </w:rPr>
        <w:t>3.2.5. Штрафы, санкции, возмещение ущерба</w:t>
      </w:r>
    </w:p>
    <w:p>
      <w:pPr>
        <w:ind w:right="22" w:firstLine="720"/>
        <w:jc w:val="both"/>
        <w:rPr>
          <w:sz w:val="24"/>
          <w:szCs w:val="24"/>
        </w:rPr>
      </w:pPr>
      <w:r>
        <w:rPr>
          <w:sz w:val="24"/>
          <w:szCs w:val="24"/>
        </w:rPr>
        <w:t xml:space="preserve">Прогноз по статье «Штрафы, санкции, возмещение ущерба» составлял 9 969,61 тыс.руб., фактическое исполнение – 12 693,54 тыс.руб., перевыполнение на 2 723,93 тыс.руб. или на 27,3%. </w:t>
      </w:r>
    </w:p>
    <w:p>
      <w:pPr>
        <w:spacing w:before="120" w:after="60"/>
        <w:ind w:firstLine="709"/>
        <w:jc w:val="both"/>
        <w:rPr>
          <w:sz w:val="24"/>
          <w:szCs w:val="24"/>
        </w:rPr>
      </w:pPr>
      <w:r>
        <w:rPr>
          <w:sz w:val="24"/>
          <w:szCs w:val="24"/>
        </w:rPr>
        <w:t>Таблица 40. Анализ поступления статье «Штрафы, санкции, возмещение ущерба»     в 2020-2021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60"/>
        <w:gridCol w:w="1276"/>
        <w:gridCol w:w="1275"/>
        <w:gridCol w:w="1276"/>
        <w:gridCol w:w="1241"/>
        <w:gridCol w:w="1046"/>
        <w:gridCol w:w="796"/>
      </w:tblGrid>
      <w:tr>
        <w:trPr>
          <w:trHeight w:val="349"/>
        </w:trPr>
        <w:tc>
          <w:tcPr>
            <w:tcW w:w="2660" w:type="dxa"/>
            <w:vMerge w:val="restart"/>
            <w:vAlign w:val="center"/>
          </w:tcPr>
          <w:p>
            <w:pPr>
              <w:jc w:val="center"/>
            </w:pPr>
            <w:r>
              <w:t xml:space="preserve">Наименование </w:t>
            </w:r>
          </w:p>
        </w:tc>
        <w:tc>
          <w:tcPr>
            <w:tcW w:w="1276" w:type="dxa"/>
            <w:vMerge w:val="restart"/>
            <w:vAlign w:val="center"/>
          </w:tcPr>
          <w:p>
            <w:pPr>
              <w:ind w:right="-57"/>
              <w:jc w:val="center"/>
              <w:rPr>
                <w:bCs/>
              </w:rPr>
            </w:pPr>
            <w:r>
              <w:rPr>
                <w:bCs/>
              </w:rPr>
              <w:t>Факт</w:t>
            </w:r>
          </w:p>
          <w:p>
            <w:pPr>
              <w:ind w:left="-108" w:right="-108"/>
              <w:jc w:val="center"/>
              <w:rPr>
                <w:sz w:val="22"/>
                <w:szCs w:val="22"/>
              </w:rPr>
            </w:pPr>
            <w:r>
              <w:rPr>
                <w:bCs/>
              </w:rPr>
              <w:t>2020год, тыс.руб.</w:t>
            </w:r>
          </w:p>
        </w:tc>
        <w:tc>
          <w:tcPr>
            <w:tcW w:w="5634" w:type="dxa"/>
            <w:gridSpan w:val="5"/>
            <w:vAlign w:val="center"/>
          </w:tcPr>
          <w:p>
            <w:pPr>
              <w:pStyle w:val="a5"/>
              <w:spacing w:after="0"/>
              <w:ind w:left="-57" w:right="-57"/>
              <w:jc w:val="center"/>
            </w:pPr>
            <w:r>
              <w:t>2021 год</w:t>
            </w:r>
          </w:p>
        </w:tc>
      </w:tr>
      <w:tr>
        <w:trPr>
          <w:trHeight w:val="821"/>
        </w:trPr>
        <w:tc>
          <w:tcPr>
            <w:tcW w:w="2660" w:type="dxa"/>
            <w:vMerge/>
            <w:vAlign w:val="center"/>
          </w:tcPr>
          <w:p>
            <w:pPr>
              <w:jc w:val="center"/>
              <w:rPr>
                <w:sz w:val="22"/>
                <w:szCs w:val="22"/>
              </w:rPr>
            </w:pPr>
          </w:p>
        </w:tc>
        <w:tc>
          <w:tcPr>
            <w:tcW w:w="1276" w:type="dxa"/>
            <w:vMerge/>
          </w:tcPr>
          <w:p>
            <w:pPr>
              <w:ind w:left="-108" w:right="-108"/>
              <w:jc w:val="center"/>
              <w:rPr>
                <w:sz w:val="22"/>
                <w:szCs w:val="22"/>
              </w:rPr>
            </w:pPr>
          </w:p>
        </w:tc>
        <w:tc>
          <w:tcPr>
            <w:tcW w:w="1275" w:type="dxa"/>
          </w:tcPr>
          <w:p>
            <w:pPr>
              <w:ind w:left="-158" w:right="-108"/>
              <w:jc w:val="center"/>
            </w:pPr>
            <w:r>
              <w:t>Первона-чальный прогноз, тыс.руб.</w:t>
            </w:r>
          </w:p>
        </w:tc>
        <w:tc>
          <w:tcPr>
            <w:tcW w:w="1276" w:type="dxa"/>
            <w:vAlign w:val="center"/>
          </w:tcPr>
          <w:p>
            <w:pPr>
              <w:ind w:left="-158" w:right="-108"/>
              <w:jc w:val="center"/>
            </w:pPr>
            <w:r>
              <w:t>Уточненный прогноз,</w:t>
            </w:r>
            <w:r>
              <w:br/>
              <w:t>тыс.руб.</w:t>
            </w:r>
          </w:p>
        </w:tc>
        <w:tc>
          <w:tcPr>
            <w:tcW w:w="1241" w:type="dxa"/>
            <w:vAlign w:val="center"/>
          </w:tcPr>
          <w:p>
            <w:pPr>
              <w:ind w:left="-108" w:right="-108"/>
              <w:jc w:val="center"/>
            </w:pPr>
            <w:r>
              <w:t xml:space="preserve">Факт, </w:t>
            </w:r>
            <w:r>
              <w:br/>
              <w:t>тыс.руб.</w:t>
            </w:r>
          </w:p>
        </w:tc>
        <w:tc>
          <w:tcPr>
            <w:tcW w:w="1046"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796"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c>
          <w:tcPr>
            <w:tcW w:w="2660" w:type="dxa"/>
            <w:vAlign w:val="center"/>
          </w:tcPr>
          <w:p>
            <w:pPr>
              <w:pStyle w:val="a5"/>
              <w:tabs>
                <w:tab w:val="left" w:pos="3966"/>
              </w:tabs>
              <w:spacing w:after="0"/>
              <w:ind w:right="-120"/>
              <w:jc w:val="center"/>
              <w:rPr>
                <w:sz w:val="16"/>
                <w:szCs w:val="16"/>
              </w:rPr>
            </w:pPr>
            <w:r>
              <w:rPr>
                <w:sz w:val="16"/>
                <w:szCs w:val="16"/>
              </w:rPr>
              <w:t>1</w:t>
            </w:r>
          </w:p>
        </w:tc>
        <w:tc>
          <w:tcPr>
            <w:tcW w:w="1276" w:type="dxa"/>
            <w:vAlign w:val="center"/>
          </w:tcPr>
          <w:p>
            <w:pPr>
              <w:jc w:val="center"/>
              <w:rPr>
                <w:color w:val="000000"/>
                <w:sz w:val="16"/>
                <w:szCs w:val="16"/>
              </w:rPr>
            </w:pPr>
            <w:r>
              <w:rPr>
                <w:color w:val="000000"/>
                <w:sz w:val="16"/>
                <w:szCs w:val="16"/>
              </w:rPr>
              <w:t>2</w:t>
            </w:r>
          </w:p>
        </w:tc>
        <w:tc>
          <w:tcPr>
            <w:tcW w:w="1275" w:type="dxa"/>
            <w:shd w:val="clear" w:color="auto" w:fill="auto"/>
            <w:vAlign w:val="center"/>
          </w:tcPr>
          <w:p>
            <w:pPr>
              <w:jc w:val="center"/>
              <w:rPr>
                <w:color w:val="000000"/>
                <w:sz w:val="16"/>
                <w:szCs w:val="16"/>
              </w:rPr>
            </w:pPr>
            <w:r>
              <w:rPr>
                <w:color w:val="000000"/>
                <w:sz w:val="16"/>
                <w:szCs w:val="16"/>
              </w:rPr>
              <w:t>3</w:t>
            </w:r>
          </w:p>
        </w:tc>
        <w:tc>
          <w:tcPr>
            <w:tcW w:w="1276" w:type="dxa"/>
            <w:shd w:val="clear" w:color="auto" w:fill="auto"/>
            <w:vAlign w:val="center"/>
          </w:tcPr>
          <w:p>
            <w:pPr>
              <w:jc w:val="center"/>
              <w:rPr>
                <w:color w:val="000000"/>
                <w:sz w:val="16"/>
                <w:szCs w:val="16"/>
              </w:rPr>
            </w:pPr>
            <w:r>
              <w:rPr>
                <w:color w:val="000000"/>
                <w:sz w:val="16"/>
                <w:szCs w:val="16"/>
              </w:rPr>
              <w:t>4</w:t>
            </w:r>
          </w:p>
        </w:tc>
        <w:tc>
          <w:tcPr>
            <w:tcW w:w="1241" w:type="dxa"/>
            <w:shd w:val="clear" w:color="auto" w:fill="auto"/>
            <w:vAlign w:val="center"/>
          </w:tcPr>
          <w:p>
            <w:pPr>
              <w:jc w:val="center"/>
              <w:rPr>
                <w:color w:val="000000"/>
                <w:sz w:val="16"/>
                <w:szCs w:val="16"/>
              </w:rPr>
            </w:pPr>
            <w:r>
              <w:rPr>
                <w:color w:val="000000"/>
                <w:sz w:val="16"/>
                <w:szCs w:val="16"/>
              </w:rPr>
              <w:t>5</w:t>
            </w:r>
          </w:p>
        </w:tc>
        <w:tc>
          <w:tcPr>
            <w:tcW w:w="1046" w:type="dxa"/>
            <w:shd w:val="clear" w:color="auto" w:fill="auto"/>
            <w:vAlign w:val="center"/>
          </w:tcPr>
          <w:p>
            <w:pPr>
              <w:jc w:val="center"/>
              <w:rPr>
                <w:color w:val="000000"/>
                <w:sz w:val="16"/>
                <w:szCs w:val="16"/>
              </w:rPr>
            </w:pPr>
            <w:r>
              <w:rPr>
                <w:color w:val="000000"/>
                <w:sz w:val="16"/>
                <w:szCs w:val="16"/>
              </w:rPr>
              <w:t>6=5-4</w:t>
            </w:r>
          </w:p>
        </w:tc>
        <w:tc>
          <w:tcPr>
            <w:tcW w:w="796" w:type="dxa"/>
            <w:shd w:val="clear" w:color="auto" w:fill="auto"/>
            <w:vAlign w:val="center"/>
          </w:tcPr>
          <w:p>
            <w:pPr>
              <w:pStyle w:val="a5"/>
              <w:spacing w:after="0"/>
              <w:ind w:left="-57" w:right="-57"/>
              <w:jc w:val="center"/>
              <w:rPr>
                <w:sz w:val="16"/>
                <w:szCs w:val="16"/>
              </w:rPr>
            </w:pPr>
            <w:r>
              <w:rPr>
                <w:sz w:val="16"/>
                <w:szCs w:val="16"/>
              </w:rPr>
              <w:t>7=5/4</w:t>
            </w:r>
          </w:p>
        </w:tc>
      </w:tr>
      <w:tr>
        <w:trPr>
          <w:trHeight w:val="538"/>
        </w:trPr>
        <w:tc>
          <w:tcPr>
            <w:tcW w:w="2660" w:type="dxa"/>
            <w:vAlign w:val="center"/>
          </w:tcPr>
          <w:p>
            <w:pPr>
              <w:ind w:right="-108"/>
            </w:pPr>
            <w:r>
              <w:t>Штрафы, санкции, возмещение ущерба</w:t>
            </w:r>
          </w:p>
        </w:tc>
        <w:tc>
          <w:tcPr>
            <w:tcW w:w="1276" w:type="dxa"/>
            <w:vAlign w:val="center"/>
          </w:tcPr>
          <w:p>
            <w:pPr>
              <w:spacing w:before="40" w:after="40"/>
              <w:ind w:left="-108" w:right="-57"/>
              <w:jc w:val="right"/>
            </w:pPr>
            <w:r>
              <w:t>5 688,79</w:t>
            </w:r>
          </w:p>
        </w:tc>
        <w:tc>
          <w:tcPr>
            <w:tcW w:w="1275" w:type="dxa"/>
            <w:shd w:val="clear" w:color="auto" w:fill="auto"/>
            <w:vAlign w:val="center"/>
          </w:tcPr>
          <w:p>
            <w:pPr>
              <w:spacing w:before="40" w:after="40"/>
              <w:ind w:left="-108" w:right="-57"/>
              <w:jc w:val="right"/>
            </w:pPr>
            <w:r>
              <w:t>3 461,21</w:t>
            </w:r>
          </w:p>
        </w:tc>
        <w:tc>
          <w:tcPr>
            <w:tcW w:w="1276" w:type="dxa"/>
            <w:shd w:val="clear" w:color="auto" w:fill="auto"/>
            <w:vAlign w:val="center"/>
          </w:tcPr>
          <w:p>
            <w:pPr>
              <w:spacing w:before="40" w:after="40"/>
              <w:ind w:left="-108" w:right="-57"/>
              <w:jc w:val="right"/>
            </w:pPr>
            <w:r>
              <w:t>9 969,61</w:t>
            </w:r>
          </w:p>
        </w:tc>
        <w:tc>
          <w:tcPr>
            <w:tcW w:w="1241" w:type="dxa"/>
            <w:shd w:val="clear" w:color="auto" w:fill="auto"/>
            <w:vAlign w:val="center"/>
          </w:tcPr>
          <w:p>
            <w:pPr>
              <w:spacing w:before="40" w:after="40"/>
              <w:ind w:left="-108" w:right="-57"/>
              <w:jc w:val="right"/>
            </w:pPr>
            <w:r>
              <w:t>12 693,54</w:t>
            </w:r>
          </w:p>
        </w:tc>
        <w:tc>
          <w:tcPr>
            <w:tcW w:w="1046" w:type="dxa"/>
            <w:shd w:val="clear" w:color="auto" w:fill="auto"/>
            <w:vAlign w:val="center"/>
          </w:tcPr>
          <w:p>
            <w:pPr>
              <w:spacing w:before="40" w:after="40"/>
              <w:ind w:left="-108" w:right="-57"/>
              <w:jc w:val="right"/>
            </w:pPr>
            <w:r>
              <w:t>2 723,93</w:t>
            </w:r>
          </w:p>
        </w:tc>
        <w:tc>
          <w:tcPr>
            <w:tcW w:w="796" w:type="dxa"/>
            <w:shd w:val="clear" w:color="auto" w:fill="auto"/>
            <w:vAlign w:val="center"/>
          </w:tcPr>
          <w:p>
            <w:pPr>
              <w:spacing w:before="40" w:after="40"/>
              <w:ind w:left="-108" w:right="-108"/>
              <w:jc w:val="center"/>
            </w:pPr>
            <w:r>
              <w:t>127,3</w:t>
            </w:r>
          </w:p>
        </w:tc>
      </w:tr>
      <w:tr>
        <w:trPr>
          <w:trHeight w:val="271"/>
        </w:trPr>
        <w:tc>
          <w:tcPr>
            <w:tcW w:w="2660" w:type="dxa"/>
            <w:vAlign w:val="center"/>
          </w:tcPr>
          <w:p>
            <w:pPr>
              <w:ind w:right="-108"/>
              <w:rPr>
                <w:i/>
              </w:rPr>
            </w:pPr>
            <w:r>
              <w:rPr>
                <w:i/>
              </w:rPr>
              <w:t>из них:</w:t>
            </w:r>
          </w:p>
        </w:tc>
        <w:tc>
          <w:tcPr>
            <w:tcW w:w="1276" w:type="dxa"/>
            <w:vAlign w:val="center"/>
          </w:tcPr>
          <w:p>
            <w:pPr>
              <w:spacing w:before="40" w:after="40"/>
              <w:ind w:left="-108" w:right="-57"/>
              <w:jc w:val="right"/>
            </w:pPr>
          </w:p>
        </w:tc>
        <w:tc>
          <w:tcPr>
            <w:tcW w:w="1275" w:type="dxa"/>
            <w:shd w:val="clear" w:color="auto" w:fill="auto"/>
            <w:vAlign w:val="center"/>
          </w:tcPr>
          <w:p>
            <w:pPr>
              <w:spacing w:before="40" w:after="40"/>
              <w:ind w:left="-108" w:right="-57"/>
              <w:jc w:val="right"/>
            </w:pPr>
          </w:p>
        </w:tc>
        <w:tc>
          <w:tcPr>
            <w:tcW w:w="1276" w:type="dxa"/>
            <w:shd w:val="clear" w:color="auto" w:fill="auto"/>
            <w:vAlign w:val="center"/>
          </w:tcPr>
          <w:p>
            <w:pPr>
              <w:spacing w:before="40" w:after="40"/>
              <w:ind w:left="-108" w:right="-57"/>
              <w:jc w:val="right"/>
            </w:pPr>
          </w:p>
        </w:tc>
        <w:tc>
          <w:tcPr>
            <w:tcW w:w="1241" w:type="dxa"/>
            <w:shd w:val="clear" w:color="auto" w:fill="auto"/>
            <w:vAlign w:val="center"/>
          </w:tcPr>
          <w:p>
            <w:pPr>
              <w:spacing w:before="40" w:after="40"/>
              <w:ind w:left="-108" w:right="-57"/>
              <w:jc w:val="right"/>
            </w:pPr>
          </w:p>
        </w:tc>
        <w:tc>
          <w:tcPr>
            <w:tcW w:w="1046" w:type="dxa"/>
            <w:shd w:val="clear" w:color="auto" w:fill="auto"/>
            <w:vAlign w:val="center"/>
          </w:tcPr>
          <w:p>
            <w:pPr>
              <w:spacing w:before="40" w:after="40"/>
              <w:ind w:left="-108" w:right="-57"/>
              <w:jc w:val="right"/>
            </w:pPr>
          </w:p>
        </w:tc>
        <w:tc>
          <w:tcPr>
            <w:tcW w:w="796" w:type="dxa"/>
            <w:shd w:val="clear" w:color="auto" w:fill="auto"/>
            <w:vAlign w:val="center"/>
          </w:tcPr>
          <w:p>
            <w:pPr>
              <w:spacing w:before="40" w:after="40"/>
              <w:ind w:left="-108" w:right="-108"/>
              <w:jc w:val="center"/>
            </w:pPr>
          </w:p>
        </w:tc>
      </w:tr>
      <w:tr>
        <w:trPr>
          <w:trHeight w:val="538"/>
        </w:trPr>
        <w:tc>
          <w:tcPr>
            <w:tcW w:w="2660" w:type="dxa"/>
            <w:vAlign w:val="center"/>
          </w:tcPr>
          <w:p>
            <w:pPr>
              <w:ind w:right="-108"/>
            </w:pPr>
            <w:r>
              <w:t>Комитет по обеспечению деятельности мировых судей Томской области</w:t>
            </w:r>
          </w:p>
        </w:tc>
        <w:tc>
          <w:tcPr>
            <w:tcW w:w="1276" w:type="dxa"/>
            <w:vAlign w:val="center"/>
          </w:tcPr>
          <w:p>
            <w:pPr>
              <w:spacing w:before="40" w:after="40"/>
              <w:ind w:left="-108" w:right="-57"/>
              <w:jc w:val="right"/>
            </w:pPr>
            <w:r>
              <w:t>1 020,02</w:t>
            </w:r>
          </w:p>
        </w:tc>
        <w:tc>
          <w:tcPr>
            <w:tcW w:w="1275" w:type="dxa"/>
            <w:shd w:val="clear" w:color="auto" w:fill="auto"/>
            <w:vAlign w:val="center"/>
          </w:tcPr>
          <w:p>
            <w:pPr>
              <w:spacing w:before="40" w:after="40"/>
              <w:ind w:left="-108" w:right="-57"/>
              <w:jc w:val="right"/>
            </w:pPr>
            <w:r>
              <w:t>725,60</w:t>
            </w:r>
          </w:p>
        </w:tc>
        <w:tc>
          <w:tcPr>
            <w:tcW w:w="1276" w:type="dxa"/>
            <w:shd w:val="clear" w:color="auto" w:fill="auto"/>
            <w:vAlign w:val="center"/>
          </w:tcPr>
          <w:p>
            <w:pPr>
              <w:spacing w:before="40" w:after="40"/>
              <w:ind w:left="-108" w:right="-57"/>
              <w:jc w:val="right"/>
            </w:pPr>
            <w:r>
              <w:t>4 926,92</w:t>
            </w:r>
          </w:p>
        </w:tc>
        <w:tc>
          <w:tcPr>
            <w:tcW w:w="1241" w:type="dxa"/>
            <w:shd w:val="clear" w:color="auto" w:fill="auto"/>
            <w:vAlign w:val="center"/>
          </w:tcPr>
          <w:p>
            <w:pPr>
              <w:spacing w:before="40" w:after="40"/>
              <w:ind w:left="-108" w:right="-57"/>
              <w:jc w:val="right"/>
            </w:pPr>
            <w:r>
              <w:t>4 908,08</w:t>
            </w:r>
          </w:p>
        </w:tc>
        <w:tc>
          <w:tcPr>
            <w:tcW w:w="1046" w:type="dxa"/>
            <w:shd w:val="clear" w:color="auto" w:fill="auto"/>
            <w:vAlign w:val="center"/>
          </w:tcPr>
          <w:p>
            <w:pPr>
              <w:spacing w:before="40" w:after="40"/>
              <w:ind w:left="-108" w:right="-57"/>
              <w:jc w:val="right"/>
            </w:pPr>
            <w:r>
              <w:t>-18,84</w:t>
            </w:r>
          </w:p>
        </w:tc>
        <w:tc>
          <w:tcPr>
            <w:tcW w:w="796" w:type="dxa"/>
            <w:shd w:val="clear" w:color="auto" w:fill="auto"/>
            <w:vAlign w:val="center"/>
          </w:tcPr>
          <w:p>
            <w:pPr>
              <w:spacing w:before="40" w:after="40"/>
              <w:ind w:left="-108" w:right="-108"/>
              <w:jc w:val="center"/>
            </w:pPr>
            <w:r>
              <w:t>99,6</w:t>
            </w:r>
          </w:p>
        </w:tc>
      </w:tr>
      <w:tr>
        <w:trPr>
          <w:trHeight w:val="538"/>
        </w:trPr>
        <w:tc>
          <w:tcPr>
            <w:tcW w:w="2660" w:type="dxa"/>
            <w:vAlign w:val="center"/>
          </w:tcPr>
          <w:p>
            <w:pPr>
              <w:ind w:right="-108"/>
            </w:pPr>
            <w:r>
              <w:t>УИО Администрации ЗАТО Северск</w:t>
            </w:r>
          </w:p>
        </w:tc>
        <w:tc>
          <w:tcPr>
            <w:tcW w:w="1276" w:type="dxa"/>
            <w:vAlign w:val="center"/>
          </w:tcPr>
          <w:p>
            <w:pPr>
              <w:spacing w:before="40" w:after="40"/>
              <w:ind w:left="-108" w:right="-57"/>
              <w:jc w:val="right"/>
            </w:pPr>
            <w:r>
              <w:t>988,26</w:t>
            </w:r>
          </w:p>
        </w:tc>
        <w:tc>
          <w:tcPr>
            <w:tcW w:w="1275" w:type="dxa"/>
            <w:shd w:val="clear" w:color="auto" w:fill="auto"/>
            <w:vAlign w:val="center"/>
          </w:tcPr>
          <w:p>
            <w:pPr>
              <w:spacing w:before="40" w:after="40"/>
              <w:ind w:left="-108" w:right="-57"/>
              <w:jc w:val="right"/>
            </w:pPr>
            <w:r>
              <w:t>1 069,36</w:t>
            </w:r>
          </w:p>
        </w:tc>
        <w:tc>
          <w:tcPr>
            <w:tcW w:w="1276" w:type="dxa"/>
            <w:shd w:val="clear" w:color="auto" w:fill="auto"/>
            <w:vAlign w:val="center"/>
          </w:tcPr>
          <w:p>
            <w:pPr>
              <w:spacing w:before="40" w:after="40"/>
              <w:ind w:left="-108" w:right="-57"/>
              <w:jc w:val="right"/>
            </w:pPr>
            <w:r>
              <w:t>1 076,56</w:t>
            </w:r>
          </w:p>
        </w:tc>
        <w:tc>
          <w:tcPr>
            <w:tcW w:w="1241" w:type="dxa"/>
            <w:shd w:val="clear" w:color="auto" w:fill="auto"/>
            <w:vAlign w:val="center"/>
          </w:tcPr>
          <w:p>
            <w:pPr>
              <w:spacing w:before="40" w:after="40"/>
              <w:ind w:left="-108" w:right="-57"/>
              <w:jc w:val="right"/>
            </w:pPr>
            <w:r>
              <w:t>3 252,66</w:t>
            </w:r>
          </w:p>
        </w:tc>
        <w:tc>
          <w:tcPr>
            <w:tcW w:w="1046" w:type="dxa"/>
            <w:shd w:val="clear" w:color="auto" w:fill="auto"/>
            <w:vAlign w:val="center"/>
          </w:tcPr>
          <w:p>
            <w:pPr>
              <w:spacing w:before="40" w:after="40"/>
              <w:ind w:left="-108" w:right="-57"/>
              <w:jc w:val="right"/>
            </w:pPr>
            <w:r>
              <w:t>2 176,1</w:t>
            </w:r>
          </w:p>
        </w:tc>
        <w:tc>
          <w:tcPr>
            <w:tcW w:w="796" w:type="dxa"/>
            <w:shd w:val="clear" w:color="auto" w:fill="auto"/>
            <w:vAlign w:val="center"/>
          </w:tcPr>
          <w:p>
            <w:pPr>
              <w:spacing w:before="40" w:after="40"/>
              <w:ind w:left="-108" w:right="-108"/>
              <w:jc w:val="center"/>
            </w:pPr>
            <w:r>
              <w:t>302,1</w:t>
            </w:r>
          </w:p>
        </w:tc>
      </w:tr>
      <w:tr>
        <w:trPr>
          <w:trHeight w:val="538"/>
        </w:trPr>
        <w:tc>
          <w:tcPr>
            <w:tcW w:w="2660" w:type="dxa"/>
            <w:vAlign w:val="center"/>
          </w:tcPr>
          <w:p>
            <w:pPr>
              <w:ind w:right="-108"/>
            </w:pPr>
            <w:r>
              <w:t>УЖКХ ТиС</w:t>
            </w:r>
          </w:p>
        </w:tc>
        <w:tc>
          <w:tcPr>
            <w:tcW w:w="1276" w:type="dxa"/>
            <w:vAlign w:val="center"/>
          </w:tcPr>
          <w:p>
            <w:pPr>
              <w:spacing w:before="40" w:after="40"/>
              <w:ind w:left="-108" w:right="-57"/>
              <w:jc w:val="right"/>
            </w:pPr>
            <w:r>
              <w:t>1 306,59</w:t>
            </w:r>
          </w:p>
        </w:tc>
        <w:tc>
          <w:tcPr>
            <w:tcW w:w="1275" w:type="dxa"/>
            <w:shd w:val="clear" w:color="auto" w:fill="auto"/>
            <w:vAlign w:val="center"/>
          </w:tcPr>
          <w:p>
            <w:pPr>
              <w:spacing w:before="40" w:after="40"/>
              <w:ind w:left="-108" w:right="-57"/>
              <w:jc w:val="right"/>
            </w:pPr>
            <w:r>
              <w:t>1 054,75</w:t>
            </w:r>
          </w:p>
        </w:tc>
        <w:tc>
          <w:tcPr>
            <w:tcW w:w="1276" w:type="dxa"/>
            <w:shd w:val="clear" w:color="auto" w:fill="auto"/>
            <w:vAlign w:val="center"/>
          </w:tcPr>
          <w:p>
            <w:pPr>
              <w:spacing w:before="40" w:after="40"/>
              <w:ind w:left="-108" w:right="-57"/>
              <w:jc w:val="right"/>
            </w:pPr>
            <w:r>
              <w:t>2 874,58</w:t>
            </w:r>
          </w:p>
        </w:tc>
        <w:tc>
          <w:tcPr>
            <w:tcW w:w="1241" w:type="dxa"/>
            <w:shd w:val="clear" w:color="auto" w:fill="auto"/>
            <w:vAlign w:val="center"/>
          </w:tcPr>
          <w:p>
            <w:pPr>
              <w:spacing w:before="40" w:after="40"/>
              <w:ind w:left="-108" w:right="-57"/>
              <w:jc w:val="right"/>
            </w:pPr>
            <w:r>
              <w:t>3 168,65</w:t>
            </w:r>
          </w:p>
        </w:tc>
        <w:tc>
          <w:tcPr>
            <w:tcW w:w="1046" w:type="dxa"/>
            <w:shd w:val="clear" w:color="auto" w:fill="auto"/>
            <w:vAlign w:val="center"/>
          </w:tcPr>
          <w:p>
            <w:pPr>
              <w:spacing w:before="40" w:after="40"/>
              <w:ind w:left="-108" w:right="-57"/>
              <w:jc w:val="right"/>
            </w:pPr>
            <w:r>
              <w:t>294,07</w:t>
            </w:r>
          </w:p>
        </w:tc>
        <w:tc>
          <w:tcPr>
            <w:tcW w:w="796" w:type="dxa"/>
            <w:shd w:val="clear" w:color="auto" w:fill="auto"/>
            <w:vAlign w:val="center"/>
          </w:tcPr>
          <w:p>
            <w:pPr>
              <w:spacing w:before="40" w:after="40"/>
              <w:ind w:left="-108" w:right="-108"/>
              <w:jc w:val="center"/>
            </w:pPr>
            <w:r>
              <w:t>110,2</w:t>
            </w:r>
          </w:p>
        </w:tc>
      </w:tr>
      <w:tr>
        <w:trPr>
          <w:trHeight w:val="538"/>
        </w:trPr>
        <w:tc>
          <w:tcPr>
            <w:tcW w:w="2660" w:type="dxa"/>
            <w:vAlign w:val="center"/>
          </w:tcPr>
          <w:p>
            <w:pPr>
              <w:ind w:right="-108"/>
            </w:pPr>
            <w:r>
              <w:t>УМВД по Томской области</w:t>
            </w:r>
          </w:p>
        </w:tc>
        <w:tc>
          <w:tcPr>
            <w:tcW w:w="1276" w:type="dxa"/>
            <w:vAlign w:val="center"/>
          </w:tcPr>
          <w:p>
            <w:pPr>
              <w:spacing w:before="40" w:after="40"/>
              <w:ind w:left="-108" w:right="-57"/>
              <w:jc w:val="right"/>
            </w:pPr>
            <w:r>
              <w:t>1 687,49</w:t>
            </w:r>
          </w:p>
        </w:tc>
        <w:tc>
          <w:tcPr>
            <w:tcW w:w="1275" w:type="dxa"/>
            <w:shd w:val="clear" w:color="auto" w:fill="auto"/>
            <w:vAlign w:val="center"/>
          </w:tcPr>
          <w:p>
            <w:pPr>
              <w:spacing w:before="40" w:after="40"/>
              <w:ind w:left="-108" w:right="-57"/>
              <w:jc w:val="right"/>
            </w:pPr>
            <w:r>
              <w:t>-</w:t>
            </w:r>
          </w:p>
        </w:tc>
        <w:tc>
          <w:tcPr>
            <w:tcW w:w="1276" w:type="dxa"/>
            <w:shd w:val="clear" w:color="auto" w:fill="auto"/>
            <w:vAlign w:val="center"/>
          </w:tcPr>
          <w:p>
            <w:pPr>
              <w:spacing w:before="40" w:after="40"/>
              <w:ind w:left="-108" w:right="-57"/>
              <w:jc w:val="right"/>
            </w:pPr>
            <w:r>
              <w:t>610,00</w:t>
            </w:r>
          </w:p>
        </w:tc>
        <w:tc>
          <w:tcPr>
            <w:tcW w:w="1241" w:type="dxa"/>
            <w:shd w:val="clear" w:color="auto" w:fill="auto"/>
            <w:vAlign w:val="center"/>
          </w:tcPr>
          <w:p>
            <w:pPr>
              <w:spacing w:before="40" w:after="40"/>
              <w:ind w:left="-108" w:right="-57"/>
              <w:jc w:val="right"/>
            </w:pPr>
            <w:r>
              <w:t>613,99</w:t>
            </w:r>
          </w:p>
        </w:tc>
        <w:tc>
          <w:tcPr>
            <w:tcW w:w="1046" w:type="dxa"/>
            <w:shd w:val="clear" w:color="auto" w:fill="auto"/>
            <w:vAlign w:val="center"/>
          </w:tcPr>
          <w:p>
            <w:pPr>
              <w:spacing w:before="40" w:after="40"/>
              <w:ind w:left="-108" w:right="-57"/>
              <w:jc w:val="right"/>
            </w:pPr>
            <w:r>
              <w:t>3,99</w:t>
            </w:r>
          </w:p>
        </w:tc>
        <w:tc>
          <w:tcPr>
            <w:tcW w:w="796" w:type="dxa"/>
            <w:shd w:val="clear" w:color="auto" w:fill="auto"/>
            <w:vAlign w:val="center"/>
          </w:tcPr>
          <w:p>
            <w:pPr>
              <w:spacing w:before="40" w:after="40"/>
              <w:ind w:left="-108" w:right="-108"/>
              <w:jc w:val="center"/>
            </w:pPr>
            <w:r>
              <w:t>100,7</w:t>
            </w:r>
          </w:p>
        </w:tc>
      </w:tr>
    </w:tbl>
    <w:p>
      <w:pPr>
        <w:pStyle w:val="a5"/>
        <w:spacing w:before="120" w:after="0"/>
        <w:ind w:firstLine="720"/>
        <w:jc w:val="both"/>
        <w:rPr>
          <w:sz w:val="24"/>
          <w:szCs w:val="24"/>
        </w:rPr>
      </w:pPr>
      <w:r>
        <w:rPr>
          <w:sz w:val="24"/>
          <w:szCs w:val="24"/>
        </w:rPr>
        <w:t>Удельный вес статьи в общей структуре фактически поступивших доходов составляет 0,3%, налоговых и неналоговых доходах – 1,0%.</w:t>
      </w:r>
    </w:p>
    <w:p>
      <w:pPr>
        <w:pStyle w:val="a8"/>
        <w:spacing w:after="0"/>
        <w:ind w:left="0" w:firstLine="720"/>
        <w:jc w:val="both"/>
        <w:rPr>
          <w:sz w:val="24"/>
          <w:szCs w:val="24"/>
        </w:rPr>
      </w:pPr>
      <w:r>
        <w:rPr>
          <w:sz w:val="24"/>
          <w:szCs w:val="24"/>
        </w:rPr>
        <w:t>Доходы по статье «Штрафы, санкции, возмещение ущерба» зачисляются в бюджет ЗАТО Северск по нормативам, установленным статьей 46 Бюджетного кодекса Российской Федерации.</w:t>
      </w:r>
    </w:p>
    <w:p>
      <w:pPr>
        <w:ind w:firstLine="720"/>
        <w:jc w:val="both"/>
        <w:rPr>
          <w:sz w:val="24"/>
          <w:szCs w:val="24"/>
        </w:rPr>
      </w:pPr>
      <w:r>
        <w:rPr>
          <w:sz w:val="24"/>
          <w:szCs w:val="24"/>
        </w:rPr>
        <w:t>Администрирование данной статьи осуществляло 11 администраторов доходов. Наибольший объем поступлений от</w:t>
      </w:r>
      <w:r>
        <w:rPr>
          <w:bCs/>
          <w:sz w:val="24"/>
          <w:szCs w:val="24"/>
        </w:rPr>
        <w:t> общей суммы поступлений по статье</w:t>
      </w:r>
      <w:r>
        <w:rPr>
          <w:sz w:val="24"/>
          <w:szCs w:val="24"/>
        </w:rPr>
        <w:t xml:space="preserve"> приходится на Комитет по обеспечению деятельности мировых судей Томской области (38,7%), Управление имущественных отношений Администрации ЗАТО Северск (25,6%), Управление жилищно-коммунального хозяйства, транспорта и связи Администрации ЗАТО Северск (25,0%).</w:t>
      </w:r>
    </w:p>
    <w:p>
      <w:pPr>
        <w:ind w:firstLine="720"/>
        <w:jc w:val="both"/>
        <w:rPr>
          <w:sz w:val="24"/>
          <w:szCs w:val="24"/>
        </w:rPr>
      </w:pPr>
      <w:r>
        <w:rPr>
          <w:sz w:val="24"/>
          <w:szCs w:val="24"/>
        </w:rPr>
        <w:lastRenderedPageBreak/>
        <w:t>Увеличение прогноза к первоначально утвержденному составило 6 508,40 тыс.руб., произведено в основном по штрафам, администрируемым Комитетом по обеспечению деятельности мировых судей Томской области, УЖКХ ТиС, УМВД по Томской области.</w:t>
      </w:r>
    </w:p>
    <w:p>
      <w:pPr>
        <w:ind w:firstLine="720"/>
        <w:jc w:val="both"/>
        <w:rPr>
          <w:sz w:val="24"/>
          <w:szCs w:val="24"/>
        </w:rPr>
      </w:pPr>
      <w:r>
        <w:rPr>
          <w:sz w:val="24"/>
          <w:szCs w:val="24"/>
        </w:rPr>
        <w:t>Перевыполнение фактического исполнения к утвержденному годовому прогнозу на 2 723,93 тыс.руб. или на 27,3% за счет поступления неустойки за отказ ООО «СЗ Комфорт» от заключения договора аренды земельного участка по результатам аукциона (главный администратор – УИО Администрации ЗАТО Северск»).</w:t>
      </w:r>
    </w:p>
    <w:p>
      <w:pPr>
        <w:ind w:firstLine="720"/>
        <w:jc w:val="both"/>
        <w:rPr>
          <w:sz w:val="24"/>
          <w:szCs w:val="24"/>
        </w:rPr>
      </w:pPr>
      <w:r>
        <w:rPr>
          <w:sz w:val="24"/>
          <w:szCs w:val="24"/>
        </w:rPr>
        <w:t>По сравнению с 2020 годом увеличение поступлений по статье составило 7 004,75 тыс.руб. или в 2,2 раза в основном за счет штрафов, администрируемых Комитетом по обеспечению деятельности мировых судей Томской области (3 888,07 тыс.руб.), УИО Администрации ЗАТО Северск (2 264,40 тыс.руб.), УЖКХ ТиС (1 862,06 тыс.руб.).</w:t>
      </w:r>
    </w:p>
    <w:p>
      <w:pPr>
        <w:ind w:firstLine="720"/>
        <w:jc w:val="both"/>
        <w:rPr>
          <w:sz w:val="24"/>
          <w:szCs w:val="24"/>
        </w:rPr>
      </w:pPr>
    </w:p>
    <w:p>
      <w:pPr>
        <w:pStyle w:val="a5"/>
        <w:jc w:val="center"/>
        <w:rPr>
          <w:b/>
          <w:sz w:val="24"/>
          <w:szCs w:val="24"/>
        </w:rPr>
      </w:pPr>
      <w:r>
        <w:rPr>
          <w:b/>
          <w:sz w:val="24"/>
          <w:szCs w:val="24"/>
        </w:rPr>
        <w:t>3.2.6. Прочие неналоговые доходы</w:t>
      </w:r>
    </w:p>
    <w:p>
      <w:pPr>
        <w:ind w:firstLine="709"/>
        <w:jc w:val="both"/>
        <w:rPr>
          <w:sz w:val="24"/>
          <w:szCs w:val="24"/>
        </w:rPr>
      </w:pPr>
      <w:r>
        <w:rPr>
          <w:sz w:val="24"/>
          <w:szCs w:val="24"/>
        </w:rPr>
        <w:t>Прогноз по статье «Прочие неналоговые доходы» составлял 3 372,39 тыс.руб., фактическое исполнение – 8 905,52 тыс.руб., перевыполнение на 5 533,13 тыс.руб. или в 2,6 раза.</w:t>
      </w:r>
    </w:p>
    <w:p>
      <w:pPr>
        <w:tabs>
          <w:tab w:val="left" w:pos="0"/>
        </w:tabs>
        <w:spacing w:before="60"/>
        <w:jc w:val="both"/>
        <w:rPr>
          <w:sz w:val="24"/>
          <w:szCs w:val="24"/>
        </w:rPr>
      </w:pPr>
      <w:r>
        <w:rPr>
          <w:sz w:val="24"/>
          <w:szCs w:val="24"/>
        </w:rPr>
        <w:tab/>
        <w:t>Таблица 41. Анализ поступления статье «Прочие неналоговые доходы»                           в 2020 -2021 гг.</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2"/>
        <w:gridCol w:w="1248"/>
        <w:gridCol w:w="1342"/>
        <w:gridCol w:w="1306"/>
        <w:gridCol w:w="1301"/>
        <w:gridCol w:w="1211"/>
        <w:gridCol w:w="900"/>
      </w:tblGrid>
      <w:tr>
        <w:trPr>
          <w:trHeight w:val="345"/>
        </w:trPr>
        <w:tc>
          <w:tcPr>
            <w:tcW w:w="2262" w:type="dxa"/>
            <w:vMerge w:val="restart"/>
            <w:vAlign w:val="center"/>
          </w:tcPr>
          <w:p>
            <w:pPr>
              <w:jc w:val="center"/>
            </w:pPr>
            <w:r>
              <w:t xml:space="preserve">Наименование </w:t>
            </w:r>
          </w:p>
        </w:tc>
        <w:tc>
          <w:tcPr>
            <w:tcW w:w="1248" w:type="dxa"/>
            <w:vMerge w:val="restart"/>
            <w:vAlign w:val="center"/>
          </w:tcPr>
          <w:p>
            <w:pPr>
              <w:ind w:right="-57"/>
              <w:jc w:val="center"/>
              <w:rPr>
                <w:bCs/>
              </w:rPr>
            </w:pPr>
            <w:r>
              <w:rPr>
                <w:bCs/>
              </w:rPr>
              <w:t>Факт</w:t>
            </w:r>
          </w:p>
          <w:p>
            <w:pPr>
              <w:ind w:left="-108" w:right="-108"/>
              <w:jc w:val="center"/>
              <w:rPr>
                <w:sz w:val="22"/>
                <w:szCs w:val="22"/>
              </w:rPr>
            </w:pPr>
            <w:r>
              <w:rPr>
                <w:bCs/>
              </w:rPr>
              <w:t>2020 год, тыс.руб.</w:t>
            </w:r>
          </w:p>
        </w:tc>
        <w:tc>
          <w:tcPr>
            <w:tcW w:w="6060" w:type="dxa"/>
            <w:gridSpan w:val="5"/>
            <w:vAlign w:val="center"/>
          </w:tcPr>
          <w:p>
            <w:pPr>
              <w:pStyle w:val="a5"/>
              <w:spacing w:after="0"/>
              <w:ind w:left="-57" w:right="-57"/>
              <w:jc w:val="center"/>
            </w:pPr>
            <w:r>
              <w:t>2021 год</w:t>
            </w:r>
          </w:p>
        </w:tc>
      </w:tr>
      <w:tr>
        <w:trPr>
          <w:trHeight w:val="821"/>
        </w:trPr>
        <w:tc>
          <w:tcPr>
            <w:tcW w:w="2262" w:type="dxa"/>
            <w:vMerge/>
            <w:vAlign w:val="center"/>
          </w:tcPr>
          <w:p>
            <w:pPr>
              <w:jc w:val="center"/>
              <w:rPr>
                <w:sz w:val="22"/>
                <w:szCs w:val="22"/>
              </w:rPr>
            </w:pPr>
          </w:p>
        </w:tc>
        <w:tc>
          <w:tcPr>
            <w:tcW w:w="1248" w:type="dxa"/>
            <w:vMerge/>
          </w:tcPr>
          <w:p>
            <w:pPr>
              <w:ind w:left="-108" w:right="-108"/>
              <w:jc w:val="center"/>
              <w:rPr>
                <w:sz w:val="22"/>
                <w:szCs w:val="22"/>
              </w:rPr>
            </w:pPr>
          </w:p>
        </w:tc>
        <w:tc>
          <w:tcPr>
            <w:tcW w:w="1342" w:type="dxa"/>
          </w:tcPr>
          <w:p>
            <w:pPr>
              <w:ind w:left="-158" w:right="-108"/>
              <w:jc w:val="center"/>
            </w:pPr>
            <w:r>
              <w:t>Первона-чальный прогноз, тыс.руб.</w:t>
            </w:r>
          </w:p>
        </w:tc>
        <w:tc>
          <w:tcPr>
            <w:tcW w:w="1306" w:type="dxa"/>
            <w:vAlign w:val="center"/>
          </w:tcPr>
          <w:p>
            <w:pPr>
              <w:ind w:left="-158" w:right="-108"/>
              <w:jc w:val="center"/>
            </w:pPr>
            <w:r>
              <w:t>Уточненный прогноз,</w:t>
            </w:r>
            <w:r>
              <w:br/>
              <w:t>тыс.руб.</w:t>
            </w:r>
          </w:p>
        </w:tc>
        <w:tc>
          <w:tcPr>
            <w:tcW w:w="1301" w:type="dxa"/>
            <w:vAlign w:val="center"/>
          </w:tcPr>
          <w:p>
            <w:pPr>
              <w:ind w:left="-108" w:right="-108"/>
              <w:jc w:val="center"/>
            </w:pPr>
            <w:r>
              <w:t xml:space="preserve">Факт, </w:t>
            </w:r>
            <w:r>
              <w:br/>
              <w:t>тыс.руб.</w:t>
            </w:r>
          </w:p>
        </w:tc>
        <w:tc>
          <w:tcPr>
            <w:tcW w:w="1211" w:type="dxa"/>
            <w:vAlign w:val="center"/>
          </w:tcPr>
          <w:p>
            <w:pPr>
              <w:pStyle w:val="a5"/>
              <w:tabs>
                <w:tab w:val="left" w:pos="-108"/>
                <w:tab w:val="left" w:pos="-77"/>
              </w:tabs>
              <w:spacing w:after="0"/>
              <w:ind w:left="-108" w:right="-108"/>
              <w:jc w:val="center"/>
            </w:pPr>
            <w:r>
              <w:t>Отклонение</w:t>
            </w:r>
          </w:p>
          <w:p>
            <w:pPr>
              <w:pStyle w:val="a5"/>
              <w:tabs>
                <w:tab w:val="left" w:pos="-108"/>
                <w:tab w:val="left" w:pos="-77"/>
              </w:tabs>
              <w:spacing w:after="0"/>
              <w:ind w:left="-108" w:right="-108"/>
              <w:jc w:val="center"/>
            </w:pPr>
            <w:r>
              <w:t>тыс.руб.</w:t>
            </w:r>
          </w:p>
        </w:tc>
        <w:tc>
          <w:tcPr>
            <w:tcW w:w="900" w:type="dxa"/>
            <w:vAlign w:val="center"/>
          </w:tcPr>
          <w:p>
            <w:pPr>
              <w:pStyle w:val="a5"/>
              <w:tabs>
                <w:tab w:val="left" w:pos="-192"/>
                <w:tab w:val="left" w:pos="-77"/>
              </w:tabs>
              <w:spacing w:after="0"/>
              <w:ind w:left="-108" w:right="-108"/>
              <w:jc w:val="center"/>
            </w:pPr>
            <w:r>
              <w:t>%</w:t>
            </w:r>
          </w:p>
          <w:p>
            <w:pPr>
              <w:pStyle w:val="a5"/>
              <w:tabs>
                <w:tab w:val="left" w:pos="-192"/>
                <w:tab w:val="left" w:pos="0"/>
              </w:tabs>
              <w:spacing w:after="0"/>
              <w:ind w:left="-108" w:right="-108"/>
              <w:jc w:val="center"/>
            </w:pPr>
            <w:r>
              <w:t>испол-нения</w:t>
            </w:r>
          </w:p>
        </w:tc>
      </w:tr>
      <w:tr>
        <w:trPr>
          <w:trHeight w:val="280"/>
        </w:trPr>
        <w:tc>
          <w:tcPr>
            <w:tcW w:w="2262" w:type="dxa"/>
            <w:vAlign w:val="center"/>
          </w:tcPr>
          <w:p>
            <w:pPr>
              <w:pStyle w:val="a5"/>
              <w:tabs>
                <w:tab w:val="left" w:pos="3966"/>
              </w:tabs>
              <w:spacing w:after="0"/>
              <w:ind w:right="-120"/>
              <w:jc w:val="center"/>
              <w:rPr>
                <w:sz w:val="16"/>
                <w:szCs w:val="16"/>
              </w:rPr>
            </w:pPr>
            <w:r>
              <w:rPr>
                <w:sz w:val="16"/>
                <w:szCs w:val="16"/>
              </w:rPr>
              <w:t>1</w:t>
            </w:r>
          </w:p>
        </w:tc>
        <w:tc>
          <w:tcPr>
            <w:tcW w:w="1248" w:type="dxa"/>
            <w:vAlign w:val="center"/>
          </w:tcPr>
          <w:p>
            <w:pPr>
              <w:jc w:val="center"/>
              <w:rPr>
                <w:color w:val="000000"/>
                <w:sz w:val="16"/>
                <w:szCs w:val="16"/>
              </w:rPr>
            </w:pPr>
            <w:r>
              <w:rPr>
                <w:color w:val="000000"/>
                <w:sz w:val="16"/>
                <w:szCs w:val="16"/>
              </w:rPr>
              <w:t>2</w:t>
            </w:r>
          </w:p>
        </w:tc>
        <w:tc>
          <w:tcPr>
            <w:tcW w:w="1342" w:type="dxa"/>
            <w:shd w:val="clear" w:color="auto" w:fill="auto"/>
            <w:vAlign w:val="center"/>
          </w:tcPr>
          <w:p>
            <w:pPr>
              <w:jc w:val="center"/>
              <w:rPr>
                <w:color w:val="000000"/>
                <w:sz w:val="16"/>
                <w:szCs w:val="16"/>
              </w:rPr>
            </w:pPr>
            <w:r>
              <w:rPr>
                <w:color w:val="000000"/>
                <w:sz w:val="16"/>
                <w:szCs w:val="16"/>
              </w:rPr>
              <w:t>3</w:t>
            </w:r>
          </w:p>
        </w:tc>
        <w:tc>
          <w:tcPr>
            <w:tcW w:w="1306" w:type="dxa"/>
            <w:shd w:val="clear" w:color="auto" w:fill="auto"/>
            <w:vAlign w:val="center"/>
          </w:tcPr>
          <w:p>
            <w:pPr>
              <w:jc w:val="center"/>
              <w:rPr>
                <w:color w:val="000000"/>
                <w:sz w:val="16"/>
                <w:szCs w:val="16"/>
              </w:rPr>
            </w:pPr>
            <w:r>
              <w:rPr>
                <w:color w:val="000000"/>
                <w:sz w:val="16"/>
                <w:szCs w:val="16"/>
              </w:rPr>
              <w:t>4</w:t>
            </w:r>
          </w:p>
        </w:tc>
        <w:tc>
          <w:tcPr>
            <w:tcW w:w="1301" w:type="dxa"/>
            <w:shd w:val="clear" w:color="auto" w:fill="auto"/>
            <w:vAlign w:val="center"/>
          </w:tcPr>
          <w:p>
            <w:pPr>
              <w:jc w:val="center"/>
              <w:rPr>
                <w:color w:val="000000"/>
                <w:sz w:val="16"/>
                <w:szCs w:val="16"/>
              </w:rPr>
            </w:pPr>
            <w:r>
              <w:rPr>
                <w:color w:val="000000"/>
                <w:sz w:val="16"/>
                <w:szCs w:val="16"/>
              </w:rPr>
              <w:t>5</w:t>
            </w:r>
          </w:p>
        </w:tc>
        <w:tc>
          <w:tcPr>
            <w:tcW w:w="1211" w:type="dxa"/>
            <w:shd w:val="clear" w:color="auto" w:fill="auto"/>
            <w:vAlign w:val="center"/>
          </w:tcPr>
          <w:p>
            <w:pPr>
              <w:jc w:val="center"/>
              <w:rPr>
                <w:color w:val="000000"/>
                <w:sz w:val="16"/>
                <w:szCs w:val="16"/>
              </w:rPr>
            </w:pPr>
            <w:r>
              <w:rPr>
                <w:color w:val="000000"/>
                <w:sz w:val="16"/>
                <w:szCs w:val="16"/>
              </w:rPr>
              <w:t>6=5-4</w:t>
            </w:r>
          </w:p>
        </w:tc>
        <w:tc>
          <w:tcPr>
            <w:tcW w:w="900" w:type="dxa"/>
            <w:shd w:val="clear" w:color="auto" w:fill="auto"/>
            <w:vAlign w:val="center"/>
          </w:tcPr>
          <w:p>
            <w:pPr>
              <w:pStyle w:val="a5"/>
              <w:spacing w:after="0"/>
              <w:ind w:left="-57" w:right="-57"/>
              <w:jc w:val="center"/>
              <w:rPr>
                <w:sz w:val="16"/>
                <w:szCs w:val="16"/>
              </w:rPr>
            </w:pPr>
            <w:r>
              <w:rPr>
                <w:sz w:val="16"/>
                <w:szCs w:val="16"/>
              </w:rPr>
              <w:t>7=5/4</w:t>
            </w:r>
          </w:p>
        </w:tc>
      </w:tr>
      <w:tr>
        <w:trPr>
          <w:trHeight w:val="392"/>
        </w:trPr>
        <w:tc>
          <w:tcPr>
            <w:tcW w:w="2262" w:type="dxa"/>
            <w:vAlign w:val="center"/>
          </w:tcPr>
          <w:p>
            <w:pPr>
              <w:ind w:right="-108"/>
            </w:pPr>
            <w:r>
              <w:t>Прочие неналоговые доходы</w:t>
            </w:r>
          </w:p>
        </w:tc>
        <w:tc>
          <w:tcPr>
            <w:tcW w:w="1248" w:type="dxa"/>
            <w:vAlign w:val="center"/>
          </w:tcPr>
          <w:p>
            <w:pPr>
              <w:spacing w:before="40" w:after="40"/>
              <w:ind w:left="-108" w:right="-57"/>
              <w:jc w:val="right"/>
            </w:pPr>
            <w:r>
              <w:t>649,97</w:t>
            </w:r>
          </w:p>
        </w:tc>
        <w:tc>
          <w:tcPr>
            <w:tcW w:w="1342" w:type="dxa"/>
            <w:shd w:val="clear" w:color="auto" w:fill="auto"/>
            <w:vAlign w:val="center"/>
          </w:tcPr>
          <w:p>
            <w:pPr>
              <w:spacing w:before="40" w:after="40"/>
              <w:ind w:left="-108" w:right="-57"/>
              <w:jc w:val="right"/>
            </w:pPr>
            <w:r>
              <w:t>60,00</w:t>
            </w:r>
          </w:p>
        </w:tc>
        <w:tc>
          <w:tcPr>
            <w:tcW w:w="1306" w:type="dxa"/>
            <w:shd w:val="clear" w:color="auto" w:fill="auto"/>
            <w:vAlign w:val="center"/>
          </w:tcPr>
          <w:p>
            <w:pPr>
              <w:spacing w:before="40" w:after="40"/>
              <w:ind w:left="-108" w:right="-57"/>
              <w:jc w:val="right"/>
            </w:pPr>
            <w:r>
              <w:t>3 372,39</w:t>
            </w:r>
          </w:p>
        </w:tc>
        <w:tc>
          <w:tcPr>
            <w:tcW w:w="1301" w:type="dxa"/>
            <w:shd w:val="clear" w:color="auto" w:fill="auto"/>
            <w:vAlign w:val="center"/>
          </w:tcPr>
          <w:p>
            <w:pPr>
              <w:spacing w:before="40" w:after="40"/>
              <w:ind w:left="-108" w:right="-57"/>
              <w:jc w:val="right"/>
            </w:pPr>
            <w:r>
              <w:t>8 905,52</w:t>
            </w:r>
          </w:p>
        </w:tc>
        <w:tc>
          <w:tcPr>
            <w:tcW w:w="1211" w:type="dxa"/>
            <w:shd w:val="clear" w:color="auto" w:fill="auto"/>
            <w:vAlign w:val="center"/>
          </w:tcPr>
          <w:p>
            <w:pPr>
              <w:spacing w:before="40" w:after="40"/>
              <w:ind w:left="-108" w:right="-57"/>
              <w:jc w:val="right"/>
            </w:pPr>
            <w:r>
              <w:t>5 533,13</w:t>
            </w:r>
          </w:p>
        </w:tc>
        <w:tc>
          <w:tcPr>
            <w:tcW w:w="900" w:type="dxa"/>
            <w:shd w:val="clear" w:color="auto" w:fill="auto"/>
            <w:vAlign w:val="center"/>
          </w:tcPr>
          <w:p>
            <w:pPr>
              <w:spacing w:before="40" w:after="40"/>
              <w:ind w:left="-108" w:right="-108"/>
              <w:jc w:val="center"/>
            </w:pPr>
            <w:r>
              <w:t>264,1</w:t>
            </w:r>
          </w:p>
        </w:tc>
      </w:tr>
    </w:tbl>
    <w:p>
      <w:pPr>
        <w:ind w:firstLine="709"/>
        <w:jc w:val="both"/>
        <w:rPr>
          <w:sz w:val="16"/>
          <w:szCs w:val="16"/>
        </w:rPr>
      </w:pPr>
    </w:p>
    <w:p>
      <w:pPr>
        <w:tabs>
          <w:tab w:val="left" w:pos="0"/>
        </w:tabs>
        <w:ind w:firstLine="709"/>
        <w:jc w:val="both"/>
        <w:rPr>
          <w:sz w:val="24"/>
          <w:szCs w:val="24"/>
        </w:rPr>
      </w:pPr>
      <w:r>
        <w:rPr>
          <w:sz w:val="24"/>
          <w:szCs w:val="24"/>
        </w:rPr>
        <w:t>Удельный вес статьи в общей структуре фактически поступивших доходов составляет 0,2%, налоговых и неналоговых доходах - 0,7%.</w:t>
      </w:r>
    </w:p>
    <w:p>
      <w:pPr>
        <w:pStyle w:val="a8"/>
        <w:spacing w:after="0"/>
        <w:ind w:left="0" w:firstLine="720"/>
        <w:jc w:val="both"/>
        <w:rPr>
          <w:sz w:val="24"/>
          <w:szCs w:val="24"/>
        </w:rPr>
      </w:pPr>
      <w:r>
        <w:rPr>
          <w:sz w:val="24"/>
          <w:szCs w:val="24"/>
        </w:rPr>
        <w:t>Норматив зачисления в бюджет ЗАТО Северск 100%.</w:t>
      </w:r>
    </w:p>
    <w:p>
      <w:pPr>
        <w:pStyle w:val="a8"/>
        <w:spacing w:after="0"/>
        <w:ind w:left="0" w:firstLine="720"/>
        <w:jc w:val="both"/>
        <w:rPr>
          <w:sz w:val="24"/>
          <w:szCs w:val="24"/>
        </w:rPr>
      </w:pPr>
      <w:r>
        <w:rPr>
          <w:sz w:val="24"/>
          <w:szCs w:val="24"/>
        </w:rPr>
        <w:t xml:space="preserve">Перевыполнение фактических поступлений к прогнозу на сумму 5 533,13 тыс.руб. обусловлено поступлением средств от проведенного аукциона на заключение муниципального контракта на перевозку тел умерших в морг.  </w:t>
      </w:r>
    </w:p>
    <w:p>
      <w:pPr>
        <w:tabs>
          <w:tab w:val="left" w:pos="0"/>
        </w:tabs>
        <w:ind w:firstLine="709"/>
        <w:jc w:val="both"/>
        <w:rPr>
          <w:sz w:val="24"/>
          <w:szCs w:val="24"/>
        </w:rPr>
      </w:pPr>
      <w:r>
        <w:rPr>
          <w:sz w:val="24"/>
          <w:szCs w:val="24"/>
        </w:rPr>
        <w:t>По сравнению с 2020 годом увеличение поступлений по статье составило 8 255,55 тыс.руб. или в 13,7 раза за счет поступления разовых платежей, администрируемых УЖКХ ТиС.</w:t>
      </w:r>
    </w:p>
    <w:p>
      <w:pPr>
        <w:tabs>
          <w:tab w:val="left" w:pos="0"/>
        </w:tabs>
        <w:jc w:val="both"/>
        <w:rPr>
          <w:sz w:val="24"/>
          <w:szCs w:val="24"/>
        </w:rPr>
      </w:pPr>
    </w:p>
    <w:p>
      <w:pPr>
        <w:pStyle w:val="a5"/>
        <w:spacing w:before="120" w:after="0"/>
        <w:jc w:val="center"/>
        <w:rPr>
          <w:b/>
          <w:sz w:val="24"/>
          <w:szCs w:val="24"/>
        </w:rPr>
      </w:pPr>
      <w:r>
        <w:rPr>
          <w:b/>
          <w:sz w:val="24"/>
          <w:szCs w:val="24"/>
        </w:rPr>
        <w:t>3.3. БЕЗВОЗМЕЗДНЫЕ ПОСТУПЛЕНИЯ</w:t>
      </w:r>
    </w:p>
    <w:p>
      <w:pPr>
        <w:pStyle w:val="a5"/>
        <w:spacing w:after="0"/>
        <w:ind w:firstLine="709"/>
        <w:jc w:val="center"/>
        <w:rPr>
          <w:b/>
          <w:sz w:val="24"/>
          <w:szCs w:val="24"/>
        </w:rPr>
      </w:pPr>
    </w:p>
    <w:p>
      <w:pPr>
        <w:pStyle w:val="a8"/>
        <w:spacing w:after="0"/>
        <w:ind w:left="0" w:firstLine="748"/>
        <w:jc w:val="both"/>
        <w:rPr>
          <w:sz w:val="24"/>
          <w:szCs w:val="24"/>
        </w:rPr>
      </w:pPr>
      <w:r>
        <w:rPr>
          <w:sz w:val="24"/>
          <w:szCs w:val="24"/>
        </w:rPr>
        <w:t xml:space="preserve">Безвозмездные поступления – это основная составляющая поступлений доходов бюджета ЗАТО Северск. </w:t>
      </w:r>
    </w:p>
    <w:p>
      <w:pPr>
        <w:ind w:firstLine="748"/>
        <w:jc w:val="both"/>
        <w:rPr>
          <w:sz w:val="24"/>
          <w:szCs w:val="24"/>
        </w:rPr>
      </w:pPr>
      <w:r>
        <w:rPr>
          <w:sz w:val="24"/>
          <w:szCs w:val="24"/>
        </w:rPr>
        <w:t xml:space="preserve">Первоначально утвержденный прогноз 2021 года составлял 2 992 357,00 тыс.руб., уточненный прогноз - 3 741 821,72 тыс.руб., фактическое исполнение – 3 733 436,01 тыс.руб. или 99,8%. </w:t>
      </w:r>
    </w:p>
    <w:p>
      <w:pPr>
        <w:ind w:firstLine="748"/>
        <w:jc w:val="both"/>
        <w:rPr>
          <w:sz w:val="24"/>
          <w:szCs w:val="24"/>
        </w:rPr>
      </w:pPr>
      <w:r>
        <w:rPr>
          <w:sz w:val="24"/>
          <w:szCs w:val="24"/>
        </w:rPr>
        <w:t>Удельный вес доходов по данной группе в общей структуре фактически поступивших доходов составляет 75,1%.</w:t>
      </w:r>
    </w:p>
    <w:p>
      <w:pPr>
        <w:spacing w:before="120" w:after="60"/>
        <w:ind w:firstLine="748"/>
        <w:jc w:val="both"/>
        <w:rPr>
          <w:sz w:val="24"/>
          <w:szCs w:val="24"/>
        </w:rPr>
      </w:pPr>
    </w:p>
    <w:p>
      <w:pPr>
        <w:spacing w:before="120" w:after="60"/>
        <w:ind w:firstLine="748"/>
        <w:jc w:val="both"/>
        <w:rPr>
          <w:sz w:val="24"/>
          <w:szCs w:val="24"/>
        </w:rPr>
      </w:pPr>
    </w:p>
    <w:p>
      <w:pPr>
        <w:spacing w:before="120" w:after="60"/>
        <w:ind w:firstLine="748"/>
        <w:jc w:val="both"/>
        <w:rPr>
          <w:sz w:val="24"/>
          <w:szCs w:val="24"/>
        </w:rPr>
      </w:pPr>
    </w:p>
    <w:p>
      <w:pPr>
        <w:spacing w:before="120" w:after="60"/>
        <w:ind w:firstLine="748"/>
        <w:jc w:val="both"/>
        <w:rPr>
          <w:sz w:val="24"/>
          <w:szCs w:val="24"/>
        </w:rPr>
      </w:pPr>
    </w:p>
    <w:p>
      <w:pPr>
        <w:spacing w:before="120" w:after="60"/>
        <w:ind w:firstLine="748"/>
        <w:jc w:val="both"/>
        <w:rPr>
          <w:sz w:val="24"/>
          <w:szCs w:val="24"/>
        </w:rPr>
      </w:pPr>
    </w:p>
    <w:p>
      <w:pPr>
        <w:spacing w:before="120" w:after="60"/>
        <w:ind w:firstLine="748"/>
        <w:jc w:val="both"/>
        <w:rPr>
          <w:sz w:val="24"/>
          <w:szCs w:val="24"/>
        </w:rPr>
      </w:pPr>
      <w:r>
        <w:rPr>
          <w:sz w:val="24"/>
          <w:szCs w:val="24"/>
        </w:rPr>
        <w:lastRenderedPageBreak/>
        <w:t>Таблица 42. Сравнительный анализ безвозмездных поступлений в бюджет ЗАТО Северск за 2020-2021 гг.</w:t>
      </w:r>
    </w:p>
    <w:tbl>
      <w:tblPr>
        <w:tblW w:w="9651" w:type="dxa"/>
        <w:tblInd w:w="96" w:type="dxa"/>
        <w:shd w:val="clear" w:color="auto" w:fill="F2F2F2"/>
        <w:tblLayout w:type="fixed"/>
        <w:tblLook w:val="0000" w:firstRow="0" w:lastRow="0" w:firstColumn="0" w:lastColumn="0" w:noHBand="0" w:noVBand="0"/>
      </w:tblPr>
      <w:tblGrid>
        <w:gridCol w:w="1997"/>
        <w:gridCol w:w="1134"/>
        <w:gridCol w:w="1276"/>
        <w:gridCol w:w="1275"/>
        <w:gridCol w:w="1276"/>
        <w:gridCol w:w="992"/>
        <w:gridCol w:w="993"/>
        <w:gridCol w:w="708"/>
      </w:tblGrid>
      <w:tr>
        <w:trPr>
          <w:trHeight w:val="444"/>
        </w:trPr>
        <w:tc>
          <w:tcPr>
            <w:tcW w:w="1997"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pPr>
              <w:ind w:right="-170"/>
              <w:jc w:val="center"/>
            </w:pPr>
            <w:r>
              <w:t>Наименование</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jc w:val="center"/>
            </w:pPr>
            <w:r>
              <w:t>Факт 2020 год,</w:t>
            </w:r>
            <w:r>
              <w:br/>
              <w:t>тыс.руб.</w:t>
            </w:r>
          </w:p>
        </w:tc>
        <w:tc>
          <w:tcPr>
            <w:tcW w:w="4819" w:type="dxa"/>
            <w:gridSpan w:val="4"/>
            <w:tcBorders>
              <w:top w:val="single" w:sz="4" w:space="0" w:color="auto"/>
              <w:left w:val="nil"/>
              <w:bottom w:val="single" w:sz="4" w:space="0" w:color="auto"/>
              <w:right w:val="single" w:sz="4" w:space="0" w:color="auto"/>
            </w:tcBorders>
            <w:shd w:val="clear" w:color="auto" w:fill="FFFFFF"/>
            <w:vAlign w:val="center"/>
          </w:tcPr>
          <w:p>
            <w:pPr>
              <w:jc w:val="center"/>
            </w:pPr>
            <w:r>
              <w:t>2021 год, тыс.руб.</w:t>
            </w:r>
          </w:p>
        </w:tc>
        <w:tc>
          <w:tcPr>
            <w:tcW w:w="1701" w:type="dxa"/>
            <w:gridSpan w:val="2"/>
            <w:tcBorders>
              <w:top w:val="single" w:sz="4" w:space="0" w:color="auto"/>
              <w:left w:val="nil"/>
              <w:bottom w:val="single" w:sz="4" w:space="0" w:color="auto"/>
              <w:right w:val="single" w:sz="4" w:space="0" w:color="auto"/>
            </w:tcBorders>
            <w:shd w:val="clear" w:color="auto" w:fill="FFFFFF"/>
            <w:vAlign w:val="center"/>
          </w:tcPr>
          <w:p>
            <w:pPr>
              <w:ind w:left="-108" w:right="-108"/>
              <w:jc w:val="center"/>
            </w:pPr>
            <w:r>
              <w:t>Отклонение (факт 2021г.- факт 2020г.)</w:t>
            </w:r>
          </w:p>
        </w:tc>
      </w:tr>
      <w:tr>
        <w:trPr>
          <w:trHeight w:val="811"/>
        </w:trPr>
        <w:tc>
          <w:tcPr>
            <w:tcW w:w="1997" w:type="dxa"/>
            <w:vMerge/>
            <w:tcBorders>
              <w:top w:val="single" w:sz="4" w:space="0" w:color="auto"/>
              <w:left w:val="single" w:sz="4" w:space="0" w:color="auto"/>
              <w:bottom w:val="single" w:sz="4" w:space="0" w:color="auto"/>
              <w:right w:val="single" w:sz="4" w:space="0" w:color="auto"/>
            </w:tcBorders>
            <w:shd w:val="clear" w:color="auto" w:fill="FFFFFF"/>
            <w:vAlign w:val="center"/>
          </w:tcPr>
          <w:p>
            <w:pPr>
              <w:ind w:right="-170"/>
            </w:pPr>
          </w:p>
        </w:tc>
        <w:tc>
          <w:tcPr>
            <w:tcW w:w="1134" w:type="dxa"/>
            <w:vMerge/>
            <w:tcBorders>
              <w:top w:val="single" w:sz="4" w:space="0" w:color="auto"/>
              <w:left w:val="single" w:sz="4" w:space="0" w:color="auto"/>
              <w:bottom w:val="single" w:sz="4" w:space="0" w:color="auto"/>
              <w:right w:val="single" w:sz="4" w:space="0" w:color="auto"/>
            </w:tcBorders>
            <w:shd w:val="clear" w:color="auto" w:fill="FFFFFF"/>
            <w:vAlign w:val="center"/>
          </w:tcPr>
          <w:p/>
        </w:tc>
        <w:tc>
          <w:tcPr>
            <w:tcW w:w="1276"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Прогноз перво-начальный</w:t>
            </w:r>
          </w:p>
        </w:tc>
        <w:tc>
          <w:tcPr>
            <w:tcW w:w="1275"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 xml:space="preserve">Прогноз уточненный </w:t>
            </w:r>
          </w:p>
        </w:tc>
        <w:tc>
          <w:tcPr>
            <w:tcW w:w="1276"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 xml:space="preserve">Факт </w:t>
            </w:r>
          </w:p>
        </w:tc>
        <w:tc>
          <w:tcPr>
            <w:tcW w:w="992"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Откло-нение</w:t>
            </w:r>
          </w:p>
        </w:tc>
        <w:tc>
          <w:tcPr>
            <w:tcW w:w="993"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абсол., тыс.руб.</w:t>
            </w:r>
          </w:p>
        </w:tc>
        <w:tc>
          <w:tcPr>
            <w:tcW w:w="708" w:type="dxa"/>
            <w:tcBorders>
              <w:top w:val="single" w:sz="4" w:space="0" w:color="auto"/>
              <w:left w:val="nil"/>
              <w:bottom w:val="single" w:sz="4" w:space="0" w:color="auto"/>
              <w:right w:val="single" w:sz="4" w:space="0" w:color="auto"/>
            </w:tcBorders>
            <w:shd w:val="clear" w:color="auto" w:fill="FFFFFF"/>
            <w:vAlign w:val="center"/>
          </w:tcPr>
          <w:p>
            <w:pPr>
              <w:ind w:left="-113" w:right="-113"/>
              <w:jc w:val="center"/>
            </w:pPr>
            <w:r>
              <w:t>% испол-нения</w:t>
            </w:r>
          </w:p>
        </w:tc>
      </w:tr>
      <w:tr>
        <w:trPr>
          <w:trHeight w:val="125"/>
        </w:trPr>
        <w:tc>
          <w:tcPr>
            <w:tcW w:w="1997" w:type="dxa"/>
            <w:tcBorders>
              <w:top w:val="single" w:sz="4" w:space="0" w:color="auto"/>
              <w:left w:val="single" w:sz="4" w:space="0" w:color="auto"/>
              <w:bottom w:val="single" w:sz="4" w:space="0" w:color="auto"/>
              <w:right w:val="single" w:sz="4" w:space="0" w:color="auto"/>
            </w:tcBorders>
            <w:shd w:val="clear" w:color="auto" w:fill="FFFFFF"/>
            <w:vAlign w:val="center"/>
          </w:tcPr>
          <w:p>
            <w:pPr>
              <w:ind w:right="-170"/>
              <w:jc w:val="center"/>
              <w:rPr>
                <w:bCs/>
                <w:sz w:val="16"/>
                <w:szCs w:val="16"/>
              </w:rPr>
            </w:pPr>
            <w:r>
              <w:rPr>
                <w:bCs/>
                <w:sz w:val="16"/>
                <w:szCs w:val="16"/>
              </w:rPr>
              <w:t>1</w:t>
            </w:r>
          </w:p>
        </w:tc>
        <w:tc>
          <w:tcPr>
            <w:tcW w:w="1134" w:type="dxa"/>
            <w:tcBorders>
              <w:top w:val="single" w:sz="4" w:space="0" w:color="auto"/>
              <w:left w:val="nil"/>
              <w:bottom w:val="single" w:sz="4" w:space="0" w:color="auto"/>
              <w:right w:val="single" w:sz="4" w:space="0" w:color="auto"/>
            </w:tcBorders>
            <w:shd w:val="clear" w:color="auto" w:fill="FFFFFF"/>
            <w:noWrap/>
            <w:vAlign w:val="center"/>
          </w:tcPr>
          <w:p>
            <w:pPr>
              <w:ind w:left="-108" w:right="-57"/>
              <w:jc w:val="center"/>
              <w:rPr>
                <w:bCs/>
                <w:sz w:val="16"/>
                <w:szCs w:val="16"/>
              </w:rPr>
            </w:pPr>
            <w:r>
              <w:rPr>
                <w:bCs/>
                <w:sz w:val="16"/>
                <w:szCs w:val="16"/>
              </w:rPr>
              <w:t>2</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pPr>
              <w:ind w:left="-57" w:right="-57"/>
              <w:jc w:val="center"/>
              <w:rPr>
                <w:bCs/>
                <w:sz w:val="16"/>
                <w:szCs w:val="16"/>
              </w:rPr>
            </w:pPr>
            <w:r>
              <w:rPr>
                <w:bCs/>
                <w:sz w:val="16"/>
                <w:szCs w:val="16"/>
              </w:rPr>
              <w:t>3</w:t>
            </w:r>
          </w:p>
        </w:tc>
        <w:tc>
          <w:tcPr>
            <w:tcW w:w="1275" w:type="dxa"/>
            <w:tcBorders>
              <w:top w:val="single" w:sz="4" w:space="0" w:color="auto"/>
              <w:left w:val="nil"/>
              <w:bottom w:val="single" w:sz="4" w:space="0" w:color="auto"/>
              <w:right w:val="single" w:sz="4" w:space="0" w:color="auto"/>
            </w:tcBorders>
            <w:shd w:val="clear" w:color="auto" w:fill="FFFFFF"/>
            <w:noWrap/>
            <w:vAlign w:val="center"/>
          </w:tcPr>
          <w:p>
            <w:pPr>
              <w:ind w:left="-57" w:right="-57"/>
              <w:jc w:val="center"/>
              <w:rPr>
                <w:bCs/>
                <w:sz w:val="16"/>
                <w:szCs w:val="16"/>
              </w:rPr>
            </w:pPr>
            <w:r>
              <w:rPr>
                <w:bCs/>
                <w:sz w:val="16"/>
                <w:szCs w:val="16"/>
              </w:rPr>
              <w:t>4</w:t>
            </w:r>
          </w:p>
        </w:tc>
        <w:tc>
          <w:tcPr>
            <w:tcW w:w="1276" w:type="dxa"/>
            <w:tcBorders>
              <w:top w:val="single" w:sz="4" w:space="0" w:color="auto"/>
              <w:left w:val="nil"/>
              <w:bottom w:val="single" w:sz="4" w:space="0" w:color="auto"/>
              <w:right w:val="single" w:sz="4" w:space="0" w:color="auto"/>
            </w:tcBorders>
            <w:shd w:val="clear" w:color="auto" w:fill="FFFFFF"/>
            <w:noWrap/>
            <w:vAlign w:val="center"/>
          </w:tcPr>
          <w:p>
            <w:pPr>
              <w:ind w:left="-57" w:right="-57"/>
              <w:jc w:val="center"/>
              <w:rPr>
                <w:bCs/>
                <w:sz w:val="16"/>
                <w:szCs w:val="16"/>
              </w:rPr>
            </w:pPr>
            <w:r>
              <w:rPr>
                <w:bCs/>
                <w:sz w:val="16"/>
                <w:szCs w:val="16"/>
              </w:rPr>
              <w:t>5</w:t>
            </w:r>
          </w:p>
        </w:tc>
        <w:tc>
          <w:tcPr>
            <w:tcW w:w="992" w:type="dxa"/>
            <w:tcBorders>
              <w:top w:val="single" w:sz="4" w:space="0" w:color="auto"/>
              <w:left w:val="nil"/>
              <w:bottom w:val="nil"/>
              <w:right w:val="single" w:sz="4" w:space="0" w:color="auto"/>
            </w:tcBorders>
            <w:shd w:val="clear" w:color="auto" w:fill="FFFFFF"/>
            <w:vAlign w:val="center"/>
          </w:tcPr>
          <w:p>
            <w:pPr>
              <w:ind w:left="-57" w:right="-57"/>
              <w:jc w:val="center"/>
              <w:rPr>
                <w:bCs/>
                <w:sz w:val="16"/>
                <w:szCs w:val="16"/>
              </w:rPr>
            </w:pPr>
            <w:r>
              <w:rPr>
                <w:bCs/>
                <w:sz w:val="16"/>
                <w:szCs w:val="16"/>
              </w:rPr>
              <w:t>6=5-4</w:t>
            </w:r>
          </w:p>
        </w:tc>
        <w:tc>
          <w:tcPr>
            <w:tcW w:w="993" w:type="dxa"/>
            <w:tcBorders>
              <w:top w:val="single" w:sz="4" w:space="0" w:color="auto"/>
              <w:left w:val="nil"/>
              <w:bottom w:val="nil"/>
              <w:right w:val="single" w:sz="4" w:space="0" w:color="auto"/>
            </w:tcBorders>
            <w:shd w:val="clear" w:color="auto" w:fill="FFFFFF"/>
            <w:vAlign w:val="center"/>
          </w:tcPr>
          <w:p>
            <w:pPr>
              <w:ind w:left="-57" w:right="-57"/>
              <w:jc w:val="center"/>
              <w:rPr>
                <w:bCs/>
                <w:sz w:val="16"/>
                <w:szCs w:val="16"/>
              </w:rPr>
            </w:pPr>
            <w:r>
              <w:rPr>
                <w:bCs/>
                <w:sz w:val="16"/>
                <w:szCs w:val="16"/>
              </w:rPr>
              <w:t>7=5-2</w:t>
            </w:r>
          </w:p>
        </w:tc>
        <w:tc>
          <w:tcPr>
            <w:tcW w:w="708" w:type="dxa"/>
            <w:tcBorders>
              <w:top w:val="single" w:sz="4" w:space="0" w:color="auto"/>
              <w:left w:val="nil"/>
              <w:bottom w:val="nil"/>
              <w:right w:val="single" w:sz="4" w:space="0" w:color="auto"/>
            </w:tcBorders>
            <w:shd w:val="clear" w:color="auto" w:fill="FFFFFF"/>
            <w:vAlign w:val="center"/>
          </w:tcPr>
          <w:p>
            <w:pPr>
              <w:ind w:left="-108" w:right="-108"/>
              <w:jc w:val="center"/>
              <w:rPr>
                <w:bCs/>
                <w:sz w:val="16"/>
                <w:szCs w:val="16"/>
              </w:rPr>
            </w:pPr>
            <w:r>
              <w:rPr>
                <w:bCs/>
                <w:sz w:val="16"/>
                <w:szCs w:val="16"/>
              </w:rPr>
              <w:t>8=5/2</w:t>
            </w:r>
          </w:p>
        </w:tc>
      </w:tr>
      <w:tr>
        <w:trPr>
          <w:trHeight w:val="602"/>
        </w:trPr>
        <w:tc>
          <w:tcPr>
            <w:tcW w:w="1997" w:type="dxa"/>
            <w:tcBorders>
              <w:top w:val="single" w:sz="4" w:space="0" w:color="auto"/>
              <w:left w:val="single" w:sz="4" w:space="0" w:color="auto"/>
              <w:bottom w:val="single" w:sz="4" w:space="0" w:color="auto"/>
              <w:right w:val="single" w:sz="4" w:space="0" w:color="auto"/>
            </w:tcBorders>
            <w:shd w:val="clear" w:color="auto" w:fill="FFFFFF"/>
            <w:vAlign w:val="center"/>
          </w:tcPr>
          <w:p>
            <w:pPr>
              <w:ind w:right="-170"/>
              <w:rPr>
                <w:bCs/>
              </w:rPr>
            </w:pPr>
            <w:r>
              <w:rPr>
                <w:bCs/>
              </w:rPr>
              <w:t xml:space="preserve">БЕЗВОЗМЕЗДНЫЕ ПОСТУПЛЕНИЯ </w:t>
            </w:r>
          </w:p>
        </w:tc>
        <w:tc>
          <w:tcPr>
            <w:tcW w:w="1134"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3 554 657,93</w:t>
            </w:r>
          </w:p>
        </w:tc>
        <w:tc>
          <w:tcPr>
            <w:tcW w:w="1276"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2 992 357,00</w:t>
            </w:r>
          </w:p>
        </w:tc>
        <w:tc>
          <w:tcPr>
            <w:tcW w:w="1275"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3 741 821,72</w:t>
            </w:r>
          </w:p>
        </w:tc>
        <w:tc>
          <w:tcPr>
            <w:tcW w:w="1276"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3 733 436,01</w:t>
            </w:r>
          </w:p>
        </w:tc>
        <w:tc>
          <w:tcPr>
            <w:tcW w:w="992" w:type="dxa"/>
            <w:tcBorders>
              <w:top w:val="single" w:sz="4" w:space="0" w:color="auto"/>
              <w:left w:val="nil"/>
              <w:bottom w:val="nil"/>
              <w:right w:val="single" w:sz="4" w:space="0" w:color="auto"/>
            </w:tcBorders>
            <w:shd w:val="clear" w:color="auto" w:fill="FFFFFF"/>
            <w:tcMar>
              <w:left w:w="57" w:type="dxa"/>
              <w:right w:w="57" w:type="dxa"/>
            </w:tcMar>
            <w:vAlign w:val="center"/>
          </w:tcPr>
          <w:p>
            <w:pPr>
              <w:ind w:left="-57" w:right="-28"/>
              <w:jc w:val="right"/>
            </w:pPr>
            <w:r>
              <w:t>-8 385,71</w:t>
            </w:r>
          </w:p>
        </w:tc>
        <w:tc>
          <w:tcPr>
            <w:tcW w:w="993" w:type="dxa"/>
            <w:tcBorders>
              <w:top w:val="single" w:sz="4" w:space="0" w:color="auto"/>
              <w:left w:val="nil"/>
              <w:bottom w:val="nil"/>
              <w:right w:val="single" w:sz="4" w:space="0" w:color="auto"/>
            </w:tcBorders>
            <w:shd w:val="clear" w:color="auto" w:fill="FFFFFF"/>
            <w:tcMar>
              <w:left w:w="57" w:type="dxa"/>
              <w:right w:w="57" w:type="dxa"/>
            </w:tcMar>
            <w:vAlign w:val="center"/>
          </w:tcPr>
          <w:p>
            <w:pPr>
              <w:ind w:left="-57" w:right="-28"/>
              <w:jc w:val="right"/>
            </w:pPr>
            <w:r>
              <w:t>178 778,08</w:t>
            </w:r>
          </w:p>
        </w:tc>
        <w:tc>
          <w:tcPr>
            <w:tcW w:w="708" w:type="dxa"/>
            <w:tcBorders>
              <w:top w:val="single" w:sz="4" w:space="0" w:color="auto"/>
              <w:left w:val="nil"/>
              <w:bottom w:val="nil"/>
              <w:right w:val="single" w:sz="4" w:space="0" w:color="auto"/>
            </w:tcBorders>
            <w:shd w:val="clear" w:color="auto" w:fill="FFFFFF"/>
            <w:tcMar>
              <w:left w:w="57" w:type="dxa"/>
              <w:right w:w="57" w:type="dxa"/>
            </w:tcMar>
            <w:vAlign w:val="center"/>
          </w:tcPr>
          <w:p>
            <w:pPr>
              <w:ind w:right="-57"/>
              <w:jc w:val="center"/>
            </w:pPr>
            <w:r>
              <w:t>105,0</w:t>
            </w:r>
          </w:p>
        </w:tc>
      </w:tr>
      <w:tr>
        <w:trPr>
          <w:trHeight w:val="413"/>
        </w:trPr>
        <w:tc>
          <w:tcPr>
            <w:tcW w:w="1997" w:type="dxa"/>
            <w:tcBorders>
              <w:top w:val="nil"/>
              <w:left w:val="single" w:sz="4" w:space="0" w:color="auto"/>
              <w:bottom w:val="single" w:sz="4" w:space="0" w:color="auto"/>
              <w:right w:val="single" w:sz="4" w:space="0" w:color="auto"/>
            </w:tcBorders>
            <w:shd w:val="clear" w:color="auto" w:fill="FFFFFF"/>
            <w:vAlign w:val="center"/>
          </w:tcPr>
          <w:p>
            <w:pPr>
              <w:ind w:left="-57" w:right="-113"/>
            </w:pPr>
            <w:r>
              <w:t>От других бюджетов</w:t>
            </w:r>
          </w:p>
        </w:tc>
        <w:tc>
          <w:tcPr>
            <w:tcW w:w="1134"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3 560 914,55</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2 992 357,00</w:t>
            </w:r>
          </w:p>
        </w:tc>
        <w:tc>
          <w:tcPr>
            <w:tcW w:w="1275"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3 754 120,60</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3 745 730,99</w:t>
            </w:r>
          </w:p>
        </w:tc>
        <w:tc>
          <w:tcPr>
            <w:tcW w:w="992"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ind w:left="-57" w:right="-28"/>
              <w:jc w:val="right"/>
            </w:pPr>
            <w:r>
              <w:t>-8 389,61</w:t>
            </w:r>
          </w:p>
        </w:tc>
        <w:tc>
          <w:tcPr>
            <w:tcW w:w="993" w:type="dxa"/>
            <w:tcBorders>
              <w:top w:val="single" w:sz="4" w:space="0" w:color="auto"/>
              <w:left w:val="nil"/>
              <w:bottom w:val="nil"/>
              <w:right w:val="single" w:sz="4" w:space="0" w:color="auto"/>
            </w:tcBorders>
            <w:shd w:val="clear" w:color="auto" w:fill="FFFFFF"/>
            <w:tcMar>
              <w:left w:w="57" w:type="dxa"/>
              <w:right w:w="57" w:type="dxa"/>
            </w:tcMar>
            <w:vAlign w:val="center"/>
          </w:tcPr>
          <w:p>
            <w:pPr>
              <w:ind w:left="-57" w:right="-28"/>
              <w:jc w:val="right"/>
            </w:pPr>
            <w:r>
              <w:t>184 816,44</w:t>
            </w:r>
          </w:p>
        </w:tc>
        <w:tc>
          <w:tcPr>
            <w:tcW w:w="708" w:type="dxa"/>
            <w:tcBorders>
              <w:top w:val="single" w:sz="4" w:space="0" w:color="auto"/>
              <w:left w:val="nil"/>
              <w:bottom w:val="nil"/>
              <w:right w:val="single" w:sz="4" w:space="0" w:color="auto"/>
            </w:tcBorders>
            <w:shd w:val="clear" w:color="auto" w:fill="FFFFFF"/>
            <w:tcMar>
              <w:left w:w="57" w:type="dxa"/>
              <w:right w:w="57" w:type="dxa"/>
            </w:tcMar>
            <w:vAlign w:val="center"/>
          </w:tcPr>
          <w:p>
            <w:pPr>
              <w:ind w:right="-57"/>
              <w:jc w:val="center"/>
            </w:pPr>
            <w:r>
              <w:t>105,2</w:t>
            </w:r>
          </w:p>
        </w:tc>
      </w:tr>
      <w:tr>
        <w:trPr>
          <w:trHeight w:val="240"/>
        </w:trPr>
        <w:tc>
          <w:tcPr>
            <w:tcW w:w="1997" w:type="dxa"/>
            <w:tcBorders>
              <w:top w:val="nil"/>
              <w:left w:val="single" w:sz="4" w:space="0" w:color="auto"/>
              <w:bottom w:val="single" w:sz="4" w:space="0" w:color="auto"/>
              <w:right w:val="single" w:sz="4" w:space="0" w:color="auto"/>
            </w:tcBorders>
            <w:shd w:val="clear" w:color="auto" w:fill="FFFFFF"/>
            <w:vAlign w:val="center"/>
          </w:tcPr>
          <w:p>
            <w:pPr>
              <w:ind w:left="-57" w:right="-113"/>
            </w:pPr>
            <w:r>
              <w:t>Прочие безвозмездные поступления</w:t>
            </w:r>
          </w:p>
        </w:tc>
        <w:tc>
          <w:tcPr>
            <w:tcW w:w="1134"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82,54</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w:t>
            </w:r>
          </w:p>
        </w:tc>
        <w:tc>
          <w:tcPr>
            <w:tcW w:w="1275"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w:t>
            </w:r>
          </w:p>
        </w:tc>
        <w:tc>
          <w:tcPr>
            <w:tcW w:w="992" w:type="dxa"/>
            <w:tcBorders>
              <w:top w:val="nil"/>
              <w:left w:val="nil"/>
              <w:bottom w:val="single" w:sz="4" w:space="0" w:color="auto"/>
              <w:right w:val="single" w:sz="4" w:space="0" w:color="auto"/>
            </w:tcBorders>
            <w:shd w:val="clear" w:color="auto" w:fill="FFFFFF"/>
            <w:tcMar>
              <w:left w:w="57" w:type="dxa"/>
              <w:right w:w="57" w:type="dxa"/>
            </w:tcMar>
            <w:vAlign w:val="center"/>
          </w:tcPr>
          <w:p>
            <w:pPr>
              <w:ind w:left="-57" w:right="-28"/>
              <w:jc w:val="right"/>
            </w:pPr>
            <w:r>
              <w:t>-</w:t>
            </w:r>
          </w:p>
        </w:tc>
        <w:tc>
          <w:tcPr>
            <w:tcW w:w="993"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ind w:left="-57" w:right="-28"/>
              <w:jc w:val="right"/>
            </w:pPr>
            <w:r>
              <w:t>-82,54</w:t>
            </w:r>
          </w:p>
        </w:tc>
        <w:tc>
          <w:tcPr>
            <w:tcW w:w="708"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ind w:right="-57"/>
              <w:jc w:val="center"/>
            </w:pPr>
            <w:r>
              <w:t>-</w:t>
            </w:r>
          </w:p>
        </w:tc>
      </w:tr>
      <w:tr>
        <w:trPr>
          <w:trHeight w:val="730"/>
        </w:trPr>
        <w:tc>
          <w:tcPr>
            <w:tcW w:w="1997" w:type="dxa"/>
            <w:tcBorders>
              <w:top w:val="nil"/>
              <w:left w:val="single" w:sz="4" w:space="0" w:color="auto"/>
              <w:bottom w:val="single" w:sz="4" w:space="0" w:color="auto"/>
              <w:right w:val="single" w:sz="4" w:space="0" w:color="auto"/>
            </w:tcBorders>
            <w:shd w:val="clear" w:color="auto" w:fill="FFFFFF"/>
            <w:vAlign w:val="center"/>
          </w:tcPr>
          <w:p>
            <w:pPr>
              <w:ind w:left="-57" w:right="-113"/>
            </w:pPr>
            <w:r>
              <w:t>Доходы от возврата  остатков субсидий прошлых лет</w:t>
            </w:r>
          </w:p>
        </w:tc>
        <w:tc>
          <w:tcPr>
            <w:tcW w:w="1134"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295,43</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w:t>
            </w:r>
          </w:p>
        </w:tc>
        <w:tc>
          <w:tcPr>
            <w:tcW w:w="1275"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3 247,76</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3 251,66</w:t>
            </w:r>
          </w:p>
        </w:tc>
        <w:tc>
          <w:tcPr>
            <w:tcW w:w="992" w:type="dxa"/>
            <w:tcBorders>
              <w:top w:val="nil"/>
              <w:left w:val="nil"/>
              <w:bottom w:val="single" w:sz="4" w:space="0" w:color="auto"/>
              <w:right w:val="single" w:sz="4" w:space="0" w:color="auto"/>
            </w:tcBorders>
            <w:shd w:val="clear" w:color="auto" w:fill="FFFFFF"/>
            <w:tcMar>
              <w:left w:w="57" w:type="dxa"/>
              <w:right w:w="57" w:type="dxa"/>
            </w:tcMar>
            <w:vAlign w:val="center"/>
          </w:tcPr>
          <w:p>
            <w:pPr>
              <w:ind w:left="-57" w:right="-28"/>
              <w:jc w:val="right"/>
            </w:pPr>
            <w:r>
              <w:t>3,90</w:t>
            </w:r>
          </w:p>
        </w:tc>
        <w:tc>
          <w:tcPr>
            <w:tcW w:w="993" w:type="dxa"/>
            <w:tcBorders>
              <w:top w:val="single" w:sz="4" w:space="0" w:color="auto"/>
              <w:left w:val="nil"/>
              <w:bottom w:val="nil"/>
              <w:right w:val="single" w:sz="4" w:space="0" w:color="auto"/>
            </w:tcBorders>
            <w:shd w:val="clear" w:color="auto" w:fill="FFFFFF"/>
            <w:tcMar>
              <w:left w:w="57" w:type="dxa"/>
              <w:right w:w="57" w:type="dxa"/>
            </w:tcMar>
            <w:vAlign w:val="center"/>
          </w:tcPr>
          <w:p>
            <w:pPr>
              <w:ind w:left="-57" w:right="-28"/>
              <w:jc w:val="right"/>
            </w:pPr>
            <w:r>
              <w:t>2 956,23</w:t>
            </w:r>
          </w:p>
        </w:tc>
        <w:tc>
          <w:tcPr>
            <w:tcW w:w="708" w:type="dxa"/>
            <w:tcBorders>
              <w:top w:val="single" w:sz="4" w:space="0" w:color="auto"/>
              <w:left w:val="nil"/>
              <w:bottom w:val="nil"/>
              <w:right w:val="single" w:sz="4" w:space="0" w:color="auto"/>
            </w:tcBorders>
            <w:shd w:val="clear" w:color="auto" w:fill="FFFFFF"/>
            <w:tcMar>
              <w:left w:w="57" w:type="dxa"/>
              <w:right w:w="57" w:type="dxa"/>
            </w:tcMar>
            <w:vAlign w:val="center"/>
          </w:tcPr>
          <w:p>
            <w:pPr>
              <w:ind w:right="-57"/>
              <w:jc w:val="center"/>
            </w:pPr>
            <w:r>
              <w:t>в 11 раз</w:t>
            </w:r>
          </w:p>
        </w:tc>
      </w:tr>
      <w:tr>
        <w:trPr>
          <w:trHeight w:val="839"/>
        </w:trPr>
        <w:tc>
          <w:tcPr>
            <w:tcW w:w="1997" w:type="dxa"/>
            <w:tcBorders>
              <w:top w:val="nil"/>
              <w:left w:val="single" w:sz="4" w:space="0" w:color="auto"/>
              <w:bottom w:val="single" w:sz="4" w:space="0" w:color="auto"/>
              <w:right w:val="single" w:sz="4" w:space="0" w:color="auto"/>
            </w:tcBorders>
            <w:shd w:val="clear" w:color="auto" w:fill="FFFFFF"/>
            <w:vAlign w:val="center"/>
          </w:tcPr>
          <w:p>
            <w:pPr>
              <w:ind w:left="-57" w:right="-113"/>
            </w:pPr>
            <w:r>
              <w:t>Возврат остатков субсидий и субвенций прошлых лет</w:t>
            </w:r>
          </w:p>
        </w:tc>
        <w:tc>
          <w:tcPr>
            <w:tcW w:w="1134"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-6 634,59</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w:t>
            </w:r>
          </w:p>
        </w:tc>
        <w:tc>
          <w:tcPr>
            <w:tcW w:w="1275"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-15 546,64</w:t>
            </w:r>
          </w:p>
        </w:tc>
        <w:tc>
          <w:tcPr>
            <w:tcW w:w="127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ind w:left="-57" w:right="-28"/>
              <w:jc w:val="right"/>
            </w:pPr>
            <w:r>
              <w:t>-15 546,64</w:t>
            </w:r>
          </w:p>
        </w:tc>
        <w:tc>
          <w:tcPr>
            <w:tcW w:w="992" w:type="dxa"/>
            <w:tcBorders>
              <w:top w:val="nil"/>
              <w:left w:val="nil"/>
              <w:bottom w:val="single" w:sz="4" w:space="0" w:color="auto"/>
              <w:right w:val="single" w:sz="4" w:space="0" w:color="auto"/>
            </w:tcBorders>
            <w:shd w:val="clear" w:color="auto" w:fill="FFFFFF"/>
            <w:tcMar>
              <w:left w:w="57" w:type="dxa"/>
              <w:right w:w="57" w:type="dxa"/>
            </w:tcMar>
            <w:vAlign w:val="center"/>
          </w:tcPr>
          <w:p>
            <w:pPr>
              <w:ind w:left="-57" w:right="-28"/>
              <w:jc w:val="right"/>
            </w:pPr>
            <w:r>
              <w:t>-</w:t>
            </w:r>
          </w:p>
        </w:tc>
        <w:tc>
          <w:tcPr>
            <w:tcW w:w="993"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ind w:left="-57" w:right="-28"/>
              <w:jc w:val="right"/>
            </w:pPr>
            <w:r>
              <w:t>-8 912,05</w:t>
            </w:r>
          </w:p>
        </w:tc>
        <w:tc>
          <w:tcPr>
            <w:tcW w:w="708"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ind w:right="-57"/>
              <w:jc w:val="center"/>
            </w:pPr>
            <w:r>
              <w:t>в 2,3 раза</w:t>
            </w:r>
          </w:p>
        </w:tc>
      </w:tr>
    </w:tbl>
    <w:p>
      <w:pPr>
        <w:ind w:right="22"/>
        <w:rPr>
          <w:b/>
          <w:sz w:val="24"/>
          <w:szCs w:val="24"/>
        </w:rPr>
      </w:pPr>
    </w:p>
    <w:p>
      <w:pPr>
        <w:ind w:right="22" w:firstLine="720"/>
        <w:jc w:val="center"/>
        <w:rPr>
          <w:b/>
          <w:sz w:val="16"/>
          <w:szCs w:val="16"/>
        </w:rPr>
      </w:pPr>
    </w:p>
    <w:p>
      <w:pPr>
        <w:ind w:right="22" w:firstLine="720"/>
        <w:jc w:val="center"/>
        <w:rPr>
          <w:b/>
          <w:sz w:val="24"/>
          <w:szCs w:val="24"/>
        </w:rPr>
      </w:pPr>
      <w:r>
        <w:rPr>
          <w:b/>
          <w:sz w:val="24"/>
          <w:szCs w:val="24"/>
        </w:rPr>
        <w:t>3.3.1. Безвозмездные поступления от других бюджетов</w:t>
      </w:r>
    </w:p>
    <w:p>
      <w:pPr>
        <w:spacing w:after="200"/>
        <w:ind w:right="23" w:firstLine="720"/>
        <w:jc w:val="center"/>
        <w:rPr>
          <w:sz w:val="24"/>
          <w:szCs w:val="24"/>
        </w:rPr>
      </w:pPr>
      <w:r>
        <w:rPr>
          <w:b/>
          <w:sz w:val="24"/>
          <w:szCs w:val="24"/>
        </w:rPr>
        <w:t>бюджетной системы Российской</w:t>
      </w:r>
      <w:r>
        <w:rPr>
          <w:sz w:val="24"/>
          <w:szCs w:val="24"/>
        </w:rPr>
        <w:t xml:space="preserve"> </w:t>
      </w:r>
      <w:r>
        <w:rPr>
          <w:b/>
          <w:sz w:val="24"/>
          <w:szCs w:val="24"/>
        </w:rPr>
        <w:t>Федерации</w:t>
      </w:r>
    </w:p>
    <w:p>
      <w:pPr>
        <w:ind w:right="22" w:firstLine="720"/>
        <w:jc w:val="both"/>
        <w:rPr>
          <w:sz w:val="24"/>
          <w:szCs w:val="24"/>
        </w:rPr>
      </w:pPr>
      <w:r>
        <w:rPr>
          <w:sz w:val="24"/>
          <w:szCs w:val="24"/>
        </w:rPr>
        <w:t xml:space="preserve">Первоначально утвержденный прогноз по данной статье составлял 2 992 357,00 тыс.руб. В течение года в соответствии с законодательными актами Томской области, на основании уведомлений департаментов Томской области межбюджетные трансферты сальдировано увеличились на 761 763,60 тыс.руб., в том числе: </w:t>
      </w:r>
    </w:p>
    <w:p>
      <w:pPr>
        <w:pStyle w:val="af8"/>
        <w:tabs>
          <w:tab w:val="left" w:pos="993"/>
        </w:tabs>
        <w:spacing w:before="40"/>
        <w:ind w:left="709" w:right="23"/>
        <w:jc w:val="both"/>
        <w:rPr>
          <w:sz w:val="24"/>
          <w:szCs w:val="24"/>
        </w:rPr>
      </w:pPr>
      <w:r>
        <w:rPr>
          <w:sz w:val="24"/>
          <w:szCs w:val="24"/>
        </w:rPr>
        <w:t>- 434 258,72 тыс.руб. по субсидиям;</w:t>
      </w:r>
    </w:p>
    <w:p>
      <w:pPr>
        <w:pStyle w:val="af8"/>
        <w:tabs>
          <w:tab w:val="left" w:pos="993"/>
        </w:tabs>
        <w:spacing w:before="40"/>
        <w:ind w:left="709" w:right="23"/>
        <w:jc w:val="both"/>
        <w:rPr>
          <w:sz w:val="24"/>
          <w:szCs w:val="24"/>
        </w:rPr>
      </w:pPr>
      <w:r>
        <w:rPr>
          <w:sz w:val="24"/>
          <w:szCs w:val="24"/>
        </w:rPr>
        <w:t>- 309 523,10 тыс.руб. по иным межбюджетным трансфертам;</w:t>
      </w:r>
    </w:p>
    <w:p>
      <w:pPr>
        <w:pStyle w:val="af8"/>
        <w:tabs>
          <w:tab w:val="left" w:pos="993"/>
        </w:tabs>
        <w:spacing w:before="40"/>
        <w:ind w:left="709" w:right="23"/>
        <w:jc w:val="both"/>
        <w:rPr>
          <w:sz w:val="24"/>
          <w:szCs w:val="24"/>
        </w:rPr>
      </w:pPr>
      <w:r>
        <w:rPr>
          <w:sz w:val="24"/>
          <w:szCs w:val="24"/>
        </w:rPr>
        <w:t>- 11 055,28 тыс.руб. по субвенциям;</w:t>
      </w:r>
    </w:p>
    <w:p>
      <w:pPr>
        <w:pStyle w:val="af8"/>
        <w:tabs>
          <w:tab w:val="left" w:pos="993"/>
        </w:tabs>
        <w:spacing w:before="40"/>
        <w:ind w:left="709" w:right="23"/>
        <w:jc w:val="both"/>
        <w:rPr>
          <w:sz w:val="24"/>
          <w:szCs w:val="24"/>
        </w:rPr>
      </w:pPr>
      <w:r>
        <w:rPr>
          <w:sz w:val="24"/>
          <w:szCs w:val="24"/>
        </w:rPr>
        <w:t>- 6 926,50 тыс.руб. по дотациям.</w:t>
      </w:r>
    </w:p>
    <w:p>
      <w:pPr>
        <w:pStyle w:val="af8"/>
        <w:tabs>
          <w:tab w:val="left" w:pos="993"/>
        </w:tabs>
        <w:spacing w:before="40"/>
        <w:ind w:left="0" w:right="23" w:firstLine="709"/>
        <w:jc w:val="both"/>
        <w:rPr>
          <w:sz w:val="24"/>
          <w:szCs w:val="24"/>
        </w:rPr>
      </w:pPr>
      <w:r>
        <w:rPr>
          <w:sz w:val="24"/>
          <w:szCs w:val="24"/>
        </w:rPr>
        <w:t>Увеличение межбюджетных трансфертов прошло по следующим основным направлениям:</w:t>
      </w:r>
    </w:p>
    <w:p>
      <w:pPr>
        <w:pStyle w:val="af8"/>
        <w:tabs>
          <w:tab w:val="left" w:pos="993"/>
        </w:tabs>
        <w:spacing w:before="40"/>
        <w:ind w:left="0" w:right="23" w:firstLine="709"/>
        <w:jc w:val="both"/>
        <w:rPr>
          <w:sz w:val="24"/>
          <w:szCs w:val="24"/>
        </w:rPr>
      </w:pPr>
      <w:r>
        <w:rPr>
          <w:sz w:val="24"/>
          <w:szCs w:val="24"/>
        </w:rPr>
        <w:t>- на достижение целевых показателей по плану мероприятий в части повышения заработной платы муниципальных учреждений («дорожные карты)» на общую сумму 437 560,48 тыс.руб.;</w:t>
      </w:r>
    </w:p>
    <w:p>
      <w:pPr>
        <w:pStyle w:val="af8"/>
        <w:tabs>
          <w:tab w:val="left" w:pos="993"/>
        </w:tabs>
        <w:spacing w:before="40"/>
        <w:ind w:left="0" w:right="23" w:firstLine="709"/>
        <w:jc w:val="both"/>
        <w:rPr>
          <w:sz w:val="24"/>
          <w:szCs w:val="24"/>
        </w:rPr>
      </w:pPr>
      <w:r>
        <w:rPr>
          <w:sz w:val="24"/>
          <w:szCs w:val="24"/>
        </w:rPr>
        <w:t>- на софинансирование капитальных вложений в объекты муниципальной собственности в рамках развития сельских территорий (ИЖС пос.Самусь) на сумму 70 859,90 тыс.руб.;</w:t>
      </w:r>
    </w:p>
    <w:p>
      <w:pPr>
        <w:pStyle w:val="af8"/>
        <w:tabs>
          <w:tab w:val="left" w:pos="993"/>
        </w:tabs>
        <w:spacing w:before="40"/>
        <w:ind w:left="0" w:right="23" w:firstLine="709"/>
        <w:jc w:val="both"/>
        <w:rPr>
          <w:sz w:val="24"/>
          <w:szCs w:val="24"/>
        </w:rPr>
      </w:pPr>
      <w:r>
        <w:rPr>
          <w:sz w:val="24"/>
          <w:szCs w:val="24"/>
        </w:rPr>
        <w:t>- на ежемесячное денежное вознаграждение за классное руководство на сумму 58 824,36 тыс.руб.;</w:t>
      </w:r>
    </w:p>
    <w:p>
      <w:pPr>
        <w:pStyle w:val="af8"/>
        <w:tabs>
          <w:tab w:val="left" w:pos="993"/>
        </w:tabs>
        <w:spacing w:before="40"/>
        <w:ind w:left="0" w:right="23" w:firstLine="709"/>
        <w:jc w:val="both"/>
        <w:rPr>
          <w:sz w:val="24"/>
          <w:szCs w:val="24"/>
        </w:rPr>
      </w:pPr>
      <w:r>
        <w:rPr>
          <w:sz w:val="24"/>
          <w:szCs w:val="24"/>
        </w:rPr>
        <w:t>- на организацию бесплатного горячего питания, получающих начальное общее образование на сумму 44 791,31 тыс.руб.;</w:t>
      </w:r>
    </w:p>
    <w:p>
      <w:pPr>
        <w:pStyle w:val="af8"/>
        <w:tabs>
          <w:tab w:val="left" w:pos="993"/>
        </w:tabs>
        <w:spacing w:before="40"/>
        <w:ind w:left="0" w:right="23" w:firstLine="709"/>
        <w:jc w:val="both"/>
        <w:rPr>
          <w:sz w:val="24"/>
          <w:szCs w:val="24"/>
        </w:rPr>
      </w:pPr>
      <w:r>
        <w:rPr>
          <w:sz w:val="24"/>
          <w:szCs w:val="24"/>
        </w:rPr>
        <w:t>- на формирование современной городской среды на сумму 37 905,74 тыс.руб.;</w:t>
      </w:r>
    </w:p>
    <w:p>
      <w:pPr>
        <w:pStyle w:val="af8"/>
        <w:tabs>
          <w:tab w:val="left" w:pos="993"/>
        </w:tabs>
        <w:spacing w:before="40"/>
        <w:ind w:right="23"/>
        <w:jc w:val="both"/>
        <w:rPr>
          <w:sz w:val="24"/>
          <w:szCs w:val="24"/>
        </w:rPr>
      </w:pPr>
      <w:r>
        <w:rPr>
          <w:sz w:val="24"/>
          <w:szCs w:val="24"/>
        </w:rPr>
        <w:t>- на поддержку предпринимательства на сумму 23 365,64 тыс.руб.</w:t>
      </w:r>
    </w:p>
    <w:p>
      <w:pPr>
        <w:ind w:right="22" w:firstLine="720"/>
        <w:jc w:val="both"/>
        <w:rPr>
          <w:sz w:val="24"/>
          <w:szCs w:val="24"/>
        </w:rPr>
      </w:pPr>
      <w:r>
        <w:rPr>
          <w:sz w:val="24"/>
          <w:szCs w:val="24"/>
        </w:rPr>
        <w:t>Последняя редакция прогноза доходов по безвозмездным поступлениям от других бюджетов была утверждена решением Думы ЗАТО Северск от 09.12.2021 № 20/2 в сумме 3 740 449,55 тыс.руб. и уточнена приказами начальника Финансового управления от 20.12.2021 № 89, от 23.12.2021 № 90 и от 28.12.2021 № 91 с учетом поступивших уведомлений Департаментов Томской области на сумму 13 671,05 тыс.руб.</w:t>
      </w:r>
    </w:p>
    <w:p>
      <w:pPr>
        <w:spacing w:before="120"/>
        <w:ind w:right="23" w:firstLine="720"/>
        <w:jc w:val="both"/>
        <w:rPr>
          <w:sz w:val="24"/>
          <w:szCs w:val="24"/>
        </w:rPr>
      </w:pPr>
      <w:r>
        <w:rPr>
          <w:sz w:val="24"/>
          <w:szCs w:val="24"/>
        </w:rPr>
        <w:lastRenderedPageBreak/>
        <w:t>Фактически за 2021 год поступило межбюджетных трансфертов на сумму 3 745 730,99 тыс.руб., исполнение 99,8%. Невыполнение в сумме 8 389,61 тыс.руб. обусловлено в основном непоступлением следующих межбюджетных трансфертов:</w:t>
      </w:r>
    </w:p>
    <w:p>
      <w:pPr>
        <w:ind w:right="22" w:firstLine="720"/>
        <w:jc w:val="both"/>
        <w:rPr>
          <w:sz w:val="24"/>
          <w:szCs w:val="24"/>
        </w:rPr>
      </w:pPr>
      <w:r>
        <w:rPr>
          <w:sz w:val="24"/>
          <w:szCs w:val="24"/>
        </w:rPr>
        <w:t>- на организацию бесплатного горячего питания обучающихся, получающих начальное образование, на сумму 4 383,42 тыс.руб.</w:t>
      </w:r>
    </w:p>
    <w:p>
      <w:pPr>
        <w:ind w:right="22" w:firstLine="720"/>
        <w:jc w:val="both"/>
        <w:rPr>
          <w:sz w:val="24"/>
          <w:szCs w:val="24"/>
        </w:rPr>
      </w:pPr>
      <w:r>
        <w:rPr>
          <w:sz w:val="24"/>
          <w:szCs w:val="24"/>
        </w:rPr>
        <w:t>-  на проведение Всероссийской переписи населения на сумму 1 739,70 тыс.руб.;</w:t>
      </w:r>
    </w:p>
    <w:p>
      <w:pPr>
        <w:ind w:right="22" w:firstLine="720"/>
        <w:jc w:val="both"/>
        <w:rPr>
          <w:sz w:val="24"/>
          <w:szCs w:val="24"/>
        </w:rPr>
      </w:pPr>
      <w:r>
        <w:rPr>
          <w:sz w:val="24"/>
          <w:szCs w:val="24"/>
        </w:rPr>
        <w:t>- на ежемесячное денежное вознаграждение за классное руководство на сумму 1 198,49 тыс.руб.</w:t>
      </w:r>
    </w:p>
    <w:p>
      <w:pPr>
        <w:pStyle w:val="a5"/>
        <w:spacing w:before="120" w:after="0"/>
        <w:ind w:firstLine="720"/>
        <w:jc w:val="both"/>
        <w:rPr>
          <w:sz w:val="24"/>
          <w:szCs w:val="24"/>
        </w:rPr>
      </w:pPr>
      <w:r>
        <w:rPr>
          <w:sz w:val="24"/>
          <w:szCs w:val="24"/>
        </w:rPr>
        <w:t>По сравнению с 2020 годом поступление межбюджетных трансфертов сальдировано увеличилось на 184 816,44 тыс.руб., в том числе:</w:t>
      </w:r>
    </w:p>
    <w:p>
      <w:pPr>
        <w:pStyle w:val="a5"/>
        <w:shd w:val="clear" w:color="auto" w:fill="FFFFFF"/>
        <w:spacing w:after="0"/>
        <w:ind w:firstLine="720"/>
        <w:jc w:val="both"/>
        <w:rPr>
          <w:sz w:val="24"/>
          <w:szCs w:val="24"/>
        </w:rPr>
      </w:pPr>
      <w:r>
        <w:rPr>
          <w:sz w:val="24"/>
          <w:szCs w:val="24"/>
          <w:shd w:val="clear" w:color="auto" w:fill="FFFFFF"/>
        </w:rPr>
        <w:t>- по дотациям увеличение на 45 906,67 тыс.руб., в</w:t>
      </w:r>
      <w:r>
        <w:rPr>
          <w:sz w:val="24"/>
          <w:szCs w:val="24"/>
        </w:rPr>
        <w:t xml:space="preserve"> том числе: из федерального бюджета на 39 291,00 тыс.руб., из областного бюджета на 6 615,67 тыс.руб.;</w:t>
      </w:r>
    </w:p>
    <w:p>
      <w:pPr>
        <w:pStyle w:val="a5"/>
        <w:shd w:val="clear" w:color="auto" w:fill="FFFFFF"/>
        <w:spacing w:after="0"/>
        <w:ind w:firstLine="709"/>
        <w:jc w:val="both"/>
        <w:rPr>
          <w:sz w:val="24"/>
          <w:szCs w:val="24"/>
        </w:rPr>
      </w:pPr>
      <w:r>
        <w:rPr>
          <w:sz w:val="24"/>
          <w:szCs w:val="24"/>
        </w:rPr>
        <w:t>- по субсидиям сальдированное увеличение на 38 862,54 тыс.руб., из них:</w:t>
      </w:r>
    </w:p>
    <w:p>
      <w:pPr>
        <w:pStyle w:val="a5"/>
        <w:numPr>
          <w:ilvl w:val="0"/>
          <w:numId w:val="18"/>
        </w:numPr>
        <w:shd w:val="clear" w:color="auto" w:fill="FFFFFF"/>
        <w:tabs>
          <w:tab w:val="left" w:pos="0"/>
          <w:tab w:val="left" w:pos="710"/>
          <w:tab w:val="left" w:pos="993"/>
        </w:tabs>
        <w:spacing w:after="0"/>
        <w:ind w:left="0" w:firstLine="709"/>
        <w:jc w:val="both"/>
        <w:rPr>
          <w:sz w:val="24"/>
          <w:szCs w:val="24"/>
        </w:rPr>
      </w:pPr>
      <w:r>
        <w:rPr>
          <w:sz w:val="24"/>
          <w:szCs w:val="24"/>
        </w:rPr>
        <w:t>увеличение по субсидиям на софинансирование капитальных вложений в рамках обеспечения комплексного развития сельских территорий – 70 859,90 тыс.руб.; по «дорожным картам» в части повышения заработной платы – 24 443,08 тыс.руб.; на организацию бесплатного горячего питания обучающихся, получающих начальное общее образование  – 23 944,71 тыс.руб.; на организацию отдыха детей в каникулярное время – 14 157,74 тыс.руб.;</w:t>
      </w:r>
    </w:p>
    <w:p>
      <w:pPr>
        <w:pStyle w:val="a5"/>
        <w:numPr>
          <w:ilvl w:val="0"/>
          <w:numId w:val="18"/>
        </w:numPr>
        <w:shd w:val="clear" w:color="auto" w:fill="FFFFFF"/>
        <w:tabs>
          <w:tab w:val="left" w:pos="0"/>
          <w:tab w:val="left" w:pos="993"/>
        </w:tabs>
        <w:spacing w:after="0"/>
        <w:ind w:left="0" w:firstLine="720"/>
        <w:jc w:val="both"/>
        <w:rPr>
          <w:sz w:val="24"/>
          <w:szCs w:val="24"/>
        </w:rPr>
      </w:pPr>
      <w:r>
        <w:rPr>
          <w:sz w:val="24"/>
          <w:szCs w:val="24"/>
        </w:rPr>
        <w:t>уменьшение по субсидиям на формирование современной городской среды – 42 400,45 тыс.руб.; на приобретение спортивного оборудования и инвентаря – 25 773,2 тыс.руб.; на поддержку предпринимательства – 20 766,33 тыс.руб.; на реализацию в образовательных организациях и организациях дополнительного образования мероприятий, направленных на предупреждение распространения коронавирусной инфекции – 8 952,40 тыс.руб.;</w:t>
      </w:r>
    </w:p>
    <w:p>
      <w:pPr>
        <w:pStyle w:val="a5"/>
        <w:shd w:val="clear" w:color="auto" w:fill="FFFFFF"/>
        <w:tabs>
          <w:tab w:val="left" w:pos="0"/>
          <w:tab w:val="left" w:pos="993"/>
        </w:tabs>
        <w:spacing w:after="0"/>
        <w:ind w:firstLine="720"/>
        <w:jc w:val="both"/>
        <w:rPr>
          <w:sz w:val="24"/>
          <w:szCs w:val="24"/>
        </w:rPr>
      </w:pPr>
      <w:r>
        <w:rPr>
          <w:sz w:val="24"/>
          <w:szCs w:val="24"/>
        </w:rPr>
        <w:t xml:space="preserve">- по субвенциям увеличение на 34 602,89 тыс.руб., из них по государственным гарантиям на получение образования в общеобразовательных и дошкольных образовательных организациях – 24 162,30 тыс.руб.; на организацию бесплатного питания детей с ОВЗ – 6 405,87 тыс.руб.; на выплаты приемным семьям и опекунам – 3 140,60 тыс.руб.; </w:t>
      </w:r>
    </w:p>
    <w:p>
      <w:pPr>
        <w:pStyle w:val="a5"/>
        <w:shd w:val="clear" w:color="auto" w:fill="FFFFFF"/>
        <w:spacing w:after="0"/>
        <w:ind w:firstLine="720"/>
        <w:jc w:val="both"/>
        <w:rPr>
          <w:sz w:val="24"/>
          <w:szCs w:val="24"/>
        </w:rPr>
      </w:pPr>
      <w:r>
        <w:rPr>
          <w:sz w:val="24"/>
          <w:szCs w:val="24"/>
          <w:shd w:val="clear" w:color="auto" w:fill="FFFFFF"/>
        </w:rPr>
        <w:t xml:space="preserve">- по иным межбюджетным трансфертам увеличение на 65 444,34 тыс.руб., </w:t>
      </w:r>
      <w:r>
        <w:rPr>
          <w:sz w:val="24"/>
          <w:szCs w:val="24"/>
        </w:rPr>
        <w:t>из них по трансфертам на ежемесячное денежное вознаграждение за классное руководство – 38 528,24 тыс.руб.; по «дорожным картам» в части повышения заработной платы педагогическим работникам на 28 405,30 тыс.руб.</w:t>
      </w:r>
    </w:p>
    <w:p>
      <w:pPr>
        <w:pStyle w:val="a5"/>
        <w:shd w:val="clear" w:color="auto" w:fill="FFFFFF"/>
        <w:tabs>
          <w:tab w:val="left" w:pos="0"/>
          <w:tab w:val="left" w:pos="710"/>
          <w:tab w:val="left" w:pos="993"/>
        </w:tabs>
        <w:spacing w:after="100" w:afterAutospacing="1"/>
        <w:ind w:firstLine="709"/>
        <w:jc w:val="both"/>
        <w:rPr>
          <w:sz w:val="24"/>
          <w:szCs w:val="24"/>
        </w:rPr>
      </w:pPr>
      <w:r>
        <w:rPr>
          <w:sz w:val="24"/>
          <w:szCs w:val="24"/>
        </w:rPr>
        <w:t>Таблица 43. Анализ исполнения по безвозмездным поступлениям от других бюджетов бюджетной системы Российской Федерации за 2019 - 2020 гг.</w:t>
      </w:r>
    </w:p>
    <w:tbl>
      <w:tblPr>
        <w:tblW w:w="9458" w:type="dxa"/>
        <w:tblInd w:w="96" w:type="dxa"/>
        <w:shd w:val="clear" w:color="auto" w:fill="F2F2F2"/>
        <w:tblLayout w:type="fixed"/>
        <w:tblLook w:val="0000" w:firstRow="0" w:lastRow="0" w:firstColumn="0" w:lastColumn="0" w:noHBand="0" w:noVBand="0"/>
      </w:tblPr>
      <w:tblGrid>
        <w:gridCol w:w="2280"/>
        <w:gridCol w:w="1190"/>
        <w:gridCol w:w="1362"/>
        <w:gridCol w:w="1293"/>
        <w:gridCol w:w="1366"/>
        <w:gridCol w:w="1155"/>
        <w:gridCol w:w="812"/>
      </w:tblGrid>
      <w:tr>
        <w:trPr>
          <w:trHeight w:val="320"/>
        </w:trPr>
        <w:tc>
          <w:tcPr>
            <w:tcW w:w="2280"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pPr>
              <w:ind w:right="-170"/>
              <w:jc w:val="center"/>
            </w:pPr>
            <w:r>
              <w:t>Наименование</w:t>
            </w:r>
          </w:p>
        </w:tc>
        <w:tc>
          <w:tcPr>
            <w:tcW w:w="11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pPr>
              <w:jc w:val="center"/>
            </w:pPr>
            <w:r>
              <w:t>Факт 2020 год,</w:t>
            </w:r>
            <w:r>
              <w:br/>
              <w:t>тыс.руб.</w:t>
            </w:r>
          </w:p>
        </w:tc>
        <w:tc>
          <w:tcPr>
            <w:tcW w:w="5988" w:type="dxa"/>
            <w:gridSpan w:val="5"/>
            <w:tcBorders>
              <w:top w:val="single" w:sz="4" w:space="0" w:color="auto"/>
              <w:left w:val="nil"/>
              <w:bottom w:val="single" w:sz="4" w:space="0" w:color="auto"/>
              <w:right w:val="single" w:sz="4" w:space="0" w:color="auto"/>
            </w:tcBorders>
            <w:shd w:val="clear" w:color="auto" w:fill="FFFFFF"/>
            <w:vAlign w:val="center"/>
          </w:tcPr>
          <w:p>
            <w:pPr>
              <w:ind w:left="-108" w:right="-108"/>
              <w:jc w:val="center"/>
            </w:pPr>
            <w:r>
              <w:t>2021 год, тыс.руб.</w:t>
            </w:r>
          </w:p>
        </w:tc>
      </w:tr>
      <w:tr>
        <w:trPr>
          <w:trHeight w:val="765"/>
        </w:trPr>
        <w:tc>
          <w:tcPr>
            <w:tcW w:w="2280" w:type="dxa"/>
            <w:vMerge/>
            <w:tcBorders>
              <w:top w:val="single" w:sz="4" w:space="0" w:color="auto"/>
              <w:left w:val="single" w:sz="4" w:space="0" w:color="auto"/>
              <w:bottom w:val="single" w:sz="4" w:space="0" w:color="auto"/>
              <w:right w:val="single" w:sz="4" w:space="0" w:color="auto"/>
            </w:tcBorders>
            <w:shd w:val="clear" w:color="auto" w:fill="FFFFFF"/>
            <w:vAlign w:val="center"/>
          </w:tcPr>
          <w:p>
            <w:pPr>
              <w:ind w:right="-170"/>
            </w:pPr>
          </w:p>
        </w:tc>
        <w:tc>
          <w:tcPr>
            <w:tcW w:w="1190" w:type="dxa"/>
            <w:vMerge/>
            <w:tcBorders>
              <w:top w:val="single" w:sz="4" w:space="0" w:color="auto"/>
              <w:left w:val="single" w:sz="4" w:space="0" w:color="auto"/>
              <w:bottom w:val="single" w:sz="4" w:space="0" w:color="auto"/>
              <w:right w:val="single" w:sz="4" w:space="0" w:color="auto"/>
            </w:tcBorders>
            <w:shd w:val="clear" w:color="auto" w:fill="FFFFFF"/>
            <w:vAlign w:val="center"/>
          </w:tcPr>
          <w:p/>
        </w:tc>
        <w:tc>
          <w:tcPr>
            <w:tcW w:w="1362"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Прогноз перво-начальный</w:t>
            </w:r>
          </w:p>
        </w:tc>
        <w:tc>
          <w:tcPr>
            <w:tcW w:w="1293"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 xml:space="preserve">Прогноз уточненный </w:t>
            </w:r>
          </w:p>
        </w:tc>
        <w:tc>
          <w:tcPr>
            <w:tcW w:w="1366"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 xml:space="preserve">Факт </w:t>
            </w:r>
          </w:p>
        </w:tc>
        <w:tc>
          <w:tcPr>
            <w:tcW w:w="1155" w:type="dxa"/>
            <w:tcBorders>
              <w:top w:val="single" w:sz="4" w:space="0" w:color="auto"/>
              <w:left w:val="nil"/>
              <w:bottom w:val="single" w:sz="4" w:space="0" w:color="auto"/>
              <w:right w:val="single" w:sz="4" w:space="0" w:color="auto"/>
            </w:tcBorders>
            <w:shd w:val="clear" w:color="auto" w:fill="FFFFFF"/>
            <w:vAlign w:val="center"/>
          </w:tcPr>
          <w:p>
            <w:pPr>
              <w:ind w:left="-57" w:right="-57"/>
              <w:jc w:val="center"/>
            </w:pPr>
            <w:r>
              <w:t>Откло-нение</w:t>
            </w:r>
          </w:p>
        </w:tc>
        <w:tc>
          <w:tcPr>
            <w:tcW w:w="812" w:type="dxa"/>
            <w:tcBorders>
              <w:top w:val="single" w:sz="4" w:space="0" w:color="auto"/>
              <w:left w:val="nil"/>
              <w:bottom w:val="single" w:sz="4" w:space="0" w:color="auto"/>
              <w:right w:val="single" w:sz="4" w:space="0" w:color="auto"/>
            </w:tcBorders>
            <w:shd w:val="clear" w:color="auto" w:fill="FFFFFF"/>
            <w:vAlign w:val="center"/>
          </w:tcPr>
          <w:p>
            <w:pPr>
              <w:ind w:left="-113" w:right="-113"/>
              <w:jc w:val="center"/>
            </w:pPr>
            <w:r>
              <w:t>% испол-нения</w:t>
            </w:r>
          </w:p>
        </w:tc>
      </w:tr>
      <w:tr>
        <w:trPr>
          <w:trHeight w:val="125"/>
        </w:trPr>
        <w:tc>
          <w:tcPr>
            <w:tcW w:w="2280" w:type="dxa"/>
            <w:tcBorders>
              <w:top w:val="single" w:sz="4" w:space="0" w:color="auto"/>
              <w:left w:val="single" w:sz="4" w:space="0" w:color="auto"/>
              <w:bottom w:val="single" w:sz="4" w:space="0" w:color="auto"/>
              <w:right w:val="single" w:sz="4" w:space="0" w:color="auto"/>
            </w:tcBorders>
            <w:shd w:val="clear" w:color="auto" w:fill="FFFFFF"/>
            <w:vAlign w:val="center"/>
          </w:tcPr>
          <w:p>
            <w:pPr>
              <w:ind w:right="-170"/>
              <w:jc w:val="center"/>
              <w:rPr>
                <w:bCs/>
                <w:sz w:val="16"/>
                <w:szCs w:val="16"/>
              </w:rPr>
            </w:pPr>
            <w:r>
              <w:rPr>
                <w:bCs/>
                <w:sz w:val="16"/>
                <w:szCs w:val="16"/>
              </w:rPr>
              <w:t>1</w:t>
            </w:r>
          </w:p>
        </w:tc>
        <w:tc>
          <w:tcPr>
            <w:tcW w:w="1190" w:type="dxa"/>
            <w:tcBorders>
              <w:top w:val="single" w:sz="4" w:space="0" w:color="auto"/>
              <w:left w:val="nil"/>
              <w:bottom w:val="single" w:sz="4" w:space="0" w:color="auto"/>
              <w:right w:val="single" w:sz="4" w:space="0" w:color="auto"/>
            </w:tcBorders>
            <w:shd w:val="clear" w:color="auto" w:fill="FFFFFF"/>
            <w:noWrap/>
            <w:vAlign w:val="center"/>
          </w:tcPr>
          <w:p>
            <w:pPr>
              <w:ind w:left="-108" w:right="-57"/>
              <w:jc w:val="center"/>
              <w:rPr>
                <w:bCs/>
                <w:sz w:val="16"/>
                <w:szCs w:val="16"/>
              </w:rPr>
            </w:pPr>
            <w:r>
              <w:rPr>
                <w:bCs/>
                <w:sz w:val="16"/>
                <w:szCs w:val="16"/>
              </w:rPr>
              <w:t>2</w:t>
            </w:r>
          </w:p>
        </w:tc>
        <w:tc>
          <w:tcPr>
            <w:tcW w:w="1362" w:type="dxa"/>
            <w:tcBorders>
              <w:top w:val="single" w:sz="4" w:space="0" w:color="auto"/>
              <w:left w:val="nil"/>
              <w:bottom w:val="single" w:sz="4" w:space="0" w:color="auto"/>
              <w:right w:val="single" w:sz="4" w:space="0" w:color="auto"/>
            </w:tcBorders>
            <w:shd w:val="clear" w:color="auto" w:fill="FFFFFF"/>
            <w:noWrap/>
            <w:vAlign w:val="center"/>
          </w:tcPr>
          <w:p>
            <w:pPr>
              <w:ind w:left="-57" w:right="-57"/>
              <w:jc w:val="center"/>
              <w:rPr>
                <w:bCs/>
                <w:sz w:val="16"/>
                <w:szCs w:val="16"/>
              </w:rPr>
            </w:pPr>
            <w:r>
              <w:rPr>
                <w:bCs/>
                <w:sz w:val="16"/>
                <w:szCs w:val="16"/>
              </w:rPr>
              <w:t>3</w:t>
            </w:r>
          </w:p>
        </w:tc>
        <w:tc>
          <w:tcPr>
            <w:tcW w:w="1293" w:type="dxa"/>
            <w:tcBorders>
              <w:top w:val="single" w:sz="4" w:space="0" w:color="auto"/>
              <w:left w:val="nil"/>
              <w:bottom w:val="single" w:sz="4" w:space="0" w:color="auto"/>
              <w:right w:val="single" w:sz="4" w:space="0" w:color="auto"/>
            </w:tcBorders>
            <w:shd w:val="clear" w:color="auto" w:fill="FFFFFF"/>
            <w:noWrap/>
            <w:vAlign w:val="center"/>
          </w:tcPr>
          <w:p>
            <w:pPr>
              <w:ind w:left="-57" w:right="-57"/>
              <w:jc w:val="center"/>
              <w:rPr>
                <w:bCs/>
                <w:sz w:val="16"/>
                <w:szCs w:val="16"/>
              </w:rPr>
            </w:pPr>
            <w:r>
              <w:rPr>
                <w:bCs/>
                <w:sz w:val="16"/>
                <w:szCs w:val="16"/>
              </w:rPr>
              <w:t>4</w:t>
            </w:r>
          </w:p>
        </w:tc>
        <w:tc>
          <w:tcPr>
            <w:tcW w:w="1366" w:type="dxa"/>
            <w:tcBorders>
              <w:top w:val="single" w:sz="4" w:space="0" w:color="auto"/>
              <w:left w:val="nil"/>
              <w:bottom w:val="single" w:sz="4" w:space="0" w:color="auto"/>
              <w:right w:val="single" w:sz="4" w:space="0" w:color="auto"/>
            </w:tcBorders>
            <w:shd w:val="clear" w:color="auto" w:fill="FFFFFF"/>
            <w:noWrap/>
            <w:vAlign w:val="center"/>
          </w:tcPr>
          <w:p>
            <w:pPr>
              <w:ind w:left="-57" w:right="-57"/>
              <w:jc w:val="center"/>
              <w:rPr>
                <w:bCs/>
                <w:sz w:val="16"/>
                <w:szCs w:val="16"/>
              </w:rPr>
            </w:pPr>
            <w:r>
              <w:rPr>
                <w:bCs/>
                <w:sz w:val="16"/>
                <w:szCs w:val="16"/>
              </w:rPr>
              <w:t>5</w:t>
            </w:r>
          </w:p>
        </w:tc>
        <w:tc>
          <w:tcPr>
            <w:tcW w:w="1155" w:type="dxa"/>
            <w:tcBorders>
              <w:top w:val="single" w:sz="4" w:space="0" w:color="auto"/>
              <w:left w:val="nil"/>
              <w:bottom w:val="nil"/>
              <w:right w:val="single" w:sz="4" w:space="0" w:color="auto"/>
            </w:tcBorders>
            <w:shd w:val="clear" w:color="auto" w:fill="FFFFFF"/>
            <w:vAlign w:val="center"/>
          </w:tcPr>
          <w:p>
            <w:pPr>
              <w:ind w:left="-57" w:right="-57"/>
              <w:jc w:val="center"/>
              <w:rPr>
                <w:bCs/>
                <w:sz w:val="16"/>
                <w:szCs w:val="16"/>
              </w:rPr>
            </w:pPr>
            <w:r>
              <w:rPr>
                <w:bCs/>
                <w:sz w:val="16"/>
                <w:szCs w:val="16"/>
              </w:rPr>
              <w:t>6=5-4</w:t>
            </w:r>
          </w:p>
        </w:tc>
        <w:tc>
          <w:tcPr>
            <w:tcW w:w="812" w:type="dxa"/>
            <w:tcBorders>
              <w:top w:val="single" w:sz="4" w:space="0" w:color="auto"/>
              <w:left w:val="nil"/>
              <w:bottom w:val="nil"/>
              <w:right w:val="single" w:sz="4" w:space="0" w:color="auto"/>
            </w:tcBorders>
            <w:shd w:val="clear" w:color="auto" w:fill="FFFFFF"/>
            <w:vAlign w:val="center"/>
          </w:tcPr>
          <w:p>
            <w:pPr>
              <w:ind w:left="-108" w:right="-108"/>
              <w:jc w:val="center"/>
              <w:rPr>
                <w:bCs/>
                <w:sz w:val="16"/>
                <w:szCs w:val="16"/>
              </w:rPr>
            </w:pPr>
            <w:r>
              <w:rPr>
                <w:bCs/>
                <w:sz w:val="16"/>
                <w:szCs w:val="16"/>
              </w:rPr>
              <w:t>7=5/4</w:t>
            </w:r>
          </w:p>
        </w:tc>
      </w:tr>
      <w:tr>
        <w:trPr>
          <w:trHeight w:val="264"/>
        </w:trPr>
        <w:tc>
          <w:tcPr>
            <w:tcW w:w="2280" w:type="dxa"/>
            <w:tcBorders>
              <w:top w:val="single" w:sz="4" w:space="0" w:color="auto"/>
              <w:left w:val="single" w:sz="4" w:space="0" w:color="auto"/>
              <w:bottom w:val="single" w:sz="4" w:space="0" w:color="auto"/>
              <w:right w:val="single" w:sz="4" w:space="0" w:color="auto"/>
            </w:tcBorders>
            <w:shd w:val="clear" w:color="auto" w:fill="FFFFFF"/>
            <w:vAlign w:val="center"/>
          </w:tcPr>
          <w:p>
            <w:r>
              <w:t>Безвозмездные поступления от других бюджетов</w:t>
            </w:r>
          </w:p>
        </w:tc>
        <w:tc>
          <w:tcPr>
            <w:tcW w:w="1190"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jc w:val="right"/>
            </w:pPr>
            <w:r>
              <w:t>3 560 914,55</w:t>
            </w:r>
          </w:p>
        </w:tc>
        <w:tc>
          <w:tcPr>
            <w:tcW w:w="1362"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jc w:val="right"/>
            </w:pPr>
            <w:r>
              <w:t>2 992 357,00</w:t>
            </w:r>
          </w:p>
        </w:tc>
        <w:tc>
          <w:tcPr>
            <w:tcW w:w="1293"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jc w:val="right"/>
            </w:pPr>
            <w:r>
              <w:t>3 754 120,00</w:t>
            </w:r>
          </w:p>
        </w:tc>
        <w:tc>
          <w:tcPr>
            <w:tcW w:w="1366" w:type="dxa"/>
            <w:tcBorders>
              <w:top w:val="single" w:sz="4" w:space="0" w:color="auto"/>
              <w:left w:val="nil"/>
              <w:bottom w:val="single" w:sz="4" w:space="0" w:color="auto"/>
              <w:right w:val="single" w:sz="4" w:space="0" w:color="auto"/>
            </w:tcBorders>
            <w:shd w:val="clear" w:color="auto" w:fill="FFFFFF"/>
            <w:noWrap/>
            <w:tcMar>
              <w:left w:w="57" w:type="dxa"/>
              <w:right w:w="57" w:type="dxa"/>
            </w:tcMar>
            <w:vAlign w:val="center"/>
          </w:tcPr>
          <w:p>
            <w:pPr>
              <w:jc w:val="right"/>
            </w:pPr>
            <w:r>
              <w:t>3 745 730,99</w:t>
            </w:r>
          </w:p>
        </w:tc>
        <w:tc>
          <w:tcPr>
            <w:tcW w:w="1155" w:type="dxa"/>
            <w:tcBorders>
              <w:top w:val="single" w:sz="4" w:space="0" w:color="auto"/>
              <w:left w:val="nil"/>
              <w:bottom w:val="nil"/>
              <w:right w:val="single" w:sz="4" w:space="0" w:color="auto"/>
            </w:tcBorders>
            <w:shd w:val="clear" w:color="auto" w:fill="FFFFFF"/>
            <w:tcMar>
              <w:left w:w="57" w:type="dxa"/>
              <w:right w:w="57" w:type="dxa"/>
            </w:tcMar>
            <w:vAlign w:val="center"/>
          </w:tcPr>
          <w:p>
            <w:pPr>
              <w:jc w:val="right"/>
            </w:pPr>
            <w:r>
              <w:t>-8 389,61</w:t>
            </w:r>
          </w:p>
        </w:tc>
        <w:tc>
          <w:tcPr>
            <w:tcW w:w="812" w:type="dxa"/>
            <w:tcBorders>
              <w:top w:val="single" w:sz="4" w:space="0" w:color="auto"/>
              <w:left w:val="nil"/>
              <w:bottom w:val="nil"/>
              <w:right w:val="single" w:sz="4" w:space="0" w:color="auto"/>
            </w:tcBorders>
            <w:shd w:val="clear" w:color="auto" w:fill="FFFFFF"/>
            <w:tcMar>
              <w:left w:w="57" w:type="dxa"/>
              <w:right w:w="57" w:type="dxa"/>
            </w:tcMar>
            <w:vAlign w:val="center"/>
          </w:tcPr>
          <w:p>
            <w:pPr>
              <w:jc w:val="right"/>
            </w:pPr>
            <w:r>
              <w:t>99,8</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vAlign w:val="center"/>
          </w:tcPr>
          <w:p>
            <w:r>
              <w:t>1. Дотации</w:t>
            </w:r>
          </w:p>
        </w:tc>
        <w:tc>
          <w:tcPr>
            <w:tcW w:w="1190"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1 389 355,33</w:t>
            </w:r>
          </w:p>
        </w:tc>
        <w:tc>
          <w:tcPr>
            <w:tcW w:w="1362"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1 428 335,50</w:t>
            </w:r>
          </w:p>
        </w:tc>
        <w:tc>
          <w:tcPr>
            <w:tcW w:w="1293"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1 435 262,00</w:t>
            </w:r>
          </w:p>
        </w:tc>
        <w:tc>
          <w:tcPr>
            <w:tcW w:w="136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1 435 262,00</w:t>
            </w:r>
          </w:p>
        </w:tc>
        <w:tc>
          <w:tcPr>
            <w:tcW w:w="1155"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jc w:val="right"/>
            </w:pPr>
            <w:r>
              <w:t>-</w:t>
            </w:r>
          </w:p>
        </w:tc>
        <w:tc>
          <w:tcPr>
            <w:tcW w:w="812" w:type="dxa"/>
            <w:tcBorders>
              <w:top w:val="single" w:sz="4" w:space="0" w:color="auto"/>
              <w:left w:val="nil"/>
              <w:bottom w:val="nil"/>
              <w:right w:val="single" w:sz="4" w:space="0" w:color="auto"/>
            </w:tcBorders>
            <w:shd w:val="clear" w:color="auto" w:fill="FFFFFF"/>
            <w:tcMar>
              <w:left w:w="57" w:type="dxa"/>
              <w:right w:w="57" w:type="dxa"/>
            </w:tcMar>
            <w:vAlign w:val="center"/>
          </w:tcPr>
          <w:p>
            <w:pPr>
              <w:jc w:val="right"/>
            </w:pPr>
            <w:r>
              <w:t>100,0</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vAlign w:val="center"/>
          </w:tcPr>
          <w:p>
            <w:r>
              <w:t>2. Субсидии</w:t>
            </w:r>
          </w:p>
        </w:tc>
        <w:tc>
          <w:tcPr>
            <w:tcW w:w="1190"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498 734,39</w:t>
            </w:r>
          </w:p>
        </w:tc>
        <w:tc>
          <w:tcPr>
            <w:tcW w:w="1362"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107 733,60</w:t>
            </w:r>
          </w:p>
        </w:tc>
        <w:tc>
          <w:tcPr>
            <w:tcW w:w="1293"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541 992,32</w:t>
            </w:r>
          </w:p>
        </w:tc>
        <w:tc>
          <w:tcPr>
            <w:tcW w:w="136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537 596,93</w:t>
            </w:r>
          </w:p>
        </w:tc>
        <w:tc>
          <w:tcPr>
            <w:tcW w:w="1155" w:type="dxa"/>
            <w:tcBorders>
              <w:top w:val="nil"/>
              <w:left w:val="nil"/>
              <w:bottom w:val="single" w:sz="4" w:space="0" w:color="auto"/>
              <w:right w:val="single" w:sz="4" w:space="0" w:color="auto"/>
            </w:tcBorders>
            <w:shd w:val="clear" w:color="auto" w:fill="FFFFFF"/>
            <w:tcMar>
              <w:left w:w="57" w:type="dxa"/>
              <w:right w:w="57" w:type="dxa"/>
            </w:tcMar>
            <w:vAlign w:val="center"/>
          </w:tcPr>
          <w:p>
            <w:pPr>
              <w:jc w:val="right"/>
            </w:pPr>
            <w:r>
              <w:t>-4 395,39</w:t>
            </w:r>
          </w:p>
        </w:tc>
        <w:tc>
          <w:tcPr>
            <w:tcW w:w="812"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jc w:val="right"/>
            </w:pPr>
            <w:r>
              <w:t>99,2</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vAlign w:val="center"/>
          </w:tcPr>
          <w:p>
            <w:r>
              <w:t>3. Субвенции</w:t>
            </w:r>
          </w:p>
        </w:tc>
        <w:tc>
          <w:tcPr>
            <w:tcW w:w="1190"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1 342 175,06</w:t>
            </w:r>
          </w:p>
        </w:tc>
        <w:tc>
          <w:tcPr>
            <w:tcW w:w="1362"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1 368 518,40</w:t>
            </w:r>
          </w:p>
        </w:tc>
        <w:tc>
          <w:tcPr>
            <w:tcW w:w="1293"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1 379 573,68</w:t>
            </w:r>
          </w:p>
        </w:tc>
        <w:tc>
          <w:tcPr>
            <w:tcW w:w="136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1 376 777,95</w:t>
            </w:r>
          </w:p>
        </w:tc>
        <w:tc>
          <w:tcPr>
            <w:tcW w:w="1155" w:type="dxa"/>
            <w:tcBorders>
              <w:top w:val="nil"/>
              <w:left w:val="nil"/>
              <w:bottom w:val="single" w:sz="4" w:space="0" w:color="auto"/>
              <w:right w:val="single" w:sz="4" w:space="0" w:color="auto"/>
            </w:tcBorders>
            <w:shd w:val="clear" w:color="auto" w:fill="FFFFFF"/>
            <w:tcMar>
              <w:left w:w="57" w:type="dxa"/>
              <w:right w:w="57" w:type="dxa"/>
            </w:tcMar>
            <w:vAlign w:val="center"/>
          </w:tcPr>
          <w:p>
            <w:pPr>
              <w:jc w:val="right"/>
            </w:pPr>
            <w:r>
              <w:t>-2 795,73</w:t>
            </w:r>
          </w:p>
        </w:tc>
        <w:tc>
          <w:tcPr>
            <w:tcW w:w="812" w:type="dxa"/>
            <w:tcBorders>
              <w:top w:val="single" w:sz="4" w:space="0" w:color="auto"/>
              <w:left w:val="nil"/>
              <w:bottom w:val="nil"/>
              <w:right w:val="single" w:sz="4" w:space="0" w:color="auto"/>
            </w:tcBorders>
            <w:shd w:val="clear" w:color="auto" w:fill="FFFFFF"/>
            <w:tcMar>
              <w:left w:w="57" w:type="dxa"/>
              <w:right w:w="57" w:type="dxa"/>
            </w:tcMar>
            <w:vAlign w:val="center"/>
          </w:tcPr>
          <w:p>
            <w:pPr>
              <w:jc w:val="right"/>
            </w:pPr>
            <w:r>
              <w:t>99,8</w:t>
            </w:r>
          </w:p>
        </w:tc>
      </w:tr>
      <w:tr>
        <w:trPr>
          <w:trHeight w:val="340"/>
        </w:trPr>
        <w:tc>
          <w:tcPr>
            <w:tcW w:w="2280" w:type="dxa"/>
            <w:tcBorders>
              <w:top w:val="nil"/>
              <w:left w:val="single" w:sz="4" w:space="0" w:color="auto"/>
              <w:bottom w:val="single" w:sz="4" w:space="0" w:color="auto"/>
              <w:right w:val="single" w:sz="4" w:space="0" w:color="auto"/>
            </w:tcBorders>
            <w:shd w:val="clear" w:color="auto" w:fill="FFFFFF"/>
            <w:vAlign w:val="center"/>
          </w:tcPr>
          <w:p>
            <w:r>
              <w:t>4. Иные МБТ</w:t>
            </w:r>
          </w:p>
        </w:tc>
        <w:tc>
          <w:tcPr>
            <w:tcW w:w="1190"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330 649,77</w:t>
            </w:r>
          </w:p>
        </w:tc>
        <w:tc>
          <w:tcPr>
            <w:tcW w:w="1362"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87 769,50</w:t>
            </w:r>
          </w:p>
        </w:tc>
        <w:tc>
          <w:tcPr>
            <w:tcW w:w="1293"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397 292,60</w:t>
            </w:r>
          </w:p>
        </w:tc>
        <w:tc>
          <w:tcPr>
            <w:tcW w:w="1366" w:type="dxa"/>
            <w:tcBorders>
              <w:top w:val="nil"/>
              <w:left w:val="nil"/>
              <w:bottom w:val="single" w:sz="4" w:space="0" w:color="auto"/>
              <w:right w:val="single" w:sz="4" w:space="0" w:color="auto"/>
            </w:tcBorders>
            <w:shd w:val="clear" w:color="auto" w:fill="FFFFFF"/>
            <w:noWrap/>
            <w:tcMar>
              <w:left w:w="57" w:type="dxa"/>
              <w:right w:w="57" w:type="dxa"/>
            </w:tcMar>
            <w:vAlign w:val="center"/>
          </w:tcPr>
          <w:p>
            <w:pPr>
              <w:jc w:val="right"/>
            </w:pPr>
            <w:r>
              <w:t>396 094,11</w:t>
            </w:r>
          </w:p>
        </w:tc>
        <w:tc>
          <w:tcPr>
            <w:tcW w:w="1155" w:type="dxa"/>
            <w:tcBorders>
              <w:top w:val="nil"/>
              <w:left w:val="nil"/>
              <w:bottom w:val="single" w:sz="4" w:space="0" w:color="auto"/>
              <w:right w:val="single" w:sz="4" w:space="0" w:color="auto"/>
            </w:tcBorders>
            <w:shd w:val="clear" w:color="auto" w:fill="FFFFFF"/>
            <w:tcMar>
              <w:left w:w="57" w:type="dxa"/>
              <w:right w:w="57" w:type="dxa"/>
            </w:tcMar>
            <w:vAlign w:val="center"/>
          </w:tcPr>
          <w:p>
            <w:pPr>
              <w:jc w:val="right"/>
            </w:pPr>
            <w:r>
              <w:t>-1 198,49</w:t>
            </w:r>
          </w:p>
        </w:tc>
        <w:tc>
          <w:tcPr>
            <w:tcW w:w="812" w:type="dxa"/>
            <w:tcBorders>
              <w:top w:val="single" w:sz="4" w:space="0" w:color="auto"/>
              <w:left w:val="nil"/>
              <w:bottom w:val="single" w:sz="4" w:space="0" w:color="auto"/>
              <w:right w:val="single" w:sz="4" w:space="0" w:color="auto"/>
            </w:tcBorders>
            <w:shd w:val="clear" w:color="auto" w:fill="FFFFFF"/>
            <w:tcMar>
              <w:left w:w="57" w:type="dxa"/>
              <w:right w:w="57" w:type="dxa"/>
            </w:tcMar>
            <w:vAlign w:val="center"/>
          </w:tcPr>
          <w:p>
            <w:pPr>
              <w:jc w:val="right"/>
            </w:pPr>
            <w:r>
              <w:t>99,7</w:t>
            </w:r>
          </w:p>
        </w:tc>
      </w:tr>
    </w:tbl>
    <w:p>
      <w:pPr>
        <w:pStyle w:val="a5"/>
        <w:shd w:val="clear" w:color="auto" w:fill="FFFFFF"/>
        <w:spacing w:after="0"/>
        <w:rPr>
          <w:b/>
          <w:sz w:val="24"/>
          <w:szCs w:val="24"/>
        </w:rPr>
      </w:pPr>
    </w:p>
    <w:p>
      <w:pPr>
        <w:pStyle w:val="a5"/>
        <w:shd w:val="clear" w:color="auto" w:fill="FFFFFF"/>
        <w:spacing w:after="0"/>
        <w:rPr>
          <w:b/>
          <w:sz w:val="24"/>
          <w:szCs w:val="24"/>
        </w:rPr>
      </w:pPr>
    </w:p>
    <w:p>
      <w:pPr>
        <w:pStyle w:val="a5"/>
        <w:shd w:val="clear" w:color="auto" w:fill="FFFFFF"/>
        <w:spacing w:after="0"/>
        <w:rPr>
          <w:b/>
          <w:sz w:val="24"/>
          <w:szCs w:val="24"/>
        </w:rPr>
      </w:pPr>
    </w:p>
    <w:p>
      <w:pPr>
        <w:pStyle w:val="a5"/>
        <w:shd w:val="clear" w:color="auto" w:fill="FFFFFF"/>
        <w:spacing w:after="0"/>
        <w:rPr>
          <w:b/>
          <w:sz w:val="24"/>
          <w:szCs w:val="24"/>
        </w:rPr>
      </w:pPr>
    </w:p>
    <w:p>
      <w:pPr>
        <w:pStyle w:val="a5"/>
        <w:shd w:val="clear" w:color="auto" w:fill="FFFFFF"/>
        <w:spacing w:after="0"/>
        <w:rPr>
          <w:b/>
          <w:sz w:val="24"/>
          <w:szCs w:val="24"/>
        </w:rPr>
      </w:pPr>
    </w:p>
    <w:p>
      <w:pPr>
        <w:pStyle w:val="a5"/>
        <w:shd w:val="clear" w:color="auto" w:fill="FFFFFF"/>
        <w:spacing w:after="0"/>
        <w:jc w:val="center"/>
        <w:rPr>
          <w:b/>
          <w:sz w:val="24"/>
          <w:szCs w:val="24"/>
        </w:rPr>
      </w:pPr>
      <w:r>
        <w:rPr>
          <w:b/>
          <w:sz w:val="24"/>
          <w:szCs w:val="24"/>
        </w:rPr>
        <w:lastRenderedPageBreak/>
        <w:t xml:space="preserve">3.3.2. Доходы бюджетов городских округов от возврата организациями </w:t>
      </w:r>
    </w:p>
    <w:p>
      <w:pPr>
        <w:pStyle w:val="a5"/>
        <w:shd w:val="clear" w:color="auto" w:fill="FFFFFF"/>
        <w:jc w:val="center"/>
        <w:rPr>
          <w:b/>
          <w:sz w:val="24"/>
          <w:szCs w:val="24"/>
        </w:rPr>
      </w:pPr>
      <w:r>
        <w:rPr>
          <w:b/>
          <w:sz w:val="24"/>
          <w:szCs w:val="24"/>
        </w:rPr>
        <w:t xml:space="preserve">остатков субсидий прошлых лет </w:t>
      </w:r>
    </w:p>
    <w:p>
      <w:pPr>
        <w:pStyle w:val="a5"/>
        <w:shd w:val="clear" w:color="auto" w:fill="FFFFFF"/>
        <w:spacing w:after="0"/>
        <w:ind w:firstLine="720"/>
        <w:jc w:val="both"/>
        <w:rPr>
          <w:sz w:val="24"/>
          <w:szCs w:val="24"/>
        </w:rPr>
      </w:pPr>
      <w:r>
        <w:rPr>
          <w:sz w:val="24"/>
          <w:szCs w:val="24"/>
        </w:rPr>
        <w:t xml:space="preserve">Прогноз поступлений по статье составлял 3 247,76 тыс.руб., фактическое поступление в сумме 3 251,66 тыс.руб., исполнение на 100,1%. В бюджет ЗАТО Северск поступили доходы от возврата бюджетными, автономными учреждениями и иными организациями остатков субсидий прошлых лет. </w:t>
      </w:r>
    </w:p>
    <w:p>
      <w:pPr>
        <w:pStyle w:val="a5"/>
        <w:shd w:val="clear" w:color="auto" w:fill="FFFFFF"/>
        <w:spacing w:after="0"/>
        <w:ind w:firstLine="720"/>
        <w:jc w:val="both"/>
        <w:rPr>
          <w:sz w:val="24"/>
          <w:szCs w:val="24"/>
        </w:rPr>
      </w:pPr>
    </w:p>
    <w:p>
      <w:pPr>
        <w:shd w:val="clear" w:color="auto" w:fill="FFFFFF"/>
        <w:spacing w:after="120"/>
        <w:ind w:right="23"/>
        <w:jc w:val="center"/>
        <w:rPr>
          <w:b/>
          <w:sz w:val="24"/>
          <w:szCs w:val="24"/>
        </w:rPr>
      </w:pPr>
      <w:r>
        <w:rPr>
          <w:b/>
          <w:sz w:val="24"/>
          <w:szCs w:val="24"/>
        </w:rPr>
        <w:t>3.3.3. Возврат остатков субсидий, субвенций и иных межбюджетных трансфертов, имеющих целевое назначение, прошлых лет</w:t>
      </w:r>
    </w:p>
    <w:p>
      <w:pPr>
        <w:ind w:firstLine="720"/>
        <w:jc w:val="both"/>
        <w:rPr>
          <w:sz w:val="24"/>
          <w:szCs w:val="24"/>
        </w:rPr>
      </w:pPr>
      <w:r>
        <w:rPr>
          <w:sz w:val="24"/>
          <w:szCs w:val="24"/>
        </w:rPr>
        <w:t xml:space="preserve">В соответствии со статьей 242 Бюджетного кодекса Российской Федерации, Порядком завершения операций по исполнению областного бюджета в текущем финансовом году, утвержденным приказом Департамента финансов Томской области от 24.05.2017 № 32, в 2021 году в бюджет Томской области возвращены остатки неиспользованных в 2020 году безвозмездных поступлений в сумме 22 812,63 тыс.руб. </w:t>
      </w:r>
    </w:p>
    <w:p>
      <w:pPr>
        <w:ind w:firstLine="720"/>
        <w:jc w:val="both"/>
        <w:rPr>
          <w:sz w:val="24"/>
          <w:szCs w:val="24"/>
        </w:rPr>
      </w:pPr>
      <w:r>
        <w:rPr>
          <w:sz w:val="24"/>
          <w:szCs w:val="24"/>
        </w:rPr>
        <w:t xml:space="preserve">После рассмотрения и подтверждения главными администраторами Томской области заявленной главными распорядителями бюджетных средств ЗАТО Северск потребности в использовании остатков средств областного бюджета в течение года были возвращены межбюджетные трансферты в сумме 7 265,99 тыс.руб. </w:t>
      </w:r>
    </w:p>
    <w:p>
      <w:pPr>
        <w:shd w:val="clear" w:color="auto" w:fill="FFFFFF"/>
        <w:ind w:firstLine="720"/>
        <w:jc w:val="both"/>
        <w:rPr>
          <w:sz w:val="24"/>
          <w:szCs w:val="24"/>
        </w:rPr>
      </w:pPr>
      <w:r>
        <w:rPr>
          <w:sz w:val="24"/>
          <w:szCs w:val="24"/>
        </w:rPr>
        <w:t>Сальдированный результат возврата межбюджетных трансфертов в 2021 году составил 15 546,64 тыс.руб.</w:t>
      </w:r>
    </w:p>
    <w:p>
      <w:pPr>
        <w:ind w:right="45"/>
        <w:jc w:val="both"/>
        <w:rPr>
          <w:sz w:val="24"/>
          <w:szCs w:val="24"/>
          <w:highlight w:val="yellow"/>
        </w:rPr>
      </w:pPr>
    </w:p>
    <w:p>
      <w:pPr>
        <w:jc w:val="center"/>
        <w:rPr>
          <w:b/>
          <w:sz w:val="24"/>
          <w:szCs w:val="24"/>
          <w:highlight w:val="yellow"/>
        </w:rPr>
      </w:pPr>
    </w:p>
    <w:p>
      <w:pPr>
        <w:jc w:val="center"/>
        <w:rPr>
          <w:b/>
          <w:sz w:val="24"/>
          <w:szCs w:val="24"/>
        </w:rPr>
      </w:pPr>
      <w:r>
        <w:rPr>
          <w:b/>
          <w:sz w:val="24"/>
          <w:szCs w:val="24"/>
          <w:lang w:val="en-US"/>
        </w:rPr>
        <w:t>IV</w:t>
      </w:r>
      <w:r>
        <w:rPr>
          <w:b/>
          <w:sz w:val="24"/>
          <w:szCs w:val="24"/>
        </w:rPr>
        <w:t>. РАСХОДЫ</w:t>
      </w:r>
    </w:p>
    <w:p>
      <w:pPr>
        <w:jc w:val="center"/>
        <w:rPr>
          <w:b/>
          <w:sz w:val="16"/>
          <w:szCs w:val="16"/>
        </w:rPr>
      </w:pPr>
    </w:p>
    <w:p>
      <w:pPr>
        <w:pStyle w:val="31"/>
        <w:ind w:right="45" w:firstLine="709"/>
        <w:jc w:val="center"/>
        <w:rPr>
          <w:b/>
          <w:sz w:val="24"/>
          <w:szCs w:val="24"/>
        </w:rPr>
      </w:pPr>
      <w:r>
        <w:rPr>
          <w:b/>
          <w:sz w:val="24"/>
          <w:szCs w:val="24"/>
        </w:rPr>
        <w:t xml:space="preserve">4.1. Исполнение расходной части бюджета по разделам </w:t>
      </w:r>
    </w:p>
    <w:p>
      <w:pPr>
        <w:pStyle w:val="31"/>
        <w:spacing w:after="120"/>
        <w:ind w:right="45" w:firstLine="709"/>
        <w:jc w:val="center"/>
        <w:rPr>
          <w:b/>
          <w:sz w:val="24"/>
          <w:szCs w:val="24"/>
        </w:rPr>
      </w:pPr>
      <w:r>
        <w:rPr>
          <w:b/>
          <w:sz w:val="24"/>
          <w:szCs w:val="24"/>
        </w:rPr>
        <w:t>и статьям расходов бюджета ЗАТО Северск за 2021 год</w:t>
      </w:r>
    </w:p>
    <w:p>
      <w:pPr>
        <w:jc w:val="both"/>
        <w:rPr>
          <w:sz w:val="24"/>
          <w:szCs w:val="24"/>
        </w:rPr>
      </w:pPr>
      <w:r>
        <w:rPr>
          <w:b/>
          <w:sz w:val="24"/>
          <w:szCs w:val="24"/>
        </w:rPr>
        <w:tab/>
      </w:r>
      <w:r>
        <w:rPr>
          <w:sz w:val="24"/>
          <w:szCs w:val="24"/>
        </w:rPr>
        <w:t>Кассовое исполнение расходной части бюджета ЗАТО Северск за 2021 год составило 99,1 %. При плане 5 073 350,10 тыс.руб. фактическое исполнение составило 5 025 604,81 тыс.руб.</w:t>
      </w:r>
    </w:p>
    <w:p>
      <w:pPr>
        <w:pStyle w:val="31"/>
        <w:spacing w:before="120" w:after="60"/>
        <w:ind w:right="57" w:firstLine="709"/>
        <w:rPr>
          <w:color w:val="000000"/>
          <w:sz w:val="24"/>
          <w:szCs w:val="24"/>
        </w:rPr>
      </w:pPr>
      <w:r>
        <w:rPr>
          <w:color w:val="000000"/>
          <w:sz w:val="24"/>
          <w:szCs w:val="24"/>
        </w:rPr>
        <w:t>Таблица 44. Анализ исполнения расходов бюджета ЗАТО Северск по разделам бюджетной классификации за 2021 год</w:t>
      </w:r>
    </w:p>
    <w:tbl>
      <w:tblPr>
        <w:tblW w:w="97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1269"/>
        <w:gridCol w:w="1282"/>
        <w:gridCol w:w="1282"/>
        <w:gridCol w:w="1270"/>
        <w:gridCol w:w="844"/>
        <w:gridCol w:w="1276"/>
      </w:tblGrid>
      <w:tr>
        <w:trPr>
          <w:cantSplit/>
          <w:trHeight w:val="1408"/>
        </w:trPr>
        <w:tc>
          <w:tcPr>
            <w:tcW w:w="2552" w:type="dxa"/>
            <w:tcBorders>
              <w:left w:val="single" w:sz="4" w:space="0" w:color="auto"/>
              <w:bottom w:val="single" w:sz="4" w:space="0" w:color="auto"/>
              <w:right w:val="single" w:sz="4" w:space="0" w:color="auto"/>
            </w:tcBorders>
            <w:shd w:val="clear" w:color="auto" w:fill="auto"/>
            <w:vAlign w:val="center"/>
          </w:tcPr>
          <w:p>
            <w:pPr>
              <w:pStyle w:val="31"/>
              <w:ind w:right="55"/>
              <w:jc w:val="center"/>
              <w:rPr>
                <w:sz w:val="20"/>
              </w:rPr>
            </w:pPr>
            <w:r>
              <w:rPr>
                <w:sz w:val="20"/>
              </w:rPr>
              <w:t>Наименование раздела</w:t>
            </w:r>
          </w:p>
        </w:tc>
        <w:tc>
          <w:tcPr>
            <w:tcW w:w="1269" w:type="dxa"/>
            <w:tcBorders>
              <w:left w:val="single" w:sz="4" w:space="0" w:color="auto"/>
              <w:bottom w:val="single" w:sz="4" w:space="0" w:color="auto"/>
              <w:right w:val="single" w:sz="4" w:space="0" w:color="auto"/>
            </w:tcBorders>
          </w:tcPr>
          <w:p>
            <w:pPr>
              <w:pStyle w:val="31"/>
              <w:ind w:left="-108" w:right="-103"/>
              <w:jc w:val="center"/>
              <w:rPr>
                <w:sz w:val="20"/>
              </w:rPr>
            </w:pPr>
          </w:p>
          <w:p>
            <w:pPr>
              <w:pStyle w:val="31"/>
              <w:ind w:left="-108" w:right="-103"/>
              <w:jc w:val="center"/>
              <w:rPr>
                <w:sz w:val="20"/>
              </w:rPr>
            </w:pPr>
          </w:p>
          <w:p>
            <w:pPr>
              <w:pStyle w:val="31"/>
              <w:ind w:left="-108" w:right="-103"/>
              <w:jc w:val="center"/>
              <w:rPr>
                <w:sz w:val="20"/>
              </w:rPr>
            </w:pPr>
            <w:r>
              <w:rPr>
                <w:sz w:val="20"/>
              </w:rPr>
              <w:t xml:space="preserve">Исполнено </w:t>
            </w:r>
          </w:p>
          <w:p>
            <w:pPr>
              <w:pStyle w:val="31"/>
              <w:ind w:left="-108" w:right="-103"/>
              <w:jc w:val="center"/>
              <w:rPr>
                <w:sz w:val="20"/>
              </w:rPr>
            </w:pPr>
            <w:r>
              <w:rPr>
                <w:sz w:val="20"/>
              </w:rPr>
              <w:t>за 2020 год, тыс.руб.</w:t>
            </w:r>
          </w:p>
        </w:tc>
        <w:tc>
          <w:tcPr>
            <w:tcW w:w="1282" w:type="dxa"/>
            <w:tcBorders>
              <w:left w:val="single" w:sz="4" w:space="0" w:color="auto"/>
              <w:bottom w:val="single" w:sz="4" w:space="0" w:color="auto"/>
              <w:right w:val="single" w:sz="4" w:space="0" w:color="auto"/>
            </w:tcBorders>
            <w:vAlign w:val="center"/>
          </w:tcPr>
          <w:p>
            <w:pPr>
              <w:pStyle w:val="31"/>
              <w:ind w:left="-103" w:right="-103"/>
              <w:jc w:val="center"/>
              <w:rPr>
                <w:sz w:val="20"/>
              </w:rPr>
            </w:pPr>
            <w:r>
              <w:rPr>
                <w:sz w:val="20"/>
              </w:rPr>
              <w:t>Первоначаль-ный план на 2021 год, тыс.руб.</w:t>
            </w:r>
          </w:p>
        </w:tc>
        <w:tc>
          <w:tcPr>
            <w:tcW w:w="1282" w:type="dxa"/>
            <w:tcBorders>
              <w:top w:val="single" w:sz="4" w:space="0" w:color="auto"/>
              <w:left w:val="single" w:sz="4" w:space="0" w:color="auto"/>
              <w:bottom w:val="single" w:sz="4" w:space="0" w:color="auto"/>
              <w:right w:val="single" w:sz="4" w:space="0" w:color="auto"/>
            </w:tcBorders>
            <w:vAlign w:val="center"/>
          </w:tcPr>
          <w:p>
            <w:pPr>
              <w:pStyle w:val="31"/>
              <w:ind w:left="-103" w:right="-103"/>
              <w:jc w:val="center"/>
              <w:rPr>
                <w:sz w:val="20"/>
              </w:rPr>
            </w:pPr>
            <w:r>
              <w:rPr>
                <w:sz w:val="20"/>
              </w:rPr>
              <w:t xml:space="preserve">Уточненный план </w:t>
            </w:r>
          </w:p>
          <w:p>
            <w:pPr>
              <w:pStyle w:val="31"/>
              <w:ind w:left="-103" w:right="-103"/>
              <w:jc w:val="center"/>
              <w:rPr>
                <w:sz w:val="20"/>
              </w:rPr>
            </w:pPr>
            <w:r>
              <w:rPr>
                <w:sz w:val="20"/>
              </w:rPr>
              <w:t>2021 года, тыс.руб.</w:t>
            </w:r>
          </w:p>
        </w:tc>
        <w:tc>
          <w:tcPr>
            <w:tcW w:w="1270" w:type="dxa"/>
            <w:tcBorders>
              <w:top w:val="single" w:sz="4" w:space="0" w:color="auto"/>
              <w:left w:val="single" w:sz="4" w:space="0" w:color="auto"/>
              <w:bottom w:val="single" w:sz="4" w:space="0" w:color="auto"/>
              <w:right w:val="single" w:sz="4" w:space="0" w:color="auto"/>
            </w:tcBorders>
            <w:vAlign w:val="center"/>
          </w:tcPr>
          <w:p>
            <w:pPr>
              <w:pStyle w:val="31"/>
              <w:ind w:left="-108" w:right="-103"/>
              <w:jc w:val="center"/>
              <w:rPr>
                <w:sz w:val="20"/>
              </w:rPr>
            </w:pPr>
            <w:r>
              <w:rPr>
                <w:sz w:val="20"/>
              </w:rPr>
              <w:t xml:space="preserve">Исполнено </w:t>
            </w:r>
          </w:p>
          <w:p>
            <w:pPr>
              <w:pStyle w:val="31"/>
              <w:ind w:left="-108" w:right="-103"/>
              <w:jc w:val="center"/>
              <w:rPr>
                <w:sz w:val="20"/>
              </w:rPr>
            </w:pPr>
            <w:r>
              <w:rPr>
                <w:sz w:val="20"/>
              </w:rPr>
              <w:t>за 2021 год, тыс.руб.</w:t>
            </w:r>
          </w:p>
        </w:tc>
        <w:tc>
          <w:tcPr>
            <w:tcW w:w="844" w:type="dxa"/>
            <w:tcBorders>
              <w:top w:val="single" w:sz="4" w:space="0" w:color="auto"/>
              <w:left w:val="single" w:sz="4" w:space="0" w:color="auto"/>
              <w:bottom w:val="single" w:sz="4" w:space="0" w:color="auto"/>
              <w:right w:val="single" w:sz="4" w:space="0" w:color="auto"/>
            </w:tcBorders>
            <w:textDirection w:val="btLr"/>
          </w:tcPr>
          <w:p>
            <w:pPr>
              <w:pStyle w:val="31"/>
              <w:ind w:left="-103" w:right="-103"/>
              <w:jc w:val="center"/>
              <w:rPr>
                <w:sz w:val="20"/>
                <w:lang w:val="en-US"/>
              </w:rPr>
            </w:pPr>
            <w:r>
              <w:rPr>
                <w:sz w:val="20"/>
              </w:rPr>
              <w:t xml:space="preserve">% исполнения </w:t>
            </w:r>
          </w:p>
          <w:p>
            <w:pPr>
              <w:pStyle w:val="31"/>
              <w:ind w:left="-103" w:right="-103"/>
              <w:jc w:val="center"/>
              <w:rPr>
                <w:sz w:val="20"/>
              </w:rPr>
            </w:pPr>
            <w:r>
              <w:rPr>
                <w:sz w:val="20"/>
              </w:rPr>
              <w:t>к уточненному плану года</w:t>
            </w:r>
          </w:p>
          <w:p>
            <w:pPr>
              <w:pStyle w:val="31"/>
              <w:ind w:left="-103" w:right="-103"/>
              <w:rPr>
                <w:sz w:val="20"/>
              </w:rPr>
            </w:pPr>
          </w:p>
        </w:tc>
        <w:tc>
          <w:tcPr>
            <w:tcW w:w="1276" w:type="dxa"/>
            <w:tcBorders>
              <w:left w:val="single" w:sz="4" w:space="0" w:color="auto"/>
              <w:bottom w:val="single" w:sz="4" w:space="0" w:color="auto"/>
              <w:right w:val="single" w:sz="4" w:space="0" w:color="auto"/>
            </w:tcBorders>
            <w:shd w:val="clear" w:color="auto" w:fill="auto"/>
            <w:vAlign w:val="center"/>
          </w:tcPr>
          <w:p>
            <w:pPr>
              <w:pStyle w:val="31"/>
              <w:ind w:left="-108" w:right="-103"/>
              <w:jc w:val="center"/>
              <w:rPr>
                <w:sz w:val="20"/>
              </w:rPr>
            </w:pPr>
            <w:r>
              <w:rPr>
                <w:sz w:val="20"/>
              </w:rPr>
              <w:t xml:space="preserve">Отклонение </w:t>
            </w:r>
          </w:p>
          <w:p>
            <w:pPr>
              <w:pStyle w:val="31"/>
              <w:ind w:left="-108" w:right="-103"/>
              <w:jc w:val="center"/>
              <w:rPr>
                <w:sz w:val="20"/>
              </w:rPr>
            </w:pPr>
            <w:r>
              <w:rPr>
                <w:sz w:val="20"/>
              </w:rPr>
              <w:t xml:space="preserve">2021 г. </w:t>
            </w:r>
          </w:p>
          <w:p>
            <w:pPr>
              <w:pStyle w:val="31"/>
              <w:ind w:left="-108" w:right="-103"/>
              <w:jc w:val="center"/>
              <w:rPr>
                <w:sz w:val="20"/>
              </w:rPr>
            </w:pPr>
            <w:r>
              <w:rPr>
                <w:sz w:val="20"/>
              </w:rPr>
              <w:t>от 2020 г., тыс.руб.</w:t>
            </w:r>
          </w:p>
        </w:tc>
      </w:tr>
      <w:tr>
        <w:trPr>
          <w:cantSplit/>
          <w:trHeight w:val="175"/>
        </w:trPr>
        <w:tc>
          <w:tcPr>
            <w:tcW w:w="2552" w:type="dxa"/>
            <w:tcBorders>
              <w:left w:val="single" w:sz="4" w:space="0" w:color="auto"/>
              <w:bottom w:val="single" w:sz="4" w:space="0" w:color="auto"/>
              <w:right w:val="single" w:sz="4" w:space="0" w:color="auto"/>
            </w:tcBorders>
            <w:shd w:val="clear" w:color="auto" w:fill="auto"/>
            <w:vAlign w:val="center"/>
          </w:tcPr>
          <w:p>
            <w:pPr>
              <w:pStyle w:val="31"/>
              <w:ind w:right="55"/>
              <w:jc w:val="center"/>
              <w:rPr>
                <w:sz w:val="20"/>
              </w:rPr>
            </w:pPr>
            <w:r>
              <w:rPr>
                <w:sz w:val="20"/>
              </w:rPr>
              <w:t>1</w:t>
            </w:r>
          </w:p>
        </w:tc>
        <w:tc>
          <w:tcPr>
            <w:tcW w:w="1269" w:type="dxa"/>
            <w:tcBorders>
              <w:left w:val="single" w:sz="4" w:space="0" w:color="auto"/>
              <w:bottom w:val="single" w:sz="4" w:space="0" w:color="auto"/>
              <w:right w:val="single" w:sz="4" w:space="0" w:color="auto"/>
            </w:tcBorders>
          </w:tcPr>
          <w:p>
            <w:pPr>
              <w:pStyle w:val="31"/>
              <w:ind w:left="-108" w:right="-103"/>
              <w:jc w:val="center"/>
              <w:rPr>
                <w:sz w:val="20"/>
              </w:rPr>
            </w:pPr>
            <w:r>
              <w:rPr>
                <w:sz w:val="20"/>
              </w:rPr>
              <w:t>2</w:t>
            </w:r>
          </w:p>
        </w:tc>
        <w:tc>
          <w:tcPr>
            <w:tcW w:w="1282" w:type="dxa"/>
            <w:tcBorders>
              <w:left w:val="single" w:sz="4" w:space="0" w:color="auto"/>
              <w:bottom w:val="single" w:sz="4" w:space="0" w:color="auto"/>
              <w:right w:val="single" w:sz="4" w:space="0" w:color="auto"/>
            </w:tcBorders>
          </w:tcPr>
          <w:p>
            <w:pPr>
              <w:pStyle w:val="31"/>
              <w:ind w:left="-103" w:right="-103"/>
              <w:jc w:val="center"/>
              <w:rPr>
                <w:sz w:val="20"/>
              </w:rPr>
            </w:pPr>
            <w:r>
              <w:rPr>
                <w:sz w:val="20"/>
              </w:rPr>
              <w:t>3</w:t>
            </w:r>
          </w:p>
        </w:tc>
        <w:tc>
          <w:tcPr>
            <w:tcW w:w="1282" w:type="dxa"/>
            <w:tcBorders>
              <w:top w:val="single" w:sz="4" w:space="0" w:color="auto"/>
              <w:left w:val="single" w:sz="4" w:space="0" w:color="auto"/>
              <w:bottom w:val="single" w:sz="4" w:space="0" w:color="auto"/>
              <w:right w:val="single" w:sz="4" w:space="0" w:color="auto"/>
            </w:tcBorders>
            <w:vAlign w:val="center"/>
          </w:tcPr>
          <w:p>
            <w:pPr>
              <w:pStyle w:val="31"/>
              <w:ind w:left="-103" w:right="-103"/>
              <w:jc w:val="center"/>
              <w:rPr>
                <w:sz w:val="20"/>
              </w:rPr>
            </w:pPr>
            <w:r>
              <w:rPr>
                <w:sz w:val="20"/>
              </w:rPr>
              <w:t>4</w:t>
            </w:r>
          </w:p>
        </w:tc>
        <w:tc>
          <w:tcPr>
            <w:tcW w:w="1270" w:type="dxa"/>
            <w:tcBorders>
              <w:top w:val="single" w:sz="4" w:space="0" w:color="auto"/>
              <w:left w:val="single" w:sz="4" w:space="0" w:color="auto"/>
              <w:bottom w:val="single" w:sz="4" w:space="0" w:color="auto"/>
              <w:right w:val="single" w:sz="4" w:space="0" w:color="auto"/>
            </w:tcBorders>
            <w:vAlign w:val="center"/>
          </w:tcPr>
          <w:p>
            <w:pPr>
              <w:pStyle w:val="31"/>
              <w:ind w:left="-108" w:right="-103"/>
              <w:jc w:val="center"/>
              <w:rPr>
                <w:sz w:val="20"/>
              </w:rPr>
            </w:pPr>
            <w:r>
              <w:rPr>
                <w:sz w:val="20"/>
              </w:rPr>
              <w:t>5</w:t>
            </w:r>
          </w:p>
        </w:tc>
        <w:tc>
          <w:tcPr>
            <w:tcW w:w="844" w:type="dxa"/>
            <w:tcBorders>
              <w:top w:val="single" w:sz="4" w:space="0" w:color="auto"/>
              <w:left w:val="single" w:sz="4" w:space="0" w:color="auto"/>
              <w:bottom w:val="single" w:sz="4" w:space="0" w:color="auto"/>
              <w:right w:val="single" w:sz="4" w:space="0" w:color="auto"/>
            </w:tcBorders>
          </w:tcPr>
          <w:p>
            <w:pPr>
              <w:pStyle w:val="31"/>
              <w:ind w:left="-103" w:right="-103"/>
              <w:jc w:val="center"/>
              <w:rPr>
                <w:sz w:val="20"/>
              </w:rPr>
            </w:pPr>
            <w:r>
              <w:rPr>
                <w:sz w:val="20"/>
              </w:rPr>
              <w:t>6</w:t>
            </w:r>
          </w:p>
        </w:tc>
        <w:tc>
          <w:tcPr>
            <w:tcW w:w="1276" w:type="dxa"/>
            <w:tcBorders>
              <w:left w:val="single" w:sz="4" w:space="0" w:color="auto"/>
              <w:bottom w:val="single" w:sz="4" w:space="0" w:color="auto"/>
              <w:right w:val="single" w:sz="4" w:space="0" w:color="auto"/>
            </w:tcBorders>
            <w:shd w:val="clear" w:color="auto" w:fill="auto"/>
            <w:vAlign w:val="center"/>
          </w:tcPr>
          <w:p>
            <w:pPr>
              <w:pStyle w:val="31"/>
              <w:ind w:left="-108" w:right="-103"/>
              <w:jc w:val="center"/>
              <w:rPr>
                <w:sz w:val="20"/>
              </w:rPr>
            </w:pPr>
            <w:r>
              <w:rPr>
                <w:sz w:val="20"/>
              </w:rPr>
              <w:t>7</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Общегосударственные вопросы</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355 255,89</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340 155,95</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346 988,52</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339 405,34</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97,8</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-15 850,55</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Национальная оборона</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39,64</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79,11</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0,00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0,00</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-39,64</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Национальная безопасность и правоохранительная деятельность</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25 861,03</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26 031,23</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25 909,07</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25 697,23</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99,2</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-163,80</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tabs>
                <w:tab w:val="left" w:pos="2520"/>
              </w:tabs>
              <w:ind w:right="-76"/>
              <w:jc w:val="left"/>
              <w:rPr>
                <w:sz w:val="20"/>
              </w:rPr>
            </w:pPr>
            <w:r>
              <w:rPr>
                <w:sz w:val="20"/>
              </w:rPr>
              <w:t>Национальная экономика</w:t>
            </w:r>
          </w:p>
        </w:tc>
        <w:tc>
          <w:tcPr>
            <w:tcW w:w="1269" w:type="dxa"/>
            <w:tcBorders>
              <w:top w:val="single" w:sz="4" w:space="0" w:color="auto"/>
              <w:left w:val="single" w:sz="4" w:space="0" w:color="auto"/>
              <w:right w:val="single" w:sz="4" w:space="0" w:color="auto"/>
            </w:tcBorders>
            <w:vAlign w:val="center"/>
          </w:tcPr>
          <w:p>
            <w:pPr>
              <w:jc w:val="right"/>
            </w:pPr>
            <w:r>
              <w:t>556 936,59</w:t>
            </w:r>
          </w:p>
        </w:tc>
        <w:tc>
          <w:tcPr>
            <w:tcW w:w="1282" w:type="dxa"/>
            <w:tcBorders>
              <w:top w:val="single" w:sz="4" w:space="0" w:color="auto"/>
              <w:left w:val="single" w:sz="4" w:space="0" w:color="auto"/>
              <w:right w:val="single" w:sz="4" w:space="0" w:color="auto"/>
            </w:tcBorders>
            <w:vAlign w:val="center"/>
          </w:tcPr>
          <w:p>
            <w:pPr>
              <w:jc w:val="right"/>
            </w:pPr>
            <w:r>
              <w:t>514 274,49</w:t>
            </w:r>
          </w:p>
        </w:tc>
        <w:tc>
          <w:tcPr>
            <w:tcW w:w="1282" w:type="dxa"/>
            <w:tcBorders>
              <w:top w:val="single" w:sz="4" w:space="0" w:color="auto"/>
              <w:left w:val="single" w:sz="4" w:space="0" w:color="auto"/>
              <w:right w:val="single" w:sz="4" w:space="0" w:color="auto"/>
            </w:tcBorders>
            <w:vAlign w:val="center"/>
          </w:tcPr>
          <w:p>
            <w:pPr>
              <w:jc w:val="right"/>
            </w:pPr>
            <w:r>
              <w:t>589 029,19</w:t>
            </w:r>
          </w:p>
        </w:tc>
        <w:tc>
          <w:tcPr>
            <w:tcW w:w="1270" w:type="dxa"/>
            <w:tcBorders>
              <w:top w:val="single" w:sz="4" w:space="0" w:color="auto"/>
              <w:left w:val="single" w:sz="4" w:space="0" w:color="auto"/>
              <w:right w:val="single" w:sz="4" w:space="0" w:color="auto"/>
            </w:tcBorders>
            <w:vAlign w:val="center"/>
          </w:tcPr>
          <w:p>
            <w:pPr>
              <w:jc w:val="right"/>
            </w:pPr>
            <w:r>
              <w:t>583 290,47</w:t>
            </w:r>
          </w:p>
        </w:tc>
        <w:tc>
          <w:tcPr>
            <w:tcW w:w="844" w:type="dxa"/>
            <w:tcBorders>
              <w:top w:val="single" w:sz="4" w:space="0" w:color="auto"/>
              <w:left w:val="single" w:sz="4" w:space="0" w:color="auto"/>
              <w:right w:val="single" w:sz="4" w:space="0" w:color="auto"/>
            </w:tcBorders>
            <w:vAlign w:val="center"/>
          </w:tcPr>
          <w:p>
            <w:pPr>
              <w:jc w:val="right"/>
            </w:pPr>
            <w:r>
              <w:t>99,0</w:t>
            </w:r>
          </w:p>
        </w:tc>
        <w:tc>
          <w:tcPr>
            <w:tcW w:w="1276" w:type="dxa"/>
            <w:tcBorders>
              <w:top w:val="single" w:sz="4" w:space="0" w:color="auto"/>
              <w:left w:val="single" w:sz="4" w:space="0" w:color="auto"/>
              <w:right w:val="single" w:sz="4" w:space="0" w:color="auto"/>
            </w:tcBorders>
            <w:vAlign w:val="center"/>
          </w:tcPr>
          <w:p>
            <w:pPr>
              <w:jc w:val="right"/>
            </w:pPr>
            <w:r>
              <w:t>26 353,88</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ЖКХ</w:t>
            </w:r>
          </w:p>
        </w:tc>
        <w:tc>
          <w:tcPr>
            <w:tcW w:w="1269" w:type="dxa"/>
            <w:tcBorders>
              <w:left w:val="single" w:sz="4" w:space="0" w:color="auto"/>
              <w:bottom w:val="single" w:sz="4" w:space="0" w:color="auto"/>
              <w:right w:val="single" w:sz="4" w:space="0" w:color="auto"/>
            </w:tcBorders>
            <w:vAlign w:val="center"/>
          </w:tcPr>
          <w:p>
            <w:pPr>
              <w:jc w:val="right"/>
            </w:pPr>
            <w:r>
              <w:t>322 141,07</w:t>
            </w:r>
          </w:p>
        </w:tc>
        <w:tc>
          <w:tcPr>
            <w:tcW w:w="1282" w:type="dxa"/>
            <w:tcBorders>
              <w:left w:val="single" w:sz="4" w:space="0" w:color="auto"/>
              <w:bottom w:val="single" w:sz="4" w:space="0" w:color="auto"/>
              <w:right w:val="single" w:sz="4" w:space="0" w:color="auto"/>
            </w:tcBorders>
            <w:vAlign w:val="center"/>
          </w:tcPr>
          <w:p>
            <w:pPr>
              <w:jc w:val="right"/>
            </w:pPr>
            <w:r>
              <w:t>215 375,17</w:t>
            </w:r>
          </w:p>
        </w:tc>
        <w:tc>
          <w:tcPr>
            <w:tcW w:w="1282" w:type="dxa"/>
            <w:tcBorders>
              <w:left w:val="single" w:sz="4" w:space="0" w:color="auto"/>
              <w:bottom w:val="single" w:sz="4" w:space="0" w:color="auto"/>
              <w:right w:val="single" w:sz="4" w:space="0" w:color="auto"/>
            </w:tcBorders>
            <w:vAlign w:val="center"/>
          </w:tcPr>
          <w:p>
            <w:pPr>
              <w:jc w:val="right"/>
            </w:pPr>
            <w:r>
              <w:t>445 981,45</w:t>
            </w:r>
          </w:p>
        </w:tc>
        <w:tc>
          <w:tcPr>
            <w:tcW w:w="1270" w:type="dxa"/>
            <w:tcBorders>
              <w:left w:val="single" w:sz="4" w:space="0" w:color="auto"/>
              <w:bottom w:val="single" w:sz="4" w:space="0" w:color="auto"/>
              <w:right w:val="single" w:sz="4" w:space="0" w:color="auto"/>
            </w:tcBorders>
            <w:vAlign w:val="center"/>
          </w:tcPr>
          <w:p>
            <w:pPr>
              <w:jc w:val="right"/>
            </w:pPr>
            <w:r>
              <w:t>435 067,15</w:t>
            </w:r>
          </w:p>
        </w:tc>
        <w:tc>
          <w:tcPr>
            <w:tcW w:w="844" w:type="dxa"/>
            <w:tcBorders>
              <w:left w:val="single" w:sz="4" w:space="0" w:color="auto"/>
              <w:bottom w:val="single" w:sz="4" w:space="0" w:color="auto"/>
              <w:right w:val="single" w:sz="4" w:space="0" w:color="auto"/>
            </w:tcBorders>
            <w:vAlign w:val="center"/>
          </w:tcPr>
          <w:p>
            <w:pPr>
              <w:jc w:val="right"/>
            </w:pPr>
            <w:r>
              <w:t>97,6</w:t>
            </w:r>
          </w:p>
        </w:tc>
        <w:tc>
          <w:tcPr>
            <w:tcW w:w="1276" w:type="dxa"/>
            <w:tcBorders>
              <w:left w:val="single" w:sz="4" w:space="0" w:color="auto"/>
              <w:bottom w:val="single" w:sz="4" w:space="0" w:color="auto"/>
              <w:right w:val="single" w:sz="4" w:space="0" w:color="auto"/>
            </w:tcBorders>
            <w:vAlign w:val="center"/>
          </w:tcPr>
          <w:p>
            <w:pPr>
              <w:jc w:val="right"/>
            </w:pPr>
            <w:r>
              <w:t>112 926,08</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Охрана окружающей среды</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199,16</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293,20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248,91</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248,64</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99,9</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49,48</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Образование</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2 652 861,63</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2 423 745,36</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2 848 695,60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2 835 048,01</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99,5</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182 186,38</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 xml:space="preserve">Культура и кинематография </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411 373,60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280 073,42</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422 842,77</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422 486,86</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99,9</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11 113,26</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Здравоохранение</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9 142,76</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0,00</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350,00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350,00</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100,0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-8 792,76</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Социальная политика</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121 328,51</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94 216,07</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133 719,66</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124 948,42</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93,4</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3 619,91</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tabs>
                <w:tab w:val="left" w:pos="1985"/>
              </w:tabs>
              <w:ind w:right="-108"/>
              <w:jc w:val="left"/>
              <w:rPr>
                <w:sz w:val="20"/>
              </w:rPr>
            </w:pPr>
            <w:r>
              <w:rPr>
                <w:sz w:val="20"/>
              </w:rPr>
              <w:t>Физкультура и спорт</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257 177,15</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230 280,28</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244 946,02</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244 945,59</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100,0</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-12 231,56</w:t>
            </w:r>
          </w:p>
        </w:tc>
      </w:tr>
      <w:tr>
        <w:trPr>
          <w:trHeight w:val="20"/>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108"/>
              <w:jc w:val="left"/>
              <w:rPr>
                <w:sz w:val="20"/>
              </w:rPr>
            </w:pPr>
            <w:r>
              <w:rPr>
                <w:sz w:val="20"/>
              </w:rPr>
              <w:t>Обслуживание муниципального долга</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pPr>
            <w:r>
              <w:t>11 354,18</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27 881,74</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pPr>
            <w:r>
              <w:t>14 638,91</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pPr>
            <w:r>
              <w:t>14 117,10</w:t>
            </w:r>
          </w:p>
        </w:tc>
        <w:tc>
          <w:tcPr>
            <w:tcW w:w="844" w:type="dxa"/>
            <w:tcBorders>
              <w:top w:val="single" w:sz="4" w:space="0" w:color="auto"/>
              <w:left w:val="single" w:sz="4" w:space="0" w:color="auto"/>
              <w:bottom w:val="single" w:sz="4" w:space="0" w:color="auto"/>
              <w:right w:val="single" w:sz="4" w:space="0" w:color="auto"/>
            </w:tcBorders>
            <w:vAlign w:val="center"/>
          </w:tcPr>
          <w:p>
            <w:pPr>
              <w:jc w:val="right"/>
            </w:pPr>
            <w:r>
              <w:t>96,4</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pPr>
            <w:r>
              <w:t>2 762,92</w:t>
            </w:r>
          </w:p>
        </w:tc>
      </w:tr>
      <w:tr>
        <w:trPr>
          <w:trHeight w:val="253"/>
        </w:trPr>
        <w:tc>
          <w:tcPr>
            <w:tcW w:w="2552" w:type="dxa"/>
            <w:tcBorders>
              <w:top w:val="single" w:sz="4" w:space="0" w:color="auto"/>
              <w:left w:val="single" w:sz="4" w:space="0" w:color="auto"/>
              <w:bottom w:val="single" w:sz="4" w:space="0" w:color="auto"/>
              <w:right w:val="single" w:sz="4" w:space="0" w:color="auto"/>
            </w:tcBorders>
            <w:vAlign w:val="center"/>
          </w:tcPr>
          <w:p>
            <w:pPr>
              <w:pStyle w:val="31"/>
              <w:ind w:right="55"/>
              <w:jc w:val="left"/>
              <w:rPr>
                <w:sz w:val="20"/>
              </w:rPr>
            </w:pPr>
            <w:r>
              <w:rPr>
                <w:sz w:val="20"/>
              </w:rPr>
              <w:t>Итого</w:t>
            </w:r>
          </w:p>
        </w:tc>
        <w:tc>
          <w:tcPr>
            <w:tcW w:w="1269" w:type="dxa"/>
            <w:tcBorders>
              <w:top w:val="single" w:sz="4" w:space="0" w:color="auto"/>
              <w:left w:val="single" w:sz="4" w:space="0" w:color="auto"/>
              <w:bottom w:val="single" w:sz="4" w:space="0" w:color="auto"/>
              <w:right w:val="single" w:sz="4" w:space="0" w:color="auto"/>
            </w:tcBorders>
            <w:vAlign w:val="center"/>
          </w:tcPr>
          <w:p>
            <w:pPr>
              <w:jc w:val="right"/>
              <w:rPr>
                <w:bCs/>
              </w:rPr>
            </w:pPr>
            <w:r>
              <w:rPr>
                <w:bCs/>
              </w:rPr>
              <w:t>4 723 671,21</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bCs/>
              </w:rPr>
            </w:pPr>
            <w:r>
              <w:rPr>
                <w:bCs/>
              </w:rPr>
              <w:t>4 152 406,02</w:t>
            </w:r>
          </w:p>
        </w:tc>
        <w:tc>
          <w:tcPr>
            <w:tcW w:w="1282" w:type="dxa"/>
            <w:tcBorders>
              <w:top w:val="single" w:sz="4" w:space="0" w:color="auto"/>
              <w:left w:val="single" w:sz="4" w:space="0" w:color="auto"/>
              <w:bottom w:val="single" w:sz="4" w:space="0" w:color="auto"/>
              <w:right w:val="single" w:sz="4" w:space="0" w:color="auto"/>
            </w:tcBorders>
            <w:vAlign w:val="center"/>
          </w:tcPr>
          <w:p>
            <w:pPr>
              <w:jc w:val="right"/>
              <w:rPr>
                <w:bCs/>
              </w:rPr>
            </w:pPr>
            <w:r>
              <w:rPr>
                <w:bCs/>
              </w:rPr>
              <w:t>5 073 350,10</w:t>
            </w:r>
          </w:p>
        </w:tc>
        <w:tc>
          <w:tcPr>
            <w:tcW w:w="1270" w:type="dxa"/>
            <w:tcBorders>
              <w:top w:val="single" w:sz="4" w:space="0" w:color="auto"/>
              <w:left w:val="single" w:sz="4" w:space="0" w:color="auto"/>
              <w:bottom w:val="single" w:sz="4" w:space="0" w:color="auto"/>
              <w:right w:val="single" w:sz="4" w:space="0" w:color="auto"/>
            </w:tcBorders>
            <w:vAlign w:val="center"/>
          </w:tcPr>
          <w:p>
            <w:pPr>
              <w:jc w:val="right"/>
              <w:rPr>
                <w:bCs/>
              </w:rPr>
            </w:pPr>
            <w:r>
              <w:rPr>
                <w:bCs/>
              </w:rPr>
              <w:t>5 025 604,81</w:t>
            </w:r>
          </w:p>
        </w:tc>
        <w:tc>
          <w:tcPr>
            <w:tcW w:w="844" w:type="dxa"/>
            <w:tcBorders>
              <w:top w:val="single" w:sz="4" w:space="0" w:color="auto"/>
              <w:left w:val="single" w:sz="4" w:space="0" w:color="auto"/>
              <w:bottom w:val="single" w:sz="4" w:space="0" w:color="auto"/>
              <w:right w:val="single" w:sz="4" w:space="0" w:color="auto"/>
            </w:tcBorders>
            <w:vAlign w:val="center"/>
          </w:tcPr>
          <w:p>
            <w:pPr>
              <w:jc w:val="right"/>
              <w:rPr>
                <w:bCs/>
              </w:rPr>
            </w:pPr>
            <w:r>
              <w:rPr>
                <w:bCs/>
              </w:rPr>
              <w:t>99,1</w:t>
            </w:r>
          </w:p>
        </w:tc>
        <w:tc>
          <w:tcPr>
            <w:tcW w:w="1276" w:type="dxa"/>
            <w:tcBorders>
              <w:top w:val="single" w:sz="4" w:space="0" w:color="auto"/>
              <w:left w:val="single" w:sz="4" w:space="0" w:color="auto"/>
              <w:bottom w:val="single" w:sz="4" w:space="0" w:color="auto"/>
              <w:right w:val="single" w:sz="4" w:space="0" w:color="auto"/>
            </w:tcBorders>
            <w:vAlign w:val="center"/>
          </w:tcPr>
          <w:p>
            <w:pPr>
              <w:jc w:val="right"/>
              <w:rPr>
                <w:bCs/>
              </w:rPr>
            </w:pPr>
            <w:r>
              <w:rPr>
                <w:bCs/>
              </w:rPr>
              <w:t>301 933,60</w:t>
            </w:r>
          </w:p>
        </w:tc>
      </w:tr>
    </w:tbl>
    <w:p>
      <w:pPr>
        <w:shd w:val="clear" w:color="auto" w:fill="FFFFFF"/>
        <w:spacing w:before="5"/>
        <w:ind w:right="10" w:firstLine="708"/>
        <w:jc w:val="both"/>
        <w:rPr>
          <w:sz w:val="24"/>
          <w:szCs w:val="24"/>
          <w:highlight w:val="yellow"/>
        </w:rPr>
      </w:pPr>
    </w:p>
    <w:p>
      <w:pPr>
        <w:shd w:val="clear" w:color="auto" w:fill="FFFFFF"/>
        <w:spacing w:before="5"/>
        <w:ind w:right="10" w:firstLine="708"/>
        <w:jc w:val="both"/>
        <w:rPr>
          <w:sz w:val="24"/>
          <w:szCs w:val="24"/>
        </w:rPr>
      </w:pPr>
      <w:r>
        <w:rPr>
          <w:sz w:val="24"/>
          <w:szCs w:val="24"/>
        </w:rPr>
        <w:t>Традиционно наибольшая сумма расходов (56,4%) была направлена на «Образование»: 2 835 048,01 тыс.руб.</w:t>
      </w:r>
    </w:p>
    <w:p>
      <w:pPr>
        <w:shd w:val="clear" w:color="auto" w:fill="FFFFFF"/>
        <w:spacing w:before="5"/>
        <w:ind w:right="10"/>
        <w:jc w:val="both"/>
        <w:rPr>
          <w:sz w:val="24"/>
          <w:szCs w:val="24"/>
        </w:rPr>
      </w:pPr>
      <w:r>
        <w:rPr>
          <w:sz w:val="24"/>
          <w:szCs w:val="24"/>
        </w:rPr>
        <w:object w:dxaOrig="12060" w:dyaOrig="6642">
          <v:shape id="_x0000_i1032" type="#_x0000_t75" style="width:492.65pt;height:4in" o:ole="">
            <v:imagedata r:id="rId20" o:title=""/>
          </v:shape>
          <o:OLEObject Type="Embed" ProgID="Excel.Sheet.12" ShapeID="_x0000_i1032" DrawAspect="Content" ObjectID="_1707991223" r:id="rId21"/>
        </w:object>
      </w:r>
    </w:p>
    <w:p>
      <w:pPr>
        <w:shd w:val="clear" w:color="auto" w:fill="FFFFFF"/>
        <w:spacing w:before="5"/>
        <w:ind w:right="10"/>
        <w:jc w:val="center"/>
        <w:rPr>
          <w:noProof/>
          <w:sz w:val="24"/>
          <w:szCs w:val="24"/>
        </w:rPr>
      </w:pPr>
      <w:r>
        <w:rPr>
          <w:noProof/>
          <w:sz w:val="24"/>
          <w:szCs w:val="24"/>
        </w:rPr>
        <w:t>Рисунок 8. Структура расходов бюджета ЗАТО Северск в разрезе по разделам за 2021 год</w:t>
      </w:r>
    </w:p>
    <w:p>
      <w:pPr>
        <w:shd w:val="clear" w:color="auto" w:fill="FFFFFF"/>
        <w:spacing w:before="5"/>
        <w:ind w:right="10"/>
        <w:jc w:val="center"/>
        <w:rPr>
          <w:noProof/>
          <w:sz w:val="24"/>
          <w:szCs w:val="24"/>
          <w:highlight w:val="yellow"/>
        </w:rPr>
      </w:pPr>
    </w:p>
    <w:p>
      <w:pPr>
        <w:shd w:val="clear" w:color="auto" w:fill="FFFFFF"/>
        <w:spacing w:before="5"/>
        <w:ind w:right="10" w:firstLine="708"/>
        <w:jc w:val="both"/>
        <w:rPr>
          <w:sz w:val="24"/>
          <w:szCs w:val="24"/>
        </w:rPr>
      </w:pPr>
      <w:r>
        <w:rPr>
          <w:sz w:val="24"/>
          <w:szCs w:val="24"/>
        </w:rPr>
        <w:t>В сравнении с 2020 годом в 2021 году увеличены расходы на 301 933,60 тыс.руб. в том числе по разделам:</w:t>
      </w:r>
    </w:p>
    <w:p>
      <w:pPr>
        <w:pStyle w:val="af8"/>
        <w:numPr>
          <w:ilvl w:val="0"/>
          <w:numId w:val="10"/>
        </w:numPr>
        <w:shd w:val="clear" w:color="auto" w:fill="FFFFFF"/>
        <w:spacing w:before="5"/>
        <w:ind w:left="0" w:firstLine="709"/>
        <w:jc w:val="both"/>
        <w:rPr>
          <w:sz w:val="24"/>
          <w:szCs w:val="24"/>
        </w:rPr>
      </w:pPr>
      <w:r>
        <w:rPr>
          <w:sz w:val="24"/>
          <w:szCs w:val="24"/>
        </w:rPr>
        <w:t>«Обслуживание муниципального долга» на 2 762,92 тыс.руб. или на 24,3% в связи с увеличением муниципальных заимствований;</w:t>
      </w:r>
    </w:p>
    <w:p>
      <w:pPr>
        <w:numPr>
          <w:ilvl w:val="0"/>
          <w:numId w:val="10"/>
        </w:numPr>
        <w:shd w:val="clear" w:color="auto" w:fill="FFFFFF"/>
        <w:spacing w:before="5"/>
        <w:ind w:left="0" w:firstLine="709"/>
        <w:jc w:val="both"/>
        <w:rPr>
          <w:sz w:val="24"/>
          <w:szCs w:val="24"/>
        </w:rPr>
      </w:pPr>
      <w:r>
        <w:rPr>
          <w:sz w:val="24"/>
          <w:szCs w:val="24"/>
        </w:rPr>
        <w:t>«Социальная политика» на 3 619,91 тыс.руб. или на 3,0%, преимущественно в связи с увеличением расходов за счет МБТ на приобретение жилья детям - сиротам и молодым семьям;</w:t>
      </w:r>
    </w:p>
    <w:p>
      <w:pPr>
        <w:pStyle w:val="af8"/>
        <w:numPr>
          <w:ilvl w:val="0"/>
          <w:numId w:val="10"/>
        </w:numPr>
        <w:shd w:val="clear" w:color="auto" w:fill="FFFFFF"/>
        <w:spacing w:before="5"/>
        <w:ind w:left="0" w:firstLine="709"/>
        <w:jc w:val="both"/>
        <w:rPr>
          <w:sz w:val="24"/>
          <w:szCs w:val="24"/>
        </w:rPr>
      </w:pPr>
      <w:r>
        <w:rPr>
          <w:sz w:val="24"/>
          <w:szCs w:val="24"/>
        </w:rPr>
        <w:t xml:space="preserve">«Культура и кинематография» на 11 113,26 тыс.руб., или на 2,7%, из них </w:t>
      </w:r>
      <w:r>
        <w:rPr>
          <w:sz w:val="24"/>
          <w:szCs w:val="24"/>
        </w:rPr>
        <w:br/>
        <w:t>3 950,00 тыс.руб. на исполнение регионального проекта «Культурная среда», в 3,2 раза на капитальный ремонт автоматических систем тушения пожара и дымоудаления, противопожарного водопровода в здании МБУ СМТ по адресу: г.Северск Томская область, просп.Коммунистический, 119 ;</w:t>
      </w:r>
    </w:p>
    <w:p>
      <w:pPr>
        <w:pStyle w:val="af8"/>
        <w:numPr>
          <w:ilvl w:val="0"/>
          <w:numId w:val="10"/>
        </w:numPr>
        <w:shd w:val="clear" w:color="auto" w:fill="FFFFFF"/>
        <w:spacing w:before="5"/>
        <w:ind w:left="0" w:firstLine="709"/>
        <w:jc w:val="both"/>
        <w:rPr>
          <w:sz w:val="24"/>
          <w:szCs w:val="24"/>
        </w:rPr>
      </w:pPr>
      <w:r>
        <w:t xml:space="preserve"> </w:t>
      </w:r>
      <w:r>
        <w:rPr>
          <w:sz w:val="24"/>
          <w:szCs w:val="24"/>
        </w:rPr>
        <w:t>«Национальная экономика» на 26 353,88 тыс.руб. или на 4,7, из них: расходы на обеспечение деятельности МБЭУ (20 705,82 тыс.руб.);</w:t>
      </w:r>
    </w:p>
    <w:p>
      <w:pPr>
        <w:pStyle w:val="af8"/>
        <w:numPr>
          <w:ilvl w:val="0"/>
          <w:numId w:val="10"/>
        </w:numPr>
        <w:shd w:val="clear" w:color="auto" w:fill="FFFFFF"/>
        <w:spacing w:before="5"/>
        <w:ind w:left="0" w:firstLine="709"/>
        <w:jc w:val="both"/>
        <w:rPr>
          <w:sz w:val="24"/>
          <w:szCs w:val="24"/>
        </w:rPr>
      </w:pPr>
      <w:r>
        <w:rPr>
          <w:sz w:val="24"/>
          <w:szCs w:val="24"/>
        </w:rPr>
        <w:t>«ЖКХ» на 112 926,08 тыс.руб. или на 35,1%, из них: на строительство инженерной инфраструктуры на территории для размещения индивидуального жилищного строительства в пос. Самусь (76 069,05 тыс.руб.); на строительство муниципального общественного кладбища в г.Северске (32 173,67 тыс.руб.);</w:t>
      </w:r>
    </w:p>
    <w:p>
      <w:pPr>
        <w:pStyle w:val="af8"/>
        <w:numPr>
          <w:ilvl w:val="0"/>
          <w:numId w:val="10"/>
        </w:numPr>
        <w:shd w:val="clear" w:color="auto" w:fill="FFFFFF"/>
        <w:spacing w:before="5"/>
        <w:ind w:left="0" w:firstLine="709"/>
        <w:jc w:val="both"/>
        <w:rPr>
          <w:sz w:val="24"/>
          <w:szCs w:val="24"/>
        </w:rPr>
      </w:pPr>
      <w:r>
        <w:rPr>
          <w:sz w:val="24"/>
          <w:szCs w:val="24"/>
        </w:rPr>
        <w:t xml:space="preserve"> «Образование» на 182 186,38 тыс.руб., или на 6,9%, из них 37 512,71 тыс.руб. ежемесячное денежное вознаграждение за классное руководство, 26 669,08 тыс.руб. организация бесплатного горячего питания обучающихся, получающих начальное общее образование в муниципальных образовательных организациях, 4 614,32 тыс.руб. приобретение оборудования для столовых и мебели для обеденных залов образовательных организаций, 41 382,30 тыс.руб.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28 108,97 тыс.руб. оздоровительная кампания (в 2020 году не проводилась);</w:t>
      </w:r>
    </w:p>
    <w:p>
      <w:pPr>
        <w:pStyle w:val="af8"/>
        <w:shd w:val="clear" w:color="auto" w:fill="FFFFFF"/>
        <w:ind w:left="0" w:firstLine="709"/>
        <w:jc w:val="both"/>
        <w:rPr>
          <w:noProof/>
          <w:sz w:val="24"/>
          <w:szCs w:val="24"/>
        </w:rPr>
      </w:pPr>
      <w:r>
        <w:rPr>
          <w:sz w:val="24"/>
          <w:szCs w:val="24"/>
        </w:rPr>
        <w:lastRenderedPageBreak/>
        <w:t>По некоторым разделам отмечено снижение расходов. Наибольшее снижение расходов к уровню 2020 года по разделам:</w:t>
      </w:r>
    </w:p>
    <w:p>
      <w:pPr>
        <w:pStyle w:val="af8"/>
        <w:numPr>
          <w:ilvl w:val="0"/>
          <w:numId w:val="10"/>
        </w:numPr>
        <w:shd w:val="clear" w:color="auto" w:fill="FFFFFF"/>
        <w:spacing w:before="5"/>
        <w:ind w:left="0" w:right="10" w:firstLine="709"/>
        <w:jc w:val="both"/>
        <w:rPr>
          <w:noProof/>
          <w:sz w:val="24"/>
          <w:szCs w:val="24"/>
        </w:rPr>
      </w:pPr>
      <w:r>
        <w:rPr>
          <w:sz w:val="24"/>
          <w:szCs w:val="24"/>
        </w:rPr>
        <w:t xml:space="preserve">«Общегосударственные вопросы» на 15 850,55 тыс.руб. на разовые расходы 2020 г. по избирательной комиссии муниципального образования ЗАТО Северск; </w:t>
      </w:r>
    </w:p>
    <w:p>
      <w:pPr>
        <w:pStyle w:val="af8"/>
        <w:numPr>
          <w:ilvl w:val="0"/>
          <w:numId w:val="10"/>
        </w:numPr>
        <w:shd w:val="clear" w:color="auto" w:fill="FFFFFF"/>
        <w:spacing w:before="5"/>
        <w:ind w:left="0" w:right="10" w:firstLine="709"/>
        <w:jc w:val="both"/>
        <w:rPr>
          <w:noProof/>
          <w:sz w:val="24"/>
          <w:szCs w:val="24"/>
        </w:rPr>
      </w:pPr>
      <w:r>
        <w:rPr>
          <w:sz w:val="24"/>
          <w:szCs w:val="24"/>
        </w:rPr>
        <w:t>«Физкультура и спорт» на 12 231,56 тыс.руб. – что обусловлено поступлением в меньшем объеме межбюджетных трансфертов на исполнение региональных проектов в 2021 году в части приобретения основных средств спортивной направленности.</w:t>
      </w:r>
    </w:p>
    <w:p>
      <w:pPr>
        <w:pStyle w:val="af8"/>
        <w:shd w:val="clear" w:color="auto" w:fill="FFFFFF"/>
        <w:spacing w:before="5"/>
        <w:ind w:left="709" w:right="10" w:hanging="709"/>
        <w:jc w:val="both"/>
        <w:rPr>
          <w:noProof/>
          <w:sz w:val="24"/>
          <w:szCs w:val="24"/>
        </w:rPr>
      </w:pPr>
      <w:r>
        <w:rPr>
          <w:noProof/>
        </w:rPr>
        <w:drawing>
          <wp:inline distT="0" distB="0" distL="0" distR="0">
            <wp:extent cx="6214745" cy="3335655"/>
            <wp:effectExtent l="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14745" cy="3335655"/>
                    </a:xfrm>
                    <a:prstGeom prst="rect">
                      <a:avLst/>
                    </a:prstGeom>
                    <a:noFill/>
                    <a:ln>
                      <a:noFill/>
                    </a:ln>
                  </pic:spPr>
                </pic:pic>
              </a:graphicData>
            </a:graphic>
          </wp:inline>
        </w:drawing>
      </w:r>
    </w:p>
    <w:p>
      <w:pPr>
        <w:shd w:val="clear" w:color="auto" w:fill="FFFFFF"/>
        <w:spacing w:before="5"/>
        <w:ind w:right="10"/>
        <w:jc w:val="center"/>
        <w:rPr>
          <w:noProof/>
          <w:sz w:val="24"/>
          <w:szCs w:val="24"/>
        </w:rPr>
      </w:pPr>
      <w:r>
        <w:rPr>
          <w:noProof/>
          <w:sz w:val="24"/>
          <w:szCs w:val="24"/>
        </w:rPr>
        <w:t>Рисунок 9. Темпы роста по расходам бюджета ЗАТО Северск 2021 года по разделам</w:t>
      </w:r>
    </w:p>
    <w:p>
      <w:pPr>
        <w:shd w:val="clear" w:color="auto" w:fill="FFFFFF"/>
        <w:spacing w:before="5"/>
        <w:ind w:right="10" w:firstLine="708"/>
        <w:rPr>
          <w:highlight w:val="yellow"/>
        </w:rPr>
      </w:pPr>
    </w:p>
    <w:p>
      <w:pPr>
        <w:spacing w:after="120"/>
        <w:ind w:right="57"/>
        <w:jc w:val="center"/>
        <w:rPr>
          <w:b/>
          <w:sz w:val="24"/>
          <w:szCs w:val="24"/>
        </w:rPr>
      </w:pPr>
      <w:r>
        <w:rPr>
          <w:b/>
          <w:sz w:val="24"/>
          <w:szCs w:val="24"/>
        </w:rPr>
        <w:t xml:space="preserve">4.1.1. Расходы </w:t>
      </w:r>
      <w:r>
        <w:rPr>
          <w:b/>
          <w:bCs/>
          <w:color w:val="000000"/>
          <w:sz w:val="24"/>
          <w:szCs w:val="24"/>
        </w:rPr>
        <w:t>капитального характера и на капитальный ремонт</w:t>
      </w:r>
    </w:p>
    <w:p>
      <w:pPr>
        <w:ind w:firstLine="709"/>
        <w:jc w:val="both"/>
        <w:rPr>
          <w:bCs/>
          <w:sz w:val="24"/>
          <w:szCs w:val="24"/>
        </w:rPr>
      </w:pPr>
      <w:r>
        <w:rPr>
          <w:bCs/>
          <w:sz w:val="24"/>
          <w:szCs w:val="24"/>
        </w:rPr>
        <w:t>В 2021 году за счёт средств бюджета ЗАТО Северск были осуществлены следующие расходы капитального характера на общую сумму 240 694,95 тыс.руб.:</w:t>
      </w:r>
    </w:p>
    <w:p>
      <w:pPr>
        <w:ind w:firstLine="709"/>
        <w:jc w:val="both"/>
        <w:rPr>
          <w:bCs/>
          <w:sz w:val="24"/>
          <w:szCs w:val="24"/>
        </w:rPr>
      </w:pPr>
      <w:r>
        <w:rPr>
          <w:bCs/>
          <w:sz w:val="24"/>
          <w:szCs w:val="24"/>
        </w:rPr>
        <w:t>1)</w:t>
      </w:r>
      <w:r>
        <w:rPr>
          <w:b/>
          <w:bCs/>
          <w:sz w:val="24"/>
          <w:szCs w:val="24"/>
          <w:lang w:val="en-US"/>
        </w:rPr>
        <w:t> </w:t>
      </w:r>
      <w:r>
        <w:rPr>
          <w:b/>
          <w:bCs/>
          <w:sz w:val="24"/>
          <w:szCs w:val="24"/>
        </w:rPr>
        <w:t>приобретены основные средства</w:t>
      </w:r>
      <w:r>
        <w:rPr>
          <w:bCs/>
          <w:sz w:val="24"/>
          <w:szCs w:val="24"/>
        </w:rPr>
        <w:t xml:space="preserve"> на сумму 93 042,45 тыс.руб., в том числе:</w:t>
      </w:r>
    </w:p>
    <w:p>
      <w:pPr>
        <w:ind w:firstLine="709"/>
        <w:jc w:val="both"/>
        <w:rPr>
          <w:bCs/>
          <w:sz w:val="24"/>
          <w:szCs w:val="24"/>
        </w:rPr>
      </w:pPr>
      <w:r>
        <w:rPr>
          <w:bCs/>
          <w:sz w:val="24"/>
          <w:szCs w:val="24"/>
        </w:rPr>
        <w:t>-</w:t>
      </w:r>
      <w:r>
        <w:rPr>
          <w:bCs/>
          <w:sz w:val="24"/>
          <w:szCs w:val="24"/>
          <w:lang w:val="en-US"/>
        </w:rPr>
        <w:t> </w:t>
      </w:r>
      <w:r>
        <w:rPr>
          <w:bCs/>
          <w:i/>
          <w:sz w:val="24"/>
          <w:szCs w:val="24"/>
        </w:rPr>
        <w:t>по разделу «</w:t>
      </w:r>
      <w:r>
        <w:rPr>
          <w:bCs/>
          <w:i/>
          <w:color w:val="000000"/>
          <w:sz w:val="24"/>
          <w:szCs w:val="24"/>
        </w:rPr>
        <w:t xml:space="preserve">Общегосударственные </w:t>
      </w:r>
      <w:r>
        <w:rPr>
          <w:bCs/>
          <w:i/>
          <w:sz w:val="24"/>
          <w:szCs w:val="24"/>
        </w:rPr>
        <w:t>вопросы» на 7 059,26 тыс.руб.,</w:t>
      </w:r>
      <w:r>
        <w:rPr>
          <w:bCs/>
          <w:sz w:val="24"/>
          <w:szCs w:val="24"/>
        </w:rPr>
        <w:t xml:space="preserve"> в том числе:</w:t>
      </w:r>
    </w:p>
    <w:p>
      <w:pPr>
        <w:numPr>
          <w:ilvl w:val="0"/>
          <w:numId w:val="2"/>
        </w:numPr>
        <w:tabs>
          <w:tab w:val="left" w:pos="993"/>
        </w:tabs>
        <w:ind w:left="0" w:firstLine="709"/>
        <w:jc w:val="both"/>
        <w:rPr>
          <w:bCs/>
          <w:sz w:val="24"/>
          <w:szCs w:val="24"/>
        </w:rPr>
      </w:pPr>
      <w:r>
        <w:rPr>
          <w:color w:val="000000"/>
          <w:sz w:val="24"/>
          <w:szCs w:val="24"/>
        </w:rPr>
        <w:t>6 821,66 тыс.руб. – приобретение вычислительной техники, оргтехники и мебели;</w:t>
      </w:r>
      <w:r>
        <w:rPr>
          <w:bCs/>
          <w:sz w:val="24"/>
          <w:szCs w:val="24"/>
        </w:rPr>
        <w:t xml:space="preserve"> </w:t>
      </w:r>
    </w:p>
    <w:p>
      <w:pPr>
        <w:numPr>
          <w:ilvl w:val="0"/>
          <w:numId w:val="1"/>
        </w:numPr>
        <w:tabs>
          <w:tab w:val="left" w:pos="993"/>
        </w:tabs>
        <w:ind w:left="0" w:firstLine="709"/>
        <w:jc w:val="both"/>
        <w:rPr>
          <w:color w:val="000000"/>
          <w:sz w:val="24"/>
          <w:szCs w:val="24"/>
        </w:rPr>
      </w:pPr>
      <w:r>
        <w:rPr>
          <w:bCs/>
          <w:sz w:val="24"/>
          <w:szCs w:val="24"/>
        </w:rPr>
        <w:t xml:space="preserve">237,60 тыс.руб. – </w:t>
      </w:r>
      <w:r>
        <w:rPr>
          <w:bCs/>
          <w:color w:val="000000"/>
          <w:sz w:val="24"/>
          <w:szCs w:val="24"/>
        </w:rPr>
        <w:t>приобретение оборудования и средств индивидуальной защиты для реализации мероприятий, направленных на предупреждение распространения новой коронавирусной инфекции</w:t>
      </w:r>
      <w:r>
        <w:rPr>
          <w:color w:val="000000"/>
          <w:sz w:val="24"/>
          <w:szCs w:val="24"/>
        </w:rPr>
        <w:t>;</w:t>
      </w:r>
    </w:p>
    <w:p>
      <w:pPr>
        <w:ind w:firstLine="709"/>
        <w:jc w:val="both"/>
        <w:rPr>
          <w:bCs/>
          <w:sz w:val="24"/>
          <w:szCs w:val="24"/>
        </w:rPr>
      </w:pPr>
      <w:r>
        <w:rPr>
          <w:bCs/>
          <w:sz w:val="24"/>
          <w:szCs w:val="24"/>
        </w:rPr>
        <w:t xml:space="preserve">- </w:t>
      </w:r>
      <w:r>
        <w:rPr>
          <w:bCs/>
          <w:i/>
          <w:sz w:val="24"/>
          <w:szCs w:val="24"/>
        </w:rPr>
        <w:t>по разделу «Национальная экономика» на 11 730,98 тыс.руб.</w:t>
      </w:r>
      <w:r>
        <w:rPr>
          <w:bCs/>
          <w:sz w:val="24"/>
          <w:szCs w:val="24"/>
        </w:rPr>
        <w:t xml:space="preserve">, из них: </w:t>
      </w:r>
    </w:p>
    <w:p>
      <w:pPr>
        <w:numPr>
          <w:ilvl w:val="0"/>
          <w:numId w:val="2"/>
        </w:numPr>
        <w:tabs>
          <w:tab w:val="left" w:pos="993"/>
        </w:tabs>
        <w:ind w:left="0" w:firstLine="709"/>
        <w:jc w:val="both"/>
        <w:rPr>
          <w:bCs/>
          <w:sz w:val="24"/>
          <w:szCs w:val="24"/>
        </w:rPr>
      </w:pPr>
      <w:r>
        <w:rPr>
          <w:bCs/>
          <w:sz w:val="24"/>
          <w:szCs w:val="24"/>
        </w:rPr>
        <w:t>5 013,47 тыс. руб. – приобретение лапового снегопогрузчика СнП-17;</w:t>
      </w:r>
    </w:p>
    <w:p>
      <w:pPr>
        <w:numPr>
          <w:ilvl w:val="0"/>
          <w:numId w:val="2"/>
        </w:numPr>
        <w:tabs>
          <w:tab w:val="left" w:pos="993"/>
        </w:tabs>
        <w:ind w:left="0" w:firstLine="709"/>
        <w:jc w:val="both"/>
        <w:rPr>
          <w:bCs/>
          <w:sz w:val="24"/>
          <w:szCs w:val="24"/>
        </w:rPr>
      </w:pPr>
      <w:r>
        <w:rPr>
          <w:bCs/>
          <w:sz w:val="24"/>
          <w:szCs w:val="24"/>
        </w:rPr>
        <w:t>2 060,57 тыс.руб.  – модернизация светофорного объекта;</w:t>
      </w:r>
    </w:p>
    <w:p>
      <w:pPr>
        <w:numPr>
          <w:ilvl w:val="0"/>
          <w:numId w:val="2"/>
        </w:numPr>
        <w:tabs>
          <w:tab w:val="left" w:pos="993"/>
        </w:tabs>
        <w:ind w:left="0" w:firstLine="709"/>
        <w:jc w:val="both"/>
        <w:rPr>
          <w:bCs/>
          <w:sz w:val="24"/>
          <w:szCs w:val="24"/>
        </w:rPr>
      </w:pPr>
      <w:r>
        <w:rPr>
          <w:bCs/>
          <w:sz w:val="24"/>
          <w:szCs w:val="24"/>
        </w:rPr>
        <w:t>1 950,12 тыс.руб. – приобретение и установка дорожных знаков;</w:t>
      </w:r>
    </w:p>
    <w:p>
      <w:pPr>
        <w:numPr>
          <w:ilvl w:val="0"/>
          <w:numId w:val="2"/>
        </w:numPr>
        <w:tabs>
          <w:tab w:val="left" w:pos="993"/>
        </w:tabs>
        <w:ind w:left="0" w:firstLine="709"/>
        <w:jc w:val="both"/>
        <w:rPr>
          <w:bCs/>
          <w:sz w:val="24"/>
          <w:szCs w:val="24"/>
        </w:rPr>
      </w:pPr>
      <w:r>
        <w:rPr>
          <w:bCs/>
          <w:sz w:val="24"/>
          <w:szCs w:val="24"/>
        </w:rPr>
        <w:t>1 384,72 тыс.руб. – обустройство пешеходного перехода;</w:t>
      </w:r>
    </w:p>
    <w:p>
      <w:pPr>
        <w:numPr>
          <w:ilvl w:val="0"/>
          <w:numId w:val="2"/>
        </w:numPr>
        <w:tabs>
          <w:tab w:val="left" w:pos="993"/>
        </w:tabs>
        <w:ind w:left="0" w:firstLine="709"/>
        <w:jc w:val="both"/>
        <w:rPr>
          <w:bCs/>
          <w:sz w:val="24"/>
          <w:szCs w:val="24"/>
        </w:rPr>
      </w:pPr>
      <w:r>
        <w:rPr>
          <w:bCs/>
          <w:sz w:val="24"/>
          <w:szCs w:val="24"/>
        </w:rPr>
        <w:t>815,42 тыс.руб. – приобретение компьютерного и серверного оборудования, монтаж пожарной и охранной сигнализации;</w:t>
      </w:r>
    </w:p>
    <w:p>
      <w:pPr>
        <w:ind w:firstLine="709"/>
        <w:jc w:val="both"/>
        <w:rPr>
          <w:bCs/>
          <w:sz w:val="24"/>
          <w:szCs w:val="24"/>
        </w:rPr>
      </w:pPr>
      <w:r>
        <w:rPr>
          <w:bCs/>
          <w:sz w:val="24"/>
          <w:szCs w:val="24"/>
        </w:rPr>
        <w:t>-</w:t>
      </w:r>
      <w:r>
        <w:rPr>
          <w:bCs/>
          <w:sz w:val="24"/>
          <w:szCs w:val="24"/>
          <w:lang w:val="en-US"/>
        </w:rPr>
        <w:t> </w:t>
      </w:r>
      <w:r>
        <w:rPr>
          <w:bCs/>
          <w:i/>
          <w:sz w:val="24"/>
          <w:szCs w:val="24"/>
        </w:rPr>
        <w:t>по разделу «</w:t>
      </w:r>
      <w:r>
        <w:rPr>
          <w:i/>
          <w:sz w:val="24"/>
          <w:szCs w:val="24"/>
        </w:rPr>
        <w:t>Жилищно-коммунальное хозяйство</w:t>
      </w:r>
      <w:r>
        <w:rPr>
          <w:bCs/>
          <w:i/>
          <w:sz w:val="24"/>
          <w:szCs w:val="24"/>
        </w:rPr>
        <w:t>» на 18 378,93 тыс.руб</w:t>
      </w:r>
      <w:r>
        <w:rPr>
          <w:bCs/>
          <w:sz w:val="24"/>
          <w:szCs w:val="24"/>
        </w:rPr>
        <w:t>., в том числе:</w:t>
      </w:r>
    </w:p>
    <w:p>
      <w:pPr>
        <w:numPr>
          <w:ilvl w:val="0"/>
          <w:numId w:val="1"/>
        </w:numPr>
        <w:tabs>
          <w:tab w:val="left" w:pos="993"/>
        </w:tabs>
        <w:ind w:left="0" w:firstLine="709"/>
        <w:jc w:val="both"/>
      </w:pPr>
      <w:r>
        <w:rPr>
          <w:bCs/>
          <w:sz w:val="24"/>
          <w:szCs w:val="24"/>
        </w:rPr>
        <w:t xml:space="preserve">16 103,26 тыс.руб. – </w:t>
      </w:r>
      <w:r>
        <w:rPr>
          <w:sz w:val="24"/>
          <w:szCs w:val="24"/>
        </w:rPr>
        <w:t>приобретение малых архитектурных форм, игрового оборудования;</w:t>
      </w:r>
    </w:p>
    <w:p>
      <w:pPr>
        <w:numPr>
          <w:ilvl w:val="0"/>
          <w:numId w:val="1"/>
        </w:numPr>
        <w:tabs>
          <w:tab w:val="left" w:pos="993"/>
        </w:tabs>
        <w:ind w:left="0" w:firstLine="709"/>
        <w:jc w:val="both"/>
      </w:pPr>
      <w:r>
        <w:rPr>
          <w:sz w:val="24"/>
          <w:szCs w:val="24"/>
        </w:rPr>
        <w:t>1 211,70 тыс.руб. – на приобретение основных средств для праздничного оформления города к Дню Победы, приобретение инструментов для МБЭУ, биотуалетов;</w:t>
      </w:r>
    </w:p>
    <w:p>
      <w:pPr>
        <w:numPr>
          <w:ilvl w:val="0"/>
          <w:numId w:val="1"/>
        </w:numPr>
        <w:tabs>
          <w:tab w:val="left" w:pos="993"/>
        </w:tabs>
        <w:ind w:left="0" w:firstLine="709"/>
        <w:jc w:val="both"/>
      </w:pPr>
      <w:r>
        <w:rPr>
          <w:sz w:val="24"/>
          <w:szCs w:val="24"/>
        </w:rPr>
        <w:t>419,56 тыс.руб. – обустройство контейнерных площадок;</w:t>
      </w:r>
    </w:p>
    <w:p>
      <w:pPr>
        <w:numPr>
          <w:ilvl w:val="0"/>
          <w:numId w:val="1"/>
        </w:numPr>
        <w:tabs>
          <w:tab w:val="left" w:pos="993"/>
        </w:tabs>
        <w:ind w:left="0" w:firstLine="709"/>
        <w:jc w:val="both"/>
      </w:pPr>
      <w:r>
        <w:rPr>
          <w:sz w:val="24"/>
          <w:szCs w:val="24"/>
        </w:rPr>
        <w:t>594,20 тыс.руб. – устройство линии наружного освещения по ул.Транспортная (от ул.Спортивной до ул.Свердлова);</w:t>
      </w:r>
    </w:p>
    <w:p>
      <w:pPr>
        <w:numPr>
          <w:ilvl w:val="0"/>
          <w:numId w:val="1"/>
        </w:numPr>
        <w:tabs>
          <w:tab w:val="left" w:pos="993"/>
        </w:tabs>
        <w:ind w:left="0" w:firstLine="709"/>
        <w:jc w:val="both"/>
      </w:pPr>
      <w:r>
        <w:rPr>
          <w:sz w:val="24"/>
          <w:szCs w:val="24"/>
        </w:rPr>
        <w:lastRenderedPageBreak/>
        <w:t>50,21 тыс.руб. – изготовление и установка пандусов в жилых домах.</w:t>
      </w:r>
      <w:r>
        <w:rPr>
          <w:highlight w:val="yellow"/>
        </w:rPr>
        <w:t xml:space="preserve"> </w:t>
      </w:r>
    </w:p>
    <w:p>
      <w:pPr>
        <w:tabs>
          <w:tab w:val="left" w:pos="993"/>
        </w:tabs>
        <w:ind w:left="709"/>
        <w:jc w:val="both"/>
        <w:rPr>
          <w:bCs/>
          <w:sz w:val="24"/>
          <w:szCs w:val="24"/>
        </w:rPr>
      </w:pPr>
      <w:r>
        <w:rPr>
          <w:bCs/>
          <w:sz w:val="24"/>
          <w:szCs w:val="24"/>
        </w:rPr>
        <w:t>-</w:t>
      </w:r>
      <w:r>
        <w:rPr>
          <w:bCs/>
          <w:sz w:val="24"/>
          <w:szCs w:val="24"/>
          <w:lang w:val="en-US"/>
        </w:rPr>
        <w:t> </w:t>
      </w:r>
      <w:r>
        <w:rPr>
          <w:bCs/>
          <w:i/>
          <w:sz w:val="24"/>
          <w:szCs w:val="24"/>
        </w:rPr>
        <w:t>по разделу «Образование» на 31 332,25 тыс.руб.,</w:t>
      </w:r>
      <w:r>
        <w:rPr>
          <w:bCs/>
          <w:sz w:val="24"/>
          <w:szCs w:val="24"/>
        </w:rPr>
        <w:t xml:space="preserve"> из них:</w:t>
      </w:r>
    </w:p>
    <w:p>
      <w:pPr>
        <w:pStyle w:val="af8"/>
        <w:numPr>
          <w:ilvl w:val="0"/>
          <w:numId w:val="6"/>
        </w:numPr>
        <w:tabs>
          <w:tab w:val="left" w:pos="993"/>
        </w:tabs>
        <w:ind w:left="0" w:firstLine="709"/>
        <w:jc w:val="both"/>
        <w:rPr>
          <w:bCs/>
          <w:sz w:val="24"/>
          <w:szCs w:val="24"/>
        </w:rPr>
      </w:pPr>
      <w:r>
        <w:rPr>
          <w:bCs/>
          <w:sz w:val="24"/>
          <w:szCs w:val="24"/>
        </w:rPr>
        <w:t>16 452,88 тыс.руб. </w:t>
      </w:r>
      <w:r>
        <w:rPr>
          <w:color w:val="000000"/>
          <w:sz w:val="24"/>
          <w:szCs w:val="24"/>
        </w:rPr>
        <w:t>–</w:t>
      </w:r>
      <w:r>
        <w:rPr>
          <w:bCs/>
          <w:sz w:val="24"/>
          <w:szCs w:val="24"/>
        </w:rPr>
        <w:t> приобретение учебного, спортивного, компьютерного, кухонного оборудования, мебели для образовательных организаций;</w:t>
      </w:r>
    </w:p>
    <w:p>
      <w:pPr>
        <w:pStyle w:val="af8"/>
        <w:numPr>
          <w:ilvl w:val="0"/>
          <w:numId w:val="6"/>
        </w:numPr>
        <w:tabs>
          <w:tab w:val="left" w:pos="993"/>
        </w:tabs>
        <w:ind w:left="0" w:firstLine="709"/>
        <w:jc w:val="both"/>
        <w:rPr>
          <w:bCs/>
          <w:sz w:val="24"/>
          <w:szCs w:val="24"/>
        </w:rPr>
      </w:pPr>
      <w:r>
        <w:rPr>
          <w:bCs/>
          <w:sz w:val="24"/>
          <w:szCs w:val="24"/>
        </w:rPr>
        <w:t>13 074,70 тыс.руб. </w:t>
      </w:r>
      <w:r>
        <w:rPr>
          <w:color w:val="000000"/>
          <w:sz w:val="24"/>
          <w:szCs w:val="24"/>
        </w:rPr>
        <w:t>– </w:t>
      </w:r>
      <w:r>
        <w:rPr>
          <w:bCs/>
          <w:sz w:val="24"/>
          <w:szCs w:val="24"/>
        </w:rPr>
        <w:t xml:space="preserve">приобретение многофункциональных устройств, ноутбуков, интерактивных панелей, предоставление лицензий на право использовать программное обеспечение в рамках региональных проектов «Цифровая образовательная среда», Успех каждого ребенка»; </w:t>
      </w:r>
    </w:p>
    <w:p>
      <w:pPr>
        <w:pStyle w:val="af8"/>
        <w:numPr>
          <w:ilvl w:val="0"/>
          <w:numId w:val="6"/>
        </w:numPr>
        <w:tabs>
          <w:tab w:val="left" w:pos="993"/>
        </w:tabs>
        <w:ind w:left="0" w:firstLine="709"/>
        <w:jc w:val="both"/>
        <w:rPr>
          <w:bCs/>
          <w:sz w:val="24"/>
          <w:szCs w:val="24"/>
        </w:rPr>
      </w:pPr>
      <w:r>
        <w:rPr>
          <w:bCs/>
          <w:sz w:val="24"/>
          <w:szCs w:val="24"/>
        </w:rPr>
        <w:t xml:space="preserve">1 749,18 тыс.руб. </w:t>
      </w:r>
      <w:r>
        <w:rPr>
          <w:color w:val="000000"/>
          <w:sz w:val="24"/>
          <w:szCs w:val="24"/>
        </w:rPr>
        <w:t>–</w:t>
      </w:r>
      <w:r>
        <w:rPr>
          <w:bCs/>
          <w:sz w:val="24"/>
          <w:szCs w:val="24"/>
        </w:rPr>
        <w:t xml:space="preserve"> </w:t>
      </w:r>
      <w:r>
        <w:rPr>
          <w:bCs/>
          <w:color w:val="000000"/>
          <w:sz w:val="24"/>
          <w:szCs w:val="24"/>
        </w:rPr>
        <w:t>приобретение оборудования и средств индивидуальной защиты для реализации мероприятий, направленных на предупреждение распространения новой коронавирусной инфекции</w:t>
      </w:r>
      <w:r>
        <w:rPr>
          <w:color w:val="000000"/>
          <w:sz w:val="24"/>
          <w:szCs w:val="24"/>
        </w:rPr>
        <w:t xml:space="preserve">;  </w:t>
      </w:r>
    </w:p>
    <w:p>
      <w:pPr>
        <w:pStyle w:val="af8"/>
        <w:tabs>
          <w:tab w:val="left" w:pos="993"/>
        </w:tabs>
        <w:ind w:left="709"/>
        <w:jc w:val="both"/>
        <w:rPr>
          <w:bCs/>
        </w:rPr>
      </w:pPr>
    </w:p>
    <w:p>
      <w:pPr>
        <w:ind w:firstLine="709"/>
        <w:jc w:val="both"/>
        <w:rPr>
          <w:bCs/>
          <w:sz w:val="24"/>
          <w:szCs w:val="24"/>
        </w:rPr>
      </w:pPr>
      <w:r>
        <w:rPr>
          <w:bCs/>
          <w:sz w:val="24"/>
          <w:szCs w:val="24"/>
        </w:rPr>
        <w:t>-</w:t>
      </w:r>
      <w:r>
        <w:rPr>
          <w:bCs/>
          <w:sz w:val="24"/>
          <w:szCs w:val="24"/>
          <w:lang w:val="en-US"/>
        </w:rPr>
        <w:t> </w:t>
      </w:r>
      <w:r>
        <w:rPr>
          <w:bCs/>
          <w:i/>
          <w:sz w:val="24"/>
          <w:szCs w:val="24"/>
        </w:rPr>
        <w:t xml:space="preserve">по разделу </w:t>
      </w:r>
      <w:r>
        <w:rPr>
          <w:bCs/>
          <w:i/>
          <w:color w:val="000000"/>
          <w:sz w:val="24"/>
          <w:szCs w:val="24"/>
        </w:rPr>
        <w:t>«Культура, кинематография</w:t>
      </w:r>
      <w:r>
        <w:rPr>
          <w:bCs/>
          <w:i/>
          <w:sz w:val="24"/>
          <w:szCs w:val="24"/>
        </w:rPr>
        <w:t>» на 14 148,26 тыс.руб.,</w:t>
      </w:r>
      <w:r>
        <w:rPr>
          <w:bCs/>
          <w:sz w:val="24"/>
          <w:szCs w:val="24"/>
        </w:rPr>
        <w:t xml:space="preserve"> из них:</w:t>
      </w:r>
    </w:p>
    <w:p>
      <w:pPr>
        <w:numPr>
          <w:ilvl w:val="0"/>
          <w:numId w:val="12"/>
        </w:numPr>
        <w:tabs>
          <w:tab w:val="left" w:pos="993"/>
        </w:tabs>
        <w:ind w:left="0" w:firstLine="709"/>
        <w:jc w:val="both"/>
        <w:rPr>
          <w:color w:val="000000"/>
          <w:sz w:val="24"/>
          <w:szCs w:val="24"/>
        </w:rPr>
      </w:pPr>
      <w:r>
        <w:rPr>
          <w:color w:val="000000"/>
          <w:sz w:val="24"/>
          <w:szCs w:val="24"/>
        </w:rPr>
        <w:t>10 389,78 тыс.руб. – приобретение светового и звукового оборудования, одежды сцены, музыкальных инструментов, проекционного экрана, швейного оборудования в рамках проектов «Поддержка творческой деятельности и укрепления материально-технической базы муниципальных театров в населенных пунктах с численностью населения до 300 тысяч человек» и «Поддержка творческой деятельности и техническое оснащение детских и кукольных театров»;</w:t>
      </w:r>
    </w:p>
    <w:p>
      <w:pPr>
        <w:numPr>
          <w:ilvl w:val="0"/>
          <w:numId w:val="12"/>
        </w:numPr>
        <w:tabs>
          <w:tab w:val="left" w:pos="993"/>
        </w:tabs>
        <w:ind w:left="0" w:firstLine="709"/>
        <w:jc w:val="both"/>
        <w:rPr>
          <w:color w:val="000000"/>
          <w:sz w:val="24"/>
          <w:szCs w:val="24"/>
        </w:rPr>
      </w:pPr>
      <w:r>
        <w:rPr>
          <w:color w:val="000000"/>
          <w:sz w:val="24"/>
          <w:szCs w:val="24"/>
        </w:rPr>
        <w:t>3 444,81 тыс.руб. – приобретение компьютерного оборудования и мебели  для создания модельных библиотек в том числе в рамках регионального проекта «Культурная среда»;</w:t>
      </w:r>
    </w:p>
    <w:p>
      <w:pPr>
        <w:numPr>
          <w:ilvl w:val="0"/>
          <w:numId w:val="12"/>
        </w:numPr>
        <w:tabs>
          <w:tab w:val="left" w:pos="993"/>
        </w:tabs>
        <w:ind w:left="0" w:firstLine="709"/>
        <w:jc w:val="both"/>
        <w:rPr>
          <w:color w:val="000000"/>
          <w:sz w:val="24"/>
          <w:szCs w:val="24"/>
        </w:rPr>
      </w:pPr>
      <w:r>
        <w:rPr>
          <w:color w:val="000000"/>
          <w:sz w:val="24"/>
          <w:szCs w:val="24"/>
        </w:rPr>
        <w:t>313,67 тыс.руб. – приобретение мебели, оборудования.</w:t>
      </w:r>
    </w:p>
    <w:p>
      <w:pPr>
        <w:tabs>
          <w:tab w:val="left" w:pos="993"/>
        </w:tabs>
        <w:ind w:left="709"/>
        <w:jc w:val="both"/>
        <w:rPr>
          <w:color w:val="000000"/>
          <w:highlight w:val="yellow"/>
        </w:rPr>
      </w:pPr>
    </w:p>
    <w:p>
      <w:pPr>
        <w:ind w:firstLine="709"/>
        <w:jc w:val="both"/>
        <w:rPr>
          <w:sz w:val="24"/>
          <w:szCs w:val="24"/>
        </w:rPr>
      </w:pPr>
      <w:r>
        <w:rPr>
          <w:bCs/>
          <w:sz w:val="24"/>
          <w:szCs w:val="24"/>
        </w:rPr>
        <w:t xml:space="preserve">- </w:t>
      </w:r>
      <w:r>
        <w:rPr>
          <w:bCs/>
          <w:i/>
          <w:sz w:val="24"/>
          <w:szCs w:val="24"/>
        </w:rPr>
        <w:t>по разделу «Здравоохранение» на 350,0 тыс.руб.-</w:t>
      </w:r>
      <w:r>
        <w:rPr>
          <w:bCs/>
          <w:sz w:val="24"/>
          <w:szCs w:val="24"/>
        </w:rPr>
        <w:t xml:space="preserve"> приобретены пульсоксиметры в целях обеспечения мер, </w:t>
      </w:r>
      <w:r>
        <w:rPr>
          <w:sz w:val="24"/>
          <w:szCs w:val="24"/>
        </w:rPr>
        <w:t>направленных на профилактику и устранение последствий распространения коронавирусной инфекции;</w:t>
      </w:r>
    </w:p>
    <w:p>
      <w:pPr>
        <w:ind w:firstLine="709"/>
        <w:jc w:val="both"/>
        <w:rPr>
          <w:bCs/>
          <w:highlight w:val="yellow"/>
        </w:rPr>
      </w:pPr>
    </w:p>
    <w:p>
      <w:pPr>
        <w:ind w:firstLine="709"/>
        <w:jc w:val="both"/>
        <w:rPr>
          <w:bCs/>
          <w:sz w:val="24"/>
          <w:szCs w:val="24"/>
        </w:rPr>
      </w:pPr>
      <w:r>
        <w:rPr>
          <w:bCs/>
          <w:sz w:val="24"/>
          <w:szCs w:val="24"/>
        </w:rPr>
        <w:t>-</w:t>
      </w:r>
      <w:r>
        <w:rPr>
          <w:bCs/>
          <w:sz w:val="24"/>
          <w:szCs w:val="24"/>
          <w:lang w:val="en-US"/>
        </w:rPr>
        <w:t> </w:t>
      </w:r>
      <w:r>
        <w:rPr>
          <w:bCs/>
          <w:i/>
          <w:sz w:val="24"/>
          <w:szCs w:val="24"/>
        </w:rPr>
        <w:t>по разделу «</w:t>
      </w:r>
      <w:r>
        <w:rPr>
          <w:bCs/>
          <w:i/>
          <w:color w:val="000000"/>
          <w:sz w:val="24"/>
          <w:szCs w:val="24"/>
        </w:rPr>
        <w:t>Физическая культура и</w:t>
      </w:r>
      <w:r>
        <w:rPr>
          <w:bCs/>
          <w:i/>
          <w:sz w:val="24"/>
          <w:szCs w:val="24"/>
        </w:rPr>
        <w:t xml:space="preserve"> спорт» на 10 042,77 тыс.руб.,</w:t>
      </w:r>
      <w:r>
        <w:rPr>
          <w:bCs/>
          <w:sz w:val="24"/>
          <w:szCs w:val="24"/>
        </w:rPr>
        <w:t xml:space="preserve"> из них:</w:t>
      </w:r>
    </w:p>
    <w:p>
      <w:pPr>
        <w:numPr>
          <w:ilvl w:val="0"/>
          <w:numId w:val="1"/>
        </w:numPr>
        <w:tabs>
          <w:tab w:val="left" w:pos="993"/>
        </w:tabs>
        <w:ind w:left="0" w:firstLine="709"/>
        <w:jc w:val="both"/>
        <w:rPr>
          <w:color w:val="000000"/>
          <w:sz w:val="24"/>
          <w:szCs w:val="24"/>
        </w:rPr>
      </w:pPr>
      <w:r>
        <w:rPr>
          <w:color w:val="000000"/>
          <w:sz w:val="24"/>
          <w:szCs w:val="24"/>
        </w:rPr>
        <w:t>3 813,33 тыс.руб. –</w:t>
      </w:r>
      <w:r>
        <w:rPr>
          <w:bCs/>
          <w:sz w:val="24"/>
          <w:szCs w:val="24"/>
        </w:rPr>
        <w:t xml:space="preserve"> приобретение фронтального погрузчика МАУДО ДЮСШ им.Л.Егоровой);</w:t>
      </w:r>
    </w:p>
    <w:p>
      <w:pPr>
        <w:numPr>
          <w:ilvl w:val="0"/>
          <w:numId w:val="1"/>
        </w:numPr>
        <w:tabs>
          <w:tab w:val="left" w:pos="993"/>
        </w:tabs>
        <w:ind w:left="0" w:firstLine="709"/>
        <w:jc w:val="both"/>
        <w:rPr>
          <w:color w:val="000000"/>
          <w:sz w:val="24"/>
          <w:szCs w:val="24"/>
        </w:rPr>
      </w:pPr>
      <w:r>
        <w:rPr>
          <w:color w:val="000000"/>
          <w:sz w:val="24"/>
          <w:szCs w:val="24"/>
        </w:rPr>
        <w:t>5 282,26 тыс.руб. –</w:t>
      </w:r>
      <w:r>
        <w:rPr>
          <w:bCs/>
          <w:sz w:val="24"/>
          <w:szCs w:val="24"/>
        </w:rPr>
        <w:t xml:space="preserve"> приобретение инвентаря, спортивного и медицинского оборудования;</w:t>
      </w:r>
    </w:p>
    <w:p>
      <w:pPr>
        <w:numPr>
          <w:ilvl w:val="0"/>
          <w:numId w:val="1"/>
        </w:numPr>
        <w:tabs>
          <w:tab w:val="left" w:pos="993"/>
        </w:tabs>
        <w:ind w:left="0" w:firstLine="709"/>
        <w:jc w:val="both"/>
        <w:rPr>
          <w:color w:val="000000"/>
          <w:sz w:val="24"/>
          <w:szCs w:val="24"/>
        </w:rPr>
      </w:pPr>
      <w:r>
        <w:rPr>
          <w:bCs/>
          <w:sz w:val="24"/>
          <w:szCs w:val="24"/>
        </w:rPr>
        <w:t xml:space="preserve">848,30 тыс.руб. – приобретение легкого автомобиля. </w:t>
      </w:r>
    </w:p>
    <w:p>
      <w:pPr>
        <w:tabs>
          <w:tab w:val="left" w:pos="993"/>
        </w:tabs>
        <w:ind w:left="709"/>
        <w:jc w:val="both"/>
        <w:rPr>
          <w:color w:val="000000"/>
          <w:highlight w:val="yellow"/>
        </w:rPr>
      </w:pPr>
    </w:p>
    <w:p>
      <w:pPr>
        <w:ind w:firstLine="709"/>
        <w:jc w:val="both"/>
        <w:rPr>
          <w:bCs/>
          <w:sz w:val="24"/>
          <w:szCs w:val="24"/>
        </w:rPr>
      </w:pPr>
      <w:r>
        <w:rPr>
          <w:bCs/>
          <w:sz w:val="24"/>
          <w:szCs w:val="24"/>
        </w:rPr>
        <w:t>2) </w:t>
      </w:r>
      <w:r>
        <w:rPr>
          <w:b/>
          <w:bCs/>
          <w:sz w:val="24"/>
          <w:szCs w:val="24"/>
        </w:rPr>
        <w:t xml:space="preserve">приобретено в части недвижимого имущества </w:t>
      </w:r>
      <w:r>
        <w:rPr>
          <w:bCs/>
          <w:sz w:val="24"/>
          <w:szCs w:val="24"/>
        </w:rPr>
        <w:t xml:space="preserve">15 жилых помещений для детей-сирот и детей, оставшихся без попечения родителей (из них: для 8 человек в соответствии с решениями Северского городского суда ТО) на общую сумму 20 512,14 тыс.руб., в том числе: 3 531,09 тыс. руб. – за счет средств федерального бюджета, 16 981,05 тыс. руб. – за счет средств областного бюджета; </w:t>
      </w:r>
    </w:p>
    <w:p>
      <w:pPr>
        <w:ind w:firstLine="709"/>
        <w:jc w:val="both"/>
        <w:rPr>
          <w:bCs/>
          <w:sz w:val="16"/>
          <w:szCs w:val="16"/>
          <w:highlight w:val="yellow"/>
        </w:rPr>
      </w:pPr>
    </w:p>
    <w:p>
      <w:pPr>
        <w:pStyle w:val="a5"/>
        <w:spacing w:after="0"/>
        <w:ind w:firstLine="709"/>
        <w:jc w:val="both"/>
        <w:rPr>
          <w:sz w:val="24"/>
          <w:szCs w:val="24"/>
        </w:rPr>
      </w:pPr>
      <w:r>
        <w:rPr>
          <w:bCs/>
          <w:sz w:val="24"/>
          <w:szCs w:val="24"/>
        </w:rPr>
        <w:t>3) </w:t>
      </w:r>
      <w:r>
        <w:rPr>
          <w:b/>
          <w:sz w:val="24"/>
          <w:szCs w:val="24"/>
        </w:rPr>
        <w:t>осуществлены бюджетные инвестиции в объекты капитального строительства</w:t>
      </w:r>
      <w:r>
        <w:rPr>
          <w:sz w:val="24"/>
          <w:szCs w:val="24"/>
        </w:rPr>
        <w:t xml:space="preserve"> муниципальной собственности на общую сумму 147 652,50 тыс.руб., из них:</w:t>
      </w:r>
    </w:p>
    <w:p>
      <w:pPr>
        <w:pStyle w:val="a5"/>
        <w:spacing w:after="0"/>
        <w:ind w:firstLine="709"/>
        <w:jc w:val="both"/>
        <w:rPr>
          <w:sz w:val="24"/>
          <w:szCs w:val="24"/>
        </w:rPr>
      </w:pPr>
      <w:r>
        <w:rPr>
          <w:sz w:val="24"/>
          <w:szCs w:val="24"/>
        </w:rPr>
        <w:t xml:space="preserve">- 76 069,05 тыс.руб. </w:t>
      </w:r>
      <w:r>
        <w:rPr>
          <w:color w:val="000000"/>
          <w:sz w:val="24"/>
          <w:szCs w:val="24"/>
        </w:rPr>
        <w:t>–</w:t>
      </w:r>
      <w:r>
        <w:rPr>
          <w:sz w:val="24"/>
          <w:szCs w:val="24"/>
        </w:rPr>
        <w:t xml:space="preserve"> строительство инженерной инфраструктуры на территории для размещения индивидуального жилищного строительства в пос. Самусь;</w:t>
      </w:r>
    </w:p>
    <w:p>
      <w:pPr>
        <w:pStyle w:val="a5"/>
        <w:spacing w:after="0"/>
        <w:ind w:firstLine="709"/>
        <w:jc w:val="both"/>
        <w:rPr>
          <w:sz w:val="24"/>
          <w:szCs w:val="24"/>
        </w:rPr>
      </w:pPr>
      <w:r>
        <w:rPr>
          <w:sz w:val="24"/>
          <w:szCs w:val="24"/>
        </w:rPr>
        <w:t xml:space="preserve">- 63 067,61 тыс.руб. </w:t>
      </w:r>
      <w:r>
        <w:rPr>
          <w:color w:val="000000"/>
          <w:sz w:val="24"/>
          <w:szCs w:val="24"/>
        </w:rPr>
        <w:t>–</w:t>
      </w:r>
      <w:r>
        <w:rPr>
          <w:sz w:val="24"/>
          <w:szCs w:val="24"/>
        </w:rPr>
        <w:t xml:space="preserve"> строительство муниципального общественного кладбища в г.Северске;</w:t>
      </w:r>
    </w:p>
    <w:p>
      <w:pPr>
        <w:pStyle w:val="a5"/>
        <w:spacing w:after="0"/>
        <w:ind w:firstLine="709"/>
        <w:jc w:val="both"/>
        <w:rPr>
          <w:sz w:val="24"/>
          <w:szCs w:val="24"/>
        </w:rPr>
      </w:pPr>
      <w:r>
        <w:rPr>
          <w:sz w:val="24"/>
          <w:szCs w:val="24"/>
        </w:rPr>
        <w:t>- 6 652,60 тыс.руб. – строительство сетей газоснабжения от ГРС к участкам территории опережающего социально-экономического развития «Северск»;</w:t>
      </w:r>
    </w:p>
    <w:p>
      <w:pPr>
        <w:pStyle w:val="a5"/>
        <w:spacing w:after="0"/>
        <w:ind w:firstLine="709"/>
        <w:jc w:val="both"/>
        <w:rPr>
          <w:sz w:val="24"/>
          <w:szCs w:val="24"/>
        </w:rPr>
      </w:pPr>
      <w:r>
        <w:rPr>
          <w:sz w:val="24"/>
          <w:szCs w:val="24"/>
        </w:rPr>
        <w:t xml:space="preserve">- 1 015,27 </w:t>
      </w:r>
      <w:r>
        <w:rPr>
          <w:color w:val="000000"/>
          <w:sz w:val="24"/>
          <w:szCs w:val="24"/>
        </w:rPr>
        <w:t>–</w:t>
      </w:r>
      <w:r>
        <w:rPr>
          <w:sz w:val="24"/>
          <w:szCs w:val="24"/>
        </w:rPr>
        <w:t xml:space="preserve"> строительство 6 скважин на существующих подземных водозаборах (3 очередь). Водозабор № 2. Скважины № 5а, 15а, 16б, 18б в г.Северске;</w:t>
      </w:r>
    </w:p>
    <w:p>
      <w:pPr>
        <w:pStyle w:val="a5"/>
        <w:spacing w:after="0"/>
        <w:ind w:firstLine="709"/>
        <w:jc w:val="both"/>
        <w:rPr>
          <w:sz w:val="24"/>
          <w:szCs w:val="24"/>
        </w:rPr>
      </w:pPr>
      <w:r>
        <w:rPr>
          <w:sz w:val="24"/>
          <w:szCs w:val="24"/>
        </w:rPr>
        <w:t xml:space="preserve">- 847,97 тыс.руб. </w:t>
      </w:r>
      <w:r>
        <w:rPr>
          <w:color w:val="000000"/>
          <w:sz w:val="24"/>
          <w:szCs w:val="24"/>
        </w:rPr>
        <w:t>–</w:t>
      </w:r>
      <w:r>
        <w:rPr>
          <w:sz w:val="24"/>
          <w:szCs w:val="24"/>
        </w:rPr>
        <w:t xml:space="preserve"> строительство линии наружного освещения автомобильной дороги № 50 д.Чернильщиково;</w:t>
      </w:r>
    </w:p>
    <w:p>
      <w:pPr>
        <w:pStyle w:val="a5"/>
        <w:spacing w:after="0"/>
        <w:ind w:firstLine="709"/>
        <w:jc w:val="both"/>
        <w:rPr>
          <w:sz w:val="10"/>
          <w:szCs w:val="10"/>
          <w:highlight w:val="yellow"/>
        </w:rPr>
      </w:pPr>
    </w:p>
    <w:p>
      <w:pPr>
        <w:pStyle w:val="a5"/>
        <w:spacing w:after="0"/>
        <w:ind w:firstLine="709"/>
        <w:jc w:val="both"/>
        <w:rPr>
          <w:sz w:val="24"/>
          <w:szCs w:val="24"/>
        </w:rPr>
      </w:pPr>
      <w:r>
        <w:rPr>
          <w:sz w:val="24"/>
          <w:szCs w:val="24"/>
        </w:rPr>
        <w:lastRenderedPageBreak/>
        <w:t xml:space="preserve">4) </w:t>
      </w:r>
      <w:r>
        <w:rPr>
          <w:b/>
          <w:sz w:val="24"/>
          <w:szCs w:val="24"/>
        </w:rPr>
        <w:t>расходы на капитальный ремонт</w:t>
      </w:r>
      <w:r>
        <w:rPr>
          <w:sz w:val="24"/>
          <w:szCs w:val="24"/>
        </w:rPr>
        <w:t xml:space="preserve"> составили 31 959,80 тыс.руб. в том числе на:</w:t>
      </w:r>
    </w:p>
    <w:p>
      <w:pPr>
        <w:pStyle w:val="a5"/>
        <w:spacing w:after="0"/>
        <w:ind w:firstLine="709"/>
        <w:jc w:val="both"/>
        <w:rPr>
          <w:sz w:val="24"/>
          <w:szCs w:val="24"/>
        </w:rPr>
      </w:pPr>
      <w:r>
        <w:rPr>
          <w:sz w:val="24"/>
          <w:szCs w:val="24"/>
        </w:rPr>
        <w:t>- капитальный ремонт объектов жилищно-коммунального хозяйства и благоустройства на сумму 3 149,62 тыс.руб.;</w:t>
      </w:r>
    </w:p>
    <w:p>
      <w:pPr>
        <w:pStyle w:val="a5"/>
        <w:spacing w:after="0"/>
        <w:ind w:firstLine="709"/>
        <w:jc w:val="both"/>
        <w:rPr>
          <w:sz w:val="24"/>
          <w:szCs w:val="24"/>
        </w:rPr>
      </w:pPr>
      <w:r>
        <w:rPr>
          <w:sz w:val="24"/>
          <w:szCs w:val="24"/>
        </w:rPr>
        <w:t xml:space="preserve">- капитальный ремонт помещений здания МБУДО «Художественная школа» </w:t>
      </w:r>
      <w:r>
        <w:rPr>
          <w:sz w:val="24"/>
          <w:szCs w:val="24"/>
        </w:rPr>
        <w:br/>
        <w:t>г. Северск и зданий МАУ ДО «Детская школа искусств» и МБУДО «Самусьская ДШИ» на сумму 14 944,50 тыс.руб.;</w:t>
      </w:r>
    </w:p>
    <w:p>
      <w:pPr>
        <w:pStyle w:val="a5"/>
        <w:spacing w:after="0"/>
        <w:ind w:firstLine="709"/>
        <w:jc w:val="both"/>
        <w:rPr>
          <w:sz w:val="24"/>
          <w:szCs w:val="24"/>
        </w:rPr>
      </w:pPr>
      <w:r>
        <w:rPr>
          <w:sz w:val="24"/>
          <w:szCs w:val="24"/>
        </w:rPr>
        <w:t>- капитальный ремонт автоматической системы тушения пожара и дымоудаления, противопожарного водопровода в здании МБУ СМТ по адресу: г.Северск Томская область, просп.Коммунистический, 119 - 13 865,68 тыс.руб.</w:t>
      </w:r>
    </w:p>
    <w:p>
      <w:pPr>
        <w:pStyle w:val="a5"/>
        <w:spacing w:after="0"/>
        <w:ind w:firstLine="703"/>
        <w:jc w:val="center"/>
        <w:rPr>
          <w:b/>
          <w:sz w:val="24"/>
          <w:szCs w:val="24"/>
          <w:highlight w:val="yellow"/>
        </w:rPr>
      </w:pPr>
    </w:p>
    <w:p>
      <w:pPr>
        <w:pStyle w:val="a5"/>
        <w:spacing w:after="0"/>
        <w:jc w:val="center"/>
        <w:rPr>
          <w:b/>
          <w:sz w:val="24"/>
          <w:szCs w:val="24"/>
        </w:rPr>
      </w:pPr>
      <w:r>
        <w:rPr>
          <w:b/>
          <w:sz w:val="24"/>
          <w:szCs w:val="24"/>
        </w:rPr>
        <w:t xml:space="preserve">4.1.2. Расходы на финансовое обеспечение выполнения </w:t>
      </w:r>
    </w:p>
    <w:p>
      <w:pPr>
        <w:autoSpaceDE w:val="0"/>
        <w:autoSpaceDN w:val="0"/>
        <w:adjustRightInd w:val="0"/>
        <w:jc w:val="center"/>
        <w:rPr>
          <w:b/>
          <w:sz w:val="24"/>
          <w:szCs w:val="24"/>
        </w:rPr>
      </w:pPr>
      <w:r>
        <w:rPr>
          <w:b/>
          <w:sz w:val="24"/>
          <w:szCs w:val="24"/>
        </w:rPr>
        <w:t xml:space="preserve">учреждениями муниципальных заданий и расходы </w:t>
      </w:r>
    </w:p>
    <w:p>
      <w:pPr>
        <w:autoSpaceDE w:val="0"/>
        <w:autoSpaceDN w:val="0"/>
        <w:adjustRightInd w:val="0"/>
        <w:jc w:val="center"/>
        <w:rPr>
          <w:b/>
          <w:sz w:val="24"/>
          <w:szCs w:val="24"/>
        </w:rPr>
      </w:pPr>
      <w:r>
        <w:rPr>
          <w:b/>
          <w:sz w:val="24"/>
          <w:szCs w:val="24"/>
        </w:rPr>
        <w:t>по предоставлению субсидии на иные цели</w:t>
      </w:r>
    </w:p>
    <w:p>
      <w:pPr>
        <w:pStyle w:val="a5"/>
        <w:spacing w:after="0"/>
        <w:jc w:val="center"/>
        <w:rPr>
          <w:b/>
          <w:sz w:val="24"/>
          <w:szCs w:val="24"/>
        </w:rPr>
      </w:pPr>
    </w:p>
    <w:p>
      <w:pPr>
        <w:pStyle w:val="a5"/>
        <w:spacing w:after="0"/>
        <w:ind w:firstLine="703"/>
        <w:jc w:val="both"/>
        <w:rPr>
          <w:color w:val="000000"/>
          <w:sz w:val="24"/>
          <w:szCs w:val="24"/>
        </w:rPr>
      </w:pPr>
      <w:r>
        <w:rPr>
          <w:sz w:val="24"/>
          <w:szCs w:val="24"/>
        </w:rPr>
        <w:t>Расходы бюджета ЗАТО Северск на финансовое обеспечение муниципальных заданий в форме предоставления субсидий муниципальным бюджетным, автономным учреждениям, связанных с оказанием ими муниципальных услуг (выполнением работ) составили 2 829 815,57 тыс.руб., или 56,3 % от общей суммы расходов бюджета ЗАТО Северск; в форме по предоставлению субсидии на иные цели</w:t>
      </w:r>
      <w:r>
        <w:rPr>
          <w:color w:val="000000"/>
          <w:sz w:val="24"/>
          <w:szCs w:val="24"/>
        </w:rPr>
        <w:t xml:space="preserve"> в сумме 725 328,65 тыс.руб. </w:t>
      </w:r>
    </w:p>
    <w:p>
      <w:pPr>
        <w:pStyle w:val="a5"/>
        <w:spacing w:after="0"/>
        <w:ind w:firstLine="703"/>
        <w:jc w:val="both"/>
        <w:rPr>
          <w:color w:val="000000"/>
          <w:sz w:val="24"/>
          <w:szCs w:val="24"/>
        </w:rPr>
      </w:pPr>
      <w:r>
        <w:rPr>
          <w:color w:val="000000"/>
          <w:sz w:val="24"/>
          <w:szCs w:val="24"/>
        </w:rPr>
        <w:t>Таблица 45. Структура расходов субсидий на муниципальное задание и на иные цели в 2021году</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9"/>
        <w:gridCol w:w="1417"/>
        <w:gridCol w:w="1418"/>
        <w:gridCol w:w="708"/>
        <w:gridCol w:w="15"/>
        <w:gridCol w:w="1225"/>
        <w:gridCol w:w="1312"/>
        <w:gridCol w:w="709"/>
      </w:tblGrid>
      <w:tr>
        <w:trPr>
          <w:trHeight w:val="300"/>
        </w:trPr>
        <w:tc>
          <w:tcPr>
            <w:tcW w:w="270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Направление расходов</w:t>
            </w:r>
          </w:p>
        </w:tc>
        <w:tc>
          <w:tcPr>
            <w:tcW w:w="354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Субсидии на мун.задание</w:t>
            </w:r>
          </w:p>
        </w:tc>
        <w:tc>
          <w:tcPr>
            <w:tcW w:w="326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Целевые субсидии</w:t>
            </w:r>
          </w:p>
        </w:tc>
      </w:tr>
      <w:tr>
        <w:trPr>
          <w:cantSplit/>
          <w:trHeight w:val="1155"/>
        </w:trPr>
        <w:tc>
          <w:tcPr>
            <w:tcW w:w="2709" w:type="dxa"/>
            <w:vMerge/>
            <w:vAlign w:val="center"/>
          </w:tcPr>
          <w:p/>
        </w:tc>
        <w:tc>
          <w:tcPr>
            <w:tcW w:w="1417" w:type="dxa"/>
            <w:shd w:val="clear" w:color="auto" w:fill="auto"/>
            <w:vAlign w:val="center"/>
          </w:tcPr>
          <w:p>
            <w:pPr>
              <w:ind w:left="-108" w:right="-108"/>
              <w:jc w:val="center"/>
            </w:pPr>
            <w:r>
              <w:t xml:space="preserve">Утверждено на 2021 год, тыс.руб. </w:t>
            </w:r>
          </w:p>
        </w:tc>
        <w:tc>
          <w:tcPr>
            <w:tcW w:w="1418" w:type="dxa"/>
            <w:shd w:val="clear" w:color="auto" w:fill="auto"/>
            <w:vAlign w:val="center"/>
          </w:tcPr>
          <w:p>
            <w:pPr>
              <w:jc w:val="center"/>
            </w:pPr>
            <w:r>
              <w:t>Исполнено за 2021 год, тыс.руб.</w:t>
            </w:r>
          </w:p>
        </w:tc>
        <w:tc>
          <w:tcPr>
            <w:tcW w:w="723" w:type="dxa"/>
            <w:gridSpan w:val="2"/>
            <w:shd w:val="clear" w:color="auto" w:fill="auto"/>
            <w:textDirection w:val="btLr"/>
            <w:vAlign w:val="center"/>
          </w:tcPr>
          <w:p>
            <w:pPr>
              <w:ind w:left="113" w:right="113"/>
              <w:jc w:val="center"/>
            </w:pPr>
            <w:r>
              <w:t>Удельный вес статьи, %</w:t>
            </w:r>
          </w:p>
        </w:tc>
        <w:tc>
          <w:tcPr>
            <w:tcW w:w="1225" w:type="dxa"/>
            <w:shd w:val="clear" w:color="auto" w:fill="auto"/>
            <w:vAlign w:val="center"/>
          </w:tcPr>
          <w:p>
            <w:pPr>
              <w:ind w:left="-108" w:right="-108"/>
              <w:jc w:val="center"/>
            </w:pPr>
            <w:r>
              <w:t>Утверждено на 2021 год, тыс.руб.</w:t>
            </w:r>
          </w:p>
        </w:tc>
        <w:tc>
          <w:tcPr>
            <w:tcW w:w="1312" w:type="dxa"/>
            <w:shd w:val="clear" w:color="auto" w:fill="auto"/>
            <w:vAlign w:val="center"/>
          </w:tcPr>
          <w:p>
            <w:pPr>
              <w:jc w:val="center"/>
            </w:pPr>
            <w:r>
              <w:t>Исполнено за 2021 год, тыс.руб.</w:t>
            </w:r>
          </w:p>
        </w:tc>
        <w:tc>
          <w:tcPr>
            <w:tcW w:w="709" w:type="dxa"/>
            <w:shd w:val="clear" w:color="auto" w:fill="auto"/>
            <w:textDirection w:val="btLr"/>
            <w:vAlign w:val="center"/>
          </w:tcPr>
          <w:p>
            <w:pPr>
              <w:ind w:left="113" w:right="113"/>
              <w:jc w:val="center"/>
            </w:pPr>
            <w:r>
              <w:t>Удельный вес статьи, %</w:t>
            </w:r>
          </w:p>
        </w:tc>
      </w:tr>
      <w:tr>
        <w:trPr>
          <w:trHeight w:val="300"/>
        </w:trPr>
        <w:tc>
          <w:tcPr>
            <w:tcW w:w="2709" w:type="dxa"/>
            <w:shd w:val="clear" w:color="auto" w:fill="auto"/>
            <w:noWrap/>
            <w:vAlign w:val="center"/>
          </w:tcPr>
          <w:p>
            <w:r>
              <w:t>Всего расходов, в т.ч.</w:t>
            </w:r>
          </w:p>
        </w:tc>
        <w:tc>
          <w:tcPr>
            <w:tcW w:w="1417" w:type="dxa"/>
            <w:shd w:val="clear" w:color="auto" w:fill="auto"/>
            <w:vAlign w:val="center"/>
          </w:tcPr>
          <w:p>
            <w:pPr>
              <w:jc w:val="right"/>
              <w:rPr>
                <w:bCs/>
              </w:rPr>
            </w:pPr>
            <w:r>
              <w:rPr>
                <w:bCs/>
              </w:rPr>
              <w:t>2 829 815,57</w:t>
            </w:r>
          </w:p>
        </w:tc>
        <w:tc>
          <w:tcPr>
            <w:tcW w:w="1418" w:type="dxa"/>
            <w:shd w:val="clear" w:color="auto" w:fill="auto"/>
            <w:vAlign w:val="center"/>
          </w:tcPr>
          <w:p>
            <w:pPr>
              <w:jc w:val="right"/>
              <w:rPr>
                <w:bCs/>
              </w:rPr>
            </w:pPr>
            <w:r>
              <w:rPr>
                <w:bCs/>
              </w:rPr>
              <w:t>2 829 815,57</w:t>
            </w:r>
          </w:p>
        </w:tc>
        <w:tc>
          <w:tcPr>
            <w:tcW w:w="723" w:type="dxa"/>
            <w:gridSpan w:val="2"/>
            <w:shd w:val="clear" w:color="auto" w:fill="auto"/>
            <w:vAlign w:val="center"/>
          </w:tcPr>
          <w:p>
            <w:pPr>
              <w:ind w:left="-67" w:right="-108"/>
              <w:jc w:val="center"/>
            </w:pPr>
            <w:r>
              <w:t>100,0</w:t>
            </w:r>
          </w:p>
        </w:tc>
        <w:tc>
          <w:tcPr>
            <w:tcW w:w="1225" w:type="dxa"/>
            <w:shd w:val="clear" w:color="auto" w:fill="auto"/>
            <w:vAlign w:val="center"/>
          </w:tcPr>
          <w:p>
            <w:pPr>
              <w:jc w:val="right"/>
            </w:pPr>
            <w:r>
              <w:t>738 659,74</w:t>
            </w:r>
          </w:p>
        </w:tc>
        <w:tc>
          <w:tcPr>
            <w:tcW w:w="1312" w:type="dxa"/>
            <w:shd w:val="clear" w:color="auto" w:fill="auto"/>
            <w:vAlign w:val="center"/>
          </w:tcPr>
          <w:p>
            <w:pPr>
              <w:jc w:val="right"/>
            </w:pPr>
            <w:r>
              <w:t>725 328,65</w:t>
            </w:r>
          </w:p>
        </w:tc>
        <w:tc>
          <w:tcPr>
            <w:tcW w:w="709" w:type="dxa"/>
            <w:shd w:val="clear" w:color="auto" w:fill="auto"/>
            <w:vAlign w:val="center"/>
          </w:tcPr>
          <w:p>
            <w:pPr>
              <w:ind w:left="-102" w:right="-108"/>
              <w:jc w:val="center"/>
            </w:pPr>
            <w:r>
              <w:t>100,0</w:t>
            </w:r>
          </w:p>
        </w:tc>
      </w:tr>
      <w:tr>
        <w:trPr>
          <w:trHeight w:val="300"/>
        </w:trPr>
        <w:tc>
          <w:tcPr>
            <w:tcW w:w="2709" w:type="dxa"/>
            <w:shd w:val="clear" w:color="auto" w:fill="auto"/>
            <w:noWrap/>
            <w:vAlign w:val="center"/>
          </w:tcPr>
          <w:p>
            <w:pPr>
              <w:ind w:left="-93" w:right="-108"/>
              <w:rPr>
                <w:sz w:val="22"/>
                <w:szCs w:val="22"/>
                <w:lang w:val="en-US"/>
              </w:rPr>
            </w:pPr>
            <w:r>
              <w:rPr>
                <w:sz w:val="22"/>
                <w:szCs w:val="22"/>
                <w:lang w:val="en-US"/>
              </w:rPr>
              <w:t xml:space="preserve">  </w:t>
            </w:r>
            <w:r>
              <w:rPr>
                <w:sz w:val="22"/>
                <w:szCs w:val="22"/>
              </w:rPr>
              <w:t>Оплата труда и</w:t>
            </w:r>
          </w:p>
          <w:p>
            <w:pPr>
              <w:ind w:left="-93" w:right="-108"/>
              <w:rPr>
                <w:sz w:val="22"/>
                <w:szCs w:val="22"/>
              </w:rPr>
            </w:pPr>
            <w:r>
              <w:rPr>
                <w:sz w:val="22"/>
                <w:szCs w:val="22"/>
                <w:lang w:val="en-US"/>
              </w:rPr>
              <w:t xml:space="preserve">  </w:t>
            </w:r>
            <w:r>
              <w:rPr>
                <w:sz w:val="22"/>
                <w:szCs w:val="22"/>
              </w:rPr>
              <w:t>начисления</w:t>
            </w:r>
          </w:p>
        </w:tc>
        <w:tc>
          <w:tcPr>
            <w:tcW w:w="1417" w:type="dxa"/>
            <w:shd w:val="clear" w:color="auto" w:fill="auto"/>
            <w:noWrap/>
            <w:vAlign w:val="center"/>
          </w:tcPr>
          <w:p>
            <w:pPr>
              <w:jc w:val="right"/>
              <w:rPr>
                <w:sz w:val="24"/>
                <w:szCs w:val="24"/>
              </w:rPr>
            </w:pPr>
            <w:r>
              <w:t>2 250 000,62</w:t>
            </w:r>
          </w:p>
        </w:tc>
        <w:tc>
          <w:tcPr>
            <w:tcW w:w="1418" w:type="dxa"/>
            <w:shd w:val="clear" w:color="auto" w:fill="auto"/>
            <w:noWrap/>
            <w:vAlign w:val="center"/>
          </w:tcPr>
          <w:p>
            <w:pPr>
              <w:jc w:val="right"/>
              <w:rPr>
                <w:sz w:val="24"/>
                <w:szCs w:val="24"/>
              </w:rPr>
            </w:pPr>
            <w:r>
              <w:t>2 250 000,62</w:t>
            </w:r>
          </w:p>
        </w:tc>
        <w:tc>
          <w:tcPr>
            <w:tcW w:w="723" w:type="dxa"/>
            <w:gridSpan w:val="2"/>
            <w:shd w:val="clear" w:color="auto" w:fill="auto"/>
            <w:noWrap/>
            <w:vAlign w:val="center"/>
          </w:tcPr>
          <w:p>
            <w:pPr>
              <w:jc w:val="center"/>
            </w:pPr>
            <w:r>
              <w:t>79,5</w:t>
            </w:r>
          </w:p>
        </w:tc>
        <w:tc>
          <w:tcPr>
            <w:tcW w:w="1225" w:type="dxa"/>
            <w:shd w:val="clear" w:color="auto" w:fill="auto"/>
            <w:noWrap/>
            <w:vAlign w:val="center"/>
          </w:tcPr>
          <w:p>
            <w:pPr>
              <w:jc w:val="right"/>
            </w:pPr>
            <w:r>
              <w:t>516 188,05</w:t>
            </w:r>
          </w:p>
        </w:tc>
        <w:tc>
          <w:tcPr>
            <w:tcW w:w="1312" w:type="dxa"/>
            <w:shd w:val="clear" w:color="auto" w:fill="auto"/>
            <w:noWrap/>
            <w:vAlign w:val="center"/>
          </w:tcPr>
          <w:p>
            <w:pPr>
              <w:jc w:val="right"/>
            </w:pPr>
            <w:r>
              <w:t>512 059,95</w:t>
            </w:r>
          </w:p>
        </w:tc>
        <w:tc>
          <w:tcPr>
            <w:tcW w:w="709" w:type="dxa"/>
            <w:shd w:val="clear" w:color="auto" w:fill="auto"/>
            <w:noWrap/>
            <w:vAlign w:val="center"/>
          </w:tcPr>
          <w:p>
            <w:pPr>
              <w:jc w:val="center"/>
            </w:pPr>
            <w:r>
              <w:t>70,6</w:t>
            </w:r>
          </w:p>
        </w:tc>
      </w:tr>
      <w:tr>
        <w:trPr>
          <w:trHeight w:val="300"/>
        </w:trPr>
        <w:tc>
          <w:tcPr>
            <w:tcW w:w="2709" w:type="dxa"/>
            <w:shd w:val="clear" w:color="auto" w:fill="auto"/>
            <w:noWrap/>
            <w:vAlign w:val="center"/>
          </w:tcPr>
          <w:p>
            <w:pPr>
              <w:rPr>
                <w:sz w:val="22"/>
                <w:szCs w:val="22"/>
              </w:rPr>
            </w:pPr>
            <w:r>
              <w:rPr>
                <w:sz w:val="22"/>
                <w:szCs w:val="22"/>
              </w:rPr>
              <w:t>Оплата коммунальных услуг</w:t>
            </w:r>
          </w:p>
        </w:tc>
        <w:tc>
          <w:tcPr>
            <w:tcW w:w="1417" w:type="dxa"/>
            <w:shd w:val="clear" w:color="auto" w:fill="auto"/>
            <w:noWrap/>
            <w:vAlign w:val="center"/>
          </w:tcPr>
          <w:p>
            <w:pPr>
              <w:jc w:val="right"/>
              <w:rPr>
                <w:sz w:val="24"/>
                <w:szCs w:val="24"/>
              </w:rPr>
            </w:pPr>
            <w:r>
              <w:t>212 670,88</w:t>
            </w:r>
          </w:p>
        </w:tc>
        <w:tc>
          <w:tcPr>
            <w:tcW w:w="1418" w:type="dxa"/>
            <w:shd w:val="clear" w:color="auto" w:fill="auto"/>
            <w:noWrap/>
            <w:vAlign w:val="center"/>
          </w:tcPr>
          <w:p>
            <w:pPr>
              <w:jc w:val="right"/>
              <w:rPr>
                <w:sz w:val="24"/>
                <w:szCs w:val="24"/>
              </w:rPr>
            </w:pPr>
            <w:r>
              <w:t>212 670,88</w:t>
            </w:r>
          </w:p>
        </w:tc>
        <w:tc>
          <w:tcPr>
            <w:tcW w:w="723" w:type="dxa"/>
            <w:gridSpan w:val="2"/>
            <w:shd w:val="clear" w:color="auto" w:fill="auto"/>
            <w:noWrap/>
            <w:vAlign w:val="center"/>
          </w:tcPr>
          <w:p>
            <w:pPr>
              <w:jc w:val="center"/>
            </w:pPr>
            <w:r>
              <w:t>7,5</w:t>
            </w:r>
          </w:p>
        </w:tc>
        <w:tc>
          <w:tcPr>
            <w:tcW w:w="1225" w:type="dxa"/>
            <w:shd w:val="clear" w:color="auto" w:fill="auto"/>
            <w:noWrap/>
            <w:vAlign w:val="center"/>
          </w:tcPr>
          <w:p>
            <w:pPr>
              <w:jc w:val="right"/>
            </w:pPr>
            <w:r>
              <w:t>3 733,17</w:t>
            </w:r>
          </w:p>
        </w:tc>
        <w:tc>
          <w:tcPr>
            <w:tcW w:w="1312" w:type="dxa"/>
            <w:shd w:val="clear" w:color="auto" w:fill="auto"/>
            <w:noWrap/>
            <w:vAlign w:val="center"/>
          </w:tcPr>
          <w:p>
            <w:pPr>
              <w:jc w:val="right"/>
            </w:pPr>
            <w:r>
              <w:t>3 422,44</w:t>
            </w:r>
          </w:p>
        </w:tc>
        <w:tc>
          <w:tcPr>
            <w:tcW w:w="709" w:type="dxa"/>
            <w:shd w:val="clear" w:color="auto" w:fill="auto"/>
            <w:noWrap/>
            <w:vAlign w:val="center"/>
          </w:tcPr>
          <w:p>
            <w:pPr>
              <w:jc w:val="center"/>
            </w:pPr>
            <w:r>
              <w:t>0,5</w:t>
            </w:r>
          </w:p>
        </w:tc>
      </w:tr>
      <w:tr>
        <w:trPr>
          <w:trHeight w:val="300"/>
        </w:trPr>
        <w:tc>
          <w:tcPr>
            <w:tcW w:w="2709" w:type="dxa"/>
            <w:shd w:val="clear" w:color="auto" w:fill="auto"/>
            <w:noWrap/>
            <w:vAlign w:val="center"/>
          </w:tcPr>
          <w:p>
            <w:pPr>
              <w:rPr>
                <w:sz w:val="22"/>
                <w:szCs w:val="22"/>
              </w:rPr>
            </w:pPr>
            <w:r>
              <w:rPr>
                <w:sz w:val="22"/>
                <w:szCs w:val="22"/>
              </w:rPr>
              <w:t>Приобретение оборудования</w:t>
            </w:r>
          </w:p>
        </w:tc>
        <w:tc>
          <w:tcPr>
            <w:tcW w:w="1417" w:type="dxa"/>
            <w:shd w:val="clear" w:color="auto" w:fill="auto"/>
            <w:noWrap/>
            <w:vAlign w:val="center"/>
          </w:tcPr>
          <w:p>
            <w:pPr>
              <w:jc w:val="right"/>
              <w:rPr>
                <w:sz w:val="24"/>
                <w:szCs w:val="24"/>
              </w:rPr>
            </w:pPr>
            <w:r>
              <w:t>12 002,02</w:t>
            </w:r>
          </w:p>
        </w:tc>
        <w:tc>
          <w:tcPr>
            <w:tcW w:w="1418" w:type="dxa"/>
            <w:shd w:val="clear" w:color="auto" w:fill="auto"/>
            <w:noWrap/>
            <w:vAlign w:val="center"/>
          </w:tcPr>
          <w:p>
            <w:pPr>
              <w:jc w:val="right"/>
              <w:rPr>
                <w:sz w:val="24"/>
                <w:szCs w:val="24"/>
              </w:rPr>
            </w:pPr>
            <w:r>
              <w:t>12 002,02</w:t>
            </w:r>
          </w:p>
        </w:tc>
        <w:tc>
          <w:tcPr>
            <w:tcW w:w="723" w:type="dxa"/>
            <w:gridSpan w:val="2"/>
            <w:shd w:val="clear" w:color="auto" w:fill="auto"/>
            <w:noWrap/>
            <w:vAlign w:val="center"/>
          </w:tcPr>
          <w:p>
            <w:pPr>
              <w:jc w:val="center"/>
            </w:pPr>
            <w:r>
              <w:t>0,4</w:t>
            </w:r>
          </w:p>
        </w:tc>
        <w:tc>
          <w:tcPr>
            <w:tcW w:w="1225" w:type="dxa"/>
            <w:shd w:val="clear" w:color="auto" w:fill="auto"/>
            <w:noWrap/>
            <w:vAlign w:val="center"/>
          </w:tcPr>
          <w:p>
            <w:pPr>
              <w:jc w:val="right"/>
            </w:pPr>
            <w:r>
              <w:t>37 244,88</w:t>
            </w:r>
          </w:p>
        </w:tc>
        <w:tc>
          <w:tcPr>
            <w:tcW w:w="1312" w:type="dxa"/>
            <w:shd w:val="clear" w:color="auto" w:fill="auto"/>
            <w:noWrap/>
            <w:vAlign w:val="center"/>
          </w:tcPr>
          <w:p>
            <w:pPr>
              <w:jc w:val="right"/>
            </w:pPr>
            <w:r>
              <w:t>37 244,33</w:t>
            </w:r>
          </w:p>
        </w:tc>
        <w:tc>
          <w:tcPr>
            <w:tcW w:w="709" w:type="dxa"/>
            <w:shd w:val="clear" w:color="auto" w:fill="auto"/>
            <w:noWrap/>
            <w:vAlign w:val="center"/>
          </w:tcPr>
          <w:p>
            <w:pPr>
              <w:jc w:val="center"/>
            </w:pPr>
            <w:r>
              <w:t>5,1</w:t>
            </w:r>
          </w:p>
        </w:tc>
      </w:tr>
      <w:tr>
        <w:trPr>
          <w:trHeight w:val="315"/>
        </w:trPr>
        <w:tc>
          <w:tcPr>
            <w:tcW w:w="2709" w:type="dxa"/>
            <w:shd w:val="clear" w:color="auto" w:fill="auto"/>
            <w:noWrap/>
            <w:vAlign w:val="center"/>
          </w:tcPr>
          <w:p>
            <w:pPr>
              <w:ind w:left="-93" w:right="-108"/>
              <w:rPr>
                <w:sz w:val="22"/>
                <w:szCs w:val="22"/>
              </w:rPr>
            </w:pPr>
            <w:r>
              <w:rPr>
                <w:sz w:val="22"/>
                <w:szCs w:val="22"/>
              </w:rPr>
              <w:t xml:space="preserve">  Прочие расходы</w:t>
            </w:r>
          </w:p>
        </w:tc>
        <w:tc>
          <w:tcPr>
            <w:tcW w:w="1417" w:type="dxa"/>
            <w:shd w:val="clear" w:color="auto" w:fill="auto"/>
            <w:noWrap/>
            <w:vAlign w:val="center"/>
          </w:tcPr>
          <w:p>
            <w:pPr>
              <w:jc w:val="right"/>
            </w:pPr>
            <w:r>
              <w:t>355 142,05</w:t>
            </w:r>
          </w:p>
        </w:tc>
        <w:tc>
          <w:tcPr>
            <w:tcW w:w="1418" w:type="dxa"/>
            <w:shd w:val="clear" w:color="auto" w:fill="auto"/>
            <w:noWrap/>
            <w:vAlign w:val="center"/>
          </w:tcPr>
          <w:p>
            <w:pPr>
              <w:jc w:val="right"/>
            </w:pPr>
            <w:r>
              <w:t>355 142,05</w:t>
            </w:r>
          </w:p>
        </w:tc>
        <w:tc>
          <w:tcPr>
            <w:tcW w:w="723" w:type="dxa"/>
            <w:gridSpan w:val="2"/>
            <w:shd w:val="clear" w:color="auto" w:fill="auto"/>
            <w:noWrap/>
            <w:vAlign w:val="center"/>
          </w:tcPr>
          <w:p>
            <w:pPr>
              <w:jc w:val="center"/>
            </w:pPr>
            <w:r>
              <w:t>12,6</w:t>
            </w:r>
          </w:p>
        </w:tc>
        <w:tc>
          <w:tcPr>
            <w:tcW w:w="1225" w:type="dxa"/>
            <w:shd w:val="clear" w:color="auto" w:fill="auto"/>
            <w:noWrap/>
            <w:vAlign w:val="center"/>
          </w:tcPr>
          <w:p>
            <w:pPr>
              <w:jc w:val="right"/>
            </w:pPr>
            <w:r>
              <w:t>181 493,64</w:t>
            </w:r>
          </w:p>
        </w:tc>
        <w:tc>
          <w:tcPr>
            <w:tcW w:w="1312" w:type="dxa"/>
            <w:shd w:val="clear" w:color="auto" w:fill="auto"/>
            <w:noWrap/>
            <w:vAlign w:val="center"/>
          </w:tcPr>
          <w:p>
            <w:pPr>
              <w:jc w:val="right"/>
            </w:pPr>
            <w:r>
              <w:t>172 601,93</w:t>
            </w:r>
          </w:p>
        </w:tc>
        <w:tc>
          <w:tcPr>
            <w:tcW w:w="709" w:type="dxa"/>
            <w:shd w:val="clear" w:color="auto" w:fill="auto"/>
            <w:noWrap/>
            <w:vAlign w:val="center"/>
          </w:tcPr>
          <w:p>
            <w:pPr>
              <w:jc w:val="center"/>
            </w:pPr>
            <w:r>
              <w:t>23,8</w:t>
            </w:r>
          </w:p>
        </w:tc>
      </w:tr>
    </w:tbl>
    <w:p>
      <w:pPr>
        <w:pStyle w:val="a5"/>
        <w:spacing w:after="0"/>
        <w:ind w:firstLine="703"/>
        <w:jc w:val="both"/>
        <w:rPr>
          <w:sz w:val="24"/>
          <w:szCs w:val="24"/>
        </w:rPr>
      </w:pPr>
      <w:r>
        <w:rPr>
          <w:sz w:val="24"/>
          <w:szCs w:val="24"/>
        </w:rPr>
        <w:t>Наибольший удельный вес в структуре расходов, осуществляемых учреждениями за счет средств субсидий на муниципальные задания, занимают расходы на оплату труда и отчисления во внебюджетные государственные фонды – 80 %; соответственно, на оплату коммунальных услуг, уплату налогов, организацию питания и иных расходов для обеспечения текущей деятельности учреждений расходуется 20 %.</w:t>
      </w:r>
    </w:p>
    <w:p>
      <w:pPr>
        <w:pStyle w:val="a5"/>
        <w:spacing w:after="0"/>
        <w:ind w:firstLine="703"/>
        <w:jc w:val="both"/>
        <w:rPr>
          <w:color w:val="000000"/>
          <w:sz w:val="24"/>
          <w:szCs w:val="24"/>
        </w:rPr>
      </w:pPr>
      <w:r>
        <w:rPr>
          <w:color w:val="000000"/>
          <w:sz w:val="24"/>
          <w:szCs w:val="24"/>
        </w:rPr>
        <w:t xml:space="preserve">В сравнении с 2020 </w:t>
      </w:r>
      <w:r>
        <w:rPr>
          <w:sz w:val="24"/>
          <w:szCs w:val="24"/>
        </w:rPr>
        <w:t>годом расходы на финансовое обеспечение муниципальных заданий в 2021 году увеличились на 90 887,07 тыс.руб.</w:t>
      </w:r>
    </w:p>
    <w:p>
      <w:pPr>
        <w:pStyle w:val="a5"/>
        <w:spacing w:after="0"/>
        <w:ind w:firstLine="703"/>
        <w:jc w:val="both"/>
        <w:rPr>
          <w:sz w:val="24"/>
          <w:szCs w:val="24"/>
        </w:rPr>
      </w:pPr>
      <w:r>
        <w:rPr>
          <w:sz w:val="24"/>
          <w:szCs w:val="24"/>
        </w:rPr>
        <w:t xml:space="preserve">По результатам исполнения планов финансово-хозяйственной деятельности на 01.01.2022 на счетах учреждений образованы остатки, по субсидиям на выполнение </w:t>
      </w:r>
      <w:r>
        <w:rPr>
          <w:color w:val="0D0D0D"/>
          <w:sz w:val="24"/>
          <w:szCs w:val="24"/>
        </w:rPr>
        <w:t xml:space="preserve">муниципальных заданий, в </w:t>
      </w:r>
      <w:r>
        <w:rPr>
          <w:sz w:val="24"/>
          <w:szCs w:val="24"/>
        </w:rPr>
        <w:t>объеме 28 794,14 тыс.руб.</w:t>
      </w:r>
    </w:p>
    <w:p>
      <w:pPr>
        <w:pStyle w:val="a5"/>
        <w:spacing w:after="0"/>
        <w:ind w:firstLine="703"/>
        <w:jc w:val="both"/>
        <w:rPr>
          <w:sz w:val="24"/>
          <w:szCs w:val="24"/>
        </w:rPr>
      </w:pPr>
      <w:r>
        <w:rPr>
          <w:sz w:val="24"/>
          <w:szCs w:val="24"/>
        </w:rPr>
        <w:t xml:space="preserve">В структуре расходов средств субсидий на муниципальные задания наибольшую долю занимают учреждения дошкольного образования и общеобразовательные </w:t>
      </w:r>
    </w:p>
    <w:p>
      <w:pPr>
        <w:pStyle w:val="a5"/>
        <w:spacing w:after="0"/>
        <w:jc w:val="both"/>
        <w:rPr>
          <w:sz w:val="24"/>
          <w:szCs w:val="24"/>
        </w:rPr>
      </w:pPr>
      <w:r>
        <w:rPr>
          <w:sz w:val="24"/>
          <w:szCs w:val="24"/>
        </w:rPr>
        <w:t>учреждения (33,2 % и 33,6 % соответственно).</w:t>
      </w:r>
    </w:p>
    <w:p>
      <w:pPr>
        <w:pStyle w:val="a5"/>
        <w:spacing w:after="0"/>
        <w:jc w:val="center"/>
        <w:rPr>
          <w:sz w:val="24"/>
          <w:szCs w:val="24"/>
        </w:rPr>
      </w:pPr>
      <w:r>
        <w:rPr>
          <w:noProof/>
          <w:sz w:val="24"/>
          <w:szCs w:val="24"/>
        </w:rPr>
        <w:lastRenderedPageBreak/>
        <w:drawing>
          <wp:inline distT="0" distB="0" distL="0" distR="0">
            <wp:extent cx="5681345" cy="3700145"/>
            <wp:effectExtent l="0" t="0" r="0" b="0"/>
            <wp:docPr id="10" name="Объект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pPr>
        <w:pStyle w:val="a5"/>
        <w:spacing w:after="0"/>
        <w:jc w:val="center"/>
        <w:rPr>
          <w:noProof/>
          <w:sz w:val="24"/>
          <w:szCs w:val="24"/>
        </w:rPr>
      </w:pPr>
      <w:r>
        <w:rPr>
          <w:sz w:val="24"/>
          <w:szCs w:val="24"/>
        </w:rPr>
        <w:t>Р</w:t>
      </w:r>
      <w:r>
        <w:rPr>
          <w:noProof/>
          <w:sz w:val="24"/>
          <w:szCs w:val="24"/>
        </w:rPr>
        <w:t xml:space="preserve">исунок 10. Структура расходов на финансовое обеспечение </w:t>
      </w:r>
    </w:p>
    <w:p>
      <w:pPr>
        <w:pStyle w:val="a5"/>
        <w:spacing w:after="0"/>
        <w:jc w:val="center"/>
        <w:rPr>
          <w:noProof/>
          <w:sz w:val="24"/>
          <w:szCs w:val="24"/>
        </w:rPr>
      </w:pPr>
      <w:r>
        <w:rPr>
          <w:noProof/>
          <w:sz w:val="24"/>
          <w:szCs w:val="24"/>
        </w:rPr>
        <w:t>муниципальных заданий по типам учреждений</w:t>
      </w:r>
    </w:p>
    <w:p>
      <w:pPr>
        <w:pStyle w:val="a5"/>
        <w:spacing w:after="0"/>
        <w:ind w:firstLine="709"/>
        <w:jc w:val="both"/>
        <w:rPr>
          <w:sz w:val="24"/>
          <w:szCs w:val="24"/>
        </w:rPr>
      </w:pPr>
    </w:p>
    <w:p>
      <w:pPr>
        <w:pStyle w:val="a5"/>
        <w:spacing w:after="0"/>
        <w:ind w:firstLine="709"/>
        <w:jc w:val="both"/>
        <w:rPr>
          <w:noProof/>
          <w:sz w:val="24"/>
          <w:szCs w:val="24"/>
        </w:rPr>
      </w:pPr>
      <w:r>
        <w:rPr>
          <w:sz w:val="24"/>
          <w:szCs w:val="24"/>
        </w:rPr>
        <w:t>Наибольший удельный вес в структуре расходов, осуществляемых учреждениями за счет средств субсидий на иные цели, занимают расходы на оплату труда и отчисления во внебюджетные государственные фонды – 70,6 %.</w:t>
      </w:r>
    </w:p>
    <w:p>
      <w:pPr>
        <w:spacing w:after="120"/>
        <w:ind w:right="57"/>
        <w:jc w:val="center"/>
        <w:rPr>
          <w:b/>
          <w:sz w:val="16"/>
          <w:szCs w:val="16"/>
        </w:rPr>
      </w:pPr>
    </w:p>
    <w:p>
      <w:pPr>
        <w:spacing w:after="120"/>
        <w:ind w:right="57"/>
        <w:jc w:val="center"/>
        <w:rPr>
          <w:b/>
          <w:sz w:val="24"/>
          <w:szCs w:val="24"/>
        </w:rPr>
      </w:pPr>
      <w:r>
        <w:rPr>
          <w:b/>
          <w:sz w:val="24"/>
          <w:szCs w:val="24"/>
        </w:rPr>
        <w:t>4.1.3. Информация об исполнении дорожного фонда ЗАТО Северск</w:t>
      </w:r>
    </w:p>
    <w:p>
      <w:pPr>
        <w:ind w:firstLine="709"/>
        <w:jc w:val="both"/>
        <w:rPr>
          <w:sz w:val="24"/>
          <w:szCs w:val="24"/>
        </w:rPr>
      </w:pPr>
      <w:r>
        <w:rPr>
          <w:sz w:val="24"/>
          <w:szCs w:val="24"/>
        </w:rPr>
        <w:t xml:space="preserve">Прогноз доходов дорожного фонда на 2021 год составил 123 830,71 тыс. руб.; исполнение доходов в сумме 125 545,47 тыс. руб. или 101,4% от годового прогноза. </w:t>
      </w:r>
    </w:p>
    <w:p>
      <w:pPr>
        <w:ind w:firstLine="709"/>
        <w:jc w:val="both"/>
        <w:rPr>
          <w:sz w:val="24"/>
          <w:szCs w:val="24"/>
        </w:rPr>
      </w:pPr>
      <w:r>
        <w:rPr>
          <w:sz w:val="24"/>
          <w:szCs w:val="24"/>
        </w:rPr>
        <w:t xml:space="preserve">Плановый годовой объем бюджетных ассигнований дорожного фонда предусмотрен в сумме 386 507,56 тыс.руб. Исполнение дорожного фонда по расходам составило 385 128,39  тыс. руб. или 99,6% от годового плана. </w:t>
      </w:r>
    </w:p>
    <w:p>
      <w:pPr>
        <w:ind w:firstLine="709"/>
        <w:jc w:val="both"/>
        <w:rPr>
          <w:sz w:val="24"/>
          <w:szCs w:val="24"/>
        </w:rPr>
      </w:pPr>
      <w:r>
        <w:rPr>
          <w:sz w:val="24"/>
          <w:szCs w:val="24"/>
        </w:rPr>
        <w:t xml:space="preserve">Основные направления расходования бюджетных ассигнований по реализации мероприятий: </w:t>
      </w:r>
    </w:p>
    <w:p>
      <w:pPr>
        <w:ind w:firstLine="709"/>
        <w:jc w:val="both"/>
        <w:rPr>
          <w:sz w:val="24"/>
          <w:szCs w:val="24"/>
        </w:rPr>
      </w:pPr>
      <w:r>
        <w:rPr>
          <w:sz w:val="24"/>
          <w:szCs w:val="24"/>
        </w:rPr>
        <w:t>- по участию в региональном проекте «Дорожная сеть» в сумме 160 000,00 тыс.руб.;</w:t>
      </w:r>
    </w:p>
    <w:p>
      <w:pPr>
        <w:ind w:firstLine="709"/>
        <w:jc w:val="both"/>
        <w:rPr>
          <w:sz w:val="24"/>
          <w:szCs w:val="24"/>
        </w:rPr>
      </w:pPr>
      <w:r>
        <w:rPr>
          <w:sz w:val="24"/>
          <w:szCs w:val="24"/>
        </w:rPr>
        <w:t>-  ведомственной целевой программы «Текущее содержание объектов улично-дорожной сети г.Северска» в сумме 193 810,59 тыс. руб., из них МБЭУ в сумме 156 213,21 тыс.руб.;</w:t>
      </w:r>
    </w:p>
    <w:p>
      <w:pPr>
        <w:ind w:firstLine="709"/>
        <w:jc w:val="both"/>
        <w:rPr>
          <w:sz w:val="24"/>
          <w:szCs w:val="24"/>
        </w:rPr>
      </w:pPr>
      <w:r>
        <w:rPr>
          <w:sz w:val="24"/>
          <w:szCs w:val="24"/>
        </w:rPr>
        <w:t>- ведомственной целевой программы «Содержание и ремонт улично-дорожной сети внегородских территорий ЗАТО Северск» в сумме 12 836,29 тыс.руб.;</w:t>
      </w:r>
    </w:p>
    <w:p>
      <w:pPr>
        <w:ind w:firstLine="709"/>
        <w:jc w:val="both"/>
        <w:rPr>
          <w:sz w:val="24"/>
          <w:szCs w:val="24"/>
        </w:rPr>
      </w:pPr>
      <w:r>
        <w:rPr>
          <w:sz w:val="24"/>
          <w:szCs w:val="24"/>
        </w:rPr>
        <w:t>- ведомственной целевой программы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Томской области» МБЭУ в сумме 1 837,60 тыс. руб;</w:t>
      </w:r>
    </w:p>
    <w:p>
      <w:pPr>
        <w:ind w:firstLine="709"/>
        <w:jc w:val="both"/>
        <w:rPr>
          <w:sz w:val="24"/>
          <w:szCs w:val="24"/>
        </w:rPr>
      </w:pPr>
      <w:r>
        <w:rPr>
          <w:sz w:val="24"/>
          <w:szCs w:val="24"/>
        </w:rPr>
        <w:t>- ведомственной целевой программы «Организация уличного освещения                  и текущего содержания электрооборудования объектов благоустройства и объектов дорожного обустройства ЗАТО Северск» МБЭУ в сумме 1 790,69 тыс.руб.;</w:t>
      </w:r>
    </w:p>
    <w:p>
      <w:pPr>
        <w:ind w:firstLine="709"/>
        <w:jc w:val="both"/>
        <w:rPr>
          <w:sz w:val="24"/>
          <w:szCs w:val="24"/>
        </w:rPr>
      </w:pPr>
      <w:r>
        <w:rPr>
          <w:sz w:val="24"/>
          <w:szCs w:val="24"/>
        </w:rPr>
        <w:t>- приведение объектов муниципальной собственности в соответствие с требованиями нормативных стандартов в части безопасности дорожного движения в сумме 14 071,45 тыс.руб.;</w:t>
      </w:r>
    </w:p>
    <w:p>
      <w:pPr>
        <w:ind w:firstLine="709"/>
        <w:jc w:val="both"/>
        <w:rPr>
          <w:sz w:val="24"/>
          <w:szCs w:val="24"/>
        </w:rPr>
      </w:pPr>
      <w:r>
        <w:rPr>
          <w:sz w:val="24"/>
          <w:szCs w:val="24"/>
        </w:rPr>
        <w:lastRenderedPageBreak/>
        <w:t>- устройство и ремонт остановок общественного транспорта МБЭУ в сумме 150,00 тыс.руб.;</w:t>
      </w:r>
    </w:p>
    <w:p>
      <w:pPr>
        <w:ind w:firstLine="709"/>
        <w:jc w:val="both"/>
        <w:rPr>
          <w:sz w:val="24"/>
          <w:szCs w:val="24"/>
        </w:rPr>
      </w:pPr>
      <w:r>
        <w:rPr>
          <w:sz w:val="24"/>
          <w:szCs w:val="24"/>
        </w:rPr>
        <w:t>- строительство и ремонт объектов улично-дорожной сети в сумме 521,37 тыс.руб.;</w:t>
      </w:r>
    </w:p>
    <w:p>
      <w:pPr>
        <w:ind w:firstLine="709"/>
        <w:jc w:val="both"/>
        <w:rPr>
          <w:sz w:val="24"/>
          <w:szCs w:val="24"/>
        </w:rPr>
      </w:pPr>
      <w:r>
        <w:rPr>
          <w:sz w:val="24"/>
          <w:szCs w:val="24"/>
        </w:rPr>
        <w:t>- расходы из резервного фонда финансирования непредвиденных расходов Администрации Томской области в сумме 110,40 тыс.руб.</w:t>
      </w:r>
    </w:p>
    <w:p>
      <w:pPr>
        <w:ind w:firstLine="709"/>
        <w:jc w:val="both"/>
        <w:rPr>
          <w:sz w:val="24"/>
          <w:szCs w:val="24"/>
        </w:rPr>
      </w:pPr>
      <w:r>
        <w:rPr>
          <w:sz w:val="24"/>
          <w:szCs w:val="24"/>
        </w:rPr>
        <w:t xml:space="preserve">Дефицит средств дорожного фонда восполнялся за счет доходов бюджета ЗАТО Северск, получаемых в виде налоговых и неналоговых поступлений и сумм дотаций. </w:t>
      </w:r>
    </w:p>
    <w:p>
      <w:pPr>
        <w:ind w:right="57" w:firstLine="709"/>
        <w:jc w:val="center"/>
        <w:rPr>
          <w:b/>
          <w:bCs/>
          <w:sz w:val="24"/>
          <w:szCs w:val="24"/>
          <w:highlight w:val="yellow"/>
        </w:rPr>
      </w:pPr>
    </w:p>
    <w:p>
      <w:pPr>
        <w:ind w:right="55"/>
        <w:jc w:val="center"/>
        <w:rPr>
          <w:b/>
          <w:bCs/>
          <w:sz w:val="24"/>
          <w:szCs w:val="24"/>
        </w:rPr>
      </w:pPr>
      <w:r>
        <w:rPr>
          <w:b/>
          <w:bCs/>
          <w:sz w:val="24"/>
          <w:szCs w:val="24"/>
        </w:rPr>
        <w:t>4.1.4. Информация по резервным фондам Администрации ЗАТО Северск</w:t>
      </w:r>
    </w:p>
    <w:p>
      <w:pPr>
        <w:tabs>
          <w:tab w:val="left" w:pos="5529"/>
        </w:tabs>
        <w:spacing w:before="120"/>
        <w:ind w:firstLine="709"/>
        <w:jc w:val="both"/>
        <w:rPr>
          <w:sz w:val="24"/>
          <w:szCs w:val="24"/>
        </w:rPr>
      </w:pPr>
      <w:r>
        <w:rPr>
          <w:sz w:val="24"/>
          <w:szCs w:val="24"/>
        </w:rPr>
        <w:t>Общий объем утвержденных резервных фондов Администрации ЗАТО Северск составляет 5 918,75 тыс. руб., в том числе:</w:t>
      </w:r>
    </w:p>
    <w:p>
      <w:pPr>
        <w:tabs>
          <w:tab w:val="left" w:pos="5529"/>
        </w:tabs>
        <w:ind w:firstLine="709"/>
        <w:jc w:val="both"/>
        <w:rPr>
          <w:sz w:val="24"/>
          <w:szCs w:val="24"/>
        </w:rPr>
      </w:pPr>
      <w:r>
        <w:rPr>
          <w:sz w:val="24"/>
          <w:szCs w:val="24"/>
        </w:rPr>
        <w:t>- резервный фонд Администрации ЗАТО Северск по предупреждению, ликвидации чрезвычайных ситуаций и последствий стихийных бедствий – 674,76 тыс. руб.</w:t>
      </w:r>
    </w:p>
    <w:p>
      <w:pPr>
        <w:tabs>
          <w:tab w:val="left" w:pos="5529"/>
        </w:tabs>
        <w:ind w:firstLine="709"/>
        <w:jc w:val="both"/>
        <w:rPr>
          <w:sz w:val="24"/>
          <w:szCs w:val="24"/>
        </w:rPr>
      </w:pPr>
      <w:r>
        <w:rPr>
          <w:sz w:val="24"/>
          <w:szCs w:val="24"/>
        </w:rPr>
        <w:t>- фонд непредвиденных расходов Администрации ЗАТО Северск (далее – ФНР) – 5 243,99 тыс. руб.</w:t>
      </w:r>
    </w:p>
    <w:p>
      <w:pPr>
        <w:tabs>
          <w:tab w:val="left" w:pos="5529"/>
        </w:tabs>
        <w:ind w:firstLine="709"/>
        <w:jc w:val="both"/>
        <w:rPr>
          <w:sz w:val="24"/>
          <w:szCs w:val="24"/>
        </w:rPr>
      </w:pPr>
      <w:r>
        <w:rPr>
          <w:sz w:val="24"/>
          <w:szCs w:val="24"/>
        </w:rPr>
        <w:t>Удельный вес резервных фондов Администрации ЗАТО Северск в общем объеме расходов бюджета ЗАТО Северск составляет 0,1%.</w:t>
      </w:r>
    </w:p>
    <w:p>
      <w:pPr>
        <w:ind w:firstLine="709"/>
        <w:jc w:val="both"/>
        <w:rPr>
          <w:sz w:val="24"/>
          <w:szCs w:val="24"/>
        </w:rPr>
      </w:pPr>
      <w:r>
        <w:rPr>
          <w:sz w:val="24"/>
          <w:szCs w:val="24"/>
        </w:rPr>
        <w:t>Исполнение расходов за счет средств ФНР составило 4 444,14 тыс. руб. Средства фонда были направлены на выплату единовременных пособий лицам, замещавшим муниципальные должности, при прекращении полномочий в связи с истечением их срока и на выплату однократного единовременного поощрения в связи с прекращением муниципальной службы (выходом на пенсию).</w:t>
      </w:r>
    </w:p>
    <w:p>
      <w:pPr>
        <w:ind w:firstLine="709"/>
        <w:jc w:val="both"/>
        <w:rPr>
          <w:sz w:val="24"/>
          <w:szCs w:val="24"/>
        </w:rPr>
      </w:pPr>
      <w:r>
        <w:rPr>
          <w:sz w:val="24"/>
          <w:szCs w:val="24"/>
        </w:rPr>
        <w:t>Исполнение расходов за счет средств резервного фонда Администрации ЗАТО Северск по предупреждению, ликвидации чрезвычайных ситуаций и последствий стихийных бедствий составило 574,34 тыс.руб. Средства фонда были направлены на</w:t>
      </w:r>
      <w:r>
        <w:t xml:space="preserve"> п</w:t>
      </w:r>
      <w:r>
        <w:rPr>
          <w:sz w:val="24"/>
          <w:szCs w:val="24"/>
        </w:rPr>
        <w:t>риобретение материалов для проведения обработки дезинфицирующими средствами мест общего пользования в многоквартирных домах, улиц г. Северска, в целях профилактики нераспространения новой коронавирусной инфекции.</w:t>
      </w:r>
    </w:p>
    <w:p>
      <w:pPr>
        <w:spacing w:after="120"/>
        <w:ind w:firstLine="709"/>
        <w:jc w:val="center"/>
        <w:rPr>
          <w:b/>
          <w:bCs/>
          <w:sz w:val="16"/>
          <w:szCs w:val="16"/>
          <w:highlight w:val="yellow"/>
        </w:rPr>
      </w:pPr>
    </w:p>
    <w:p>
      <w:pPr>
        <w:spacing w:after="120"/>
        <w:ind w:firstLine="709"/>
        <w:jc w:val="center"/>
        <w:rPr>
          <w:sz w:val="24"/>
          <w:szCs w:val="24"/>
        </w:rPr>
      </w:pPr>
      <w:r>
        <w:rPr>
          <w:b/>
          <w:bCs/>
          <w:sz w:val="24"/>
          <w:szCs w:val="24"/>
        </w:rPr>
        <w:t>4.1.5. Информация об исполнении программ</w:t>
      </w:r>
    </w:p>
    <w:p>
      <w:pPr>
        <w:widowControl w:val="0"/>
        <w:ind w:right="57" w:firstLine="709"/>
        <w:jc w:val="both"/>
        <w:rPr>
          <w:bCs/>
          <w:sz w:val="24"/>
          <w:szCs w:val="24"/>
        </w:rPr>
      </w:pPr>
      <w:r>
        <w:rPr>
          <w:bCs/>
          <w:sz w:val="24"/>
          <w:szCs w:val="24"/>
        </w:rPr>
        <w:t xml:space="preserve">В 2021 году бюджет ЗАТО Северск исполнялся по программно-целевому методу, программные расходы на реализацию 19 программ при плане </w:t>
      </w:r>
      <w:r>
        <w:rPr>
          <w:sz w:val="24"/>
          <w:szCs w:val="24"/>
        </w:rPr>
        <w:t xml:space="preserve">4 769 766,21 </w:t>
      </w:r>
      <w:r>
        <w:rPr>
          <w:bCs/>
          <w:sz w:val="24"/>
          <w:szCs w:val="24"/>
        </w:rPr>
        <w:t xml:space="preserve">тыс.руб. составили </w:t>
      </w:r>
      <w:r>
        <w:rPr>
          <w:sz w:val="24"/>
          <w:szCs w:val="24"/>
        </w:rPr>
        <w:t xml:space="preserve">4 731 368,23 </w:t>
      </w:r>
      <w:r>
        <w:rPr>
          <w:bCs/>
          <w:sz w:val="24"/>
          <w:szCs w:val="24"/>
        </w:rPr>
        <w:t>тыс.руб. или 99,2% к плану года.</w:t>
      </w:r>
    </w:p>
    <w:p>
      <w:pPr>
        <w:widowControl w:val="0"/>
        <w:ind w:right="57" w:firstLine="709"/>
        <w:jc w:val="both"/>
        <w:rPr>
          <w:bCs/>
          <w:sz w:val="24"/>
          <w:szCs w:val="24"/>
        </w:rPr>
      </w:pPr>
    </w:p>
    <w:p>
      <w:pPr>
        <w:spacing w:before="60" w:after="60"/>
        <w:ind w:right="57" w:firstLine="709"/>
        <w:rPr>
          <w:bCs/>
          <w:sz w:val="24"/>
          <w:szCs w:val="24"/>
        </w:rPr>
      </w:pPr>
      <w:r>
        <w:rPr>
          <w:bCs/>
          <w:sz w:val="24"/>
          <w:szCs w:val="24"/>
        </w:rPr>
        <w:t>Таблица 46. Анализ расходов в разрезе программ</w:t>
      </w:r>
    </w:p>
    <w:tbl>
      <w:tblPr>
        <w:tblW w:w="937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678"/>
        <w:gridCol w:w="1275"/>
        <w:gridCol w:w="1277"/>
        <w:gridCol w:w="850"/>
        <w:gridCol w:w="708"/>
      </w:tblGrid>
      <w:tr>
        <w:trPr>
          <w:trHeight w:val="905"/>
        </w:trPr>
        <w:tc>
          <w:tcPr>
            <w:tcW w:w="582" w:type="dxa"/>
            <w:vAlign w:val="center"/>
          </w:tcPr>
          <w:p>
            <w:pPr>
              <w:jc w:val="center"/>
            </w:pPr>
            <w:r>
              <w:t>№ п/п</w:t>
            </w:r>
          </w:p>
        </w:tc>
        <w:tc>
          <w:tcPr>
            <w:tcW w:w="4678" w:type="dxa"/>
            <w:shd w:val="clear" w:color="auto" w:fill="auto"/>
            <w:vAlign w:val="center"/>
          </w:tcPr>
          <w:p>
            <w:pPr>
              <w:jc w:val="center"/>
            </w:pPr>
            <w:r>
              <w:t>Наименование программы</w:t>
            </w:r>
          </w:p>
        </w:tc>
        <w:tc>
          <w:tcPr>
            <w:tcW w:w="1275" w:type="dxa"/>
            <w:shd w:val="clear" w:color="auto" w:fill="auto"/>
            <w:vAlign w:val="center"/>
          </w:tcPr>
          <w:p>
            <w:pPr>
              <w:jc w:val="center"/>
              <w:rPr>
                <w:sz w:val="18"/>
                <w:szCs w:val="18"/>
              </w:rPr>
            </w:pPr>
            <w:r>
              <w:rPr>
                <w:sz w:val="18"/>
                <w:szCs w:val="18"/>
              </w:rPr>
              <w:t>Уточненный план</w:t>
            </w:r>
            <w:r>
              <w:rPr>
                <w:sz w:val="18"/>
                <w:szCs w:val="18"/>
              </w:rPr>
              <w:br/>
              <w:t>2021 г., тыс.руб.</w:t>
            </w:r>
          </w:p>
        </w:tc>
        <w:tc>
          <w:tcPr>
            <w:tcW w:w="1277" w:type="dxa"/>
            <w:shd w:val="clear" w:color="auto" w:fill="auto"/>
            <w:vAlign w:val="center"/>
          </w:tcPr>
          <w:p>
            <w:pPr>
              <w:jc w:val="center"/>
              <w:rPr>
                <w:sz w:val="18"/>
                <w:szCs w:val="18"/>
              </w:rPr>
            </w:pPr>
            <w:r>
              <w:rPr>
                <w:sz w:val="18"/>
                <w:szCs w:val="18"/>
              </w:rPr>
              <w:t>Исполнено</w:t>
            </w:r>
          </w:p>
          <w:p>
            <w:pPr>
              <w:ind w:right="-42"/>
              <w:jc w:val="center"/>
              <w:rPr>
                <w:sz w:val="18"/>
                <w:szCs w:val="18"/>
              </w:rPr>
            </w:pPr>
            <w:r>
              <w:rPr>
                <w:sz w:val="18"/>
                <w:szCs w:val="18"/>
              </w:rPr>
              <w:t>за 2021 г., тыс.руб.</w:t>
            </w:r>
          </w:p>
        </w:tc>
        <w:tc>
          <w:tcPr>
            <w:tcW w:w="850" w:type="dxa"/>
            <w:shd w:val="clear" w:color="auto" w:fill="auto"/>
            <w:vAlign w:val="center"/>
          </w:tcPr>
          <w:p>
            <w:pPr>
              <w:jc w:val="center"/>
              <w:rPr>
                <w:sz w:val="18"/>
                <w:szCs w:val="18"/>
              </w:rPr>
            </w:pPr>
            <w:r>
              <w:rPr>
                <w:sz w:val="18"/>
                <w:szCs w:val="18"/>
              </w:rPr>
              <w:t>Испол-нение, %</w:t>
            </w:r>
          </w:p>
        </w:tc>
        <w:tc>
          <w:tcPr>
            <w:tcW w:w="708" w:type="dxa"/>
            <w:vAlign w:val="center"/>
          </w:tcPr>
          <w:p>
            <w:pPr>
              <w:jc w:val="center"/>
              <w:rPr>
                <w:sz w:val="18"/>
                <w:szCs w:val="18"/>
              </w:rPr>
            </w:pPr>
            <w:r>
              <w:rPr>
                <w:sz w:val="18"/>
                <w:szCs w:val="18"/>
              </w:rPr>
              <w:t>Уд. вес,</w:t>
            </w:r>
          </w:p>
          <w:p>
            <w:pPr>
              <w:ind w:right="-109"/>
              <w:jc w:val="center"/>
              <w:rPr>
                <w:sz w:val="18"/>
                <w:szCs w:val="18"/>
              </w:rPr>
            </w:pPr>
            <w:r>
              <w:rPr>
                <w:sz w:val="18"/>
                <w:szCs w:val="18"/>
              </w:rPr>
              <w:t>%</w:t>
            </w:r>
          </w:p>
        </w:tc>
      </w:tr>
      <w:tr>
        <w:trPr>
          <w:trHeight w:val="255"/>
        </w:trPr>
        <w:tc>
          <w:tcPr>
            <w:tcW w:w="582" w:type="dxa"/>
            <w:vAlign w:val="center"/>
          </w:tcPr>
          <w:p>
            <w:pPr>
              <w:ind w:left="-108" w:right="-108"/>
              <w:jc w:val="center"/>
            </w:pPr>
            <w:r>
              <w:t>1</w:t>
            </w:r>
          </w:p>
        </w:tc>
        <w:tc>
          <w:tcPr>
            <w:tcW w:w="4678" w:type="dxa"/>
            <w:shd w:val="clear" w:color="auto" w:fill="auto"/>
            <w:vAlign w:val="center"/>
          </w:tcPr>
          <w:p>
            <w:pPr>
              <w:ind w:left="34" w:right="-108"/>
              <w:jc w:val="center"/>
            </w:pPr>
            <w:r>
              <w:t>2</w:t>
            </w:r>
          </w:p>
        </w:tc>
        <w:tc>
          <w:tcPr>
            <w:tcW w:w="1275" w:type="dxa"/>
            <w:shd w:val="clear" w:color="auto" w:fill="auto"/>
            <w:noWrap/>
            <w:vAlign w:val="center"/>
          </w:tcPr>
          <w:p>
            <w:pPr>
              <w:jc w:val="center"/>
            </w:pPr>
            <w:r>
              <w:t>3</w:t>
            </w:r>
          </w:p>
        </w:tc>
        <w:tc>
          <w:tcPr>
            <w:tcW w:w="1277" w:type="dxa"/>
            <w:shd w:val="clear" w:color="auto" w:fill="auto"/>
            <w:noWrap/>
            <w:vAlign w:val="center"/>
          </w:tcPr>
          <w:p>
            <w:pPr>
              <w:jc w:val="center"/>
            </w:pPr>
            <w:r>
              <w:t>4</w:t>
            </w:r>
          </w:p>
        </w:tc>
        <w:tc>
          <w:tcPr>
            <w:tcW w:w="850" w:type="dxa"/>
            <w:shd w:val="clear" w:color="auto" w:fill="auto"/>
            <w:noWrap/>
            <w:vAlign w:val="center"/>
          </w:tcPr>
          <w:p>
            <w:pPr>
              <w:jc w:val="center"/>
            </w:pPr>
            <w:r>
              <w:t>5</w:t>
            </w:r>
          </w:p>
        </w:tc>
        <w:tc>
          <w:tcPr>
            <w:tcW w:w="708" w:type="dxa"/>
            <w:vAlign w:val="center"/>
          </w:tcPr>
          <w:p>
            <w:pPr>
              <w:jc w:val="center"/>
            </w:pPr>
            <w:r>
              <w:t>6</w:t>
            </w:r>
          </w:p>
        </w:tc>
      </w:tr>
      <w:tr>
        <w:trPr>
          <w:trHeight w:val="255"/>
        </w:trPr>
        <w:tc>
          <w:tcPr>
            <w:tcW w:w="582" w:type="dxa"/>
            <w:vAlign w:val="center"/>
          </w:tcPr>
          <w:p>
            <w:pPr>
              <w:ind w:left="-108" w:right="-108"/>
              <w:jc w:val="center"/>
            </w:pPr>
            <w:r>
              <w:t>1.</w:t>
            </w:r>
          </w:p>
        </w:tc>
        <w:tc>
          <w:tcPr>
            <w:tcW w:w="4678" w:type="dxa"/>
            <w:shd w:val="clear" w:color="auto" w:fill="auto"/>
            <w:vAlign w:val="center"/>
          </w:tcPr>
          <w:p>
            <w:pPr>
              <w:ind w:left="34" w:right="-108"/>
            </w:pPr>
            <w:r>
              <w:t xml:space="preserve">МП </w:t>
            </w:r>
            <w:r>
              <w:rPr>
                <w:bCs/>
              </w:rPr>
              <w:t>«Развитие предпринимательства в ЗАТО Северск»</w:t>
            </w:r>
          </w:p>
        </w:tc>
        <w:tc>
          <w:tcPr>
            <w:tcW w:w="1275" w:type="dxa"/>
            <w:shd w:val="clear" w:color="auto" w:fill="auto"/>
            <w:noWrap/>
            <w:vAlign w:val="center"/>
          </w:tcPr>
          <w:p>
            <w:pPr>
              <w:jc w:val="right"/>
              <w:rPr>
                <w:sz w:val="24"/>
                <w:szCs w:val="24"/>
              </w:rPr>
            </w:pPr>
            <w:r>
              <w:t>31 727,58</w:t>
            </w:r>
          </w:p>
        </w:tc>
        <w:tc>
          <w:tcPr>
            <w:tcW w:w="1277" w:type="dxa"/>
            <w:shd w:val="clear" w:color="auto" w:fill="auto"/>
            <w:noWrap/>
            <w:vAlign w:val="center"/>
          </w:tcPr>
          <w:p>
            <w:pPr>
              <w:jc w:val="right"/>
              <w:rPr>
                <w:sz w:val="24"/>
                <w:szCs w:val="24"/>
              </w:rPr>
            </w:pPr>
            <w:r>
              <w:t>29 331,73</w:t>
            </w:r>
          </w:p>
        </w:tc>
        <w:tc>
          <w:tcPr>
            <w:tcW w:w="850" w:type="dxa"/>
            <w:shd w:val="clear" w:color="auto" w:fill="auto"/>
            <w:noWrap/>
            <w:vAlign w:val="center"/>
          </w:tcPr>
          <w:p>
            <w:pPr>
              <w:jc w:val="right"/>
              <w:rPr>
                <w:bCs/>
              </w:rPr>
            </w:pPr>
            <w:r>
              <w:rPr>
                <w:bCs/>
              </w:rPr>
              <w:t>92,4</w:t>
            </w:r>
          </w:p>
        </w:tc>
        <w:tc>
          <w:tcPr>
            <w:tcW w:w="708" w:type="dxa"/>
            <w:vAlign w:val="center"/>
          </w:tcPr>
          <w:p>
            <w:pPr>
              <w:jc w:val="right"/>
              <w:rPr>
                <w:bCs/>
              </w:rPr>
            </w:pPr>
            <w:r>
              <w:rPr>
                <w:bCs/>
              </w:rPr>
              <w:t>0,6</w:t>
            </w:r>
          </w:p>
        </w:tc>
      </w:tr>
      <w:tr>
        <w:trPr>
          <w:trHeight w:val="199"/>
        </w:trPr>
        <w:tc>
          <w:tcPr>
            <w:tcW w:w="582" w:type="dxa"/>
            <w:vAlign w:val="center"/>
          </w:tcPr>
          <w:p>
            <w:pPr>
              <w:ind w:left="-108" w:right="-108"/>
              <w:jc w:val="center"/>
            </w:pPr>
            <w:r>
              <w:t>2.</w:t>
            </w:r>
          </w:p>
        </w:tc>
        <w:tc>
          <w:tcPr>
            <w:tcW w:w="4678" w:type="dxa"/>
            <w:shd w:val="clear" w:color="auto" w:fill="auto"/>
            <w:vAlign w:val="center"/>
          </w:tcPr>
          <w:p>
            <w:pPr>
              <w:ind w:left="34" w:right="-108"/>
            </w:pPr>
            <w:r>
              <w:t xml:space="preserve">МП </w:t>
            </w:r>
            <w:r>
              <w:rPr>
                <w:bCs/>
              </w:rPr>
              <w:t>«Развитие физической культуры и спорта в ЗАТО Северск»</w:t>
            </w:r>
          </w:p>
        </w:tc>
        <w:tc>
          <w:tcPr>
            <w:tcW w:w="1275" w:type="dxa"/>
            <w:shd w:val="clear" w:color="auto" w:fill="auto"/>
            <w:noWrap/>
            <w:vAlign w:val="center"/>
          </w:tcPr>
          <w:p>
            <w:pPr>
              <w:jc w:val="right"/>
              <w:rPr>
                <w:sz w:val="24"/>
                <w:szCs w:val="24"/>
              </w:rPr>
            </w:pPr>
            <w:r>
              <w:t>390 169,44</w:t>
            </w:r>
          </w:p>
        </w:tc>
        <w:tc>
          <w:tcPr>
            <w:tcW w:w="1277" w:type="dxa"/>
            <w:shd w:val="clear" w:color="auto" w:fill="auto"/>
            <w:noWrap/>
            <w:vAlign w:val="center"/>
          </w:tcPr>
          <w:p>
            <w:pPr>
              <w:jc w:val="right"/>
              <w:rPr>
                <w:sz w:val="24"/>
                <w:szCs w:val="24"/>
              </w:rPr>
            </w:pPr>
            <w:r>
              <w:t>390 169,01</w:t>
            </w:r>
          </w:p>
        </w:tc>
        <w:tc>
          <w:tcPr>
            <w:tcW w:w="850" w:type="dxa"/>
            <w:shd w:val="clear" w:color="auto" w:fill="auto"/>
            <w:noWrap/>
            <w:vAlign w:val="center"/>
          </w:tcPr>
          <w:p>
            <w:pPr>
              <w:jc w:val="right"/>
              <w:rPr>
                <w:bCs/>
              </w:rPr>
            </w:pPr>
            <w:r>
              <w:rPr>
                <w:bCs/>
              </w:rPr>
              <w:t>100,0</w:t>
            </w:r>
          </w:p>
        </w:tc>
        <w:tc>
          <w:tcPr>
            <w:tcW w:w="708" w:type="dxa"/>
            <w:vAlign w:val="center"/>
          </w:tcPr>
          <w:p>
            <w:pPr>
              <w:jc w:val="right"/>
              <w:rPr>
                <w:bCs/>
              </w:rPr>
            </w:pPr>
            <w:r>
              <w:rPr>
                <w:bCs/>
              </w:rPr>
              <w:t>8,2</w:t>
            </w:r>
          </w:p>
        </w:tc>
      </w:tr>
      <w:tr>
        <w:trPr>
          <w:trHeight w:val="255"/>
        </w:trPr>
        <w:tc>
          <w:tcPr>
            <w:tcW w:w="582" w:type="dxa"/>
            <w:vAlign w:val="center"/>
          </w:tcPr>
          <w:p>
            <w:pPr>
              <w:ind w:left="-108" w:right="-108"/>
              <w:jc w:val="center"/>
            </w:pPr>
            <w:r>
              <w:t>3.</w:t>
            </w:r>
          </w:p>
        </w:tc>
        <w:tc>
          <w:tcPr>
            <w:tcW w:w="4678" w:type="dxa"/>
            <w:shd w:val="clear" w:color="auto" w:fill="auto"/>
            <w:vAlign w:val="center"/>
          </w:tcPr>
          <w:p>
            <w:pPr>
              <w:ind w:left="34" w:right="-108"/>
            </w:pPr>
            <w:r>
              <w:t xml:space="preserve">МП </w:t>
            </w:r>
            <w:r>
              <w:rPr>
                <w:bCs/>
              </w:rPr>
              <w:t>«Молодежная политика в ЗАТО Северск»</w:t>
            </w:r>
          </w:p>
        </w:tc>
        <w:tc>
          <w:tcPr>
            <w:tcW w:w="1275" w:type="dxa"/>
            <w:shd w:val="clear" w:color="auto" w:fill="auto"/>
            <w:noWrap/>
            <w:vAlign w:val="center"/>
          </w:tcPr>
          <w:p>
            <w:pPr>
              <w:jc w:val="right"/>
              <w:rPr>
                <w:sz w:val="24"/>
                <w:szCs w:val="24"/>
              </w:rPr>
            </w:pPr>
            <w:r>
              <w:t>114 225,46</w:t>
            </w:r>
          </w:p>
        </w:tc>
        <w:tc>
          <w:tcPr>
            <w:tcW w:w="1277" w:type="dxa"/>
            <w:shd w:val="clear" w:color="auto" w:fill="auto"/>
            <w:noWrap/>
            <w:vAlign w:val="center"/>
          </w:tcPr>
          <w:p>
            <w:pPr>
              <w:jc w:val="right"/>
              <w:rPr>
                <w:sz w:val="24"/>
                <w:szCs w:val="24"/>
              </w:rPr>
            </w:pPr>
            <w:r>
              <w:t>114 216,98</w:t>
            </w:r>
          </w:p>
        </w:tc>
        <w:tc>
          <w:tcPr>
            <w:tcW w:w="850" w:type="dxa"/>
            <w:shd w:val="clear" w:color="auto" w:fill="auto"/>
            <w:noWrap/>
            <w:vAlign w:val="center"/>
          </w:tcPr>
          <w:p>
            <w:pPr>
              <w:jc w:val="right"/>
              <w:rPr>
                <w:bCs/>
              </w:rPr>
            </w:pPr>
            <w:r>
              <w:rPr>
                <w:bCs/>
              </w:rPr>
              <w:t>100,0</w:t>
            </w:r>
          </w:p>
        </w:tc>
        <w:tc>
          <w:tcPr>
            <w:tcW w:w="708" w:type="dxa"/>
            <w:vAlign w:val="center"/>
          </w:tcPr>
          <w:p>
            <w:pPr>
              <w:jc w:val="right"/>
              <w:rPr>
                <w:bCs/>
              </w:rPr>
            </w:pPr>
            <w:r>
              <w:rPr>
                <w:bCs/>
              </w:rPr>
              <w:t>2,4</w:t>
            </w:r>
          </w:p>
        </w:tc>
      </w:tr>
      <w:tr>
        <w:trPr>
          <w:trHeight w:val="255"/>
        </w:trPr>
        <w:tc>
          <w:tcPr>
            <w:tcW w:w="582" w:type="dxa"/>
            <w:vAlign w:val="center"/>
          </w:tcPr>
          <w:p>
            <w:pPr>
              <w:ind w:left="-108" w:right="-108"/>
              <w:jc w:val="center"/>
            </w:pPr>
            <w:r>
              <w:t>4.</w:t>
            </w:r>
          </w:p>
        </w:tc>
        <w:tc>
          <w:tcPr>
            <w:tcW w:w="4678" w:type="dxa"/>
            <w:shd w:val="clear" w:color="auto" w:fill="auto"/>
            <w:vAlign w:val="center"/>
          </w:tcPr>
          <w:p>
            <w:pPr>
              <w:ind w:left="34" w:right="-108"/>
            </w:pPr>
            <w:r>
              <w:t xml:space="preserve">МП </w:t>
            </w:r>
            <w:r>
              <w:rPr>
                <w:bCs/>
              </w:rPr>
              <w:t>«Развитие культуры и туризма в ЗАТО Северск»</w:t>
            </w:r>
          </w:p>
        </w:tc>
        <w:tc>
          <w:tcPr>
            <w:tcW w:w="1275" w:type="dxa"/>
            <w:shd w:val="clear" w:color="auto" w:fill="auto"/>
            <w:noWrap/>
            <w:vAlign w:val="center"/>
          </w:tcPr>
          <w:p>
            <w:pPr>
              <w:jc w:val="right"/>
              <w:rPr>
                <w:sz w:val="24"/>
                <w:szCs w:val="24"/>
              </w:rPr>
            </w:pPr>
            <w:r>
              <w:t>557 216,45</w:t>
            </w:r>
          </w:p>
        </w:tc>
        <w:tc>
          <w:tcPr>
            <w:tcW w:w="1277" w:type="dxa"/>
            <w:shd w:val="clear" w:color="auto" w:fill="auto"/>
            <w:noWrap/>
            <w:vAlign w:val="center"/>
          </w:tcPr>
          <w:p>
            <w:pPr>
              <w:jc w:val="right"/>
              <w:rPr>
                <w:sz w:val="24"/>
                <w:szCs w:val="24"/>
              </w:rPr>
            </w:pPr>
            <w:r>
              <w:t>556 746,21</w:t>
            </w:r>
          </w:p>
        </w:tc>
        <w:tc>
          <w:tcPr>
            <w:tcW w:w="850" w:type="dxa"/>
            <w:shd w:val="clear" w:color="auto" w:fill="auto"/>
            <w:noWrap/>
            <w:vAlign w:val="center"/>
          </w:tcPr>
          <w:p>
            <w:pPr>
              <w:jc w:val="right"/>
              <w:rPr>
                <w:bCs/>
              </w:rPr>
            </w:pPr>
            <w:r>
              <w:rPr>
                <w:bCs/>
              </w:rPr>
              <w:t>99,9</w:t>
            </w:r>
          </w:p>
        </w:tc>
        <w:tc>
          <w:tcPr>
            <w:tcW w:w="708" w:type="dxa"/>
            <w:vAlign w:val="center"/>
          </w:tcPr>
          <w:p>
            <w:pPr>
              <w:jc w:val="right"/>
              <w:rPr>
                <w:bCs/>
              </w:rPr>
            </w:pPr>
            <w:r>
              <w:rPr>
                <w:bCs/>
              </w:rPr>
              <w:t>11,8</w:t>
            </w:r>
          </w:p>
        </w:tc>
      </w:tr>
      <w:tr>
        <w:trPr>
          <w:trHeight w:val="255"/>
        </w:trPr>
        <w:tc>
          <w:tcPr>
            <w:tcW w:w="582" w:type="dxa"/>
            <w:vAlign w:val="center"/>
          </w:tcPr>
          <w:p>
            <w:pPr>
              <w:ind w:left="-108" w:right="-108"/>
              <w:jc w:val="center"/>
            </w:pPr>
            <w:r>
              <w:t>5.</w:t>
            </w:r>
          </w:p>
        </w:tc>
        <w:tc>
          <w:tcPr>
            <w:tcW w:w="4678" w:type="dxa"/>
            <w:shd w:val="clear" w:color="auto" w:fill="auto"/>
            <w:vAlign w:val="center"/>
          </w:tcPr>
          <w:p>
            <w:pPr>
              <w:ind w:left="34" w:right="-108"/>
            </w:pPr>
            <w:r>
              <w:t xml:space="preserve">МП </w:t>
            </w:r>
            <w:r>
              <w:rPr>
                <w:bCs/>
              </w:rPr>
              <w:t>«Развитие образования в ЗАТО Северск»</w:t>
            </w:r>
          </w:p>
        </w:tc>
        <w:tc>
          <w:tcPr>
            <w:tcW w:w="1275" w:type="dxa"/>
            <w:shd w:val="clear" w:color="auto" w:fill="auto"/>
            <w:noWrap/>
            <w:vAlign w:val="center"/>
          </w:tcPr>
          <w:p>
            <w:pPr>
              <w:jc w:val="right"/>
              <w:rPr>
                <w:sz w:val="24"/>
                <w:szCs w:val="24"/>
              </w:rPr>
            </w:pPr>
            <w:r>
              <w:t>2 430 218,51</w:t>
            </w:r>
          </w:p>
        </w:tc>
        <w:tc>
          <w:tcPr>
            <w:tcW w:w="1277" w:type="dxa"/>
            <w:shd w:val="clear" w:color="auto" w:fill="auto"/>
            <w:noWrap/>
            <w:vAlign w:val="center"/>
          </w:tcPr>
          <w:p>
            <w:pPr>
              <w:jc w:val="right"/>
              <w:rPr>
                <w:sz w:val="24"/>
                <w:szCs w:val="24"/>
              </w:rPr>
            </w:pPr>
            <w:r>
              <w:t>2 416 693,87</w:t>
            </w:r>
          </w:p>
        </w:tc>
        <w:tc>
          <w:tcPr>
            <w:tcW w:w="850" w:type="dxa"/>
            <w:shd w:val="clear" w:color="auto" w:fill="auto"/>
            <w:noWrap/>
            <w:vAlign w:val="center"/>
          </w:tcPr>
          <w:p>
            <w:pPr>
              <w:jc w:val="right"/>
              <w:rPr>
                <w:bCs/>
              </w:rPr>
            </w:pPr>
            <w:r>
              <w:rPr>
                <w:bCs/>
              </w:rPr>
              <w:t>99,4</w:t>
            </w:r>
          </w:p>
        </w:tc>
        <w:tc>
          <w:tcPr>
            <w:tcW w:w="708" w:type="dxa"/>
            <w:vAlign w:val="center"/>
          </w:tcPr>
          <w:p>
            <w:pPr>
              <w:jc w:val="right"/>
              <w:rPr>
                <w:bCs/>
              </w:rPr>
            </w:pPr>
            <w:r>
              <w:rPr>
                <w:bCs/>
              </w:rPr>
              <w:t>51,1</w:t>
            </w:r>
          </w:p>
        </w:tc>
      </w:tr>
      <w:tr>
        <w:trPr>
          <w:trHeight w:val="255"/>
        </w:trPr>
        <w:tc>
          <w:tcPr>
            <w:tcW w:w="582" w:type="dxa"/>
            <w:vAlign w:val="center"/>
          </w:tcPr>
          <w:p>
            <w:pPr>
              <w:ind w:left="-108" w:right="-108"/>
              <w:jc w:val="center"/>
            </w:pPr>
            <w:r>
              <w:t>6.</w:t>
            </w:r>
          </w:p>
        </w:tc>
        <w:tc>
          <w:tcPr>
            <w:tcW w:w="4678" w:type="dxa"/>
            <w:shd w:val="clear" w:color="auto" w:fill="auto"/>
            <w:vAlign w:val="center"/>
          </w:tcPr>
          <w:p>
            <w:pPr>
              <w:ind w:left="34" w:right="-108"/>
            </w:pPr>
            <w:r>
              <w:t>МП</w:t>
            </w:r>
            <w:r>
              <w:rPr>
                <w:bCs/>
              </w:rPr>
              <w:t xml:space="preserve"> «Формирование благоприятного социального климата в ЗАТО Северск»</w:t>
            </w:r>
          </w:p>
        </w:tc>
        <w:tc>
          <w:tcPr>
            <w:tcW w:w="1275" w:type="dxa"/>
            <w:shd w:val="clear" w:color="auto" w:fill="auto"/>
            <w:noWrap/>
            <w:vAlign w:val="center"/>
          </w:tcPr>
          <w:p>
            <w:pPr>
              <w:jc w:val="right"/>
              <w:rPr>
                <w:sz w:val="24"/>
                <w:szCs w:val="24"/>
              </w:rPr>
            </w:pPr>
            <w:r>
              <w:t>101 913,87</w:t>
            </w:r>
          </w:p>
        </w:tc>
        <w:tc>
          <w:tcPr>
            <w:tcW w:w="1277" w:type="dxa"/>
            <w:shd w:val="clear" w:color="auto" w:fill="auto"/>
            <w:noWrap/>
            <w:vAlign w:val="center"/>
          </w:tcPr>
          <w:p>
            <w:pPr>
              <w:jc w:val="right"/>
              <w:rPr>
                <w:sz w:val="24"/>
                <w:szCs w:val="24"/>
              </w:rPr>
            </w:pPr>
            <w:r>
              <w:t>98 746,10</w:t>
            </w:r>
          </w:p>
        </w:tc>
        <w:tc>
          <w:tcPr>
            <w:tcW w:w="850" w:type="dxa"/>
            <w:shd w:val="clear" w:color="auto" w:fill="auto"/>
            <w:noWrap/>
            <w:vAlign w:val="center"/>
          </w:tcPr>
          <w:p>
            <w:pPr>
              <w:jc w:val="right"/>
              <w:rPr>
                <w:bCs/>
              </w:rPr>
            </w:pPr>
            <w:r>
              <w:rPr>
                <w:bCs/>
              </w:rPr>
              <w:t>96,9</w:t>
            </w:r>
          </w:p>
        </w:tc>
        <w:tc>
          <w:tcPr>
            <w:tcW w:w="708" w:type="dxa"/>
            <w:vAlign w:val="center"/>
          </w:tcPr>
          <w:p>
            <w:pPr>
              <w:jc w:val="right"/>
              <w:rPr>
                <w:bCs/>
              </w:rPr>
            </w:pPr>
            <w:r>
              <w:rPr>
                <w:bCs/>
              </w:rPr>
              <w:t>2,1</w:t>
            </w:r>
          </w:p>
        </w:tc>
      </w:tr>
      <w:tr>
        <w:trPr>
          <w:trHeight w:val="255"/>
        </w:trPr>
        <w:tc>
          <w:tcPr>
            <w:tcW w:w="582" w:type="dxa"/>
            <w:vAlign w:val="center"/>
          </w:tcPr>
          <w:p>
            <w:pPr>
              <w:ind w:left="-108" w:right="-108"/>
              <w:jc w:val="center"/>
            </w:pPr>
            <w:r>
              <w:t>7.</w:t>
            </w:r>
          </w:p>
        </w:tc>
        <w:tc>
          <w:tcPr>
            <w:tcW w:w="4678" w:type="dxa"/>
            <w:shd w:val="clear" w:color="auto" w:fill="auto"/>
            <w:vAlign w:val="center"/>
          </w:tcPr>
          <w:p>
            <w:pPr>
              <w:ind w:left="34" w:right="-108"/>
            </w:pPr>
            <w:r>
              <w:t>МП</w:t>
            </w:r>
            <w:r>
              <w:rPr>
                <w:bCs/>
              </w:rPr>
              <w:t xml:space="preserve"> «Улучшение качественного состояния объектов благоустройства и озеленения города Северска»</w:t>
            </w:r>
          </w:p>
        </w:tc>
        <w:tc>
          <w:tcPr>
            <w:tcW w:w="1275" w:type="dxa"/>
            <w:shd w:val="clear" w:color="auto" w:fill="auto"/>
            <w:noWrap/>
            <w:vAlign w:val="center"/>
          </w:tcPr>
          <w:p>
            <w:pPr>
              <w:jc w:val="right"/>
              <w:rPr>
                <w:sz w:val="24"/>
                <w:szCs w:val="24"/>
              </w:rPr>
            </w:pPr>
            <w:r>
              <w:t>175 193,67</w:t>
            </w:r>
          </w:p>
        </w:tc>
        <w:tc>
          <w:tcPr>
            <w:tcW w:w="1277" w:type="dxa"/>
            <w:shd w:val="clear" w:color="auto" w:fill="auto"/>
            <w:noWrap/>
            <w:vAlign w:val="center"/>
          </w:tcPr>
          <w:p>
            <w:pPr>
              <w:jc w:val="right"/>
              <w:rPr>
                <w:sz w:val="24"/>
                <w:szCs w:val="24"/>
              </w:rPr>
            </w:pPr>
            <w:r>
              <w:t>170 948,84</w:t>
            </w:r>
          </w:p>
        </w:tc>
        <w:tc>
          <w:tcPr>
            <w:tcW w:w="850" w:type="dxa"/>
            <w:shd w:val="clear" w:color="auto" w:fill="auto"/>
            <w:noWrap/>
            <w:vAlign w:val="center"/>
          </w:tcPr>
          <w:p>
            <w:pPr>
              <w:jc w:val="right"/>
              <w:rPr>
                <w:bCs/>
              </w:rPr>
            </w:pPr>
            <w:r>
              <w:rPr>
                <w:bCs/>
              </w:rPr>
              <w:t>97,6</w:t>
            </w:r>
          </w:p>
        </w:tc>
        <w:tc>
          <w:tcPr>
            <w:tcW w:w="708" w:type="dxa"/>
            <w:vAlign w:val="center"/>
          </w:tcPr>
          <w:p>
            <w:pPr>
              <w:jc w:val="right"/>
              <w:rPr>
                <w:bCs/>
              </w:rPr>
            </w:pPr>
            <w:r>
              <w:rPr>
                <w:bCs/>
              </w:rPr>
              <w:t>3,6</w:t>
            </w:r>
          </w:p>
        </w:tc>
      </w:tr>
      <w:tr>
        <w:trPr>
          <w:trHeight w:val="255"/>
        </w:trPr>
        <w:tc>
          <w:tcPr>
            <w:tcW w:w="582" w:type="dxa"/>
            <w:vAlign w:val="center"/>
          </w:tcPr>
          <w:p>
            <w:pPr>
              <w:ind w:left="-108" w:right="-108"/>
              <w:jc w:val="center"/>
            </w:pPr>
            <w:r>
              <w:t>8.</w:t>
            </w:r>
          </w:p>
        </w:tc>
        <w:tc>
          <w:tcPr>
            <w:tcW w:w="4678" w:type="dxa"/>
            <w:shd w:val="clear" w:color="auto" w:fill="auto"/>
            <w:vAlign w:val="center"/>
          </w:tcPr>
          <w:p>
            <w:pPr>
              <w:ind w:left="34" w:right="-108"/>
            </w:pPr>
            <w:r>
              <w:t>МП</w:t>
            </w:r>
            <w:r>
              <w:rPr>
                <w:bCs/>
              </w:rPr>
              <w:t xml:space="preserve"> «Повышение энергоэффективности в ЗАТО Северск»</w:t>
            </w:r>
          </w:p>
        </w:tc>
        <w:tc>
          <w:tcPr>
            <w:tcW w:w="1275" w:type="dxa"/>
            <w:shd w:val="clear" w:color="auto" w:fill="auto"/>
            <w:noWrap/>
            <w:vAlign w:val="center"/>
          </w:tcPr>
          <w:p>
            <w:pPr>
              <w:jc w:val="right"/>
              <w:rPr>
                <w:sz w:val="24"/>
                <w:szCs w:val="24"/>
              </w:rPr>
            </w:pPr>
            <w:r>
              <w:t>45 746,02</w:t>
            </w:r>
          </w:p>
        </w:tc>
        <w:tc>
          <w:tcPr>
            <w:tcW w:w="1277" w:type="dxa"/>
            <w:shd w:val="clear" w:color="auto" w:fill="auto"/>
            <w:noWrap/>
            <w:vAlign w:val="center"/>
          </w:tcPr>
          <w:p>
            <w:pPr>
              <w:jc w:val="right"/>
              <w:rPr>
                <w:sz w:val="24"/>
                <w:szCs w:val="24"/>
              </w:rPr>
            </w:pPr>
            <w:r>
              <w:t>44 123,37</w:t>
            </w:r>
          </w:p>
        </w:tc>
        <w:tc>
          <w:tcPr>
            <w:tcW w:w="850" w:type="dxa"/>
            <w:shd w:val="clear" w:color="auto" w:fill="auto"/>
            <w:noWrap/>
            <w:vAlign w:val="center"/>
          </w:tcPr>
          <w:p>
            <w:pPr>
              <w:jc w:val="right"/>
              <w:rPr>
                <w:bCs/>
              </w:rPr>
            </w:pPr>
            <w:r>
              <w:rPr>
                <w:bCs/>
              </w:rPr>
              <w:t>96,5</w:t>
            </w:r>
          </w:p>
        </w:tc>
        <w:tc>
          <w:tcPr>
            <w:tcW w:w="708" w:type="dxa"/>
            <w:vAlign w:val="center"/>
          </w:tcPr>
          <w:p>
            <w:pPr>
              <w:jc w:val="right"/>
              <w:rPr>
                <w:bCs/>
              </w:rPr>
            </w:pPr>
            <w:r>
              <w:rPr>
                <w:bCs/>
              </w:rPr>
              <w:t>0,9</w:t>
            </w:r>
          </w:p>
        </w:tc>
      </w:tr>
      <w:tr>
        <w:trPr>
          <w:trHeight w:val="255"/>
        </w:trPr>
        <w:tc>
          <w:tcPr>
            <w:tcW w:w="582" w:type="dxa"/>
            <w:vAlign w:val="center"/>
          </w:tcPr>
          <w:p>
            <w:pPr>
              <w:ind w:left="-108" w:right="-108"/>
              <w:jc w:val="center"/>
            </w:pPr>
            <w:r>
              <w:t>9.</w:t>
            </w:r>
          </w:p>
        </w:tc>
        <w:tc>
          <w:tcPr>
            <w:tcW w:w="4678" w:type="dxa"/>
            <w:shd w:val="clear" w:color="auto" w:fill="auto"/>
            <w:vAlign w:val="center"/>
          </w:tcPr>
          <w:p>
            <w:pPr>
              <w:ind w:left="34" w:right="-108"/>
            </w:pPr>
            <w:r>
              <w:t>МП</w:t>
            </w:r>
            <w:r>
              <w:rPr>
                <w:bCs/>
              </w:rPr>
              <w:t xml:space="preserve"> «Обеспечение доступным и комфортным жильем граждан ЗАТО Северск»</w:t>
            </w:r>
          </w:p>
        </w:tc>
        <w:tc>
          <w:tcPr>
            <w:tcW w:w="1275" w:type="dxa"/>
            <w:shd w:val="clear" w:color="auto" w:fill="auto"/>
            <w:noWrap/>
            <w:vAlign w:val="center"/>
          </w:tcPr>
          <w:p>
            <w:pPr>
              <w:jc w:val="right"/>
              <w:rPr>
                <w:sz w:val="24"/>
                <w:szCs w:val="24"/>
              </w:rPr>
            </w:pPr>
            <w:r>
              <w:t>21 912,77</w:t>
            </w:r>
          </w:p>
        </w:tc>
        <w:tc>
          <w:tcPr>
            <w:tcW w:w="1277" w:type="dxa"/>
            <w:shd w:val="clear" w:color="auto" w:fill="auto"/>
            <w:noWrap/>
            <w:vAlign w:val="center"/>
          </w:tcPr>
          <w:p>
            <w:pPr>
              <w:jc w:val="right"/>
              <w:rPr>
                <w:sz w:val="24"/>
                <w:szCs w:val="24"/>
              </w:rPr>
            </w:pPr>
            <w:r>
              <w:t>20 585,83</w:t>
            </w:r>
          </w:p>
        </w:tc>
        <w:tc>
          <w:tcPr>
            <w:tcW w:w="850" w:type="dxa"/>
            <w:shd w:val="clear" w:color="auto" w:fill="auto"/>
            <w:noWrap/>
            <w:vAlign w:val="center"/>
          </w:tcPr>
          <w:p>
            <w:pPr>
              <w:jc w:val="right"/>
              <w:rPr>
                <w:bCs/>
              </w:rPr>
            </w:pPr>
            <w:r>
              <w:rPr>
                <w:bCs/>
              </w:rPr>
              <w:t>93,9</w:t>
            </w:r>
          </w:p>
        </w:tc>
        <w:tc>
          <w:tcPr>
            <w:tcW w:w="708" w:type="dxa"/>
            <w:vAlign w:val="center"/>
          </w:tcPr>
          <w:p>
            <w:pPr>
              <w:jc w:val="right"/>
              <w:rPr>
                <w:bCs/>
              </w:rPr>
            </w:pPr>
            <w:r>
              <w:rPr>
                <w:bCs/>
              </w:rPr>
              <w:t>0,4</w:t>
            </w:r>
          </w:p>
        </w:tc>
      </w:tr>
      <w:tr>
        <w:trPr>
          <w:trHeight w:val="255"/>
        </w:trPr>
        <w:tc>
          <w:tcPr>
            <w:tcW w:w="582" w:type="dxa"/>
            <w:vAlign w:val="center"/>
          </w:tcPr>
          <w:p>
            <w:pPr>
              <w:ind w:left="-108" w:right="-108"/>
              <w:jc w:val="center"/>
            </w:pPr>
            <w:r>
              <w:lastRenderedPageBreak/>
              <w:t>1</w:t>
            </w:r>
          </w:p>
        </w:tc>
        <w:tc>
          <w:tcPr>
            <w:tcW w:w="4678" w:type="dxa"/>
            <w:shd w:val="clear" w:color="auto" w:fill="auto"/>
            <w:vAlign w:val="center"/>
          </w:tcPr>
          <w:p>
            <w:pPr>
              <w:ind w:left="34" w:right="-108"/>
              <w:jc w:val="center"/>
            </w:pPr>
            <w:r>
              <w:t>2</w:t>
            </w:r>
          </w:p>
        </w:tc>
        <w:tc>
          <w:tcPr>
            <w:tcW w:w="1275" w:type="dxa"/>
            <w:shd w:val="clear" w:color="auto" w:fill="auto"/>
            <w:noWrap/>
            <w:vAlign w:val="center"/>
          </w:tcPr>
          <w:p>
            <w:pPr>
              <w:jc w:val="center"/>
            </w:pPr>
            <w:r>
              <w:t>3</w:t>
            </w:r>
          </w:p>
        </w:tc>
        <w:tc>
          <w:tcPr>
            <w:tcW w:w="1277" w:type="dxa"/>
            <w:shd w:val="clear" w:color="auto" w:fill="auto"/>
            <w:noWrap/>
            <w:vAlign w:val="center"/>
          </w:tcPr>
          <w:p>
            <w:pPr>
              <w:jc w:val="center"/>
            </w:pPr>
            <w:r>
              <w:t>4</w:t>
            </w:r>
          </w:p>
        </w:tc>
        <w:tc>
          <w:tcPr>
            <w:tcW w:w="850" w:type="dxa"/>
            <w:shd w:val="clear" w:color="auto" w:fill="auto"/>
            <w:noWrap/>
            <w:vAlign w:val="center"/>
          </w:tcPr>
          <w:p>
            <w:pPr>
              <w:jc w:val="center"/>
            </w:pPr>
            <w:r>
              <w:t>5</w:t>
            </w:r>
          </w:p>
        </w:tc>
        <w:tc>
          <w:tcPr>
            <w:tcW w:w="708" w:type="dxa"/>
            <w:vAlign w:val="center"/>
          </w:tcPr>
          <w:p>
            <w:pPr>
              <w:jc w:val="center"/>
            </w:pPr>
            <w:r>
              <w:t>6</w:t>
            </w:r>
          </w:p>
        </w:tc>
      </w:tr>
      <w:tr>
        <w:trPr>
          <w:trHeight w:val="255"/>
        </w:trPr>
        <w:tc>
          <w:tcPr>
            <w:tcW w:w="582" w:type="dxa"/>
            <w:vAlign w:val="center"/>
          </w:tcPr>
          <w:p>
            <w:pPr>
              <w:ind w:left="-108" w:right="-108"/>
              <w:jc w:val="center"/>
            </w:pPr>
            <w:r>
              <w:t>10.</w:t>
            </w:r>
          </w:p>
        </w:tc>
        <w:tc>
          <w:tcPr>
            <w:tcW w:w="4678" w:type="dxa"/>
            <w:shd w:val="clear" w:color="auto" w:fill="auto"/>
            <w:vAlign w:val="center"/>
          </w:tcPr>
          <w:p>
            <w:pPr>
              <w:ind w:left="34" w:right="-108"/>
            </w:pPr>
            <w:r>
              <w:t>МП</w:t>
            </w:r>
            <w:r>
              <w:rPr>
                <w:bCs/>
              </w:rPr>
              <w:t xml:space="preserve"> «Улучшение жизнедеятельности внегородских территорий ЗАТО Северск»</w:t>
            </w:r>
          </w:p>
        </w:tc>
        <w:tc>
          <w:tcPr>
            <w:tcW w:w="1275" w:type="dxa"/>
            <w:shd w:val="clear" w:color="auto" w:fill="auto"/>
            <w:noWrap/>
            <w:vAlign w:val="center"/>
          </w:tcPr>
          <w:p>
            <w:pPr>
              <w:jc w:val="right"/>
              <w:rPr>
                <w:sz w:val="24"/>
                <w:szCs w:val="24"/>
              </w:rPr>
            </w:pPr>
            <w:r>
              <w:t>76 765,32</w:t>
            </w:r>
          </w:p>
        </w:tc>
        <w:tc>
          <w:tcPr>
            <w:tcW w:w="1277" w:type="dxa"/>
            <w:shd w:val="clear" w:color="auto" w:fill="auto"/>
            <w:noWrap/>
            <w:vAlign w:val="center"/>
          </w:tcPr>
          <w:p>
            <w:pPr>
              <w:jc w:val="right"/>
              <w:rPr>
                <w:sz w:val="24"/>
                <w:szCs w:val="24"/>
              </w:rPr>
            </w:pPr>
            <w:r>
              <w:t>75 965,29</w:t>
            </w:r>
          </w:p>
        </w:tc>
        <w:tc>
          <w:tcPr>
            <w:tcW w:w="850" w:type="dxa"/>
            <w:shd w:val="clear" w:color="auto" w:fill="auto"/>
            <w:noWrap/>
            <w:vAlign w:val="center"/>
          </w:tcPr>
          <w:p>
            <w:pPr>
              <w:jc w:val="right"/>
              <w:rPr>
                <w:bCs/>
              </w:rPr>
            </w:pPr>
            <w:r>
              <w:rPr>
                <w:bCs/>
              </w:rPr>
              <w:t>99,0</w:t>
            </w:r>
          </w:p>
        </w:tc>
        <w:tc>
          <w:tcPr>
            <w:tcW w:w="708" w:type="dxa"/>
            <w:vAlign w:val="center"/>
          </w:tcPr>
          <w:p>
            <w:pPr>
              <w:jc w:val="right"/>
              <w:rPr>
                <w:bCs/>
              </w:rPr>
            </w:pPr>
            <w:r>
              <w:rPr>
                <w:bCs/>
              </w:rPr>
              <w:t>1,6</w:t>
            </w:r>
          </w:p>
        </w:tc>
      </w:tr>
      <w:tr>
        <w:trPr>
          <w:trHeight w:val="255"/>
        </w:trPr>
        <w:tc>
          <w:tcPr>
            <w:tcW w:w="582" w:type="dxa"/>
            <w:vAlign w:val="center"/>
          </w:tcPr>
          <w:p>
            <w:pPr>
              <w:ind w:left="-108" w:right="-108"/>
              <w:jc w:val="center"/>
            </w:pPr>
            <w:r>
              <w:t>11.</w:t>
            </w:r>
          </w:p>
        </w:tc>
        <w:tc>
          <w:tcPr>
            <w:tcW w:w="4678" w:type="dxa"/>
            <w:shd w:val="clear" w:color="auto" w:fill="auto"/>
            <w:vAlign w:val="center"/>
          </w:tcPr>
          <w:p>
            <w:pPr>
              <w:ind w:left="34" w:right="-108"/>
            </w:pPr>
            <w:r>
              <w:t>МП</w:t>
            </w:r>
            <w:r>
              <w:rPr>
                <w:bCs/>
              </w:rPr>
              <w:t xml:space="preserve"> «Обеспечение безопасности населения на территории ЗАТО Северск»</w:t>
            </w:r>
          </w:p>
        </w:tc>
        <w:tc>
          <w:tcPr>
            <w:tcW w:w="1275" w:type="dxa"/>
            <w:shd w:val="clear" w:color="auto" w:fill="auto"/>
            <w:noWrap/>
            <w:vAlign w:val="center"/>
          </w:tcPr>
          <w:p>
            <w:pPr>
              <w:jc w:val="right"/>
              <w:rPr>
                <w:sz w:val="24"/>
                <w:szCs w:val="24"/>
              </w:rPr>
            </w:pPr>
            <w:r>
              <w:t>60 643,99</w:t>
            </w:r>
          </w:p>
        </w:tc>
        <w:tc>
          <w:tcPr>
            <w:tcW w:w="1277" w:type="dxa"/>
            <w:shd w:val="clear" w:color="auto" w:fill="auto"/>
            <w:noWrap/>
            <w:vAlign w:val="center"/>
          </w:tcPr>
          <w:p>
            <w:pPr>
              <w:jc w:val="right"/>
              <w:rPr>
                <w:sz w:val="24"/>
                <w:szCs w:val="24"/>
              </w:rPr>
            </w:pPr>
            <w:r>
              <w:t>60 119,45</w:t>
            </w:r>
          </w:p>
        </w:tc>
        <w:tc>
          <w:tcPr>
            <w:tcW w:w="850" w:type="dxa"/>
            <w:shd w:val="clear" w:color="auto" w:fill="auto"/>
            <w:noWrap/>
            <w:vAlign w:val="center"/>
          </w:tcPr>
          <w:p>
            <w:pPr>
              <w:jc w:val="right"/>
              <w:rPr>
                <w:bCs/>
              </w:rPr>
            </w:pPr>
            <w:r>
              <w:rPr>
                <w:bCs/>
              </w:rPr>
              <w:t>99,1</w:t>
            </w:r>
          </w:p>
        </w:tc>
        <w:tc>
          <w:tcPr>
            <w:tcW w:w="708" w:type="dxa"/>
            <w:vAlign w:val="center"/>
          </w:tcPr>
          <w:p>
            <w:pPr>
              <w:jc w:val="right"/>
              <w:rPr>
                <w:bCs/>
              </w:rPr>
            </w:pPr>
            <w:r>
              <w:rPr>
                <w:bCs/>
              </w:rPr>
              <w:t>1,3</w:t>
            </w:r>
          </w:p>
        </w:tc>
      </w:tr>
      <w:tr>
        <w:trPr>
          <w:trHeight w:val="255"/>
        </w:trPr>
        <w:tc>
          <w:tcPr>
            <w:tcW w:w="582" w:type="dxa"/>
            <w:vAlign w:val="center"/>
          </w:tcPr>
          <w:p>
            <w:pPr>
              <w:ind w:left="-108" w:right="-108"/>
              <w:jc w:val="center"/>
            </w:pPr>
            <w:r>
              <w:t>12.</w:t>
            </w:r>
          </w:p>
        </w:tc>
        <w:tc>
          <w:tcPr>
            <w:tcW w:w="4678" w:type="dxa"/>
            <w:shd w:val="clear" w:color="auto" w:fill="auto"/>
            <w:vAlign w:val="center"/>
          </w:tcPr>
          <w:p>
            <w:pPr>
              <w:ind w:left="34" w:right="-108"/>
            </w:pPr>
            <w:r>
              <w:t>МП</w:t>
            </w:r>
            <w:r>
              <w:rPr>
                <w:bCs/>
              </w:rPr>
              <w:t xml:space="preserve"> «Охрана окружающей среды на территории ЗАТО Северск»  </w:t>
            </w:r>
          </w:p>
        </w:tc>
        <w:tc>
          <w:tcPr>
            <w:tcW w:w="1275" w:type="dxa"/>
            <w:shd w:val="clear" w:color="auto" w:fill="auto"/>
            <w:noWrap/>
            <w:vAlign w:val="center"/>
          </w:tcPr>
          <w:p>
            <w:pPr>
              <w:jc w:val="right"/>
              <w:rPr>
                <w:sz w:val="24"/>
                <w:szCs w:val="24"/>
              </w:rPr>
            </w:pPr>
            <w:r>
              <w:t>916,44</w:t>
            </w:r>
          </w:p>
        </w:tc>
        <w:tc>
          <w:tcPr>
            <w:tcW w:w="1277" w:type="dxa"/>
            <w:shd w:val="clear" w:color="auto" w:fill="auto"/>
            <w:noWrap/>
            <w:vAlign w:val="center"/>
          </w:tcPr>
          <w:p>
            <w:pPr>
              <w:jc w:val="right"/>
              <w:rPr>
                <w:sz w:val="24"/>
                <w:szCs w:val="24"/>
              </w:rPr>
            </w:pPr>
            <w:r>
              <w:t>916,06</w:t>
            </w:r>
          </w:p>
        </w:tc>
        <w:tc>
          <w:tcPr>
            <w:tcW w:w="850" w:type="dxa"/>
            <w:shd w:val="clear" w:color="auto" w:fill="auto"/>
            <w:noWrap/>
            <w:vAlign w:val="center"/>
          </w:tcPr>
          <w:p>
            <w:pPr>
              <w:jc w:val="right"/>
              <w:rPr>
                <w:bCs/>
              </w:rPr>
            </w:pPr>
            <w:r>
              <w:rPr>
                <w:bCs/>
              </w:rPr>
              <w:t>100,0</w:t>
            </w:r>
          </w:p>
        </w:tc>
        <w:tc>
          <w:tcPr>
            <w:tcW w:w="708" w:type="dxa"/>
            <w:vAlign w:val="center"/>
          </w:tcPr>
          <w:p>
            <w:pPr>
              <w:jc w:val="right"/>
              <w:rPr>
                <w:bCs/>
              </w:rPr>
            </w:pPr>
            <w:r>
              <w:rPr>
                <w:bCs/>
              </w:rPr>
              <w:t>0,0</w:t>
            </w:r>
          </w:p>
        </w:tc>
      </w:tr>
      <w:tr>
        <w:trPr>
          <w:trHeight w:val="255"/>
        </w:trPr>
        <w:tc>
          <w:tcPr>
            <w:tcW w:w="582" w:type="dxa"/>
            <w:vAlign w:val="center"/>
          </w:tcPr>
          <w:p>
            <w:pPr>
              <w:ind w:left="-108" w:right="-108"/>
              <w:jc w:val="center"/>
            </w:pPr>
            <w:r>
              <w:t>13.</w:t>
            </w:r>
          </w:p>
        </w:tc>
        <w:tc>
          <w:tcPr>
            <w:tcW w:w="4678" w:type="dxa"/>
            <w:shd w:val="clear" w:color="auto" w:fill="auto"/>
            <w:vAlign w:val="center"/>
          </w:tcPr>
          <w:p>
            <w:pPr>
              <w:ind w:left="34" w:right="-108"/>
            </w:pPr>
            <w:r>
              <w:t>МП</w:t>
            </w:r>
            <w:r>
              <w:rPr>
                <w:bCs/>
              </w:rPr>
              <w:t xml:space="preserve"> «Эффективное управление муниципальными финансами ЗАТО Северск»</w:t>
            </w:r>
          </w:p>
        </w:tc>
        <w:tc>
          <w:tcPr>
            <w:tcW w:w="1275" w:type="dxa"/>
            <w:shd w:val="clear" w:color="auto" w:fill="auto"/>
            <w:noWrap/>
            <w:vAlign w:val="center"/>
          </w:tcPr>
          <w:p>
            <w:pPr>
              <w:jc w:val="right"/>
              <w:rPr>
                <w:sz w:val="24"/>
                <w:szCs w:val="24"/>
              </w:rPr>
            </w:pPr>
            <w:r>
              <w:t>42 152,08</w:t>
            </w:r>
          </w:p>
        </w:tc>
        <w:tc>
          <w:tcPr>
            <w:tcW w:w="1277" w:type="dxa"/>
            <w:shd w:val="clear" w:color="auto" w:fill="auto"/>
            <w:noWrap/>
            <w:vAlign w:val="center"/>
          </w:tcPr>
          <w:p>
            <w:pPr>
              <w:jc w:val="right"/>
              <w:rPr>
                <w:sz w:val="24"/>
                <w:szCs w:val="24"/>
              </w:rPr>
            </w:pPr>
            <w:r>
              <w:t>41 593,65</w:t>
            </w:r>
          </w:p>
        </w:tc>
        <w:tc>
          <w:tcPr>
            <w:tcW w:w="850" w:type="dxa"/>
            <w:shd w:val="clear" w:color="auto" w:fill="auto"/>
            <w:noWrap/>
            <w:vAlign w:val="center"/>
          </w:tcPr>
          <w:p>
            <w:pPr>
              <w:jc w:val="right"/>
              <w:rPr>
                <w:bCs/>
              </w:rPr>
            </w:pPr>
            <w:r>
              <w:rPr>
                <w:bCs/>
              </w:rPr>
              <w:t>98,7</w:t>
            </w:r>
          </w:p>
        </w:tc>
        <w:tc>
          <w:tcPr>
            <w:tcW w:w="708" w:type="dxa"/>
            <w:vAlign w:val="center"/>
          </w:tcPr>
          <w:p>
            <w:pPr>
              <w:jc w:val="right"/>
              <w:rPr>
                <w:bCs/>
              </w:rPr>
            </w:pPr>
            <w:r>
              <w:rPr>
                <w:bCs/>
              </w:rPr>
              <w:t>0,9</w:t>
            </w:r>
          </w:p>
        </w:tc>
      </w:tr>
      <w:tr>
        <w:trPr>
          <w:trHeight w:val="478"/>
        </w:trPr>
        <w:tc>
          <w:tcPr>
            <w:tcW w:w="582" w:type="dxa"/>
            <w:vAlign w:val="center"/>
          </w:tcPr>
          <w:p>
            <w:pPr>
              <w:ind w:left="-108" w:right="-108"/>
              <w:jc w:val="center"/>
            </w:pPr>
            <w:r>
              <w:t>14.</w:t>
            </w:r>
          </w:p>
        </w:tc>
        <w:tc>
          <w:tcPr>
            <w:tcW w:w="4678" w:type="dxa"/>
            <w:shd w:val="clear" w:color="auto" w:fill="auto"/>
            <w:vAlign w:val="center"/>
          </w:tcPr>
          <w:p>
            <w:pPr>
              <w:ind w:left="34" w:right="-108"/>
              <w:rPr>
                <w:bCs/>
              </w:rPr>
            </w:pPr>
            <w:r>
              <w:t>МП</w:t>
            </w:r>
            <w:r>
              <w:rPr>
                <w:bCs/>
              </w:rPr>
              <w:t xml:space="preserve"> «Эффективное управление муниципальным имуществом ЗАТО Северск»</w:t>
            </w:r>
          </w:p>
        </w:tc>
        <w:tc>
          <w:tcPr>
            <w:tcW w:w="1275" w:type="dxa"/>
            <w:shd w:val="clear" w:color="auto" w:fill="auto"/>
            <w:noWrap/>
            <w:vAlign w:val="center"/>
          </w:tcPr>
          <w:p>
            <w:pPr>
              <w:jc w:val="right"/>
              <w:rPr>
                <w:sz w:val="24"/>
                <w:szCs w:val="24"/>
              </w:rPr>
            </w:pPr>
            <w:r>
              <w:t>81 591,22</w:t>
            </w:r>
          </w:p>
        </w:tc>
        <w:tc>
          <w:tcPr>
            <w:tcW w:w="1277" w:type="dxa"/>
            <w:shd w:val="clear" w:color="auto" w:fill="auto"/>
            <w:noWrap/>
            <w:vAlign w:val="center"/>
          </w:tcPr>
          <w:p>
            <w:pPr>
              <w:jc w:val="right"/>
              <w:rPr>
                <w:sz w:val="24"/>
                <w:szCs w:val="24"/>
              </w:rPr>
            </w:pPr>
            <w:r>
              <w:t>78 542,38</w:t>
            </w:r>
          </w:p>
        </w:tc>
        <w:tc>
          <w:tcPr>
            <w:tcW w:w="850" w:type="dxa"/>
            <w:shd w:val="clear" w:color="auto" w:fill="auto"/>
            <w:noWrap/>
            <w:vAlign w:val="center"/>
          </w:tcPr>
          <w:p>
            <w:pPr>
              <w:jc w:val="right"/>
              <w:rPr>
                <w:bCs/>
              </w:rPr>
            </w:pPr>
            <w:r>
              <w:rPr>
                <w:bCs/>
              </w:rPr>
              <w:t>96,3</w:t>
            </w:r>
          </w:p>
        </w:tc>
        <w:tc>
          <w:tcPr>
            <w:tcW w:w="708" w:type="dxa"/>
            <w:vAlign w:val="center"/>
          </w:tcPr>
          <w:p>
            <w:pPr>
              <w:jc w:val="right"/>
              <w:rPr>
                <w:bCs/>
              </w:rPr>
            </w:pPr>
            <w:r>
              <w:rPr>
                <w:bCs/>
              </w:rPr>
              <w:t>1,7</w:t>
            </w:r>
          </w:p>
        </w:tc>
      </w:tr>
      <w:tr>
        <w:trPr>
          <w:trHeight w:val="255"/>
        </w:trPr>
        <w:tc>
          <w:tcPr>
            <w:tcW w:w="582" w:type="dxa"/>
            <w:vAlign w:val="center"/>
          </w:tcPr>
          <w:p>
            <w:pPr>
              <w:ind w:left="-108" w:right="-108"/>
              <w:jc w:val="center"/>
            </w:pPr>
            <w:r>
              <w:t>15.</w:t>
            </w:r>
          </w:p>
        </w:tc>
        <w:tc>
          <w:tcPr>
            <w:tcW w:w="4678" w:type="dxa"/>
            <w:shd w:val="clear" w:color="auto" w:fill="auto"/>
            <w:vAlign w:val="center"/>
          </w:tcPr>
          <w:p>
            <w:pPr>
              <w:ind w:left="34" w:right="-108"/>
            </w:pPr>
            <w:r>
              <w:t>МП</w:t>
            </w:r>
            <w:r>
              <w:rPr>
                <w:bCs/>
              </w:rPr>
              <w:t xml:space="preserve"> «Профилактика алкоголизма, наркомании, токсикомании и ВИЧ-инфекции среди подростков и молодежи ЗАТО Северск»</w:t>
            </w:r>
          </w:p>
        </w:tc>
        <w:tc>
          <w:tcPr>
            <w:tcW w:w="1275" w:type="dxa"/>
            <w:shd w:val="clear" w:color="auto" w:fill="auto"/>
            <w:noWrap/>
            <w:vAlign w:val="center"/>
          </w:tcPr>
          <w:p>
            <w:pPr>
              <w:jc w:val="right"/>
              <w:rPr>
                <w:sz w:val="24"/>
                <w:szCs w:val="24"/>
              </w:rPr>
            </w:pPr>
            <w:r>
              <w:t>953,53</w:t>
            </w:r>
          </w:p>
        </w:tc>
        <w:tc>
          <w:tcPr>
            <w:tcW w:w="1277" w:type="dxa"/>
            <w:shd w:val="clear" w:color="auto" w:fill="auto"/>
            <w:noWrap/>
            <w:vAlign w:val="center"/>
          </w:tcPr>
          <w:p>
            <w:pPr>
              <w:jc w:val="right"/>
              <w:rPr>
                <w:sz w:val="24"/>
                <w:szCs w:val="24"/>
              </w:rPr>
            </w:pPr>
            <w:r>
              <w:t>953,53</w:t>
            </w:r>
          </w:p>
        </w:tc>
        <w:tc>
          <w:tcPr>
            <w:tcW w:w="850" w:type="dxa"/>
            <w:shd w:val="clear" w:color="auto" w:fill="auto"/>
            <w:noWrap/>
            <w:vAlign w:val="center"/>
          </w:tcPr>
          <w:p>
            <w:pPr>
              <w:jc w:val="right"/>
              <w:rPr>
                <w:bCs/>
              </w:rPr>
            </w:pPr>
            <w:r>
              <w:rPr>
                <w:bCs/>
              </w:rPr>
              <w:t>100,0</w:t>
            </w:r>
          </w:p>
        </w:tc>
        <w:tc>
          <w:tcPr>
            <w:tcW w:w="708" w:type="dxa"/>
            <w:vAlign w:val="center"/>
          </w:tcPr>
          <w:p>
            <w:pPr>
              <w:jc w:val="right"/>
              <w:rPr>
                <w:bCs/>
              </w:rPr>
            </w:pPr>
            <w:r>
              <w:rPr>
                <w:bCs/>
              </w:rPr>
              <w:t>0,0</w:t>
            </w:r>
          </w:p>
        </w:tc>
      </w:tr>
      <w:tr>
        <w:trPr>
          <w:trHeight w:val="255"/>
        </w:trPr>
        <w:tc>
          <w:tcPr>
            <w:tcW w:w="582" w:type="dxa"/>
            <w:vAlign w:val="center"/>
          </w:tcPr>
          <w:p>
            <w:pPr>
              <w:ind w:left="-108" w:right="-108"/>
              <w:jc w:val="center"/>
            </w:pPr>
            <w:r>
              <w:t>16.</w:t>
            </w:r>
          </w:p>
        </w:tc>
        <w:tc>
          <w:tcPr>
            <w:tcW w:w="4678" w:type="dxa"/>
            <w:shd w:val="clear" w:color="auto" w:fill="auto"/>
            <w:vAlign w:val="center"/>
          </w:tcPr>
          <w:p>
            <w:pPr>
              <w:ind w:left="34" w:right="-108"/>
            </w:pPr>
            <w:r>
              <w:t>МП «Формирование современной городской среды ЗАТО Северск»</w:t>
            </w:r>
          </w:p>
        </w:tc>
        <w:tc>
          <w:tcPr>
            <w:tcW w:w="1275" w:type="dxa"/>
            <w:shd w:val="clear" w:color="auto" w:fill="auto"/>
            <w:noWrap/>
            <w:vAlign w:val="center"/>
          </w:tcPr>
          <w:p>
            <w:pPr>
              <w:jc w:val="right"/>
              <w:rPr>
                <w:sz w:val="24"/>
                <w:szCs w:val="24"/>
              </w:rPr>
            </w:pPr>
            <w:r>
              <w:t>67 171,71</w:t>
            </w:r>
          </w:p>
        </w:tc>
        <w:tc>
          <w:tcPr>
            <w:tcW w:w="1277" w:type="dxa"/>
            <w:shd w:val="clear" w:color="auto" w:fill="auto"/>
            <w:noWrap/>
            <w:vAlign w:val="center"/>
          </w:tcPr>
          <w:p>
            <w:pPr>
              <w:jc w:val="right"/>
              <w:rPr>
                <w:sz w:val="24"/>
                <w:szCs w:val="24"/>
              </w:rPr>
            </w:pPr>
            <w:r>
              <w:t>66 810,81</w:t>
            </w:r>
          </w:p>
        </w:tc>
        <w:tc>
          <w:tcPr>
            <w:tcW w:w="850" w:type="dxa"/>
            <w:shd w:val="clear" w:color="auto" w:fill="auto"/>
            <w:noWrap/>
            <w:vAlign w:val="center"/>
          </w:tcPr>
          <w:p>
            <w:pPr>
              <w:jc w:val="right"/>
              <w:rPr>
                <w:bCs/>
              </w:rPr>
            </w:pPr>
            <w:r>
              <w:rPr>
                <w:bCs/>
              </w:rPr>
              <w:t>99,5</w:t>
            </w:r>
          </w:p>
        </w:tc>
        <w:tc>
          <w:tcPr>
            <w:tcW w:w="708" w:type="dxa"/>
            <w:vAlign w:val="center"/>
          </w:tcPr>
          <w:p>
            <w:pPr>
              <w:jc w:val="right"/>
              <w:rPr>
                <w:bCs/>
              </w:rPr>
            </w:pPr>
            <w:r>
              <w:rPr>
                <w:bCs/>
              </w:rPr>
              <w:t>1,4</w:t>
            </w:r>
          </w:p>
        </w:tc>
      </w:tr>
      <w:tr>
        <w:trPr>
          <w:trHeight w:val="255"/>
        </w:trPr>
        <w:tc>
          <w:tcPr>
            <w:tcW w:w="582" w:type="dxa"/>
            <w:vAlign w:val="center"/>
          </w:tcPr>
          <w:p>
            <w:pPr>
              <w:ind w:left="-108" w:right="-108"/>
              <w:jc w:val="center"/>
            </w:pPr>
            <w:r>
              <w:t>17.</w:t>
            </w:r>
          </w:p>
        </w:tc>
        <w:tc>
          <w:tcPr>
            <w:tcW w:w="4678" w:type="dxa"/>
            <w:shd w:val="clear" w:color="auto" w:fill="auto"/>
            <w:vAlign w:val="center"/>
          </w:tcPr>
          <w:p>
            <w:pPr>
              <w:ind w:left="34" w:right="-108"/>
            </w:pPr>
            <w:r>
              <w:t>МП «Развитие информационного общества ЗАТО Северск»</w:t>
            </w:r>
          </w:p>
        </w:tc>
        <w:tc>
          <w:tcPr>
            <w:tcW w:w="1275" w:type="dxa"/>
            <w:shd w:val="clear" w:color="auto" w:fill="auto"/>
            <w:noWrap/>
            <w:vAlign w:val="center"/>
          </w:tcPr>
          <w:p>
            <w:pPr>
              <w:jc w:val="right"/>
              <w:rPr>
                <w:sz w:val="24"/>
                <w:szCs w:val="24"/>
              </w:rPr>
            </w:pPr>
            <w:r>
              <w:t>7 220,23</w:t>
            </w:r>
          </w:p>
        </w:tc>
        <w:tc>
          <w:tcPr>
            <w:tcW w:w="1277" w:type="dxa"/>
            <w:shd w:val="clear" w:color="auto" w:fill="auto"/>
            <w:noWrap/>
            <w:vAlign w:val="center"/>
          </w:tcPr>
          <w:p>
            <w:pPr>
              <w:jc w:val="right"/>
              <w:rPr>
                <w:sz w:val="24"/>
                <w:szCs w:val="24"/>
              </w:rPr>
            </w:pPr>
            <w:r>
              <w:t>7 209,34</w:t>
            </w:r>
          </w:p>
        </w:tc>
        <w:tc>
          <w:tcPr>
            <w:tcW w:w="850" w:type="dxa"/>
            <w:shd w:val="clear" w:color="auto" w:fill="auto"/>
            <w:noWrap/>
            <w:vAlign w:val="center"/>
          </w:tcPr>
          <w:p>
            <w:pPr>
              <w:jc w:val="right"/>
              <w:rPr>
                <w:bCs/>
              </w:rPr>
            </w:pPr>
            <w:r>
              <w:rPr>
                <w:bCs/>
              </w:rPr>
              <w:t>99,8</w:t>
            </w:r>
          </w:p>
        </w:tc>
        <w:tc>
          <w:tcPr>
            <w:tcW w:w="708" w:type="dxa"/>
            <w:vAlign w:val="center"/>
          </w:tcPr>
          <w:p>
            <w:pPr>
              <w:jc w:val="right"/>
              <w:rPr>
                <w:bCs/>
              </w:rPr>
            </w:pPr>
            <w:r>
              <w:rPr>
                <w:bCs/>
              </w:rPr>
              <w:t>0,2</w:t>
            </w:r>
          </w:p>
        </w:tc>
      </w:tr>
      <w:tr>
        <w:trPr>
          <w:trHeight w:val="255"/>
        </w:trPr>
        <w:tc>
          <w:tcPr>
            <w:tcW w:w="582" w:type="dxa"/>
            <w:vAlign w:val="center"/>
          </w:tcPr>
          <w:p>
            <w:pPr>
              <w:ind w:left="-108" w:right="-108"/>
              <w:jc w:val="center"/>
            </w:pPr>
            <w:r>
              <w:t>18.</w:t>
            </w:r>
          </w:p>
        </w:tc>
        <w:tc>
          <w:tcPr>
            <w:tcW w:w="4678" w:type="dxa"/>
            <w:shd w:val="clear" w:color="auto" w:fill="auto"/>
            <w:vAlign w:val="center"/>
          </w:tcPr>
          <w:p>
            <w:pPr>
              <w:ind w:left="34" w:right="-108"/>
            </w:pPr>
            <w:r>
              <w:t>М П «Дорожная деятельность и транспортное обслуживание на территории ЗАТО Северск»</w:t>
            </w:r>
          </w:p>
        </w:tc>
        <w:tc>
          <w:tcPr>
            <w:tcW w:w="1275" w:type="dxa"/>
            <w:shd w:val="clear" w:color="auto" w:fill="auto"/>
            <w:noWrap/>
            <w:vAlign w:val="center"/>
          </w:tcPr>
          <w:p>
            <w:pPr>
              <w:jc w:val="right"/>
              <w:rPr>
                <w:sz w:val="24"/>
                <w:szCs w:val="24"/>
              </w:rPr>
            </w:pPr>
            <w:r>
              <w:t>481 200,57</w:t>
            </w:r>
          </w:p>
        </w:tc>
        <w:tc>
          <w:tcPr>
            <w:tcW w:w="1277" w:type="dxa"/>
            <w:shd w:val="clear" w:color="auto" w:fill="auto"/>
            <w:noWrap/>
            <w:vAlign w:val="center"/>
          </w:tcPr>
          <w:p>
            <w:pPr>
              <w:jc w:val="right"/>
              <w:rPr>
                <w:sz w:val="24"/>
                <w:szCs w:val="24"/>
              </w:rPr>
            </w:pPr>
            <w:r>
              <w:t>479 126,16</w:t>
            </w:r>
          </w:p>
        </w:tc>
        <w:tc>
          <w:tcPr>
            <w:tcW w:w="850" w:type="dxa"/>
            <w:shd w:val="clear" w:color="auto" w:fill="auto"/>
            <w:noWrap/>
            <w:vAlign w:val="center"/>
          </w:tcPr>
          <w:p>
            <w:pPr>
              <w:jc w:val="right"/>
              <w:rPr>
                <w:bCs/>
              </w:rPr>
            </w:pPr>
            <w:r>
              <w:rPr>
                <w:bCs/>
              </w:rPr>
              <w:t>99,6</w:t>
            </w:r>
          </w:p>
        </w:tc>
        <w:tc>
          <w:tcPr>
            <w:tcW w:w="708" w:type="dxa"/>
            <w:vAlign w:val="center"/>
          </w:tcPr>
          <w:p>
            <w:pPr>
              <w:jc w:val="right"/>
              <w:rPr>
                <w:bCs/>
              </w:rPr>
            </w:pPr>
            <w:r>
              <w:rPr>
                <w:bCs/>
              </w:rPr>
              <w:t>10,1</w:t>
            </w:r>
          </w:p>
        </w:tc>
      </w:tr>
      <w:tr>
        <w:trPr>
          <w:trHeight w:val="255"/>
        </w:trPr>
        <w:tc>
          <w:tcPr>
            <w:tcW w:w="582" w:type="dxa"/>
            <w:vAlign w:val="center"/>
          </w:tcPr>
          <w:p>
            <w:pPr>
              <w:ind w:left="-108" w:right="-108"/>
              <w:jc w:val="center"/>
              <w:rPr>
                <w:bCs/>
              </w:rPr>
            </w:pPr>
            <w:r>
              <w:rPr>
                <w:bCs/>
              </w:rPr>
              <w:t>19.</w:t>
            </w:r>
          </w:p>
        </w:tc>
        <w:tc>
          <w:tcPr>
            <w:tcW w:w="4678" w:type="dxa"/>
            <w:shd w:val="clear" w:color="auto" w:fill="auto"/>
            <w:vAlign w:val="center"/>
          </w:tcPr>
          <w:p>
            <w:pPr>
              <w:ind w:left="34" w:right="-108"/>
              <w:rPr>
                <w:bCs/>
              </w:rPr>
            </w:pPr>
            <w:r>
              <w:rPr>
                <w:bCs/>
              </w:rPr>
              <w:t>Программа «Комплексное развитие систем коммунальной и инженерной инфраструктуры ЗАТО Северск»</w:t>
            </w:r>
          </w:p>
        </w:tc>
        <w:tc>
          <w:tcPr>
            <w:tcW w:w="1275" w:type="dxa"/>
            <w:shd w:val="clear" w:color="auto" w:fill="auto"/>
            <w:noWrap/>
            <w:vAlign w:val="center"/>
          </w:tcPr>
          <w:p>
            <w:pPr>
              <w:jc w:val="right"/>
              <w:rPr>
                <w:sz w:val="24"/>
                <w:szCs w:val="24"/>
              </w:rPr>
            </w:pPr>
            <w:r>
              <w:t>82 827,35</w:t>
            </w:r>
          </w:p>
        </w:tc>
        <w:tc>
          <w:tcPr>
            <w:tcW w:w="1277" w:type="dxa"/>
            <w:shd w:val="clear" w:color="auto" w:fill="auto"/>
            <w:noWrap/>
            <w:vAlign w:val="center"/>
          </w:tcPr>
          <w:p>
            <w:pPr>
              <w:jc w:val="right"/>
              <w:rPr>
                <w:sz w:val="24"/>
                <w:szCs w:val="24"/>
              </w:rPr>
            </w:pPr>
            <w:r>
              <w:t>78 569,61</w:t>
            </w:r>
          </w:p>
        </w:tc>
        <w:tc>
          <w:tcPr>
            <w:tcW w:w="850" w:type="dxa"/>
            <w:shd w:val="clear" w:color="auto" w:fill="auto"/>
            <w:noWrap/>
            <w:vAlign w:val="center"/>
          </w:tcPr>
          <w:p>
            <w:pPr>
              <w:jc w:val="right"/>
              <w:rPr>
                <w:bCs/>
              </w:rPr>
            </w:pPr>
            <w:r>
              <w:rPr>
                <w:bCs/>
              </w:rPr>
              <w:t>94,9</w:t>
            </w:r>
          </w:p>
        </w:tc>
        <w:tc>
          <w:tcPr>
            <w:tcW w:w="708" w:type="dxa"/>
            <w:vAlign w:val="center"/>
          </w:tcPr>
          <w:p>
            <w:pPr>
              <w:jc w:val="right"/>
              <w:rPr>
                <w:bCs/>
              </w:rPr>
            </w:pPr>
            <w:r>
              <w:rPr>
                <w:bCs/>
              </w:rPr>
              <w:t>1,7</w:t>
            </w:r>
          </w:p>
        </w:tc>
      </w:tr>
      <w:tr>
        <w:trPr>
          <w:trHeight w:val="377"/>
        </w:trPr>
        <w:tc>
          <w:tcPr>
            <w:tcW w:w="582" w:type="dxa"/>
            <w:vAlign w:val="center"/>
          </w:tcPr>
          <w:p>
            <w:pPr>
              <w:ind w:left="-108" w:right="-108"/>
              <w:jc w:val="center"/>
              <w:rPr>
                <w:bCs/>
              </w:rPr>
            </w:pPr>
          </w:p>
        </w:tc>
        <w:tc>
          <w:tcPr>
            <w:tcW w:w="4678" w:type="dxa"/>
            <w:shd w:val="clear" w:color="auto" w:fill="auto"/>
            <w:vAlign w:val="center"/>
          </w:tcPr>
          <w:p>
            <w:pPr>
              <w:ind w:left="34" w:right="-108"/>
              <w:rPr>
                <w:bCs/>
              </w:rPr>
            </w:pPr>
            <w:r>
              <w:rPr>
                <w:bCs/>
              </w:rPr>
              <w:t>ИТОГО по программам</w:t>
            </w:r>
          </w:p>
        </w:tc>
        <w:tc>
          <w:tcPr>
            <w:tcW w:w="1275" w:type="dxa"/>
            <w:shd w:val="clear" w:color="auto" w:fill="auto"/>
            <w:noWrap/>
            <w:vAlign w:val="center"/>
          </w:tcPr>
          <w:p>
            <w:pPr>
              <w:jc w:val="right"/>
              <w:rPr>
                <w:bCs/>
              </w:rPr>
            </w:pPr>
            <w:r>
              <w:rPr>
                <w:bCs/>
              </w:rPr>
              <w:t>4 769 766,21</w:t>
            </w:r>
          </w:p>
        </w:tc>
        <w:tc>
          <w:tcPr>
            <w:tcW w:w="1277" w:type="dxa"/>
            <w:shd w:val="clear" w:color="auto" w:fill="auto"/>
            <w:noWrap/>
            <w:vAlign w:val="center"/>
          </w:tcPr>
          <w:p>
            <w:pPr>
              <w:jc w:val="right"/>
              <w:rPr>
                <w:bCs/>
              </w:rPr>
            </w:pPr>
            <w:r>
              <w:rPr>
                <w:bCs/>
              </w:rPr>
              <w:t>4 731 368,23</w:t>
            </w:r>
          </w:p>
        </w:tc>
        <w:tc>
          <w:tcPr>
            <w:tcW w:w="850" w:type="dxa"/>
            <w:shd w:val="clear" w:color="auto" w:fill="auto"/>
            <w:noWrap/>
            <w:vAlign w:val="center"/>
          </w:tcPr>
          <w:p>
            <w:pPr>
              <w:jc w:val="right"/>
              <w:rPr>
                <w:bCs/>
              </w:rPr>
            </w:pPr>
            <w:r>
              <w:rPr>
                <w:bCs/>
              </w:rPr>
              <w:t>99,2</w:t>
            </w:r>
          </w:p>
        </w:tc>
        <w:tc>
          <w:tcPr>
            <w:tcW w:w="708" w:type="dxa"/>
            <w:vAlign w:val="center"/>
          </w:tcPr>
          <w:p>
            <w:pPr>
              <w:jc w:val="center"/>
            </w:pPr>
            <w:r>
              <w:t>100,0</w:t>
            </w:r>
          </w:p>
        </w:tc>
      </w:tr>
    </w:tbl>
    <w:p>
      <w:pPr>
        <w:pStyle w:val="211"/>
        <w:widowControl/>
        <w:spacing w:before="160" w:line="240" w:lineRule="auto"/>
        <w:rPr>
          <w:snapToGrid/>
          <w:sz w:val="24"/>
          <w:szCs w:val="24"/>
        </w:rPr>
      </w:pPr>
      <w:r>
        <w:rPr>
          <w:snapToGrid/>
          <w:sz w:val="24"/>
          <w:szCs w:val="24"/>
        </w:rPr>
        <w:t xml:space="preserve">В разрезе источников финансирования программ </w:t>
      </w:r>
      <w:r>
        <w:rPr>
          <w:sz w:val="24"/>
          <w:szCs w:val="24"/>
        </w:rPr>
        <w:t>исполнение составило</w:t>
      </w:r>
      <w:r>
        <w:rPr>
          <w:snapToGrid/>
          <w:sz w:val="24"/>
          <w:szCs w:val="24"/>
        </w:rPr>
        <w:t>:</w:t>
      </w:r>
    </w:p>
    <w:p>
      <w:pPr>
        <w:ind w:firstLine="708"/>
        <w:jc w:val="both"/>
        <w:rPr>
          <w:sz w:val="24"/>
          <w:szCs w:val="24"/>
        </w:rPr>
      </w:pPr>
      <w:r>
        <w:rPr>
          <w:sz w:val="24"/>
          <w:szCs w:val="24"/>
        </w:rPr>
        <w:t>- за счёт средств федерального бюджета в сумме 334 932,9 тыс.руб. или 98,4 % к плану 2021 года;</w:t>
      </w:r>
    </w:p>
    <w:p>
      <w:pPr>
        <w:pStyle w:val="211"/>
        <w:widowControl/>
        <w:spacing w:line="240" w:lineRule="auto"/>
        <w:rPr>
          <w:snapToGrid/>
          <w:sz w:val="24"/>
          <w:szCs w:val="24"/>
        </w:rPr>
      </w:pPr>
      <w:r>
        <w:rPr>
          <w:snapToGrid/>
          <w:sz w:val="24"/>
          <w:szCs w:val="24"/>
        </w:rPr>
        <w:t xml:space="preserve">- за счёт средств областного бюджета в сумме 1 940 882,2 </w:t>
      </w:r>
      <w:r>
        <w:rPr>
          <w:sz w:val="24"/>
          <w:szCs w:val="24"/>
        </w:rPr>
        <w:t>тыс.</w:t>
      </w:r>
      <w:r>
        <w:rPr>
          <w:snapToGrid/>
          <w:sz w:val="24"/>
          <w:szCs w:val="24"/>
        </w:rPr>
        <w:t>руб. или 99,3 % к плану 2021 года);</w:t>
      </w:r>
    </w:p>
    <w:p>
      <w:pPr>
        <w:pStyle w:val="211"/>
        <w:widowControl/>
        <w:spacing w:line="240" w:lineRule="auto"/>
        <w:rPr>
          <w:snapToGrid/>
          <w:sz w:val="24"/>
          <w:szCs w:val="24"/>
        </w:rPr>
      </w:pPr>
      <w:r>
        <w:rPr>
          <w:snapToGrid/>
          <w:sz w:val="24"/>
          <w:szCs w:val="24"/>
        </w:rPr>
        <w:t xml:space="preserve">- за счёт средств местного бюджета в сумме 2 455 553,13 </w:t>
      </w:r>
      <w:r>
        <w:rPr>
          <w:sz w:val="24"/>
          <w:szCs w:val="24"/>
        </w:rPr>
        <w:t>тыс.</w:t>
      </w:r>
      <w:r>
        <w:rPr>
          <w:snapToGrid/>
          <w:sz w:val="24"/>
          <w:szCs w:val="24"/>
        </w:rPr>
        <w:t xml:space="preserve"> руб. или 99,2 % к плану 2021 года.</w:t>
      </w:r>
    </w:p>
    <w:p>
      <w:pPr>
        <w:pStyle w:val="211"/>
        <w:widowControl/>
        <w:spacing w:line="240" w:lineRule="auto"/>
        <w:rPr>
          <w:snapToGrid/>
          <w:szCs w:val="26"/>
          <w:highlight w:val="cyan"/>
        </w:rPr>
      </w:pPr>
    </w:p>
    <w:p>
      <w:pPr>
        <w:ind w:right="57"/>
        <w:jc w:val="center"/>
        <w:rPr>
          <w:b/>
          <w:bCs/>
          <w:i/>
          <w:sz w:val="24"/>
          <w:szCs w:val="24"/>
        </w:rPr>
      </w:pPr>
      <w:r>
        <w:rPr>
          <w:b/>
          <w:bCs/>
          <w:i/>
          <w:sz w:val="24"/>
          <w:szCs w:val="24"/>
        </w:rPr>
        <w:t>4.1.5.1. Муниципальная программа</w:t>
      </w:r>
    </w:p>
    <w:p>
      <w:pPr>
        <w:spacing w:after="160"/>
        <w:ind w:right="57"/>
        <w:jc w:val="center"/>
        <w:rPr>
          <w:b/>
          <w:bCs/>
          <w:i/>
          <w:sz w:val="24"/>
          <w:szCs w:val="24"/>
        </w:rPr>
      </w:pPr>
      <w:r>
        <w:rPr>
          <w:b/>
          <w:bCs/>
          <w:i/>
          <w:sz w:val="24"/>
          <w:szCs w:val="24"/>
        </w:rPr>
        <w:t xml:space="preserve"> «Развитие предпринимательства в ЗАТО Северск»</w:t>
      </w:r>
    </w:p>
    <w:p>
      <w:pPr>
        <w:ind w:firstLine="708"/>
        <w:jc w:val="both"/>
        <w:rPr>
          <w:bCs/>
          <w:sz w:val="24"/>
          <w:szCs w:val="24"/>
        </w:rPr>
      </w:pPr>
      <w:r>
        <w:rPr>
          <w:bCs/>
          <w:sz w:val="24"/>
          <w:szCs w:val="24"/>
        </w:rPr>
        <w:t xml:space="preserve">Программа исполнена в общей сумме 29 331,73 тыс.руб., в том числе ответственным исполнителем Администрацией ЗАТО Северск в сумме 19 585,87 тыс.руб., а также участником программы УИО Администрации ЗАТО Северск в сумме 9 745,86 тыс.руб. </w:t>
      </w:r>
    </w:p>
    <w:p>
      <w:pPr>
        <w:ind w:firstLine="708"/>
        <w:jc w:val="both"/>
        <w:rPr>
          <w:bCs/>
          <w:sz w:val="24"/>
          <w:szCs w:val="24"/>
        </w:rPr>
      </w:pPr>
      <w:r>
        <w:rPr>
          <w:bCs/>
          <w:sz w:val="24"/>
          <w:szCs w:val="24"/>
        </w:rPr>
        <w:t>Бюджетные ассигнования направлены на:</w:t>
      </w:r>
    </w:p>
    <w:p>
      <w:pPr>
        <w:pStyle w:val="af8"/>
        <w:ind w:left="0" w:firstLine="709"/>
        <w:jc w:val="both"/>
        <w:rPr>
          <w:bCs/>
          <w:sz w:val="24"/>
          <w:szCs w:val="24"/>
        </w:rPr>
      </w:pPr>
      <w:r>
        <w:rPr>
          <w:bCs/>
          <w:sz w:val="24"/>
          <w:szCs w:val="24"/>
        </w:rPr>
        <w:t xml:space="preserve">1. Предоставление субсидий на развитие эффективной инфраструктуры поддержки предпринимательства - 8 031,18 тыс.руб. (2 780,91 тыс.руб. - средства областного бюджета, 5 250,27 тыс.руб. – средства местного бюджета), в том числе: </w:t>
      </w:r>
    </w:p>
    <w:p>
      <w:pPr>
        <w:pStyle w:val="af8"/>
        <w:ind w:left="0" w:firstLine="708"/>
        <w:jc w:val="both"/>
        <w:rPr>
          <w:bCs/>
          <w:sz w:val="24"/>
          <w:szCs w:val="24"/>
        </w:rPr>
      </w:pPr>
      <w:r>
        <w:rPr>
          <w:bCs/>
          <w:sz w:val="24"/>
          <w:szCs w:val="24"/>
        </w:rPr>
        <w:t xml:space="preserve">1.1. Развитие и обеспечение деятельности бизнес-инкубатора ЗАТО Северск – </w:t>
      </w:r>
      <w:r>
        <w:rPr>
          <w:bCs/>
          <w:sz w:val="24"/>
          <w:szCs w:val="24"/>
        </w:rPr>
        <w:br w:type="textWrapping" w:clear="all"/>
        <w:t>2 720,91 тыс.руб. (2 420,91 тыс.руб. - средства областного бюджета, 300,00 тыс.руб. – средства местного бюджета). В бизнес-инкубаторе размещено 15 резидентов.</w:t>
      </w:r>
    </w:p>
    <w:p>
      <w:pPr>
        <w:pStyle w:val="af8"/>
        <w:ind w:left="0" w:firstLine="708"/>
        <w:jc w:val="both"/>
        <w:rPr>
          <w:sz w:val="24"/>
          <w:szCs w:val="24"/>
        </w:rPr>
      </w:pPr>
      <w:r>
        <w:rPr>
          <w:bCs/>
          <w:sz w:val="24"/>
          <w:szCs w:val="24"/>
        </w:rPr>
        <w:t>1.2. </w:t>
      </w:r>
      <w:r>
        <w:rPr>
          <w:sz w:val="24"/>
          <w:szCs w:val="24"/>
        </w:rPr>
        <w:t>Обеспечение текущей деятельности Фонда «Микрокредитная компания фонд развития малого и среднего предпринимательства ЗАТО Северск» (далее – Фонд) в сумме 2 500,00 тыс.руб.;</w:t>
      </w:r>
    </w:p>
    <w:p>
      <w:pPr>
        <w:pStyle w:val="af8"/>
        <w:tabs>
          <w:tab w:val="left" w:pos="851"/>
        </w:tabs>
        <w:ind w:left="0" w:firstLine="709"/>
        <w:jc w:val="both"/>
        <w:rPr>
          <w:bCs/>
          <w:sz w:val="24"/>
          <w:szCs w:val="24"/>
        </w:rPr>
      </w:pPr>
      <w:r>
        <w:rPr>
          <w:bCs/>
          <w:sz w:val="24"/>
          <w:szCs w:val="24"/>
        </w:rPr>
        <w:t>1.3. Обеспечение деятельности технопарковой зоны - 2 250,27 тыс.руб., размещено 36 резидентов;</w:t>
      </w:r>
    </w:p>
    <w:p>
      <w:pPr>
        <w:pStyle w:val="af8"/>
        <w:ind w:left="0" w:firstLine="709"/>
        <w:jc w:val="both"/>
        <w:rPr>
          <w:bCs/>
          <w:sz w:val="24"/>
          <w:szCs w:val="24"/>
        </w:rPr>
      </w:pPr>
      <w:r>
        <w:rPr>
          <w:bCs/>
          <w:sz w:val="24"/>
          <w:szCs w:val="24"/>
        </w:rPr>
        <w:t xml:space="preserve">1.4. Развитие и обеспечение деятельности муниципального центра поддержки предпринимательства - 560,00 тыс. руб. (360,00 тыс.руб. - средства областного бюджета, 200,00 тыс.руб. - средства местного бюджета). На базе муниципального центра Ассоциации «НП «Агентство развития предпринимательства - Северск оказана информационная и консультационная помощь 263 субъектам малого и среднего предпринимательства; проведены семинары, тренинги и вебинары </w:t>
      </w:r>
      <w:r>
        <w:rPr>
          <w:sz w:val="24"/>
          <w:szCs w:val="24"/>
        </w:rPr>
        <w:t xml:space="preserve">для субъектов </w:t>
      </w:r>
      <w:r>
        <w:rPr>
          <w:sz w:val="24"/>
          <w:szCs w:val="24"/>
        </w:rPr>
        <w:lastRenderedPageBreak/>
        <w:t>предпринимательской деятельности, в которых приняло участие 133 человека; подготовлено 30 бизнес-плана (из них: 26 - безработным гражданам на получение финансовой поддержки от Центра занятости населения ЗАТО Северск</w:t>
      </w:r>
      <w:r>
        <w:rPr>
          <w:bCs/>
          <w:sz w:val="24"/>
          <w:szCs w:val="24"/>
        </w:rPr>
        <w:t>); оказана имущественная поддержка 13 субъектам малого и среднего предпринимательства;</w:t>
      </w:r>
    </w:p>
    <w:p>
      <w:pPr>
        <w:pStyle w:val="af8"/>
        <w:ind w:left="0" w:firstLine="709"/>
        <w:jc w:val="both"/>
        <w:rPr>
          <w:bCs/>
          <w:sz w:val="24"/>
          <w:szCs w:val="24"/>
        </w:rPr>
      </w:pPr>
      <w:r>
        <w:rPr>
          <w:bCs/>
          <w:sz w:val="24"/>
          <w:szCs w:val="24"/>
        </w:rPr>
        <w:t>2. Предоставление финансовой поддержки субъектам малого и среднего предпринимательства ЗАТО Северск - 11 046,72 тыс. руб., в том числе на:</w:t>
      </w:r>
    </w:p>
    <w:p>
      <w:pPr>
        <w:pStyle w:val="af8"/>
        <w:tabs>
          <w:tab w:val="left" w:pos="284"/>
        </w:tabs>
        <w:ind w:left="0" w:firstLine="709"/>
        <w:jc w:val="both"/>
        <w:rPr>
          <w:bCs/>
          <w:sz w:val="24"/>
          <w:szCs w:val="24"/>
        </w:rPr>
      </w:pPr>
      <w:r>
        <w:rPr>
          <w:bCs/>
          <w:sz w:val="24"/>
          <w:szCs w:val="24"/>
        </w:rPr>
        <w:t>2.1. Предоставление субсидии Фонду для выдачи займов - 7 481,72 тыс.руб. (6 000,00 тыс.руб. - средства областного бюджета, 1 481,72 тыс.руб. - средства местного бюджета). Выдано 29 микрозаймов на развитие обрабатывающих производств, оптовую и розничную торговлю, дополнительное образование детей и взрослых;</w:t>
      </w:r>
    </w:p>
    <w:p>
      <w:pPr>
        <w:pStyle w:val="af8"/>
        <w:tabs>
          <w:tab w:val="left" w:pos="709"/>
          <w:tab w:val="left" w:pos="1134"/>
        </w:tabs>
        <w:ind w:left="0" w:firstLine="709"/>
        <w:jc w:val="both"/>
        <w:rPr>
          <w:bCs/>
          <w:sz w:val="24"/>
          <w:szCs w:val="24"/>
        </w:rPr>
      </w:pPr>
      <w:r>
        <w:rPr>
          <w:bCs/>
          <w:sz w:val="24"/>
          <w:szCs w:val="24"/>
        </w:rPr>
        <w:t xml:space="preserve">2.2. Мероприятия по поддержке стартующего бизнеса - 3 500,00 тыс.руб. </w:t>
      </w:r>
      <w:r>
        <w:rPr>
          <w:bCs/>
          <w:sz w:val="24"/>
          <w:szCs w:val="24"/>
        </w:rPr>
        <w:br w:type="textWrapping" w:clear="all"/>
        <w:t>(3 325,00 тыс. руб. - средства областного бюджета, 175,00 тыс.руб. - средства местного бюджета). Поддержку получили 7 предпринимателей - победителей конкурсного отбора;</w:t>
      </w:r>
    </w:p>
    <w:p>
      <w:pPr>
        <w:pStyle w:val="af8"/>
        <w:tabs>
          <w:tab w:val="left" w:pos="284"/>
        </w:tabs>
        <w:ind w:left="0" w:firstLine="709"/>
        <w:jc w:val="both"/>
        <w:rPr>
          <w:bCs/>
          <w:sz w:val="24"/>
          <w:szCs w:val="24"/>
        </w:rPr>
      </w:pPr>
      <w:r>
        <w:rPr>
          <w:bCs/>
          <w:sz w:val="24"/>
          <w:szCs w:val="24"/>
        </w:rPr>
        <w:t>2.3. Обеспечение субъектов малого и среднего предпринимательства справочно-информационными материалами по вопросам ведения предпринимательской деятельности  - 50,00 тыс.руб. (средства направлены на изготовление печатного документа «Инвестиционный паспорт ЗАТО Северск» в количестве 20 шт.);</w:t>
      </w:r>
    </w:p>
    <w:p>
      <w:pPr>
        <w:pStyle w:val="af8"/>
        <w:tabs>
          <w:tab w:val="left" w:pos="284"/>
        </w:tabs>
        <w:ind w:left="0" w:firstLine="709"/>
        <w:jc w:val="both"/>
        <w:rPr>
          <w:bCs/>
          <w:sz w:val="24"/>
          <w:szCs w:val="24"/>
        </w:rPr>
      </w:pPr>
      <w:r>
        <w:rPr>
          <w:bCs/>
          <w:sz w:val="24"/>
          <w:szCs w:val="24"/>
        </w:rPr>
        <w:t>2.4. Развитие молодежного предпринимательства - 15,00 тыс.руб. на приобретение подарков участникам конкурса бизнес-идей среди школьников;</w:t>
      </w:r>
    </w:p>
    <w:p>
      <w:pPr>
        <w:pStyle w:val="af8"/>
        <w:tabs>
          <w:tab w:val="left" w:pos="284"/>
        </w:tabs>
        <w:ind w:left="0" w:firstLine="709"/>
        <w:jc w:val="both"/>
        <w:rPr>
          <w:bCs/>
          <w:sz w:val="24"/>
          <w:szCs w:val="24"/>
        </w:rPr>
      </w:pPr>
      <w:r>
        <w:rPr>
          <w:bCs/>
          <w:sz w:val="24"/>
          <w:szCs w:val="24"/>
        </w:rPr>
        <w:t>3. Создание общественной (социальной) среды, благоприятной для развития бизнеса - 507,97 тыс.руб., в том числе на:</w:t>
      </w:r>
    </w:p>
    <w:p>
      <w:pPr>
        <w:pStyle w:val="af8"/>
        <w:tabs>
          <w:tab w:val="left" w:pos="284"/>
        </w:tabs>
        <w:ind w:left="0" w:firstLine="709"/>
        <w:jc w:val="both"/>
        <w:rPr>
          <w:bCs/>
          <w:sz w:val="24"/>
          <w:szCs w:val="24"/>
        </w:rPr>
      </w:pPr>
      <w:r>
        <w:rPr>
          <w:bCs/>
          <w:sz w:val="24"/>
          <w:szCs w:val="24"/>
        </w:rPr>
        <w:t>3.1. Организацию и проведение мероприятий в рамках празднования Дня российского предпринимательства - 299,98 тыс.руб. (проведена Семейная спартакиада для бизнеса);</w:t>
      </w:r>
    </w:p>
    <w:p>
      <w:pPr>
        <w:pStyle w:val="af8"/>
        <w:tabs>
          <w:tab w:val="left" w:pos="284"/>
        </w:tabs>
        <w:ind w:left="0" w:firstLine="709"/>
        <w:jc w:val="both"/>
        <w:rPr>
          <w:bCs/>
          <w:sz w:val="24"/>
          <w:szCs w:val="24"/>
        </w:rPr>
      </w:pPr>
      <w:r>
        <w:rPr>
          <w:bCs/>
          <w:sz w:val="24"/>
          <w:szCs w:val="24"/>
        </w:rPr>
        <w:t>3.2. Проведение конкурсов - 207,99 тыс.руб. (138,00 тыс.руб. - конкурс на звание лучшего субъекта предпринимательской деятельности, участие приняли 36 субъектов;  69,99 тыс.руб. - конкурс на лучший объект общественного питания, участие приняли 6 субъектов);</w:t>
      </w:r>
    </w:p>
    <w:p>
      <w:pPr>
        <w:ind w:firstLine="720"/>
        <w:jc w:val="both"/>
        <w:rPr>
          <w:bCs/>
          <w:sz w:val="24"/>
          <w:szCs w:val="24"/>
        </w:rPr>
      </w:pPr>
      <w:r>
        <w:rPr>
          <w:bCs/>
          <w:sz w:val="24"/>
          <w:szCs w:val="24"/>
        </w:rPr>
        <w:t>Субъектами предпринимательской деятельности, получившими поддержку в рамках муниципальной программы, создано 51 рабочее место;</w:t>
      </w:r>
    </w:p>
    <w:p>
      <w:pPr>
        <w:ind w:firstLine="720"/>
        <w:jc w:val="both"/>
        <w:rPr>
          <w:bCs/>
          <w:sz w:val="24"/>
          <w:szCs w:val="24"/>
        </w:rPr>
      </w:pPr>
      <w:r>
        <w:rPr>
          <w:bCs/>
          <w:sz w:val="24"/>
          <w:szCs w:val="24"/>
        </w:rPr>
        <w:t>4. Финансовое обеспечение затрат дочернего общества управляющей компании, связанных с осуществлением функций по управлению территорией опережающего социально-экономического развития «Северск» (далее - ТОР «Северск»), составило 9 745,86 тыс.руб. (9 648,40 тыс. руб. - средства областного бюджета, 97,46 тыс.руб. – средства местного бюджета). В 2021 году резидентами ТОР «Северск» стали еще 5 организаций ЗАТО Северск. По состоянию на 01.01.2022 зарегистрировано 17 резидентов, которыми в отчетном периоде создано 103 рабочих места.</w:t>
      </w:r>
    </w:p>
    <w:p>
      <w:pPr>
        <w:ind w:right="57"/>
        <w:jc w:val="center"/>
        <w:rPr>
          <w:b/>
          <w:bCs/>
          <w:i/>
          <w:sz w:val="24"/>
          <w:szCs w:val="24"/>
          <w:highlight w:val="yellow"/>
        </w:rPr>
      </w:pPr>
    </w:p>
    <w:p>
      <w:pPr>
        <w:ind w:right="55"/>
        <w:jc w:val="center"/>
        <w:rPr>
          <w:b/>
          <w:bCs/>
          <w:i/>
          <w:sz w:val="24"/>
          <w:szCs w:val="24"/>
        </w:rPr>
      </w:pPr>
      <w:r>
        <w:rPr>
          <w:b/>
          <w:bCs/>
          <w:i/>
          <w:sz w:val="24"/>
          <w:szCs w:val="24"/>
        </w:rPr>
        <w:t>4.1.5.2. Муниципальная программа</w:t>
      </w:r>
    </w:p>
    <w:p>
      <w:pPr>
        <w:spacing w:after="160"/>
        <w:ind w:right="57"/>
        <w:jc w:val="center"/>
        <w:rPr>
          <w:b/>
          <w:bCs/>
          <w:i/>
          <w:sz w:val="24"/>
          <w:szCs w:val="24"/>
        </w:rPr>
      </w:pPr>
      <w:r>
        <w:rPr>
          <w:b/>
          <w:bCs/>
          <w:i/>
          <w:sz w:val="24"/>
          <w:szCs w:val="24"/>
        </w:rPr>
        <w:t>«Развитие физической культуры и спорта в ЗАТО Северск»</w:t>
      </w:r>
    </w:p>
    <w:p>
      <w:pPr>
        <w:ind w:right="55" w:firstLine="708"/>
        <w:jc w:val="both"/>
        <w:rPr>
          <w:bCs/>
          <w:sz w:val="24"/>
          <w:szCs w:val="24"/>
          <w:highlight w:val="yellow"/>
        </w:rPr>
      </w:pPr>
      <w:r>
        <w:rPr>
          <w:bCs/>
          <w:sz w:val="24"/>
          <w:szCs w:val="24"/>
        </w:rPr>
        <w:t xml:space="preserve">Программа исполнена в общей сумме </w:t>
      </w:r>
      <w:r>
        <w:rPr>
          <w:sz w:val="24"/>
          <w:szCs w:val="24"/>
        </w:rPr>
        <w:t xml:space="preserve">390 169,01 </w:t>
      </w:r>
      <w:r>
        <w:rPr>
          <w:bCs/>
          <w:sz w:val="24"/>
          <w:szCs w:val="24"/>
        </w:rPr>
        <w:t xml:space="preserve">тыс.руб. ответственным исполнителем </w:t>
      </w:r>
      <w:r>
        <w:rPr>
          <w:sz w:val="24"/>
          <w:szCs w:val="24"/>
        </w:rPr>
        <w:t>УМСП ФКиС</w:t>
      </w:r>
      <w:r>
        <w:rPr>
          <w:bCs/>
          <w:sz w:val="24"/>
          <w:szCs w:val="24"/>
        </w:rPr>
        <w:t>.</w:t>
      </w:r>
    </w:p>
    <w:p>
      <w:pPr>
        <w:ind w:right="55" w:firstLine="708"/>
        <w:jc w:val="both"/>
        <w:rPr>
          <w:bCs/>
          <w:sz w:val="24"/>
          <w:szCs w:val="24"/>
        </w:rPr>
      </w:pPr>
      <w:r>
        <w:rPr>
          <w:bCs/>
          <w:sz w:val="24"/>
          <w:szCs w:val="24"/>
        </w:rPr>
        <w:t>Бюджетные ассигнования направлены на:</w:t>
      </w:r>
    </w:p>
    <w:p>
      <w:pPr>
        <w:pStyle w:val="af8"/>
        <w:numPr>
          <w:ilvl w:val="0"/>
          <w:numId w:val="33"/>
        </w:numPr>
        <w:ind w:left="0" w:firstLine="709"/>
        <w:jc w:val="both"/>
        <w:rPr>
          <w:sz w:val="24"/>
          <w:szCs w:val="24"/>
        </w:rPr>
      </w:pPr>
      <w:r>
        <w:rPr>
          <w:bCs/>
          <w:sz w:val="24"/>
          <w:szCs w:val="24"/>
        </w:rPr>
        <w:t xml:space="preserve">Организацию предоставления дополнительного образования детей в шести учреждениях физкультурно-спортивной направленности - </w:t>
      </w:r>
      <w:r>
        <w:rPr>
          <w:sz w:val="24"/>
          <w:szCs w:val="24"/>
        </w:rPr>
        <w:t>366 408,93</w:t>
      </w:r>
      <w:r>
        <w:rPr>
          <w:bCs/>
          <w:sz w:val="24"/>
          <w:szCs w:val="24"/>
        </w:rPr>
        <w:t xml:space="preserve"> тыс.руб.</w:t>
      </w:r>
      <w:r>
        <w:rPr>
          <w:sz w:val="24"/>
          <w:szCs w:val="24"/>
        </w:rPr>
        <w:t xml:space="preserve"> Количество обучающихся в учреждениях физкультурно-спортивной направленности составило 4 181 чел., или 28,8% от общей численности детей и молодежи </w:t>
      </w:r>
      <w:r>
        <w:rPr>
          <w:sz w:val="24"/>
          <w:szCs w:val="24"/>
        </w:rPr>
        <w:br/>
        <w:t>в возрасте 5 - 18 лет.</w:t>
      </w:r>
    </w:p>
    <w:p>
      <w:pPr>
        <w:ind w:right="55" w:firstLine="708"/>
        <w:jc w:val="both"/>
        <w:rPr>
          <w:bCs/>
          <w:sz w:val="24"/>
          <w:szCs w:val="24"/>
        </w:rPr>
      </w:pPr>
      <w:r>
        <w:rPr>
          <w:sz w:val="24"/>
          <w:szCs w:val="24"/>
        </w:rPr>
        <w:t>В рамках выполнения муниципального задания на оказание муниципальных услуг муниципальными учреждениями дополнительного образования физкультурно-спортивной направленности ЗАТО Северск осуществлено финансовое обеспечение:</w:t>
      </w:r>
    </w:p>
    <w:p>
      <w:pPr>
        <w:ind w:right="55" w:firstLine="708"/>
        <w:jc w:val="both"/>
        <w:rPr>
          <w:bCs/>
          <w:sz w:val="24"/>
          <w:szCs w:val="24"/>
          <w:highlight w:val="yellow"/>
        </w:rPr>
      </w:pPr>
      <w:r>
        <w:rPr>
          <w:bCs/>
          <w:sz w:val="24"/>
          <w:szCs w:val="24"/>
        </w:rPr>
        <w:t>1.1. На реализацию дополнительных общеразвивающих программ</w:t>
      </w:r>
      <w:r>
        <w:rPr>
          <w:sz w:val="24"/>
          <w:szCs w:val="24"/>
        </w:rPr>
        <w:t xml:space="preserve"> в сумме 9</w:t>
      </w:r>
      <w:r>
        <w:rPr>
          <w:bCs/>
          <w:sz w:val="24"/>
          <w:szCs w:val="24"/>
        </w:rPr>
        <w:t>5 111,0 тыс.руб. К</w:t>
      </w:r>
      <w:r>
        <w:rPr>
          <w:sz w:val="24"/>
          <w:szCs w:val="24"/>
        </w:rPr>
        <w:t xml:space="preserve">оличество обучающихся </w:t>
      </w:r>
      <w:r>
        <w:rPr>
          <w:bCs/>
          <w:sz w:val="24"/>
          <w:szCs w:val="24"/>
        </w:rPr>
        <w:t xml:space="preserve">в которых </w:t>
      </w:r>
      <w:r>
        <w:rPr>
          <w:sz w:val="24"/>
          <w:szCs w:val="24"/>
        </w:rPr>
        <w:t>составило 1 253 чел.;</w:t>
      </w:r>
      <w:r>
        <w:rPr>
          <w:bCs/>
          <w:sz w:val="24"/>
          <w:szCs w:val="24"/>
        </w:rPr>
        <w:t xml:space="preserve"> </w:t>
      </w:r>
    </w:p>
    <w:p>
      <w:pPr>
        <w:ind w:right="55" w:firstLine="708"/>
        <w:jc w:val="both"/>
        <w:rPr>
          <w:bCs/>
          <w:sz w:val="24"/>
          <w:szCs w:val="24"/>
          <w:highlight w:val="yellow"/>
        </w:rPr>
      </w:pPr>
      <w:r>
        <w:rPr>
          <w:bCs/>
          <w:sz w:val="24"/>
          <w:szCs w:val="24"/>
        </w:rPr>
        <w:lastRenderedPageBreak/>
        <w:t>1.2. На реализацию программ спортивной подготовки по олимпийским видам спорта в сумме  196 879,57 тыс.руб. К</w:t>
      </w:r>
      <w:r>
        <w:rPr>
          <w:sz w:val="24"/>
          <w:szCs w:val="24"/>
        </w:rPr>
        <w:t xml:space="preserve">оличество обучающихся </w:t>
      </w:r>
      <w:r>
        <w:rPr>
          <w:bCs/>
          <w:sz w:val="24"/>
          <w:szCs w:val="24"/>
        </w:rPr>
        <w:t xml:space="preserve">в которых </w:t>
      </w:r>
      <w:r>
        <w:rPr>
          <w:sz w:val="24"/>
          <w:szCs w:val="24"/>
        </w:rPr>
        <w:t>составило 2 484 чел.;</w:t>
      </w:r>
    </w:p>
    <w:p>
      <w:pPr>
        <w:ind w:right="55" w:firstLine="708"/>
        <w:jc w:val="both"/>
        <w:rPr>
          <w:sz w:val="24"/>
          <w:szCs w:val="24"/>
          <w:highlight w:val="yellow"/>
        </w:rPr>
      </w:pPr>
      <w:r>
        <w:rPr>
          <w:bCs/>
          <w:sz w:val="24"/>
          <w:szCs w:val="24"/>
        </w:rPr>
        <w:t>1.3. На реализацию программ спортивной подготовки по неолимпийским видам спорта в сумме 13 230,94 тыс.руб. К</w:t>
      </w:r>
      <w:r>
        <w:rPr>
          <w:sz w:val="24"/>
          <w:szCs w:val="24"/>
        </w:rPr>
        <w:t xml:space="preserve">оличество обучающихся </w:t>
      </w:r>
      <w:r>
        <w:rPr>
          <w:bCs/>
          <w:sz w:val="24"/>
          <w:szCs w:val="24"/>
        </w:rPr>
        <w:t xml:space="preserve">в которых </w:t>
      </w:r>
      <w:r>
        <w:rPr>
          <w:sz w:val="24"/>
          <w:szCs w:val="24"/>
        </w:rPr>
        <w:t>составило 444 чел.;</w:t>
      </w:r>
    </w:p>
    <w:p>
      <w:pPr>
        <w:ind w:right="55" w:firstLine="708"/>
        <w:jc w:val="both"/>
        <w:rPr>
          <w:bCs/>
          <w:sz w:val="24"/>
          <w:szCs w:val="24"/>
          <w:highlight w:val="yellow"/>
        </w:rPr>
      </w:pPr>
      <w:r>
        <w:rPr>
          <w:bCs/>
          <w:sz w:val="24"/>
          <w:szCs w:val="24"/>
        </w:rPr>
        <w:t>2. Проведение официальных физкультурных и спортивных мероприятий – 2 479,04 тыс.руб.</w:t>
      </w:r>
      <w:r>
        <w:rPr>
          <w:sz w:val="24"/>
          <w:szCs w:val="24"/>
        </w:rPr>
        <w:t xml:space="preserve"> Количество участников физкультурных и спортивных мероприятий в 2021 году составило 9 500 чел.</w:t>
      </w:r>
      <w:r>
        <w:rPr>
          <w:bCs/>
          <w:sz w:val="24"/>
          <w:szCs w:val="24"/>
        </w:rPr>
        <w:t>;</w:t>
      </w:r>
    </w:p>
    <w:p>
      <w:pPr>
        <w:ind w:right="55" w:firstLine="708"/>
        <w:jc w:val="both"/>
        <w:rPr>
          <w:bCs/>
          <w:sz w:val="24"/>
          <w:szCs w:val="24"/>
        </w:rPr>
      </w:pPr>
      <w:r>
        <w:rPr>
          <w:bCs/>
          <w:sz w:val="24"/>
          <w:szCs w:val="24"/>
        </w:rPr>
        <w:t>3. Участие в региональном проекте «Спорт – норма жизни», в общем объеме 18 490,94 тыс.руб.:</w:t>
      </w:r>
    </w:p>
    <w:p>
      <w:pPr>
        <w:ind w:right="55" w:firstLine="708"/>
        <w:jc w:val="both"/>
        <w:rPr>
          <w:bCs/>
          <w:sz w:val="24"/>
          <w:szCs w:val="24"/>
        </w:rPr>
      </w:pPr>
      <w:r>
        <w:rPr>
          <w:bCs/>
          <w:sz w:val="24"/>
          <w:szCs w:val="24"/>
        </w:rPr>
        <w:t>3.1. Обеспечение уровня финансирования организаций, осуществляющих спортивную подготовку, в соответствии с требованиями федеральных стандартов спортивной подготовки - 11 790,53 тыс.руб.;</w:t>
      </w:r>
    </w:p>
    <w:p>
      <w:pPr>
        <w:ind w:right="55" w:firstLine="708"/>
        <w:jc w:val="both"/>
        <w:rPr>
          <w:bCs/>
          <w:sz w:val="24"/>
          <w:szCs w:val="24"/>
        </w:rPr>
      </w:pPr>
      <w:r>
        <w:rPr>
          <w:bCs/>
          <w:sz w:val="24"/>
          <w:szCs w:val="24"/>
        </w:rPr>
        <w:t>3.2. Обеспечение условий для развития физической культуры и массового спорта - 4 354,01 тыс.руб.;</w:t>
      </w:r>
    </w:p>
    <w:p>
      <w:pPr>
        <w:ind w:right="55" w:firstLine="708"/>
        <w:jc w:val="both"/>
        <w:rPr>
          <w:bCs/>
          <w:sz w:val="24"/>
          <w:szCs w:val="24"/>
        </w:rPr>
      </w:pPr>
      <w:r>
        <w:rPr>
          <w:bCs/>
          <w:sz w:val="24"/>
          <w:szCs w:val="24"/>
        </w:rPr>
        <w:t>3.3. Государственная поддержка спортивных организаций, осуществляющих подготовку спортивного резерва для спортивных сборных команд, в том числе спортивных сборных команд Российской Федерации - 2 346,40 тыс.руб.;</w:t>
      </w:r>
    </w:p>
    <w:p>
      <w:pPr>
        <w:ind w:right="55" w:firstLine="708"/>
        <w:jc w:val="both"/>
        <w:rPr>
          <w:bCs/>
          <w:sz w:val="24"/>
          <w:szCs w:val="24"/>
        </w:rPr>
      </w:pPr>
      <w:r>
        <w:rPr>
          <w:bCs/>
          <w:sz w:val="24"/>
          <w:szCs w:val="24"/>
        </w:rPr>
        <w:t>4. Обеспечение спортивных сборных команд ЗАТО Северск, реализацию мероприятий, направленных на социальную поддержку спортсменов и их тренеров в объеме 1 990,10 тыс.руб. В составы сборных команд Томской области из ЗАТО Северск зачислено 308 спортсменов; 1 110</w:t>
      </w:r>
      <w:r>
        <w:rPr>
          <w:sz w:val="24"/>
          <w:szCs w:val="24"/>
        </w:rPr>
        <w:t xml:space="preserve"> спортсменов приняли участие в соревнованиях регионального, всероссийского и международного уровней; 10 спортсменов получают стипендию ЗАТО Северск по 3,00 тыс.руб. и 3 спортсмена по 10,00 тыс. руб. ежемесячно</w:t>
      </w:r>
      <w:r>
        <w:rPr>
          <w:bCs/>
          <w:sz w:val="24"/>
          <w:szCs w:val="24"/>
        </w:rPr>
        <w:t>;</w:t>
      </w:r>
    </w:p>
    <w:p>
      <w:pPr>
        <w:ind w:right="55" w:firstLine="708"/>
        <w:jc w:val="both"/>
        <w:rPr>
          <w:bCs/>
          <w:sz w:val="24"/>
          <w:szCs w:val="24"/>
        </w:rPr>
      </w:pPr>
      <w:r>
        <w:rPr>
          <w:bCs/>
          <w:sz w:val="24"/>
          <w:szCs w:val="24"/>
        </w:rPr>
        <w:t>5.</w:t>
      </w:r>
      <w:r>
        <w:t> </w:t>
      </w:r>
      <w:r>
        <w:rPr>
          <w:sz w:val="24"/>
          <w:szCs w:val="24"/>
        </w:rPr>
        <w:t>Р</w:t>
      </w:r>
      <w:r>
        <w:rPr>
          <w:bCs/>
          <w:sz w:val="24"/>
          <w:szCs w:val="24"/>
        </w:rPr>
        <w:t>азвитие детско-юношеского и массового хоккея - 800,00 тыс.руб.</w:t>
      </w:r>
    </w:p>
    <w:p>
      <w:pPr>
        <w:ind w:right="55" w:firstLine="708"/>
        <w:jc w:val="both"/>
        <w:rPr>
          <w:bCs/>
          <w:sz w:val="24"/>
          <w:szCs w:val="24"/>
          <w:highlight w:val="yellow"/>
        </w:rPr>
      </w:pPr>
    </w:p>
    <w:p>
      <w:pPr>
        <w:ind w:right="55"/>
        <w:jc w:val="center"/>
        <w:rPr>
          <w:b/>
          <w:bCs/>
          <w:i/>
          <w:sz w:val="24"/>
          <w:szCs w:val="24"/>
        </w:rPr>
      </w:pPr>
      <w:r>
        <w:rPr>
          <w:b/>
          <w:bCs/>
          <w:i/>
          <w:sz w:val="24"/>
          <w:szCs w:val="24"/>
        </w:rPr>
        <w:t>4.1.5.3. Муниципальная программа</w:t>
      </w:r>
    </w:p>
    <w:p>
      <w:pPr>
        <w:ind w:right="55"/>
        <w:jc w:val="center"/>
        <w:rPr>
          <w:b/>
          <w:bCs/>
          <w:i/>
          <w:sz w:val="24"/>
          <w:szCs w:val="24"/>
        </w:rPr>
      </w:pPr>
      <w:r>
        <w:rPr>
          <w:b/>
          <w:bCs/>
          <w:i/>
          <w:sz w:val="24"/>
          <w:szCs w:val="24"/>
        </w:rPr>
        <w:t>«Молодежная политика в ЗАТО Северск»</w:t>
      </w:r>
    </w:p>
    <w:p>
      <w:pPr>
        <w:ind w:right="55" w:firstLine="708"/>
        <w:jc w:val="both"/>
        <w:rPr>
          <w:bCs/>
          <w:sz w:val="16"/>
          <w:szCs w:val="16"/>
          <w:highlight w:val="yellow"/>
        </w:rPr>
      </w:pPr>
    </w:p>
    <w:p>
      <w:pPr>
        <w:ind w:right="55" w:firstLine="708"/>
        <w:jc w:val="both"/>
        <w:rPr>
          <w:bCs/>
          <w:sz w:val="24"/>
          <w:szCs w:val="24"/>
        </w:rPr>
      </w:pPr>
      <w:r>
        <w:rPr>
          <w:bCs/>
          <w:sz w:val="24"/>
          <w:szCs w:val="24"/>
        </w:rPr>
        <w:t xml:space="preserve">Программа исполнена в общей сумме 114 216,98 тыс.руб., в том числе ответственным исполнителем </w:t>
      </w:r>
      <w:r>
        <w:rPr>
          <w:sz w:val="24"/>
          <w:szCs w:val="24"/>
        </w:rPr>
        <w:t xml:space="preserve">УМСП ФКиС </w:t>
      </w:r>
      <w:r>
        <w:rPr>
          <w:bCs/>
          <w:sz w:val="24"/>
          <w:szCs w:val="24"/>
        </w:rPr>
        <w:t xml:space="preserve">в сумме 111 065,26 </w:t>
      </w:r>
      <w:r>
        <w:rPr>
          <w:sz w:val="24"/>
          <w:szCs w:val="24"/>
        </w:rPr>
        <w:t>тыс.</w:t>
      </w:r>
      <w:r>
        <w:rPr>
          <w:bCs/>
          <w:sz w:val="24"/>
          <w:szCs w:val="24"/>
        </w:rPr>
        <w:t xml:space="preserve">руб., а также участником программы Управлением образования в сумме 3 151,71 тыс.руб. </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shd w:val="clear" w:color="auto" w:fill="FFFFFF"/>
        </w:rPr>
        <w:t xml:space="preserve">1. Обеспечение временной занятости и трудоустройства несовершеннолетних </w:t>
      </w:r>
      <w:r>
        <w:rPr>
          <w:bCs/>
          <w:sz w:val="24"/>
          <w:szCs w:val="24"/>
          <w:shd w:val="clear" w:color="auto" w:fill="FFFFFF"/>
        </w:rPr>
        <w:br/>
        <w:t>в возрасте от 14 до 17 лет (включительно) в свободное от учебы время, содействие развитию молодежных трудовых отрядов  - 1 897,34 тыс.руб.</w:t>
      </w:r>
      <w:r>
        <w:rPr>
          <w:bCs/>
          <w:sz w:val="24"/>
          <w:szCs w:val="24"/>
        </w:rPr>
        <w:t>;</w:t>
      </w:r>
    </w:p>
    <w:p>
      <w:pPr>
        <w:ind w:right="55" w:firstLine="708"/>
        <w:jc w:val="both"/>
        <w:rPr>
          <w:bCs/>
          <w:sz w:val="24"/>
          <w:szCs w:val="24"/>
          <w:highlight w:val="yellow"/>
        </w:rPr>
      </w:pPr>
      <w:r>
        <w:rPr>
          <w:bCs/>
          <w:sz w:val="24"/>
          <w:szCs w:val="24"/>
        </w:rPr>
        <w:t>2. Реализацию молодежной политики ЗАТО Северск - 361,0 тыс.руб.</w:t>
      </w:r>
      <w:r>
        <w:rPr>
          <w:sz w:val="24"/>
          <w:szCs w:val="24"/>
        </w:rPr>
        <w:t xml:space="preserve"> Организовано и проведено 38 онлайн мероприятия, привлечено 38 тыс. чел.</w:t>
      </w:r>
      <w:r>
        <w:rPr>
          <w:bCs/>
          <w:sz w:val="24"/>
          <w:szCs w:val="24"/>
        </w:rPr>
        <w:t>;</w:t>
      </w:r>
    </w:p>
    <w:p>
      <w:pPr>
        <w:ind w:right="55" w:firstLine="708"/>
        <w:jc w:val="both"/>
        <w:rPr>
          <w:bCs/>
          <w:sz w:val="24"/>
          <w:szCs w:val="24"/>
          <w:highlight w:val="yellow"/>
        </w:rPr>
      </w:pPr>
      <w:r>
        <w:rPr>
          <w:bCs/>
          <w:sz w:val="24"/>
          <w:szCs w:val="24"/>
        </w:rPr>
        <w:t>3. Обеспечение отдыха и оздоровления детей - 78 082,47 тыс.руб.;</w:t>
      </w:r>
    </w:p>
    <w:p>
      <w:pPr>
        <w:ind w:right="55" w:firstLine="708"/>
        <w:jc w:val="both"/>
        <w:rPr>
          <w:bCs/>
          <w:sz w:val="24"/>
          <w:szCs w:val="24"/>
        </w:rPr>
      </w:pPr>
      <w:r>
        <w:rPr>
          <w:bCs/>
          <w:sz w:val="24"/>
          <w:szCs w:val="24"/>
        </w:rPr>
        <w:t>4. Обеспечение жильем молодых семей ЗАТО Северск - 14 555,52 тыс.руб., в том числе: за счет средств федерального бюджета 7 104,46 тыс. руб., за счет средств областного бюджета 3 422,48 тыс. руб., за счет средств местного бюджета 4 028,58 тыс. руб. Выплаты из бюджета получили 35 молодых семей;</w:t>
      </w:r>
    </w:p>
    <w:p>
      <w:pPr>
        <w:ind w:right="55" w:firstLine="708"/>
        <w:jc w:val="both"/>
        <w:rPr>
          <w:bCs/>
          <w:sz w:val="24"/>
          <w:szCs w:val="24"/>
        </w:rPr>
      </w:pPr>
      <w:r>
        <w:rPr>
          <w:bCs/>
          <w:sz w:val="24"/>
          <w:szCs w:val="24"/>
        </w:rPr>
        <w:t xml:space="preserve">5. Обеспечение деятельности ответственного исполнителя программы </w:t>
      </w:r>
      <w:r>
        <w:rPr>
          <w:sz w:val="24"/>
          <w:szCs w:val="24"/>
        </w:rPr>
        <w:t xml:space="preserve">УМСП ФКиС - </w:t>
      </w:r>
      <w:r>
        <w:rPr>
          <w:bCs/>
          <w:sz w:val="24"/>
          <w:szCs w:val="24"/>
        </w:rPr>
        <w:t>19 320,65 тыс.руб.</w:t>
      </w:r>
    </w:p>
    <w:p>
      <w:pPr>
        <w:ind w:right="55"/>
        <w:jc w:val="center"/>
        <w:rPr>
          <w:bCs/>
          <w:color w:val="FF0000"/>
          <w:sz w:val="26"/>
          <w:szCs w:val="26"/>
        </w:rPr>
      </w:pPr>
    </w:p>
    <w:p>
      <w:pPr>
        <w:ind w:right="55"/>
        <w:jc w:val="center"/>
        <w:rPr>
          <w:b/>
          <w:bCs/>
          <w:i/>
          <w:sz w:val="24"/>
          <w:szCs w:val="24"/>
        </w:rPr>
      </w:pPr>
      <w:r>
        <w:rPr>
          <w:b/>
          <w:bCs/>
          <w:i/>
          <w:sz w:val="24"/>
          <w:szCs w:val="24"/>
        </w:rPr>
        <w:t>4.1.5.4. Муниципальная программа</w:t>
      </w:r>
    </w:p>
    <w:p>
      <w:pPr>
        <w:spacing w:after="120"/>
        <w:ind w:right="57"/>
        <w:jc w:val="center"/>
        <w:rPr>
          <w:b/>
          <w:bCs/>
          <w:i/>
          <w:sz w:val="24"/>
          <w:szCs w:val="24"/>
        </w:rPr>
      </w:pPr>
      <w:r>
        <w:rPr>
          <w:b/>
          <w:bCs/>
          <w:i/>
          <w:sz w:val="24"/>
          <w:szCs w:val="24"/>
        </w:rPr>
        <w:t>«Развитие культуры и туризма в ЗАТО Северск»</w:t>
      </w:r>
    </w:p>
    <w:p>
      <w:pPr>
        <w:ind w:right="55" w:firstLine="708"/>
        <w:jc w:val="both"/>
        <w:rPr>
          <w:bCs/>
          <w:sz w:val="24"/>
          <w:szCs w:val="24"/>
        </w:rPr>
      </w:pPr>
      <w:r>
        <w:rPr>
          <w:bCs/>
          <w:sz w:val="24"/>
          <w:szCs w:val="24"/>
        </w:rPr>
        <w:t xml:space="preserve">Программа исполнена в общей сумме 556 746,21 тыс.руб., в том числе ответственным исполнителем </w:t>
      </w:r>
      <w:r>
        <w:rPr>
          <w:sz w:val="24"/>
          <w:szCs w:val="24"/>
        </w:rPr>
        <w:t>Управлением культуры</w:t>
      </w:r>
      <w:r>
        <w:rPr>
          <w:bCs/>
          <w:sz w:val="24"/>
          <w:szCs w:val="24"/>
        </w:rPr>
        <w:t xml:space="preserve"> в сумме 541 801,70</w:t>
      </w:r>
      <w:r>
        <w:rPr>
          <w:sz w:val="24"/>
          <w:szCs w:val="24"/>
        </w:rPr>
        <w:t xml:space="preserve"> тыс.</w:t>
      </w:r>
      <w:r>
        <w:rPr>
          <w:bCs/>
          <w:sz w:val="24"/>
          <w:szCs w:val="24"/>
        </w:rPr>
        <w:t xml:space="preserve">руб., </w:t>
      </w:r>
      <w:r>
        <w:rPr>
          <w:bCs/>
          <w:sz w:val="24"/>
          <w:szCs w:val="24"/>
        </w:rPr>
        <w:br/>
        <w:t xml:space="preserve">а также участником программы УКС в сумме 14 944,51 тыс.руб. </w:t>
      </w:r>
    </w:p>
    <w:p>
      <w:pPr>
        <w:ind w:right="55" w:firstLine="708"/>
        <w:jc w:val="both"/>
        <w:rPr>
          <w:bCs/>
          <w:sz w:val="24"/>
          <w:szCs w:val="24"/>
        </w:rPr>
      </w:pPr>
      <w:r>
        <w:rPr>
          <w:bCs/>
          <w:sz w:val="24"/>
          <w:szCs w:val="24"/>
        </w:rPr>
        <w:t>Бюджетные ассигнования направлены на:</w:t>
      </w:r>
    </w:p>
    <w:p>
      <w:pPr>
        <w:pStyle w:val="af8"/>
        <w:numPr>
          <w:ilvl w:val="0"/>
          <w:numId w:val="19"/>
        </w:numPr>
        <w:ind w:left="0" w:firstLine="709"/>
        <w:jc w:val="both"/>
        <w:rPr>
          <w:bCs/>
          <w:sz w:val="24"/>
          <w:szCs w:val="24"/>
        </w:rPr>
      </w:pPr>
      <w:r>
        <w:rPr>
          <w:bCs/>
          <w:sz w:val="24"/>
          <w:szCs w:val="24"/>
        </w:rPr>
        <w:lastRenderedPageBreak/>
        <w:t>Обеспечение деятельности учреждений дополнительного художественного образования – 137 389,49 тыс.руб.</w:t>
      </w:r>
      <w:r>
        <w:rPr>
          <w:iCs/>
          <w:sz w:val="24"/>
          <w:szCs w:val="24"/>
        </w:rPr>
        <w:t xml:space="preserve"> В муниципальных учреждениях услуги </w:t>
      </w:r>
      <w:r>
        <w:rPr>
          <w:iCs/>
          <w:sz w:val="24"/>
          <w:szCs w:val="24"/>
        </w:rPr>
        <w:br/>
        <w:t>по дополнительному образованию получили 3 188 чел. в возрасте 5 - 18 лет</w:t>
      </w:r>
      <w:r>
        <w:rPr>
          <w:bCs/>
          <w:sz w:val="24"/>
          <w:szCs w:val="24"/>
        </w:rPr>
        <w:t>;</w:t>
      </w:r>
    </w:p>
    <w:p>
      <w:pPr>
        <w:pStyle w:val="af8"/>
        <w:numPr>
          <w:ilvl w:val="0"/>
          <w:numId w:val="19"/>
        </w:numPr>
        <w:ind w:left="0" w:firstLine="709"/>
        <w:jc w:val="both"/>
        <w:rPr>
          <w:bCs/>
          <w:sz w:val="24"/>
          <w:szCs w:val="24"/>
        </w:rPr>
      </w:pPr>
      <w:r>
        <w:rPr>
          <w:bCs/>
          <w:sz w:val="24"/>
          <w:szCs w:val="24"/>
        </w:rPr>
        <w:t>Обеспечение деятельности 8 учреждений культуры – 369 187,83 тыс.руб.;</w:t>
      </w:r>
    </w:p>
    <w:p>
      <w:pPr>
        <w:pStyle w:val="af8"/>
        <w:numPr>
          <w:ilvl w:val="0"/>
          <w:numId w:val="19"/>
        </w:numPr>
        <w:ind w:left="0" w:firstLine="709"/>
        <w:jc w:val="both"/>
        <w:rPr>
          <w:bCs/>
          <w:sz w:val="24"/>
          <w:szCs w:val="24"/>
        </w:rPr>
      </w:pPr>
      <w:r>
        <w:rPr>
          <w:bCs/>
          <w:sz w:val="24"/>
          <w:szCs w:val="24"/>
        </w:rPr>
        <w:t>Организацию мероприятий по развитию материально – технической базы учреждений культуры 465,90 тыс.руб.;</w:t>
      </w:r>
    </w:p>
    <w:p>
      <w:pPr>
        <w:pStyle w:val="af8"/>
        <w:numPr>
          <w:ilvl w:val="0"/>
          <w:numId w:val="19"/>
        </w:numPr>
        <w:ind w:left="0" w:firstLine="709"/>
        <w:jc w:val="both"/>
        <w:rPr>
          <w:bCs/>
          <w:sz w:val="24"/>
          <w:szCs w:val="24"/>
        </w:rPr>
      </w:pPr>
      <w:r>
        <w:rPr>
          <w:bCs/>
          <w:sz w:val="24"/>
          <w:szCs w:val="24"/>
        </w:rPr>
        <w:t xml:space="preserve">Организацию и проведение культурно-массовых и творческих мероприятий </w:t>
      </w:r>
      <w:r>
        <w:rPr>
          <w:bCs/>
          <w:sz w:val="24"/>
          <w:szCs w:val="24"/>
        </w:rPr>
        <w:br/>
        <w:t xml:space="preserve">– 1 332,67 тыс.руб. </w:t>
      </w:r>
      <w:r>
        <w:rPr>
          <w:sz w:val="24"/>
          <w:szCs w:val="24"/>
        </w:rPr>
        <w:t xml:space="preserve">Культурно-досуговые мероприятия, организованные муниципальными учреждениями культуры, посетили 336 тыс.чел. </w:t>
      </w:r>
    </w:p>
    <w:p>
      <w:pPr>
        <w:pStyle w:val="af8"/>
        <w:numPr>
          <w:ilvl w:val="0"/>
          <w:numId w:val="19"/>
        </w:numPr>
        <w:ind w:left="0" w:firstLine="709"/>
        <w:jc w:val="both"/>
        <w:rPr>
          <w:bCs/>
          <w:sz w:val="24"/>
          <w:szCs w:val="24"/>
        </w:rPr>
      </w:pPr>
      <w:r>
        <w:rPr>
          <w:bCs/>
          <w:sz w:val="24"/>
          <w:szCs w:val="24"/>
        </w:rPr>
        <w:t>Организацию мероприятий, направленных на поддержку творческой деятельности муниципальных учреждений культуры, их работников и иных организаций в сфере культуры – 17 392,10 тыс.руб.</w:t>
      </w:r>
      <w:r>
        <w:rPr>
          <w:sz w:val="24"/>
          <w:szCs w:val="24"/>
        </w:rPr>
        <w:t xml:space="preserve"> Стипендию ЗАТО Северск за достижения в области культуры и искусств</w:t>
      </w:r>
      <w:r>
        <w:rPr>
          <w:bCs/>
          <w:sz w:val="24"/>
          <w:szCs w:val="24"/>
        </w:rPr>
        <w:t xml:space="preserve"> </w:t>
      </w:r>
      <w:r>
        <w:rPr>
          <w:sz w:val="24"/>
          <w:szCs w:val="24"/>
        </w:rPr>
        <w:t>получают 14 чел. в сумме 2,0 тыс.руб. ежемесячно.</w:t>
      </w:r>
      <w:r>
        <w:rPr>
          <w:bCs/>
          <w:sz w:val="24"/>
          <w:szCs w:val="24"/>
        </w:rPr>
        <w:t>;</w:t>
      </w:r>
    </w:p>
    <w:p>
      <w:pPr>
        <w:pStyle w:val="af8"/>
        <w:numPr>
          <w:ilvl w:val="0"/>
          <w:numId w:val="19"/>
        </w:numPr>
        <w:ind w:left="0" w:firstLine="709"/>
        <w:jc w:val="both"/>
        <w:rPr>
          <w:bCs/>
          <w:sz w:val="24"/>
          <w:szCs w:val="24"/>
        </w:rPr>
      </w:pPr>
      <w:r>
        <w:rPr>
          <w:bCs/>
          <w:sz w:val="24"/>
          <w:szCs w:val="24"/>
        </w:rPr>
        <w:t>Участие в региональном проекте «Культурная среда» – 5 000,00 тыс.руб. (создание модельных муниципальных библиотек);</w:t>
      </w:r>
    </w:p>
    <w:p>
      <w:pPr>
        <w:pStyle w:val="af8"/>
        <w:numPr>
          <w:ilvl w:val="0"/>
          <w:numId w:val="19"/>
        </w:numPr>
        <w:ind w:left="0" w:firstLine="709"/>
        <w:jc w:val="both"/>
        <w:rPr>
          <w:bCs/>
          <w:sz w:val="24"/>
          <w:szCs w:val="24"/>
        </w:rPr>
      </w:pPr>
      <w:r>
        <w:rPr>
          <w:bCs/>
          <w:sz w:val="24"/>
          <w:szCs w:val="24"/>
        </w:rPr>
        <w:t>Капитальный ремонт объектов культуры – 14 944,51 тыс.руб. в том числе:</w:t>
      </w:r>
    </w:p>
    <w:p>
      <w:pPr>
        <w:pStyle w:val="af8"/>
        <w:ind w:left="0" w:firstLine="709"/>
        <w:jc w:val="both"/>
        <w:rPr>
          <w:bCs/>
          <w:sz w:val="24"/>
          <w:szCs w:val="24"/>
        </w:rPr>
      </w:pPr>
      <w:r>
        <w:rPr>
          <w:bCs/>
          <w:sz w:val="24"/>
          <w:szCs w:val="24"/>
        </w:rPr>
        <w:t>7.1. Помещений здания МБУДО «Художественная школа» по адресу: Томская область, ЗАТО Северск, просп.Коммунистический, 122 – 13 347,10 тыс.руб.</w:t>
      </w:r>
    </w:p>
    <w:p>
      <w:pPr>
        <w:pStyle w:val="af8"/>
        <w:ind w:left="0" w:firstLine="709"/>
        <w:jc w:val="both"/>
        <w:rPr>
          <w:bCs/>
          <w:sz w:val="24"/>
          <w:szCs w:val="24"/>
        </w:rPr>
      </w:pPr>
      <w:r>
        <w:rPr>
          <w:bCs/>
          <w:sz w:val="24"/>
          <w:szCs w:val="24"/>
        </w:rPr>
        <w:t>7.2. Здания МБУДО «Самусьская ДШИ», по адресу: Томская область, п.Самусь, ул. Гагарина, 4 – 1 061,07 тыс.руб.;</w:t>
      </w:r>
    </w:p>
    <w:p>
      <w:pPr>
        <w:pStyle w:val="af8"/>
        <w:ind w:left="0" w:firstLine="709"/>
        <w:jc w:val="both"/>
        <w:rPr>
          <w:bCs/>
          <w:sz w:val="24"/>
          <w:szCs w:val="24"/>
        </w:rPr>
      </w:pPr>
      <w:r>
        <w:rPr>
          <w:bCs/>
          <w:sz w:val="24"/>
          <w:szCs w:val="24"/>
        </w:rPr>
        <w:t>7.3. Здания МАУ ДО «Детская школа искусств», корпус 2, по адресу: Томская область, г.Северск, ул.40 лет Октября, 4 – 536,34 тыс.руб.</w:t>
      </w:r>
    </w:p>
    <w:p>
      <w:pPr>
        <w:pStyle w:val="af8"/>
        <w:numPr>
          <w:ilvl w:val="0"/>
          <w:numId w:val="19"/>
        </w:numPr>
        <w:ind w:left="0" w:firstLine="709"/>
        <w:jc w:val="both"/>
        <w:rPr>
          <w:sz w:val="22"/>
          <w:szCs w:val="22"/>
        </w:rPr>
      </w:pPr>
      <w:r>
        <w:rPr>
          <w:bCs/>
          <w:sz w:val="24"/>
          <w:szCs w:val="24"/>
        </w:rPr>
        <w:t xml:space="preserve">Обеспечение деятельности ответственного исполнителя программы </w:t>
      </w:r>
      <w:r>
        <w:rPr>
          <w:sz w:val="24"/>
          <w:szCs w:val="24"/>
        </w:rPr>
        <w:t xml:space="preserve">Управления культуры </w:t>
      </w:r>
      <w:r>
        <w:rPr>
          <w:bCs/>
          <w:sz w:val="24"/>
          <w:szCs w:val="24"/>
        </w:rPr>
        <w:t>в объеме 11 033,71 тыс.руб.</w:t>
      </w:r>
    </w:p>
    <w:p>
      <w:pPr>
        <w:ind w:right="55"/>
        <w:jc w:val="center"/>
        <w:rPr>
          <w:b/>
          <w:bCs/>
          <w:i/>
          <w:sz w:val="24"/>
          <w:szCs w:val="24"/>
          <w:highlight w:val="yellow"/>
        </w:rPr>
      </w:pPr>
    </w:p>
    <w:p>
      <w:pPr>
        <w:ind w:right="55"/>
        <w:jc w:val="center"/>
        <w:rPr>
          <w:b/>
          <w:bCs/>
          <w:i/>
          <w:sz w:val="24"/>
          <w:szCs w:val="24"/>
        </w:rPr>
      </w:pPr>
      <w:r>
        <w:rPr>
          <w:b/>
          <w:bCs/>
          <w:i/>
          <w:sz w:val="24"/>
          <w:szCs w:val="24"/>
        </w:rPr>
        <w:t>4.1.5.5. Муниципальная программа</w:t>
      </w:r>
    </w:p>
    <w:p>
      <w:pPr>
        <w:spacing w:after="120"/>
        <w:ind w:right="57"/>
        <w:jc w:val="center"/>
        <w:rPr>
          <w:b/>
          <w:bCs/>
          <w:i/>
          <w:sz w:val="24"/>
          <w:szCs w:val="24"/>
        </w:rPr>
      </w:pPr>
      <w:r>
        <w:rPr>
          <w:b/>
          <w:bCs/>
          <w:i/>
          <w:sz w:val="24"/>
          <w:szCs w:val="24"/>
        </w:rPr>
        <w:t>«Развитие образования в ЗАТО Северск»</w:t>
      </w:r>
    </w:p>
    <w:p>
      <w:pPr>
        <w:ind w:right="55" w:firstLine="708"/>
        <w:jc w:val="both"/>
        <w:rPr>
          <w:bCs/>
          <w:sz w:val="24"/>
          <w:szCs w:val="24"/>
        </w:rPr>
      </w:pPr>
      <w:r>
        <w:rPr>
          <w:bCs/>
          <w:sz w:val="24"/>
          <w:szCs w:val="24"/>
        </w:rPr>
        <w:t xml:space="preserve">Программа исполнена в общей сумме </w:t>
      </w:r>
      <w:r>
        <w:rPr>
          <w:sz w:val="24"/>
          <w:szCs w:val="24"/>
        </w:rPr>
        <w:t xml:space="preserve">2 416 693,87 </w:t>
      </w:r>
      <w:r>
        <w:rPr>
          <w:bCs/>
          <w:sz w:val="24"/>
          <w:szCs w:val="24"/>
        </w:rPr>
        <w:t xml:space="preserve">тыс.руб. ответственным исполнителем Управлением образования </w:t>
      </w:r>
    </w:p>
    <w:p>
      <w:pPr>
        <w:spacing w:before="60"/>
        <w:ind w:right="57" w:firstLine="709"/>
        <w:jc w:val="both"/>
        <w:rPr>
          <w:bCs/>
          <w:sz w:val="24"/>
          <w:szCs w:val="24"/>
        </w:rPr>
      </w:pPr>
      <w:r>
        <w:rPr>
          <w:bCs/>
          <w:sz w:val="24"/>
          <w:szCs w:val="24"/>
        </w:rPr>
        <w:t>Бюджетные ассигнования направлены на:</w:t>
      </w:r>
    </w:p>
    <w:p>
      <w:pPr>
        <w:spacing w:before="40"/>
        <w:ind w:right="57" w:firstLine="709"/>
        <w:jc w:val="both"/>
        <w:rPr>
          <w:bCs/>
          <w:sz w:val="24"/>
          <w:szCs w:val="24"/>
        </w:rPr>
      </w:pPr>
      <w:r>
        <w:rPr>
          <w:bCs/>
          <w:sz w:val="24"/>
          <w:szCs w:val="24"/>
        </w:rPr>
        <w:t>1. Организацию деятельности 22 дошкольных образовательных организаций (количество воспитанников – 5 877 чел.), 18 общеобразовательных организаций (количество обучающихся составило 11 486 чел.) и МБУ ДО «Центр «Поиск»  (количество обучающихся - 844 чел.) - 2 258 688,51 тыс.руб.;</w:t>
      </w:r>
    </w:p>
    <w:p>
      <w:pPr>
        <w:spacing w:before="40"/>
        <w:ind w:right="57" w:firstLine="709"/>
        <w:jc w:val="both"/>
        <w:rPr>
          <w:bCs/>
          <w:sz w:val="24"/>
          <w:szCs w:val="24"/>
        </w:rPr>
      </w:pPr>
      <w:r>
        <w:rPr>
          <w:bCs/>
          <w:sz w:val="24"/>
          <w:szCs w:val="24"/>
        </w:rPr>
        <w:t>2. Организацию деятельности МАУ ЗАТО Северск «Ресурсный центр образования» и МКУ ЗАТО Северск «Централизованная бухгалтерия образовательных учреждений» - 66 620,27 тыс.руб.;</w:t>
      </w:r>
    </w:p>
    <w:p>
      <w:pPr>
        <w:spacing w:before="40"/>
        <w:ind w:right="57" w:firstLine="709"/>
        <w:jc w:val="both"/>
        <w:rPr>
          <w:bCs/>
          <w:sz w:val="24"/>
          <w:szCs w:val="24"/>
        </w:rPr>
      </w:pPr>
      <w:r>
        <w:rPr>
          <w:bCs/>
          <w:sz w:val="24"/>
          <w:szCs w:val="24"/>
        </w:rPr>
        <w:t>3. Участие в региональном проекте «Цифровая образовательная среда» - 14 890,09 тыс.руб.;</w:t>
      </w:r>
    </w:p>
    <w:p>
      <w:pPr>
        <w:spacing w:before="40"/>
        <w:ind w:right="57" w:firstLine="709"/>
        <w:jc w:val="both"/>
        <w:rPr>
          <w:bCs/>
          <w:sz w:val="24"/>
          <w:szCs w:val="24"/>
        </w:rPr>
      </w:pPr>
      <w:r>
        <w:rPr>
          <w:bCs/>
          <w:sz w:val="24"/>
          <w:szCs w:val="24"/>
        </w:rPr>
        <w:t>4. Участие в региональном проекте «Успех каждого ребенка» - 1 379,36 тыс.руб.;</w:t>
      </w:r>
    </w:p>
    <w:p>
      <w:pPr>
        <w:ind w:right="55" w:firstLine="709"/>
        <w:jc w:val="both"/>
        <w:rPr>
          <w:bCs/>
          <w:sz w:val="24"/>
          <w:szCs w:val="24"/>
        </w:rPr>
      </w:pPr>
      <w:r>
        <w:rPr>
          <w:bCs/>
          <w:sz w:val="24"/>
          <w:szCs w:val="24"/>
        </w:rPr>
        <w:t>5. Организацию бесплатного горячего питания обучающихся, получающих начальное общее образование в муниципальных образовательных организациях –</w:t>
      </w:r>
      <w:r>
        <w:rPr>
          <w:bCs/>
          <w:sz w:val="24"/>
          <w:szCs w:val="24"/>
          <w:highlight w:val="yellow"/>
        </w:rPr>
        <w:t xml:space="preserve"> </w:t>
      </w:r>
      <w:r>
        <w:rPr>
          <w:bCs/>
          <w:sz w:val="24"/>
          <w:szCs w:val="24"/>
        </w:rPr>
        <w:t>44 722,06 тыс.руб.;</w:t>
      </w:r>
    </w:p>
    <w:p>
      <w:pPr>
        <w:spacing w:before="40"/>
        <w:ind w:right="57" w:firstLine="709"/>
        <w:jc w:val="both"/>
        <w:rPr>
          <w:bCs/>
          <w:sz w:val="24"/>
          <w:szCs w:val="24"/>
        </w:rPr>
      </w:pPr>
      <w:r>
        <w:rPr>
          <w:bCs/>
          <w:sz w:val="24"/>
          <w:szCs w:val="24"/>
        </w:rPr>
        <w:t>6. Приобретение оборудования для столовых и мебели для обеденных залов образовательных организаций – 4 614,32 тыс.руб.</w:t>
      </w:r>
    </w:p>
    <w:p>
      <w:pPr>
        <w:spacing w:before="40"/>
        <w:ind w:right="57" w:firstLine="709"/>
        <w:jc w:val="both"/>
        <w:rPr>
          <w:bCs/>
          <w:sz w:val="24"/>
          <w:szCs w:val="24"/>
        </w:rPr>
      </w:pPr>
      <w:r>
        <w:rPr>
          <w:bCs/>
          <w:sz w:val="24"/>
          <w:szCs w:val="24"/>
        </w:rPr>
        <w:t xml:space="preserve">7. Развитие системы выявления, сопровождения и поддержки одаренных детей </w:t>
      </w:r>
      <w:r>
        <w:rPr>
          <w:bCs/>
          <w:sz w:val="24"/>
          <w:szCs w:val="24"/>
        </w:rPr>
        <w:br/>
        <w:t>-</w:t>
      </w:r>
      <w:r>
        <w:rPr>
          <w:bCs/>
          <w:color w:val="000000"/>
          <w:sz w:val="24"/>
          <w:szCs w:val="24"/>
        </w:rPr>
        <w:t xml:space="preserve"> 2 043,0 тыс.руб. (численность обучающихся, участвующих в олимпиадах и конкурсах различного уровня</w:t>
      </w:r>
      <w:r>
        <w:rPr>
          <w:bCs/>
          <w:sz w:val="24"/>
          <w:szCs w:val="24"/>
        </w:rPr>
        <w:t xml:space="preserve"> – 4 699 человек. Именные ежемесячные стипендии в сумме 0,9 тыс.руб. ежемесячно выплачивались 50 чел. обучающимся -  победителям и призерам всех этапов Всероссийской олимпиады школьников;</w:t>
      </w:r>
    </w:p>
    <w:p>
      <w:pPr>
        <w:spacing w:before="40"/>
        <w:ind w:right="57" w:firstLine="709"/>
        <w:jc w:val="both"/>
        <w:rPr>
          <w:bCs/>
          <w:sz w:val="24"/>
          <w:szCs w:val="24"/>
        </w:rPr>
      </w:pPr>
      <w:r>
        <w:rPr>
          <w:bCs/>
          <w:sz w:val="24"/>
          <w:szCs w:val="24"/>
        </w:rPr>
        <w:t xml:space="preserve">8. Проведение мероприятий, направленных на развитие профессиональной педагогической компетентности молодых специалистов, рост творческой активности педагогических работников - 160,0 тыс.руб.; </w:t>
      </w:r>
    </w:p>
    <w:p>
      <w:pPr>
        <w:spacing w:before="40"/>
        <w:ind w:right="57" w:firstLine="709"/>
        <w:jc w:val="both"/>
        <w:rPr>
          <w:bCs/>
          <w:sz w:val="24"/>
          <w:szCs w:val="24"/>
        </w:rPr>
      </w:pPr>
      <w:r>
        <w:rPr>
          <w:bCs/>
          <w:sz w:val="24"/>
          <w:szCs w:val="24"/>
        </w:rPr>
        <w:lastRenderedPageBreak/>
        <w:t>9. Обеспечение деятельности ответственного исполнителя программы - 23 576,26 тыс.руб.</w:t>
      </w:r>
    </w:p>
    <w:p>
      <w:pPr>
        <w:ind w:right="55"/>
        <w:jc w:val="center"/>
        <w:rPr>
          <w:b/>
          <w:bCs/>
          <w:i/>
          <w:sz w:val="10"/>
          <w:szCs w:val="10"/>
          <w:highlight w:val="yellow"/>
        </w:rPr>
      </w:pPr>
    </w:p>
    <w:p>
      <w:pPr>
        <w:ind w:right="55"/>
        <w:jc w:val="center"/>
        <w:rPr>
          <w:b/>
          <w:bCs/>
          <w:i/>
          <w:sz w:val="10"/>
          <w:szCs w:val="10"/>
          <w:highlight w:val="yellow"/>
        </w:rPr>
      </w:pPr>
    </w:p>
    <w:p>
      <w:pPr>
        <w:ind w:right="55"/>
        <w:jc w:val="center"/>
        <w:rPr>
          <w:b/>
          <w:bCs/>
          <w:i/>
          <w:sz w:val="10"/>
          <w:szCs w:val="10"/>
          <w:highlight w:val="yellow"/>
        </w:rPr>
      </w:pPr>
    </w:p>
    <w:p>
      <w:pPr>
        <w:ind w:right="55"/>
        <w:jc w:val="center"/>
        <w:rPr>
          <w:b/>
          <w:bCs/>
          <w:i/>
          <w:sz w:val="24"/>
          <w:szCs w:val="24"/>
        </w:rPr>
      </w:pPr>
      <w:r>
        <w:rPr>
          <w:b/>
          <w:bCs/>
          <w:i/>
          <w:sz w:val="24"/>
          <w:szCs w:val="24"/>
        </w:rPr>
        <w:t>4.1.5.6. Муниципальная программа</w:t>
      </w:r>
    </w:p>
    <w:p>
      <w:pPr>
        <w:spacing w:after="160"/>
        <w:ind w:right="57"/>
        <w:jc w:val="center"/>
        <w:rPr>
          <w:b/>
          <w:bCs/>
          <w:i/>
          <w:sz w:val="24"/>
          <w:szCs w:val="24"/>
        </w:rPr>
      </w:pPr>
      <w:r>
        <w:rPr>
          <w:b/>
          <w:bCs/>
          <w:i/>
          <w:sz w:val="24"/>
          <w:szCs w:val="24"/>
        </w:rPr>
        <w:t>«Формирование благоприятного социального климата в ЗАТО Северск»</w:t>
      </w:r>
    </w:p>
    <w:p>
      <w:pPr>
        <w:tabs>
          <w:tab w:val="left" w:pos="709"/>
        </w:tabs>
        <w:ind w:right="55" w:firstLine="708"/>
        <w:jc w:val="both"/>
        <w:rPr>
          <w:bCs/>
          <w:sz w:val="24"/>
          <w:szCs w:val="24"/>
        </w:rPr>
      </w:pPr>
      <w:r>
        <w:rPr>
          <w:bCs/>
          <w:sz w:val="24"/>
          <w:szCs w:val="24"/>
        </w:rPr>
        <w:t xml:space="preserve">Программа исполнена в общей сумме 98 746,10 тыс.руб. ответственным исполнителем Администрацией ЗАТО Северск в сумме 89 422,82 тыс.руб., а также участником программы УЖКХ ТиС в сумме 9 323,28 тыс.руб. </w:t>
      </w:r>
    </w:p>
    <w:p>
      <w:pPr>
        <w:tabs>
          <w:tab w:val="left" w:pos="709"/>
        </w:tabs>
        <w:ind w:right="55" w:firstLine="708"/>
        <w:jc w:val="both"/>
        <w:rPr>
          <w:bCs/>
          <w:sz w:val="24"/>
          <w:szCs w:val="24"/>
        </w:rPr>
      </w:pPr>
      <w:r>
        <w:rPr>
          <w:bCs/>
          <w:sz w:val="24"/>
          <w:szCs w:val="24"/>
        </w:rPr>
        <w:t>Бюджетные ассигнования направлены:</w:t>
      </w:r>
    </w:p>
    <w:p>
      <w:pPr>
        <w:tabs>
          <w:tab w:val="left" w:pos="709"/>
        </w:tabs>
        <w:ind w:right="55" w:firstLine="708"/>
        <w:jc w:val="both"/>
        <w:rPr>
          <w:bCs/>
          <w:sz w:val="24"/>
          <w:szCs w:val="24"/>
        </w:rPr>
      </w:pPr>
      <w:r>
        <w:rPr>
          <w:bCs/>
          <w:sz w:val="24"/>
          <w:szCs w:val="24"/>
        </w:rPr>
        <w:t>1. На предоставление дополнительных мер социальной поддержки отдельным категориям граждан ЗАТО Северск – 29 394,0 тыс.руб., а именно:</w:t>
      </w:r>
    </w:p>
    <w:p>
      <w:pPr>
        <w:tabs>
          <w:tab w:val="left" w:pos="709"/>
        </w:tabs>
        <w:ind w:right="55" w:firstLine="708"/>
        <w:jc w:val="both"/>
        <w:rPr>
          <w:bCs/>
          <w:sz w:val="24"/>
          <w:szCs w:val="24"/>
        </w:rPr>
      </w:pPr>
      <w:r>
        <w:rPr>
          <w:bCs/>
          <w:sz w:val="24"/>
          <w:szCs w:val="24"/>
        </w:rPr>
        <w:t>1.1. Предоставление мер социальной поддержки по оплате коммунальных услуг гражданам, проживающим на внегородских территориях ЗАТО Северск,</w:t>
      </w:r>
      <w:r>
        <w:rPr>
          <w:sz w:val="24"/>
          <w:szCs w:val="24"/>
        </w:rPr>
        <w:t xml:space="preserve"> -                   24 093,66</w:t>
      </w:r>
      <w:r>
        <w:rPr>
          <w:bCs/>
          <w:sz w:val="24"/>
          <w:szCs w:val="24"/>
        </w:rPr>
        <w:t> тыс. руб. (меры социальной поддержки получили 4 888 чел.);</w:t>
      </w:r>
      <w:r>
        <w:rPr>
          <w:bCs/>
          <w:sz w:val="24"/>
          <w:szCs w:val="24"/>
        </w:rPr>
        <w:tab/>
      </w:r>
    </w:p>
    <w:p>
      <w:pPr>
        <w:pStyle w:val="31"/>
        <w:tabs>
          <w:tab w:val="clear" w:pos="5529"/>
          <w:tab w:val="left" w:pos="709"/>
        </w:tabs>
        <w:spacing w:before="40"/>
        <w:ind w:right="6" w:firstLine="709"/>
        <w:rPr>
          <w:sz w:val="24"/>
          <w:szCs w:val="24"/>
          <w:highlight w:val="yellow"/>
        </w:rPr>
      </w:pPr>
      <w:r>
        <w:rPr>
          <w:bCs/>
          <w:sz w:val="24"/>
          <w:szCs w:val="24"/>
        </w:rPr>
        <w:t>1.2. П</w:t>
      </w:r>
      <w:r>
        <w:rPr>
          <w:sz w:val="24"/>
          <w:szCs w:val="24"/>
        </w:rPr>
        <w:t>редоставление материальной помощи гражданам, оказавшимся в трудной жизненной ситуации, - 1 962,96 тыс.руб. (217 чел.);</w:t>
      </w:r>
    </w:p>
    <w:p>
      <w:pPr>
        <w:pStyle w:val="31"/>
        <w:tabs>
          <w:tab w:val="clear" w:pos="5529"/>
          <w:tab w:val="left" w:pos="709"/>
        </w:tabs>
        <w:spacing w:before="40"/>
        <w:ind w:right="6" w:firstLine="709"/>
      </w:pPr>
      <w:r>
        <w:rPr>
          <w:bCs/>
          <w:sz w:val="24"/>
          <w:szCs w:val="24"/>
        </w:rPr>
        <w:t>1.3. О</w:t>
      </w:r>
      <w:r>
        <w:rPr>
          <w:sz w:val="24"/>
          <w:szCs w:val="24"/>
        </w:rPr>
        <w:t xml:space="preserve">казание помощи в ремонте жилых помещений гражданам из числа: ветеранов и инвалидов Великой Отечественной войны, бывшим несовершеннолетним узникам концлагерей, вдовам погибших (умерших) участников Великой Отечественной войны, не вступившим в повторный брак, - 2 019,24 тыс.руб., в том числе: </w:t>
      </w:r>
      <w:r>
        <w:rPr>
          <w:bCs/>
          <w:sz w:val="24"/>
          <w:szCs w:val="24"/>
        </w:rPr>
        <w:t>1 009,62 тыс. руб. - средства областного бюджета, 1 009,62 тыс.руб. – средства местного бюджета</w:t>
      </w:r>
      <w:r>
        <w:rPr>
          <w:sz w:val="24"/>
          <w:szCs w:val="24"/>
        </w:rPr>
        <w:t xml:space="preserve"> (44 чел.)</w:t>
      </w:r>
      <w:r>
        <w:rPr>
          <w:bCs/>
          <w:sz w:val="24"/>
          <w:szCs w:val="24"/>
        </w:rPr>
        <w:t>;</w:t>
      </w:r>
    </w:p>
    <w:p>
      <w:pPr>
        <w:shd w:val="clear" w:color="auto" w:fill="FFFFFF"/>
        <w:tabs>
          <w:tab w:val="left" w:pos="709"/>
        </w:tabs>
        <w:spacing w:before="40"/>
        <w:ind w:right="6" w:firstLine="709"/>
        <w:jc w:val="both"/>
        <w:rPr>
          <w:bCs/>
          <w:sz w:val="24"/>
          <w:szCs w:val="24"/>
        </w:rPr>
      </w:pPr>
      <w:r>
        <w:rPr>
          <w:bCs/>
          <w:sz w:val="24"/>
          <w:szCs w:val="24"/>
        </w:rPr>
        <w:t>1.4. Предоставление единовременных денежных выплат отдельным категориям граждан в ознаменование годовщины Дня Победы советского народа в Великой Отечественной войне 1941-1945 годов – 1 099,50 тыс.руб. (521 чел.);</w:t>
      </w:r>
    </w:p>
    <w:p>
      <w:pPr>
        <w:shd w:val="clear" w:color="auto" w:fill="FFFFFF"/>
        <w:tabs>
          <w:tab w:val="left" w:pos="709"/>
        </w:tabs>
        <w:spacing w:before="40"/>
        <w:ind w:right="6" w:firstLine="709"/>
        <w:jc w:val="both"/>
        <w:rPr>
          <w:bCs/>
          <w:sz w:val="24"/>
          <w:szCs w:val="24"/>
        </w:rPr>
      </w:pPr>
      <w:r>
        <w:rPr>
          <w:bCs/>
          <w:sz w:val="24"/>
          <w:szCs w:val="24"/>
        </w:rPr>
        <w:t>1.5. К</w:t>
      </w:r>
      <w:r>
        <w:rPr>
          <w:sz w:val="24"/>
          <w:szCs w:val="24"/>
        </w:rPr>
        <w:t>омпенсация оплаты жилого помещения и коммунальных услуг гражданам, награжденным орденом «Родительская слава»,</w:t>
      </w:r>
      <w:r>
        <w:rPr>
          <w:bCs/>
          <w:sz w:val="24"/>
          <w:szCs w:val="24"/>
        </w:rPr>
        <w:t xml:space="preserve"> - 121,69 тыс. руб. </w:t>
      </w:r>
      <w:r>
        <w:rPr>
          <w:sz w:val="24"/>
          <w:szCs w:val="24"/>
        </w:rPr>
        <w:t>(1 семья)</w:t>
      </w:r>
      <w:r>
        <w:rPr>
          <w:bCs/>
          <w:sz w:val="24"/>
          <w:szCs w:val="24"/>
        </w:rPr>
        <w:t>;</w:t>
      </w:r>
    </w:p>
    <w:p>
      <w:pPr>
        <w:shd w:val="clear" w:color="auto" w:fill="FFFFFF"/>
        <w:tabs>
          <w:tab w:val="left" w:pos="709"/>
        </w:tabs>
        <w:spacing w:before="40"/>
        <w:ind w:right="6" w:firstLine="709"/>
        <w:jc w:val="both"/>
        <w:rPr>
          <w:bCs/>
          <w:sz w:val="24"/>
          <w:szCs w:val="24"/>
          <w:highlight w:val="yellow"/>
        </w:rPr>
      </w:pPr>
      <w:r>
        <w:rPr>
          <w:bCs/>
          <w:sz w:val="24"/>
          <w:szCs w:val="24"/>
        </w:rPr>
        <w:t xml:space="preserve">1.6. Компенсация услуг няни родителям, воспитывающим двух и более одновременно рожденных детей в возрасте до 3 лет, - 72,72 тыс.руб. (1 семья); </w:t>
      </w:r>
    </w:p>
    <w:p>
      <w:pPr>
        <w:shd w:val="clear" w:color="auto" w:fill="FFFFFF"/>
        <w:tabs>
          <w:tab w:val="left" w:pos="709"/>
        </w:tabs>
        <w:spacing w:before="40"/>
        <w:ind w:right="6" w:firstLine="709"/>
        <w:jc w:val="both"/>
        <w:rPr>
          <w:bCs/>
          <w:sz w:val="24"/>
          <w:szCs w:val="24"/>
        </w:rPr>
      </w:pPr>
      <w:r>
        <w:rPr>
          <w:bCs/>
          <w:sz w:val="24"/>
          <w:szCs w:val="24"/>
        </w:rPr>
        <w:t>1.7. Денежная выплата на частичную оплату стоимости помывки в бане пенсионерам, проживающим в квартирах, не оборудованных ванной или душем - 24,24 тыс.руб. (10 чел);</w:t>
      </w:r>
    </w:p>
    <w:p>
      <w:pPr>
        <w:tabs>
          <w:tab w:val="left" w:pos="709"/>
        </w:tabs>
        <w:ind w:firstLine="708"/>
        <w:jc w:val="both"/>
        <w:rPr>
          <w:bCs/>
          <w:sz w:val="24"/>
          <w:szCs w:val="24"/>
        </w:rPr>
      </w:pPr>
      <w:r>
        <w:rPr>
          <w:bCs/>
          <w:sz w:val="24"/>
          <w:szCs w:val="24"/>
        </w:rPr>
        <w:t xml:space="preserve">2. На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 63 611,48 тыс. руб., в том числе: </w:t>
      </w:r>
    </w:p>
    <w:p>
      <w:pPr>
        <w:tabs>
          <w:tab w:val="left" w:pos="709"/>
        </w:tabs>
        <w:ind w:firstLine="708"/>
        <w:jc w:val="both"/>
        <w:rPr>
          <w:bCs/>
          <w:sz w:val="24"/>
          <w:szCs w:val="24"/>
        </w:rPr>
      </w:pPr>
      <w:r>
        <w:rPr>
          <w:bCs/>
          <w:sz w:val="24"/>
          <w:szCs w:val="24"/>
        </w:rPr>
        <w:t>2.1. Осуществление ежемесячной выплаты денежных средств приемным семьям на содержание детей, а также вознаграждения, причитающегося приемным родителям (390 чел.) - 46 275,60 тыс.руб.;</w:t>
      </w:r>
    </w:p>
    <w:p>
      <w:pPr>
        <w:tabs>
          <w:tab w:val="left" w:pos="709"/>
        </w:tabs>
        <w:ind w:firstLine="708"/>
        <w:jc w:val="both"/>
        <w:rPr>
          <w:bCs/>
          <w:sz w:val="24"/>
          <w:szCs w:val="24"/>
        </w:rPr>
      </w:pPr>
      <w:r>
        <w:rPr>
          <w:bCs/>
          <w:sz w:val="24"/>
          <w:szCs w:val="24"/>
        </w:rPr>
        <w:t>2.2. 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(52 чел.) - 6 661,95 тыс.руб.;</w:t>
      </w:r>
    </w:p>
    <w:p>
      <w:pPr>
        <w:tabs>
          <w:tab w:val="left" w:pos="709"/>
        </w:tabs>
        <w:ind w:firstLine="708"/>
        <w:jc w:val="both"/>
        <w:rPr>
          <w:bCs/>
          <w:sz w:val="24"/>
          <w:szCs w:val="24"/>
        </w:rPr>
      </w:pPr>
      <w:r>
        <w:rPr>
          <w:bCs/>
          <w:sz w:val="24"/>
          <w:szCs w:val="24"/>
        </w:rPr>
        <w:t>2.3. Выплаты единовременного пособия при всех формах устройства детей, лишенных родительского попечения, в семью (42 чел.) - 1 350,65 тыс.руб.;</w:t>
      </w:r>
    </w:p>
    <w:p>
      <w:pPr>
        <w:tabs>
          <w:tab w:val="left" w:pos="709"/>
        </w:tabs>
        <w:ind w:firstLine="708"/>
        <w:jc w:val="both"/>
        <w:rPr>
          <w:bCs/>
          <w:sz w:val="24"/>
          <w:szCs w:val="24"/>
        </w:rPr>
      </w:pPr>
      <w:r>
        <w:rPr>
          <w:bCs/>
          <w:sz w:val="24"/>
          <w:szCs w:val="24"/>
        </w:rPr>
        <w:t xml:space="preserve">2.4.  На приобретение жилых помещений детям-сиротам и детям, оставшимся без попечения родителей – 9 234,76 тыс.руб., в том числе: 3 531,09 тыс. руб. - средства федерального бюджета, 5 703,67 тыс.руб.  – средства областного бюджета (7 жилых помещений); </w:t>
      </w:r>
    </w:p>
    <w:p>
      <w:pPr>
        <w:tabs>
          <w:tab w:val="left" w:pos="709"/>
        </w:tabs>
        <w:ind w:firstLine="708"/>
        <w:jc w:val="both"/>
        <w:rPr>
          <w:bCs/>
          <w:sz w:val="24"/>
          <w:szCs w:val="24"/>
        </w:rPr>
      </w:pPr>
      <w:r>
        <w:rPr>
          <w:bCs/>
          <w:sz w:val="24"/>
          <w:szCs w:val="24"/>
        </w:rPr>
        <w:t>2.5. На проведение ремонта жилых помещений, единственным собственником которых являются дети-сироты и дети оставшиеся без попечения родителей – 88,52 тыс.руб. (1 жилое помещение).</w:t>
      </w:r>
    </w:p>
    <w:p>
      <w:pPr>
        <w:tabs>
          <w:tab w:val="left" w:pos="-761"/>
          <w:tab w:val="left" w:pos="709"/>
        </w:tabs>
        <w:ind w:firstLine="708"/>
        <w:jc w:val="both"/>
        <w:rPr>
          <w:sz w:val="24"/>
          <w:szCs w:val="24"/>
        </w:rPr>
      </w:pPr>
      <w:r>
        <w:rPr>
          <w:bCs/>
          <w:sz w:val="24"/>
          <w:szCs w:val="24"/>
        </w:rPr>
        <w:t xml:space="preserve"> 3. На поддержку 11 общественных объединений ЗАТО Северск и проведение мероприятий, посвященных Дням воинской славы, памятным и знаменательным датам России – 5 740,62</w:t>
      </w:r>
      <w:r>
        <w:rPr>
          <w:sz w:val="24"/>
          <w:szCs w:val="24"/>
        </w:rPr>
        <w:t xml:space="preserve"> тыс. руб. </w:t>
      </w:r>
    </w:p>
    <w:p>
      <w:pPr>
        <w:ind w:right="55"/>
        <w:jc w:val="center"/>
        <w:rPr>
          <w:b/>
          <w:bCs/>
          <w:i/>
          <w:sz w:val="24"/>
          <w:szCs w:val="24"/>
        </w:rPr>
      </w:pPr>
      <w:r>
        <w:rPr>
          <w:b/>
          <w:bCs/>
          <w:i/>
          <w:sz w:val="24"/>
          <w:szCs w:val="24"/>
        </w:rPr>
        <w:lastRenderedPageBreak/>
        <w:t xml:space="preserve">4.1.5.7. Муниципальная программа </w:t>
      </w:r>
    </w:p>
    <w:p>
      <w:pPr>
        <w:jc w:val="center"/>
        <w:rPr>
          <w:b/>
          <w:bCs/>
          <w:i/>
          <w:sz w:val="24"/>
          <w:szCs w:val="24"/>
        </w:rPr>
      </w:pPr>
      <w:r>
        <w:rPr>
          <w:b/>
          <w:bCs/>
          <w:i/>
          <w:sz w:val="24"/>
          <w:szCs w:val="24"/>
        </w:rPr>
        <w:t>«Улучшение качественного состояния объектов благоустройства</w:t>
      </w:r>
    </w:p>
    <w:p>
      <w:pPr>
        <w:jc w:val="center"/>
        <w:rPr>
          <w:b/>
          <w:bCs/>
          <w:i/>
          <w:sz w:val="24"/>
          <w:szCs w:val="24"/>
        </w:rPr>
      </w:pPr>
      <w:r>
        <w:rPr>
          <w:b/>
          <w:bCs/>
          <w:i/>
          <w:sz w:val="24"/>
          <w:szCs w:val="24"/>
        </w:rPr>
        <w:t xml:space="preserve"> и озеленения города Северска»</w:t>
      </w:r>
    </w:p>
    <w:p>
      <w:pPr>
        <w:ind w:right="55" w:firstLine="708"/>
        <w:jc w:val="both"/>
        <w:rPr>
          <w:bCs/>
          <w:sz w:val="24"/>
          <w:szCs w:val="24"/>
        </w:rPr>
      </w:pPr>
      <w:r>
        <w:rPr>
          <w:bCs/>
          <w:sz w:val="24"/>
          <w:szCs w:val="24"/>
        </w:rPr>
        <w:t>Программа исполнена в общей сумме 170 948,84 тыс.руб., в том числе ответственным исполнителем УЖКХ ТиС в сумме 107 833,52 тыс. руб., а также участником программы УКС в сумме 63 115,32 тыс.руб.</w:t>
      </w:r>
    </w:p>
    <w:p>
      <w:pPr>
        <w:ind w:right="55" w:firstLine="708"/>
        <w:jc w:val="both"/>
        <w:rPr>
          <w:bCs/>
          <w:sz w:val="24"/>
          <w:szCs w:val="24"/>
        </w:rPr>
      </w:pPr>
      <w:r>
        <w:rPr>
          <w:bCs/>
          <w:sz w:val="24"/>
          <w:szCs w:val="24"/>
        </w:rPr>
        <w:t>Бюджетные ассигнования направлены на:</w:t>
      </w:r>
    </w:p>
    <w:p>
      <w:pPr>
        <w:shd w:val="clear" w:color="auto" w:fill="FFFFFF"/>
        <w:ind w:firstLine="709"/>
        <w:jc w:val="both"/>
        <w:rPr>
          <w:sz w:val="24"/>
          <w:szCs w:val="24"/>
        </w:rPr>
      </w:pPr>
      <w:r>
        <w:rPr>
          <w:bCs/>
          <w:sz w:val="24"/>
          <w:szCs w:val="24"/>
        </w:rPr>
        <w:t>1. Поддержание объектов озеленения в нормативном и эстетически привлекательном состоянии – 17 655,84 тыс.руб. (с</w:t>
      </w:r>
      <w:r>
        <w:rPr>
          <w:sz w:val="24"/>
          <w:szCs w:val="24"/>
        </w:rPr>
        <w:t>несено 837 старовозрастных дерева, выполнена формовочная и омолаживающая обрезка 485 деревьев, текущее содержание объектов озеленения, посадка и содержание цветников (5,657 тыс. м</w:t>
      </w:r>
      <w:r>
        <w:rPr>
          <w:sz w:val="24"/>
          <w:szCs w:val="24"/>
          <w:vertAlign w:val="superscript"/>
        </w:rPr>
        <w:t>2</w:t>
      </w:r>
      <w:r>
        <w:rPr>
          <w:sz w:val="24"/>
          <w:szCs w:val="24"/>
        </w:rPr>
        <w:t>) и выкашивание газонов (104,38 га)</w:t>
      </w:r>
      <w:r>
        <w:rPr>
          <w:bCs/>
          <w:sz w:val="24"/>
          <w:szCs w:val="24"/>
        </w:rPr>
        <w:t>;</w:t>
      </w:r>
    </w:p>
    <w:p>
      <w:pPr>
        <w:ind w:right="55" w:firstLine="708"/>
        <w:jc w:val="both"/>
        <w:rPr>
          <w:bCs/>
          <w:sz w:val="24"/>
          <w:szCs w:val="24"/>
        </w:rPr>
      </w:pPr>
      <w:r>
        <w:rPr>
          <w:bCs/>
          <w:sz w:val="24"/>
          <w:szCs w:val="24"/>
        </w:rPr>
        <w:t>2. Восстановление зеленого фонда – 621,80 тыс.руб. (п</w:t>
      </w:r>
      <w:r>
        <w:rPr>
          <w:sz w:val="24"/>
          <w:szCs w:val="24"/>
        </w:rPr>
        <w:t>осажено 745 саженцев древесно- кустарниковых насаждений)</w:t>
      </w:r>
      <w:r>
        <w:rPr>
          <w:bCs/>
          <w:sz w:val="24"/>
          <w:szCs w:val="24"/>
        </w:rPr>
        <w:t>;</w:t>
      </w:r>
    </w:p>
    <w:p>
      <w:pPr>
        <w:ind w:right="55" w:firstLine="708"/>
        <w:jc w:val="both"/>
        <w:rPr>
          <w:bCs/>
          <w:sz w:val="24"/>
          <w:szCs w:val="24"/>
        </w:rPr>
      </w:pPr>
      <w:r>
        <w:rPr>
          <w:bCs/>
          <w:sz w:val="24"/>
          <w:szCs w:val="24"/>
        </w:rPr>
        <w:t>3. Создание комфортной среды в местах массового посещения – 63 115,32</w:t>
      </w:r>
      <w:r>
        <w:rPr>
          <w:sz w:val="24"/>
          <w:szCs w:val="24"/>
        </w:rPr>
        <w:t> </w:t>
      </w:r>
      <w:r>
        <w:rPr>
          <w:bCs/>
          <w:sz w:val="24"/>
          <w:szCs w:val="24"/>
        </w:rPr>
        <w:t>тыс.руб., в том числе:</w:t>
      </w:r>
    </w:p>
    <w:p>
      <w:pPr>
        <w:ind w:right="55" w:firstLine="708"/>
        <w:jc w:val="both"/>
        <w:rPr>
          <w:sz w:val="24"/>
          <w:szCs w:val="24"/>
        </w:rPr>
      </w:pPr>
      <w:r>
        <w:rPr>
          <w:bCs/>
          <w:sz w:val="24"/>
          <w:szCs w:val="24"/>
        </w:rPr>
        <w:t>3.1. С</w:t>
      </w:r>
      <w:r>
        <w:rPr>
          <w:sz w:val="24"/>
          <w:szCs w:val="24"/>
        </w:rPr>
        <w:t>троительство муниципального общественного кладбища в г. Северске – 63 067,61 тыс.руб.;</w:t>
      </w:r>
    </w:p>
    <w:p>
      <w:pPr>
        <w:ind w:right="55" w:firstLine="708"/>
        <w:jc w:val="both"/>
        <w:rPr>
          <w:sz w:val="24"/>
          <w:szCs w:val="24"/>
        </w:rPr>
      </w:pPr>
      <w:r>
        <w:rPr>
          <w:sz w:val="24"/>
          <w:szCs w:val="24"/>
        </w:rPr>
        <w:t>3.2. Капитальный ремонт благоустройства территории кладбища в г.Северске по адресу: Томская область, г.Северск, ул.Предзаводская, 10а (ПИР) – 47,71 тыс.руб.;</w:t>
      </w:r>
    </w:p>
    <w:p>
      <w:pPr>
        <w:ind w:firstLine="709"/>
        <w:jc w:val="both"/>
        <w:rPr>
          <w:bCs/>
          <w:sz w:val="24"/>
          <w:szCs w:val="24"/>
        </w:rPr>
      </w:pPr>
      <w:r>
        <w:rPr>
          <w:bCs/>
          <w:sz w:val="24"/>
          <w:szCs w:val="24"/>
        </w:rPr>
        <w:t xml:space="preserve">4. Организацию мероприятий по текущему содержанию и ремонту объектов благоустройства города в сумме 54 794,86 тыс.руб., из них: </w:t>
      </w:r>
    </w:p>
    <w:p>
      <w:pPr>
        <w:ind w:firstLine="709"/>
        <w:jc w:val="both"/>
        <w:rPr>
          <w:bCs/>
          <w:sz w:val="24"/>
          <w:szCs w:val="24"/>
        </w:rPr>
      </w:pPr>
      <w:r>
        <w:rPr>
          <w:bCs/>
          <w:sz w:val="24"/>
          <w:szCs w:val="24"/>
        </w:rPr>
        <w:t>4.1. </w:t>
      </w:r>
      <w:r>
        <w:rPr>
          <w:sz w:val="24"/>
          <w:szCs w:val="24"/>
        </w:rPr>
        <w:t>Благоустройство внутриквартальных территорий г. Северска в сумме 29 996,80 тыс.руб.;</w:t>
      </w:r>
    </w:p>
    <w:p>
      <w:pPr>
        <w:pStyle w:val="af8"/>
        <w:tabs>
          <w:tab w:val="left" w:pos="1134"/>
        </w:tabs>
        <w:ind w:left="0" w:firstLine="709"/>
        <w:jc w:val="both"/>
        <w:rPr>
          <w:bCs/>
          <w:sz w:val="24"/>
          <w:szCs w:val="24"/>
        </w:rPr>
      </w:pPr>
      <w:r>
        <w:rPr>
          <w:bCs/>
          <w:sz w:val="24"/>
          <w:szCs w:val="24"/>
        </w:rPr>
        <w:t>4.2. Работы по организации и содержанию мест захоронения на территории ЗАТО Северск – 7 147,40 тыс.руб.;</w:t>
      </w:r>
    </w:p>
    <w:p>
      <w:pPr>
        <w:tabs>
          <w:tab w:val="left" w:pos="1134"/>
        </w:tabs>
        <w:ind w:firstLine="709"/>
        <w:jc w:val="both"/>
        <w:rPr>
          <w:bCs/>
          <w:sz w:val="24"/>
          <w:szCs w:val="24"/>
        </w:rPr>
      </w:pPr>
      <w:r>
        <w:rPr>
          <w:sz w:val="24"/>
          <w:szCs w:val="24"/>
        </w:rPr>
        <w:t>4.3. Работы по праздничному оформлению территории ЗАТО Северск – 5 319,72 тыс.руб.;</w:t>
      </w:r>
    </w:p>
    <w:p>
      <w:pPr>
        <w:ind w:firstLine="709"/>
        <w:jc w:val="both"/>
        <w:rPr>
          <w:bCs/>
          <w:sz w:val="24"/>
          <w:szCs w:val="24"/>
        </w:rPr>
      </w:pPr>
      <w:r>
        <w:rPr>
          <w:bCs/>
          <w:sz w:val="24"/>
          <w:szCs w:val="24"/>
        </w:rPr>
        <w:t>5. Проведение мероприятий для обеспечения безопасных и комфортных условий для проживания на территории города Северска – 3 398,43 тыс.руб., из них:</w:t>
      </w:r>
    </w:p>
    <w:p>
      <w:pPr>
        <w:ind w:firstLine="709"/>
        <w:jc w:val="both"/>
        <w:rPr>
          <w:bCs/>
          <w:sz w:val="24"/>
          <w:szCs w:val="24"/>
        </w:rPr>
      </w:pPr>
      <w:r>
        <w:rPr>
          <w:bCs/>
          <w:sz w:val="24"/>
          <w:szCs w:val="24"/>
        </w:rPr>
        <w:t>5.1. </w:t>
      </w:r>
      <w:r>
        <w:rPr>
          <w:sz w:val="24"/>
          <w:szCs w:val="24"/>
        </w:rPr>
        <w:t>Отлов и размещение в пунктах временного содержания отловленных безнадзорных животных – 2 621,61 тыс.руб.;</w:t>
      </w:r>
    </w:p>
    <w:p>
      <w:pPr>
        <w:ind w:firstLine="709"/>
        <w:jc w:val="both"/>
        <w:rPr>
          <w:bCs/>
          <w:sz w:val="24"/>
          <w:szCs w:val="24"/>
        </w:rPr>
      </w:pPr>
      <w:r>
        <w:rPr>
          <w:bCs/>
          <w:sz w:val="24"/>
          <w:szCs w:val="24"/>
        </w:rPr>
        <w:t>5.2. Противоклещевая обработка и дератизация территории г.Северска – 599,72 тыс.руб. Площадь обработанной территории 138,1 га.</w:t>
      </w:r>
    </w:p>
    <w:p>
      <w:pPr>
        <w:ind w:firstLine="709"/>
        <w:jc w:val="both"/>
        <w:rPr>
          <w:bCs/>
          <w:sz w:val="24"/>
          <w:szCs w:val="24"/>
        </w:rPr>
      </w:pPr>
      <w:r>
        <w:rPr>
          <w:bCs/>
          <w:sz w:val="24"/>
          <w:szCs w:val="24"/>
        </w:rPr>
        <w:t>6. Обеспечение деятельности ответственного исполнителя программы (УЖКХ ТиС)  - 31 362,59 тыс.руб.</w:t>
      </w:r>
    </w:p>
    <w:p/>
    <w:p>
      <w:pPr>
        <w:ind w:right="55"/>
        <w:jc w:val="center"/>
        <w:rPr>
          <w:highlight w:val="yellow"/>
        </w:rPr>
      </w:pPr>
    </w:p>
    <w:p>
      <w:pPr>
        <w:ind w:right="55"/>
        <w:jc w:val="center"/>
        <w:rPr>
          <w:b/>
          <w:bCs/>
          <w:i/>
          <w:sz w:val="24"/>
          <w:szCs w:val="24"/>
        </w:rPr>
      </w:pPr>
      <w:r>
        <w:rPr>
          <w:b/>
          <w:bCs/>
          <w:i/>
          <w:sz w:val="24"/>
          <w:szCs w:val="24"/>
        </w:rPr>
        <w:t xml:space="preserve">4.1.5.8. Муниципальная программа </w:t>
      </w:r>
    </w:p>
    <w:p>
      <w:pPr>
        <w:ind w:right="57"/>
        <w:jc w:val="center"/>
        <w:rPr>
          <w:b/>
          <w:bCs/>
          <w:i/>
          <w:sz w:val="24"/>
          <w:szCs w:val="24"/>
        </w:rPr>
      </w:pPr>
      <w:r>
        <w:rPr>
          <w:b/>
          <w:bCs/>
          <w:i/>
          <w:sz w:val="24"/>
          <w:szCs w:val="24"/>
        </w:rPr>
        <w:t xml:space="preserve">«Дорожная деятельность и транспортное обслуживание </w:t>
      </w:r>
    </w:p>
    <w:p>
      <w:pPr>
        <w:ind w:right="57"/>
        <w:jc w:val="center"/>
        <w:rPr>
          <w:b/>
          <w:bCs/>
          <w:i/>
          <w:sz w:val="24"/>
          <w:szCs w:val="24"/>
        </w:rPr>
      </w:pPr>
      <w:r>
        <w:rPr>
          <w:b/>
          <w:bCs/>
          <w:i/>
          <w:sz w:val="24"/>
          <w:szCs w:val="24"/>
        </w:rPr>
        <w:t>на территории ЗАТО Северск»</w:t>
      </w:r>
    </w:p>
    <w:p>
      <w:pPr>
        <w:ind w:right="55" w:firstLine="708"/>
        <w:jc w:val="both"/>
        <w:rPr>
          <w:bCs/>
          <w:sz w:val="24"/>
          <w:szCs w:val="24"/>
        </w:rPr>
      </w:pPr>
      <w:r>
        <w:rPr>
          <w:bCs/>
          <w:sz w:val="24"/>
          <w:szCs w:val="24"/>
        </w:rPr>
        <w:t>Программа исполнена в общей сумме 479 126,16 тыс.руб., в том числе ответственным исполнителем УЖКХ ТиС в сумме 290 416,52 тыс. руб., а также участником программы УКС в сумме 186 091,58 тыс.руб., УВГТ в сумме 2 568,84 тыс.руб. и УО - 49,22 тыс.руб.</w:t>
      </w:r>
    </w:p>
    <w:p>
      <w:pPr>
        <w:ind w:right="55" w:firstLine="708"/>
        <w:jc w:val="both"/>
        <w:rPr>
          <w:bCs/>
          <w:sz w:val="24"/>
          <w:szCs w:val="24"/>
        </w:rPr>
      </w:pPr>
      <w:r>
        <w:rPr>
          <w:bCs/>
          <w:sz w:val="24"/>
          <w:szCs w:val="24"/>
        </w:rPr>
        <w:t>Бюджетные ассигнования направлены на:</w:t>
      </w:r>
    </w:p>
    <w:p>
      <w:pPr>
        <w:ind w:firstLine="709"/>
        <w:jc w:val="both"/>
        <w:rPr>
          <w:bCs/>
          <w:sz w:val="24"/>
          <w:szCs w:val="24"/>
          <w:highlight w:val="yellow"/>
        </w:rPr>
      </w:pPr>
      <w:r>
        <w:rPr>
          <w:bCs/>
          <w:sz w:val="24"/>
          <w:szCs w:val="24"/>
        </w:rPr>
        <w:t>- участие в региональном проекте «Дорожная сеть» в сумме 160 000,00 тыс.руб.</w:t>
      </w:r>
    </w:p>
    <w:p>
      <w:pPr>
        <w:ind w:firstLine="709"/>
        <w:jc w:val="both"/>
        <w:rPr>
          <w:bCs/>
          <w:sz w:val="24"/>
          <w:szCs w:val="24"/>
          <w:highlight w:val="yellow"/>
        </w:rPr>
      </w:pPr>
      <w:r>
        <w:rPr>
          <w:bCs/>
          <w:sz w:val="24"/>
          <w:szCs w:val="24"/>
        </w:rPr>
        <w:t>- строительство и ремонт объектов улично-дорожной сети - 1 361,13 тыс.руб.</w:t>
      </w:r>
    </w:p>
    <w:p>
      <w:pPr>
        <w:ind w:right="55" w:firstLine="708"/>
        <w:jc w:val="both"/>
        <w:rPr>
          <w:bCs/>
          <w:sz w:val="24"/>
          <w:szCs w:val="24"/>
        </w:rPr>
      </w:pPr>
      <w:r>
        <w:rPr>
          <w:bCs/>
          <w:sz w:val="24"/>
          <w:szCs w:val="24"/>
        </w:rPr>
        <w:t>-организацию транспортного обслуживания населения автомобильным транспортом по муниципальным маршрутам регулярных перевозок - 44 773,28 тыс.руб.;</w:t>
      </w:r>
    </w:p>
    <w:p>
      <w:pPr>
        <w:ind w:right="55" w:firstLine="708"/>
        <w:jc w:val="both"/>
        <w:rPr>
          <w:bCs/>
          <w:sz w:val="24"/>
          <w:szCs w:val="24"/>
          <w:highlight w:val="yellow"/>
        </w:rPr>
      </w:pPr>
      <w:r>
        <w:rPr>
          <w:bCs/>
          <w:sz w:val="24"/>
          <w:szCs w:val="24"/>
        </w:rPr>
        <w:t>- устройство и ремонт остановок общественного транспорта - 150, 00 тыс.руб.;</w:t>
      </w:r>
    </w:p>
    <w:p>
      <w:pPr>
        <w:ind w:right="55" w:firstLine="708"/>
        <w:jc w:val="both"/>
        <w:rPr>
          <w:bCs/>
          <w:sz w:val="24"/>
          <w:szCs w:val="24"/>
          <w:highlight w:val="yellow"/>
        </w:rPr>
      </w:pPr>
      <w:r>
        <w:rPr>
          <w:bCs/>
          <w:sz w:val="24"/>
          <w:szCs w:val="24"/>
        </w:rPr>
        <w:t>- организацию мероприятий по техническому обслуживанию и текущему содержанию технических средств организации дорожного движения - 1 837,60 тыс.руб.;</w:t>
      </w:r>
    </w:p>
    <w:p>
      <w:pPr>
        <w:ind w:right="55" w:firstLine="708"/>
        <w:jc w:val="both"/>
        <w:rPr>
          <w:bCs/>
          <w:sz w:val="24"/>
          <w:szCs w:val="24"/>
        </w:rPr>
      </w:pPr>
      <w:r>
        <w:rPr>
          <w:bCs/>
          <w:sz w:val="24"/>
          <w:szCs w:val="24"/>
        </w:rPr>
        <w:lastRenderedPageBreak/>
        <w:t>- приведение объектов муниципальной собственности в соответствие с требованиями нормативных стандартов в части безопасности дорожного движения                   11 502,61 тыс.руб.;</w:t>
      </w:r>
    </w:p>
    <w:p>
      <w:pPr>
        <w:ind w:right="55" w:firstLine="708"/>
        <w:jc w:val="both"/>
        <w:rPr>
          <w:bCs/>
          <w:sz w:val="24"/>
          <w:szCs w:val="24"/>
        </w:rPr>
      </w:pPr>
      <w:r>
        <w:rPr>
          <w:bCs/>
          <w:sz w:val="24"/>
          <w:szCs w:val="24"/>
        </w:rPr>
        <w:t xml:space="preserve">- приведение объектов муниципальной собственности в соответствие с требованиями нормативных стандартов в части безопасности дорожного движения </w:t>
      </w:r>
      <w:r>
        <w:rPr>
          <w:bCs/>
          <w:sz w:val="24"/>
          <w:szCs w:val="24"/>
        </w:rPr>
        <w:br/>
        <w:t>2 568,84 тыс.руб.;</w:t>
      </w:r>
    </w:p>
    <w:p>
      <w:pPr>
        <w:ind w:right="55" w:firstLine="708"/>
        <w:jc w:val="both"/>
        <w:rPr>
          <w:bCs/>
          <w:sz w:val="24"/>
          <w:szCs w:val="24"/>
          <w:highlight w:val="yellow"/>
        </w:rPr>
      </w:pPr>
      <w:r>
        <w:rPr>
          <w:bCs/>
          <w:sz w:val="24"/>
          <w:szCs w:val="24"/>
        </w:rPr>
        <w:t>- оснащение детских учреждений специализированными элементами дорожного обустройства и обучение - 49,22 тыс.руб.;</w:t>
      </w:r>
    </w:p>
    <w:p>
      <w:pPr>
        <w:tabs>
          <w:tab w:val="left" w:pos="1134"/>
        </w:tabs>
        <w:ind w:firstLine="709"/>
        <w:jc w:val="both"/>
        <w:rPr>
          <w:bCs/>
          <w:sz w:val="24"/>
          <w:szCs w:val="24"/>
        </w:rPr>
      </w:pPr>
      <w:r>
        <w:rPr>
          <w:bCs/>
          <w:sz w:val="24"/>
          <w:szCs w:val="24"/>
        </w:rPr>
        <w:t xml:space="preserve">- обеспечение деятельности ответственного исполнителя программы (УКС) </w:t>
      </w:r>
      <w:r>
        <w:rPr>
          <w:bCs/>
          <w:sz w:val="24"/>
          <w:szCs w:val="24"/>
        </w:rPr>
        <w:br/>
        <w:t>- 25 570,21 тыс.руб.;</w:t>
      </w:r>
    </w:p>
    <w:p>
      <w:pPr>
        <w:tabs>
          <w:tab w:val="left" w:pos="1134"/>
        </w:tabs>
        <w:ind w:firstLine="709"/>
        <w:jc w:val="both"/>
        <w:rPr>
          <w:bCs/>
          <w:sz w:val="24"/>
          <w:szCs w:val="24"/>
        </w:rPr>
      </w:pPr>
      <w:r>
        <w:rPr>
          <w:bCs/>
          <w:sz w:val="24"/>
          <w:szCs w:val="24"/>
        </w:rPr>
        <w:t xml:space="preserve">- обеспечение деятельности МКУ «Технический центр» </w:t>
      </w:r>
      <w:r>
        <w:rPr>
          <w:bCs/>
          <w:sz w:val="24"/>
          <w:szCs w:val="24"/>
        </w:rPr>
        <w:br/>
        <w:t>- 38 492,44 тыс.руб.;</w:t>
      </w:r>
    </w:p>
    <w:p>
      <w:pPr>
        <w:tabs>
          <w:tab w:val="left" w:pos="1134"/>
        </w:tabs>
        <w:ind w:firstLine="709"/>
        <w:jc w:val="both"/>
        <w:rPr>
          <w:bCs/>
          <w:sz w:val="24"/>
          <w:szCs w:val="24"/>
        </w:rPr>
      </w:pPr>
    </w:p>
    <w:p>
      <w:pPr>
        <w:ind w:firstLine="709"/>
        <w:jc w:val="center"/>
        <w:rPr>
          <w:b/>
          <w:bCs/>
          <w:i/>
          <w:sz w:val="24"/>
          <w:szCs w:val="24"/>
          <w:highlight w:val="yellow"/>
        </w:rPr>
      </w:pPr>
    </w:p>
    <w:p>
      <w:pPr>
        <w:ind w:right="55"/>
        <w:jc w:val="center"/>
        <w:rPr>
          <w:b/>
          <w:bCs/>
          <w:i/>
          <w:sz w:val="24"/>
          <w:szCs w:val="24"/>
        </w:rPr>
      </w:pPr>
      <w:r>
        <w:rPr>
          <w:b/>
          <w:bCs/>
          <w:i/>
          <w:sz w:val="24"/>
          <w:szCs w:val="24"/>
        </w:rPr>
        <w:t>4.1.5.9. Муниципальная программа</w:t>
      </w:r>
    </w:p>
    <w:p>
      <w:pPr>
        <w:spacing w:after="120"/>
        <w:ind w:right="57"/>
        <w:jc w:val="center"/>
        <w:rPr>
          <w:b/>
          <w:bCs/>
          <w:i/>
          <w:sz w:val="24"/>
          <w:szCs w:val="24"/>
        </w:rPr>
      </w:pPr>
      <w:r>
        <w:rPr>
          <w:b/>
          <w:bCs/>
          <w:i/>
          <w:sz w:val="24"/>
          <w:szCs w:val="24"/>
        </w:rPr>
        <w:t>«Повышение энергоэффективности в ЗАТО Северск»</w:t>
      </w:r>
    </w:p>
    <w:p>
      <w:pPr>
        <w:ind w:right="55" w:firstLine="708"/>
        <w:jc w:val="both"/>
        <w:rPr>
          <w:bCs/>
          <w:sz w:val="24"/>
          <w:szCs w:val="24"/>
        </w:rPr>
      </w:pPr>
      <w:r>
        <w:rPr>
          <w:bCs/>
          <w:sz w:val="24"/>
          <w:szCs w:val="24"/>
        </w:rPr>
        <w:t xml:space="preserve">Программа исполнена в общей сумме 44 123,37 тыс.руб., в том числе ответственными исполнителями УЖКХ ТиС в сумме 37 470,77 тыс.руб. и УКС в сумме 6 652,60 тыс.руб. </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Энергосбережение в жилищном фонде – 2 166,79 тыс.руб.</w:t>
      </w:r>
      <w:r>
        <w:t xml:space="preserve"> (</w:t>
      </w:r>
      <w:r>
        <w:rPr>
          <w:bCs/>
          <w:sz w:val="24"/>
          <w:szCs w:val="24"/>
        </w:rPr>
        <w:t>выполнены работы по установке индивидуальных приборов учета энергоресурсов в сумме 854,75 тыс.руб. и произведена оплата повышающего коэффициента к нормативу потребления коммунальных услуг в сумме 1 312,04 тыс.руб.);</w:t>
      </w:r>
    </w:p>
    <w:p>
      <w:pPr>
        <w:ind w:right="55" w:firstLine="708"/>
        <w:jc w:val="both"/>
        <w:rPr>
          <w:bCs/>
          <w:sz w:val="24"/>
          <w:szCs w:val="24"/>
        </w:rPr>
      </w:pPr>
      <w:r>
        <w:rPr>
          <w:bCs/>
          <w:sz w:val="24"/>
          <w:szCs w:val="24"/>
        </w:rPr>
        <w:t xml:space="preserve">2. Энергосбережение в коммунальной сфере и благоустройстве – 41 956,58 тыс.руб., из них: </w:t>
      </w:r>
    </w:p>
    <w:p>
      <w:pPr>
        <w:pStyle w:val="af8"/>
        <w:numPr>
          <w:ilvl w:val="1"/>
          <w:numId w:val="37"/>
        </w:numPr>
        <w:tabs>
          <w:tab w:val="left" w:pos="1134"/>
        </w:tabs>
        <w:ind w:left="0" w:firstLine="709"/>
        <w:jc w:val="both"/>
        <w:rPr>
          <w:bCs/>
          <w:sz w:val="24"/>
          <w:szCs w:val="24"/>
        </w:rPr>
      </w:pPr>
      <w:r>
        <w:rPr>
          <w:bCs/>
          <w:sz w:val="24"/>
          <w:szCs w:val="24"/>
        </w:rPr>
        <w:t xml:space="preserve"> Организацию уличного освещения и текущего содержания электрооборудования объектов благоустройства и объектов дорожного обустройства ЗАТО Северск – 35 087,56 тыс. руб.;</w:t>
      </w:r>
    </w:p>
    <w:p>
      <w:pPr>
        <w:pStyle w:val="af8"/>
        <w:numPr>
          <w:ilvl w:val="1"/>
          <w:numId w:val="37"/>
        </w:numPr>
        <w:tabs>
          <w:tab w:val="left" w:pos="1134"/>
        </w:tabs>
        <w:ind w:left="0" w:firstLine="709"/>
        <w:jc w:val="both"/>
        <w:rPr>
          <w:bCs/>
          <w:sz w:val="24"/>
          <w:szCs w:val="24"/>
        </w:rPr>
      </w:pPr>
      <w:r>
        <w:rPr>
          <w:bCs/>
          <w:sz w:val="24"/>
          <w:szCs w:val="24"/>
        </w:rPr>
        <w:t xml:space="preserve"> Модернизацию уличного освещения, освещение пешеходных переходов, праздничную иллюминацию, архитектурное освещение объектов городской среды – 216,42 тыс. руб.;</w:t>
      </w:r>
    </w:p>
    <w:p>
      <w:pPr>
        <w:pStyle w:val="af8"/>
        <w:tabs>
          <w:tab w:val="left" w:pos="1134"/>
        </w:tabs>
        <w:ind w:left="0" w:firstLine="709"/>
        <w:jc w:val="both"/>
        <w:rPr>
          <w:bCs/>
          <w:sz w:val="24"/>
          <w:szCs w:val="24"/>
        </w:rPr>
      </w:pPr>
      <w:r>
        <w:rPr>
          <w:bCs/>
          <w:sz w:val="24"/>
          <w:szCs w:val="24"/>
        </w:rPr>
        <w:t>2.3. Строительство сетей газоснабжения от ГРС к участкам территории опережающего социально-экономического развития «Северск» – 6 652,60 тыс.руб. (ПИР).</w:t>
      </w:r>
    </w:p>
    <w:p>
      <w:pPr>
        <w:tabs>
          <w:tab w:val="left" w:pos="1134"/>
        </w:tabs>
        <w:ind w:right="55"/>
        <w:jc w:val="both"/>
        <w:rPr>
          <w:bCs/>
          <w:sz w:val="24"/>
          <w:szCs w:val="24"/>
        </w:rPr>
      </w:pPr>
    </w:p>
    <w:p>
      <w:pPr>
        <w:ind w:right="55"/>
        <w:jc w:val="center"/>
        <w:rPr>
          <w:b/>
          <w:bCs/>
          <w:i/>
          <w:sz w:val="24"/>
          <w:szCs w:val="24"/>
        </w:rPr>
      </w:pPr>
      <w:r>
        <w:rPr>
          <w:b/>
          <w:bCs/>
          <w:i/>
          <w:sz w:val="24"/>
          <w:szCs w:val="24"/>
        </w:rPr>
        <w:t>4.1.5.10. Муниципальная программа</w:t>
      </w:r>
    </w:p>
    <w:p>
      <w:pPr>
        <w:spacing w:after="120"/>
        <w:ind w:right="57"/>
        <w:jc w:val="center"/>
        <w:rPr>
          <w:b/>
          <w:bCs/>
          <w:i/>
          <w:sz w:val="24"/>
          <w:szCs w:val="24"/>
        </w:rPr>
      </w:pPr>
      <w:r>
        <w:rPr>
          <w:b/>
          <w:bCs/>
          <w:i/>
          <w:sz w:val="24"/>
          <w:szCs w:val="24"/>
        </w:rPr>
        <w:t>«Обеспечение доступным и комфортным жильем граждан ЗАТО Северск»</w:t>
      </w:r>
    </w:p>
    <w:p>
      <w:pPr>
        <w:ind w:right="55" w:firstLine="708"/>
        <w:jc w:val="both"/>
        <w:rPr>
          <w:bCs/>
          <w:sz w:val="24"/>
          <w:szCs w:val="24"/>
        </w:rPr>
      </w:pPr>
      <w:r>
        <w:rPr>
          <w:bCs/>
          <w:sz w:val="24"/>
          <w:szCs w:val="24"/>
        </w:rPr>
        <w:t>Программа исполнена ответственным исполнителем УЖКХ ТиС в сумме 20 585,83 тыс.руб.</w:t>
      </w:r>
    </w:p>
    <w:p>
      <w:pPr>
        <w:ind w:right="55" w:firstLine="708"/>
        <w:jc w:val="both"/>
        <w:rPr>
          <w:bCs/>
          <w:sz w:val="24"/>
          <w:szCs w:val="24"/>
        </w:rPr>
      </w:pPr>
      <w:r>
        <w:rPr>
          <w:bCs/>
          <w:sz w:val="24"/>
          <w:szCs w:val="24"/>
        </w:rPr>
        <w:t>Бюджетные ассигнования направлены на:</w:t>
      </w:r>
    </w:p>
    <w:p>
      <w:pPr>
        <w:ind w:firstLine="709"/>
        <w:jc w:val="both"/>
      </w:pPr>
      <w:r>
        <w:rPr>
          <w:bCs/>
          <w:sz w:val="24"/>
          <w:szCs w:val="24"/>
        </w:rPr>
        <w:t>1. Финансовое обеспечение капитального ремонта общего имущества в многоквартирных домах ЗАТО Северск в части муниципального жилищного фонда – 10 384,32 тыс.руб.</w:t>
      </w:r>
      <w:r>
        <w:t xml:space="preserve"> </w:t>
      </w:r>
    </w:p>
    <w:p>
      <w:pPr>
        <w:ind w:firstLine="709"/>
        <w:jc w:val="both"/>
        <w:rPr>
          <w:bCs/>
          <w:sz w:val="24"/>
          <w:szCs w:val="24"/>
        </w:rPr>
      </w:pPr>
      <w:r>
        <w:rPr>
          <w:sz w:val="24"/>
          <w:szCs w:val="24"/>
        </w:rPr>
        <w:t>Справочно. З</w:t>
      </w:r>
      <w:r>
        <w:rPr>
          <w:bCs/>
          <w:sz w:val="24"/>
          <w:szCs w:val="24"/>
        </w:rPr>
        <w:t>а счет средств Фонда капитального ремонта на территории ЗАТО Северск выполнены работы (оказано услуг) по капитальному ремонту 53 домов: завершены СМР 25 домов (из них выполнен капитальный ремонт кровли на 8 домах, осуществлена замена 21 лифта в 8 домах)</w:t>
      </w:r>
      <w:r>
        <w:rPr>
          <w:bCs/>
          <w:sz w:val="24"/>
          <w:szCs w:val="24"/>
          <w:shd w:val="clear" w:color="auto" w:fill="FFFFFF"/>
        </w:rPr>
        <w:t>,</w:t>
      </w:r>
      <w:r>
        <w:rPr>
          <w:bCs/>
          <w:sz w:val="24"/>
          <w:szCs w:val="24"/>
        </w:rPr>
        <w:t> выполнены ПСД 17 домов, выполнены и СМР и ПСД 11 домов;</w:t>
      </w:r>
    </w:p>
    <w:p>
      <w:pPr>
        <w:ind w:right="55" w:firstLine="708"/>
        <w:jc w:val="both"/>
        <w:rPr>
          <w:bCs/>
          <w:sz w:val="24"/>
          <w:szCs w:val="24"/>
        </w:rPr>
      </w:pPr>
      <w:r>
        <w:rPr>
          <w:bCs/>
          <w:sz w:val="24"/>
          <w:szCs w:val="24"/>
        </w:rPr>
        <w:t>2. Реализацию проекта «Губернаторская ипотека» на территории Томской области» - 369,42 тыс. руб., в том числе: за счет средств областного бюджета в сумме         246,28 тыс.руб., за счет средств местного бюджета в сумме 123,14 тыс. руб. П</w:t>
      </w:r>
      <w:r>
        <w:rPr>
          <w:sz w:val="24"/>
          <w:szCs w:val="24"/>
        </w:rPr>
        <w:t>редоставлены социальные выплаты на частичную оплату первоначального взноса по ипотечным жилищным кредитам, взятым на приобретение вновь построенного жилья у застройщика (ТДСК) по договорам купли-продажи 2 заявителям</w:t>
      </w:r>
      <w:r>
        <w:rPr>
          <w:bCs/>
          <w:sz w:val="24"/>
          <w:szCs w:val="24"/>
        </w:rPr>
        <w:t>;  </w:t>
      </w:r>
    </w:p>
    <w:p>
      <w:pPr>
        <w:ind w:right="55" w:firstLine="708"/>
        <w:jc w:val="both"/>
        <w:rPr>
          <w:bCs/>
          <w:sz w:val="24"/>
          <w:szCs w:val="24"/>
        </w:rPr>
      </w:pPr>
      <w:r>
        <w:rPr>
          <w:bCs/>
          <w:sz w:val="24"/>
          <w:szCs w:val="24"/>
        </w:rPr>
        <w:lastRenderedPageBreak/>
        <w:t>3. Капитальный и текущий ремонт муниципального жилищного фонда в ЗАТО Северск – 3 463,86 тыс.руб. Капитальный ремонт выполнен в 21 жилом помещении, текущий ремонт – в 5 жилых помещениях;</w:t>
      </w:r>
    </w:p>
    <w:p>
      <w:pPr>
        <w:ind w:right="55" w:firstLine="708"/>
        <w:jc w:val="both"/>
        <w:rPr>
          <w:bCs/>
          <w:sz w:val="24"/>
          <w:szCs w:val="24"/>
        </w:rPr>
      </w:pPr>
      <w:r>
        <w:rPr>
          <w:bCs/>
          <w:sz w:val="24"/>
          <w:szCs w:val="24"/>
        </w:rPr>
        <w:t>4. Оплату расходов по 6 договорам пожизненной ренты – 1 214,87 тыс. руб.;</w:t>
      </w:r>
    </w:p>
    <w:p>
      <w:pPr>
        <w:ind w:right="55" w:firstLine="708"/>
        <w:jc w:val="both"/>
        <w:rPr>
          <w:bCs/>
          <w:sz w:val="24"/>
          <w:szCs w:val="24"/>
        </w:rPr>
      </w:pPr>
      <w:r>
        <w:rPr>
          <w:bCs/>
          <w:sz w:val="24"/>
          <w:szCs w:val="24"/>
        </w:rPr>
        <w:t>5. Организацию и обеспечение деятельности ТОС – 637,44 тыс. руб. Субсидии предоставлены НО ТОС «Микрорайон Иглаково» на организацию и проведение 12 мероприятий по благоустройству микрорайона территории ТОС;</w:t>
      </w:r>
    </w:p>
    <w:p>
      <w:pPr>
        <w:ind w:right="55" w:firstLine="708"/>
        <w:jc w:val="both"/>
        <w:rPr>
          <w:bCs/>
          <w:sz w:val="24"/>
          <w:szCs w:val="24"/>
        </w:rPr>
      </w:pPr>
      <w:r>
        <w:rPr>
          <w:bCs/>
          <w:sz w:val="24"/>
          <w:szCs w:val="24"/>
        </w:rPr>
        <w:t>6. Содержание 94 жилых помещений до заселения муниципального жилищного фонда ЗАТО Северск - 3 730,60 тыс. руб.;</w:t>
      </w:r>
    </w:p>
    <w:p>
      <w:pPr>
        <w:ind w:right="55" w:firstLine="708"/>
        <w:jc w:val="both"/>
        <w:rPr>
          <w:bCs/>
          <w:sz w:val="24"/>
          <w:szCs w:val="24"/>
        </w:rPr>
      </w:pPr>
      <w:r>
        <w:rPr>
          <w:bCs/>
          <w:sz w:val="24"/>
          <w:szCs w:val="24"/>
        </w:rPr>
        <w:t>7. Организацию оценки недвижимости и регистрации права собственности на жилые помещения жилищного фонда ЗАТО Северск – 135,12 тыс. руб. Изготовлено 12 техпаспортов на жилые помещения муниципального жилфонда, необходимых для передачи в собственность гражданам;</w:t>
      </w:r>
    </w:p>
    <w:p>
      <w:pPr>
        <w:ind w:right="55" w:firstLine="708"/>
        <w:jc w:val="both"/>
        <w:rPr>
          <w:bCs/>
          <w:sz w:val="24"/>
          <w:szCs w:val="24"/>
        </w:rPr>
      </w:pPr>
      <w:r>
        <w:rPr>
          <w:bCs/>
          <w:sz w:val="24"/>
          <w:szCs w:val="24"/>
        </w:rPr>
        <w:t>8. Обследование технического состояния 4 многоквартирных домов – 600,00 тыс.руб. Признаны аварийными и подлежащими сносу дома в пос.Самусь: ул.Гагарина,8, ул.Гагарина,9 и ул.50 Лет Октября,3;</w:t>
      </w:r>
    </w:p>
    <w:p>
      <w:pPr>
        <w:ind w:right="55" w:firstLine="708"/>
        <w:jc w:val="both"/>
        <w:rPr>
          <w:bCs/>
          <w:sz w:val="24"/>
          <w:szCs w:val="24"/>
        </w:rPr>
      </w:pPr>
      <w:r>
        <w:rPr>
          <w:bCs/>
          <w:sz w:val="24"/>
          <w:szCs w:val="24"/>
        </w:rPr>
        <w:t>9.  Изготовление и установка пандусов и поручней в жилых домах – 50,20 тыс.руб.</w:t>
      </w:r>
    </w:p>
    <w:p>
      <w:pPr>
        <w:ind w:right="55"/>
        <w:jc w:val="center"/>
        <w:rPr>
          <w:b/>
          <w:bCs/>
          <w:i/>
          <w:sz w:val="24"/>
          <w:szCs w:val="24"/>
        </w:rPr>
      </w:pPr>
    </w:p>
    <w:p>
      <w:pPr>
        <w:ind w:right="55"/>
        <w:jc w:val="center"/>
        <w:rPr>
          <w:b/>
          <w:bCs/>
          <w:i/>
          <w:sz w:val="24"/>
          <w:szCs w:val="24"/>
        </w:rPr>
      </w:pPr>
      <w:r>
        <w:rPr>
          <w:b/>
          <w:bCs/>
          <w:i/>
          <w:sz w:val="24"/>
          <w:szCs w:val="24"/>
        </w:rPr>
        <w:t>4.1.5.11. Муниципальная программа</w:t>
      </w:r>
    </w:p>
    <w:p>
      <w:pPr>
        <w:spacing w:after="120"/>
        <w:ind w:right="57"/>
        <w:jc w:val="center"/>
        <w:rPr>
          <w:b/>
          <w:bCs/>
          <w:i/>
          <w:sz w:val="24"/>
          <w:szCs w:val="24"/>
        </w:rPr>
      </w:pPr>
      <w:r>
        <w:rPr>
          <w:b/>
          <w:bCs/>
          <w:i/>
          <w:sz w:val="24"/>
          <w:szCs w:val="24"/>
        </w:rPr>
        <w:t>«Улучшение жизнедеятельности внегородских территорий ЗАТО Северск»</w:t>
      </w:r>
    </w:p>
    <w:p>
      <w:pPr>
        <w:ind w:right="55" w:firstLine="708"/>
        <w:jc w:val="both"/>
        <w:rPr>
          <w:bCs/>
          <w:sz w:val="24"/>
          <w:szCs w:val="24"/>
        </w:rPr>
      </w:pPr>
      <w:r>
        <w:rPr>
          <w:bCs/>
          <w:sz w:val="24"/>
          <w:szCs w:val="24"/>
        </w:rPr>
        <w:t xml:space="preserve">Программа исполнена ответственным исполнителем УВГТ в сумме                        </w:t>
      </w:r>
      <w:r>
        <w:rPr>
          <w:sz w:val="24"/>
          <w:szCs w:val="24"/>
        </w:rPr>
        <w:t>75 965,29</w:t>
      </w:r>
      <w:r>
        <w:rPr>
          <w:bCs/>
          <w:sz w:val="24"/>
          <w:szCs w:val="24"/>
        </w:rPr>
        <w:t> тыс.руб.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 xml:space="preserve">1. Содержание и ремонт улично-дорожной сети внегородских территорий – 12 836,29 тыс. руб. Выполнены работы по текущему ремонту </w:t>
      </w:r>
      <w:r>
        <w:rPr>
          <w:sz w:val="24"/>
          <w:szCs w:val="24"/>
        </w:rPr>
        <w:t>асфальтобетонного покрытия автомобильных дорог площадью 3 656 кв.м. на сумму 4 084,69 тыс. руб.; осуществлено содержание улиц, дорог и тротуаров внегородских территорий протяженностью 99,6 км. дорог на общую сумму 8 045,16 тыс. руб.; осуществлено содержание технических средств организации дорожного движения внегородских территорий в количестве 421 знака на сумму 706,44 тыс. руб.;</w:t>
      </w:r>
    </w:p>
    <w:p>
      <w:pPr>
        <w:ind w:right="55" w:firstLine="708"/>
        <w:jc w:val="both"/>
        <w:rPr>
          <w:bCs/>
          <w:sz w:val="24"/>
          <w:szCs w:val="24"/>
        </w:rPr>
      </w:pPr>
      <w:r>
        <w:rPr>
          <w:bCs/>
          <w:sz w:val="24"/>
          <w:szCs w:val="24"/>
        </w:rPr>
        <w:t>2. Благоустройство внегородских территорий - 3 760,01 тыс.руб. О</w:t>
      </w:r>
      <w:r>
        <w:rPr>
          <w:sz w:val="24"/>
          <w:szCs w:val="24"/>
        </w:rPr>
        <w:t>существлено содержание внутриквартальных внегородских территорий площадью 316 670 кв.м., обеспечено питьевой водой при отсутствии центрального водоснабжения 8 жителей д.Семиозерки; ликвидировано 1 187 куб.м. свалок мусора; выполнена противоклещевая обработка территории на площади 27,18 га</w:t>
      </w:r>
      <w:r>
        <w:rPr>
          <w:bCs/>
          <w:sz w:val="24"/>
          <w:szCs w:val="24"/>
        </w:rPr>
        <w:t>;</w:t>
      </w:r>
    </w:p>
    <w:p>
      <w:pPr>
        <w:ind w:right="55" w:firstLine="708"/>
        <w:jc w:val="both"/>
        <w:rPr>
          <w:bCs/>
          <w:sz w:val="24"/>
          <w:szCs w:val="24"/>
        </w:rPr>
      </w:pPr>
      <w:r>
        <w:rPr>
          <w:bCs/>
          <w:sz w:val="24"/>
          <w:szCs w:val="24"/>
        </w:rPr>
        <w:t>3.</w:t>
      </w:r>
      <w:r>
        <w:t xml:space="preserve"> </w:t>
      </w:r>
      <w:r>
        <w:rPr>
          <w:bCs/>
          <w:sz w:val="24"/>
          <w:szCs w:val="24"/>
        </w:rPr>
        <w:t>Возмещение ресурсоснабжающим организациям затрат в связи с оказанием услуг в сфере теплоснабжения и водоснабжения гражданам на внегородских территориях  - 46 767,94 тыс. руб., в том числе:</w:t>
      </w:r>
    </w:p>
    <w:p>
      <w:pPr>
        <w:ind w:right="55" w:firstLine="708"/>
        <w:jc w:val="both"/>
        <w:rPr>
          <w:sz w:val="24"/>
          <w:szCs w:val="24"/>
        </w:rPr>
      </w:pPr>
      <w:r>
        <w:rPr>
          <w:bCs/>
          <w:sz w:val="24"/>
          <w:szCs w:val="24"/>
        </w:rPr>
        <w:t xml:space="preserve">3.1. субсидии </w:t>
      </w:r>
      <w:r>
        <w:rPr>
          <w:sz w:val="24"/>
          <w:szCs w:val="24"/>
        </w:rPr>
        <w:t>на возмещение затрат в связи с оказанием услуг в сфере теплоснабжения - 22 935,94 тыс.руб.;</w:t>
      </w:r>
    </w:p>
    <w:p>
      <w:pPr>
        <w:ind w:right="55" w:firstLine="708"/>
        <w:jc w:val="both"/>
        <w:rPr>
          <w:sz w:val="24"/>
          <w:szCs w:val="24"/>
        </w:rPr>
      </w:pPr>
      <w:r>
        <w:rPr>
          <w:sz w:val="24"/>
          <w:szCs w:val="24"/>
        </w:rPr>
        <w:t>3.2.  субсидии на компенсацию сверхнормативных расходов - 16 121,32 тыс. руб., в том числе за счет средств областного бюджета - 11 284,92 тыс.руб., средств местного бюджета - 4 836,40 тыс.руб.;</w:t>
      </w:r>
    </w:p>
    <w:p>
      <w:pPr>
        <w:ind w:right="55" w:firstLine="708"/>
        <w:jc w:val="both"/>
        <w:rPr>
          <w:sz w:val="24"/>
          <w:szCs w:val="24"/>
        </w:rPr>
      </w:pPr>
      <w:r>
        <w:rPr>
          <w:sz w:val="24"/>
          <w:szCs w:val="24"/>
        </w:rPr>
        <w:t>3.3. субсидии на возмещение затрат в связи с оказанием услуг горячего водоснабжения гражданам в межотопительный период - 3 798,49 тыс.руб.;</w:t>
      </w:r>
    </w:p>
    <w:p>
      <w:pPr>
        <w:ind w:right="55" w:firstLine="708"/>
        <w:jc w:val="both"/>
        <w:rPr>
          <w:sz w:val="24"/>
          <w:szCs w:val="24"/>
        </w:rPr>
      </w:pPr>
      <w:r>
        <w:rPr>
          <w:sz w:val="24"/>
          <w:szCs w:val="24"/>
        </w:rPr>
        <w:t>3.4. субсидии на частичное возмещение затрат в связи с оказанием услуг холодного водоснабжения и водоотведения гражданам - 3 000,00 тыс.руб.;</w:t>
      </w:r>
    </w:p>
    <w:p>
      <w:pPr>
        <w:ind w:right="55" w:firstLine="708"/>
        <w:jc w:val="both"/>
        <w:rPr>
          <w:sz w:val="24"/>
          <w:szCs w:val="24"/>
        </w:rPr>
      </w:pPr>
      <w:r>
        <w:rPr>
          <w:sz w:val="24"/>
          <w:szCs w:val="24"/>
        </w:rPr>
        <w:t xml:space="preserve">3.5. субсидии на компенсацию расходов по организации теплоснабжения теплоснабжающими организациями - 912,19 тыс.руб., в том числе за счет средств областного бюджета - 912,1 тыс.руб., средств местного бюджета - 0,09 тыс. руб.;   </w:t>
      </w:r>
    </w:p>
    <w:p>
      <w:pPr>
        <w:ind w:right="55" w:firstLine="708"/>
        <w:jc w:val="both"/>
        <w:rPr>
          <w:bCs/>
          <w:sz w:val="24"/>
          <w:szCs w:val="24"/>
        </w:rPr>
      </w:pPr>
      <w:r>
        <w:rPr>
          <w:bCs/>
          <w:sz w:val="24"/>
          <w:szCs w:val="24"/>
        </w:rPr>
        <w:t xml:space="preserve">4. Оказание поддержки субъектам малых форм хозяйствования на территории ЗАТО Северск - 310,73 тыс. руб. </w:t>
      </w:r>
      <w:r>
        <w:rPr>
          <w:sz w:val="24"/>
          <w:szCs w:val="24"/>
        </w:rPr>
        <w:t>за счет средств областного бюджета</w:t>
      </w:r>
      <w:r>
        <w:rPr>
          <w:bCs/>
          <w:sz w:val="24"/>
          <w:szCs w:val="24"/>
        </w:rPr>
        <w:t xml:space="preserve"> (искусственно осеменено 40 голов коров в личных подсобных хозяйствах, оказана государственная </w:t>
      </w:r>
      <w:r>
        <w:rPr>
          <w:bCs/>
          <w:sz w:val="24"/>
          <w:szCs w:val="24"/>
        </w:rPr>
        <w:lastRenderedPageBreak/>
        <w:t>поддержка по возмещению части затрат субъектам малых форм хозяйствования по содержанию поголовья скота (73 головы));</w:t>
      </w:r>
    </w:p>
    <w:p>
      <w:pPr>
        <w:ind w:right="55" w:firstLine="708"/>
        <w:jc w:val="both"/>
        <w:rPr>
          <w:bCs/>
          <w:sz w:val="24"/>
          <w:szCs w:val="24"/>
        </w:rPr>
      </w:pPr>
      <w:r>
        <w:rPr>
          <w:bCs/>
          <w:sz w:val="24"/>
          <w:szCs w:val="24"/>
        </w:rPr>
        <w:t xml:space="preserve">5. Обеспечение деятельности ответственного исполнителя программы </w:t>
      </w:r>
      <w:r>
        <w:rPr>
          <w:bCs/>
          <w:sz w:val="24"/>
          <w:szCs w:val="24"/>
        </w:rPr>
        <w:br/>
        <w:t>- 12 290,32 тыс. руб.</w:t>
      </w:r>
    </w:p>
    <w:p>
      <w:pPr>
        <w:ind w:right="55" w:firstLine="708"/>
        <w:jc w:val="both"/>
        <w:rPr>
          <w:bCs/>
          <w:sz w:val="24"/>
          <w:szCs w:val="24"/>
          <w:highlight w:val="yellow"/>
        </w:rPr>
      </w:pPr>
    </w:p>
    <w:p>
      <w:pPr>
        <w:ind w:right="55"/>
        <w:jc w:val="center"/>
        <w:rPr>
          <w:b/>
          <w:bCs/>
          <w:i/>
          <w:sz w:val="24"/>
          <w:szCs w:val="24"/>
        </w:rPr>
      </w:pPr>
      <w:r>
        <w:rPr>
          <w:b/>
          <w:bCs/>
          <w:i/>
          <w:sz w:val="24"/>
          <w:szCs w:val="24"/>
        </w:rPr>
        <w:t>4.1.5.12. Муниципальная программа</w:t>
      </w:r>
    </w:p>
    <w:p>
      <w:pPr>
        <w:spacing w:after="120"/>
        <w:ind w:right="57"/>
        <w:jc w:val="center"/>
        <w:rPr>
          <w:b/>
          <w:bCs/>
          <w:i/>
          <w:sz w:val="24"/>
          <w:szCs w:val="24"/>
        </w:rPr>
      </w:pPr>
      <w:r>
        <w:rPr>
          <w:b/>
          <w:bCs/>
          <w:i/>
          <w:sz w:val="24"/>
          <w:szCs w:val="24"/>
        </w:rPr>
        <w:t>«Обеспечение безопасности населения на территории ЗАТО Северск»</w:t>
      </w:r>
    </w:p>
    <w:p>
      <w:pPr>
        <w:ind w:right="55" w:firstLine="708"/>
        <w:jc w:val="both"/>
        <w:rPr>
          <w:b/>
          <w:bCs/>
          <w:sz w:val="24"/>
          <w:szCs w:val="24"/>
        </w:rPr>
      </w:pPr>
      <w:r>
        <w:rPr>
          <w:bCs/>
          <w:sz w:val="24"/>
          <w:szCs w:val="24"/>
        </w:rPr>
        <w:t>Программа исполнена в общей сумме 60 119,45 тыс.руб., в том числе ответственным исполнителем Управлением ЧС в сумме 25 610,45 тыс.руб.,</w:t>
      </w:r>
      <w:r>
        <w:rPr>
          <w:sz w:val="24"/>
          <w:szCs w:val="24"/>
        </w:rPr>
        <w:t xml:space="preserve"> а также участниками программы УМСП ФКиС в сумме 5 426,0 тыс.руб., Управлением культуры в сумме 4 999,90 тыс.руб., УКС в сумме 13 865,68 тыс.руб., Управлением образования в сумме 9 736,94 тыс.руб., УИО в сумме 393 70 тыс.руб., УВГТ в сумме 86,78 тыс.руб.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Профилактику преступлений и иных правонарушений - 166,60 тыс.руб., в том числе:</w:t>
      </w:r>
    </w:p>
    <w:p>
      <w:pPr>
        <w:pStyle w:val="a5"/>
        <w:numPr>
          <w:ilvl w:val="1"/>
          <w:numId w:val="33"/>
        </w:numPr>
        <w:tabs>
          <w:tab w:val="left" w:pos="993"/>
        </w:tabs>
        <w:spacing w:after="0" w:line="264" w:lineRule="auto"/>
        <w:ind w:left="0" w:firstLine="709"/>
        <w:jc w:val="both"/>
        <w:rPr>
          <w:bCs/>
          <w:sz w:val="24"/>
          <w:szCs w:val="24"/>
        </w:rPr>
      </w:pPr>
      <w:r>
        <w:rPr>
          <w:bCs/>
          <w:sz w:val="24"/>
          <w:szCs w:val="24"/>
        </w:rPr>
        <w:t xml:space="preserve">На финансовую поддержку «народных дружинников» - 160,0 тыс.руб.; </w:t>
      </w:r>
    </w:p>
    <w:p>
      <w:pPr>
        <w:pStyle w:val="a5"/>
        <w:numPr>
          <w:ilvl w:val="1"/>
          <w:numId w:val="33"/>
        </w:numPr>
        <w:tabs>
          <w:tab w:val="left" w:pos="993"/>
        </w:tabs>
        <w:spacing w:after="0" w:line="264" w:lineRule="auto"/>
        <w:ind w:left="0" w:firstLine="709"/>
        <w:jc w:val="both"/>
        <w:rPr>
          <w:sz w:val="24"/>
          <w:szCs w:val="24"/>
        </w:rPr>
      </w:pPr>
      <w:r>
        <w:rPr>
          <w:bCs/>
          <w:sz w:val="24"/>
          <w:szCs w:val="24"/>
        </w:rPr>
        <w:t xml:space="preserve"> На </w:t>
      </w:r>
      <w:r>
        <w:rPr>
          <w:sz w:val="24"/>
          <w:szCs w:val="24"/>
        </w:rPr>
        <w:t xml:space="preserve">изготовление информационных материалов антитеррористической </w:t>
      </w:r>
      <w:r>
        <w:rPr>
          <w:sz w:val="24"/>
          <w:szCs w:val="24"/>
        </w:rPr>
        <w:br/>
        <w:t xml:space="preserve">и антиэкстремистской направленности для распространения среди различных категорий граждан, в образовательных учреждениях, учреждениях культуры, на объектах </w:t>
      </w:r>
      <w:r>
        <w:rPr>
          <w:sz w:val="24"/>
          <w:szCs w:val="24"/>
        </w:rPr>
        <w:br/>
        <w:t>с массовым пребыванием людей – 6,60 тыс.руб.;</w:t>
      </w:r>
    </w:p>
    <w:p>
      <w:pPr>
        <w:pStyle w:val="af8"/>
        <w:numPr>
          <w:ilvl w:val="0"/>
          <w:numId w:val="33"/>
        </w:numPr>
        <w:ind w:left="0" w:firstLine="709"/>
        <w:jc w:val="both"/>
        <w:rPr>
          <w:bCs/>
          <w:sz w:val="24"/>
          <w:szCs w:val="24"/>
        </w:rPr>
      </w:pPr>
      <w:r>
        <w:rPr>
          <w:bCs/>
          <w:sz w:val="24"/>
          <w:szCs w:val="24"/>
        </w:rPr>
        <w:t>Обеспечение первичных мер пожарной безопасности на территории ЗАТО Северск - 34 516,97 тыс.руб., в том числе:</w:t>
      </w:r>
    </w:p>
    <w:p>
      <w:pPr>
        <w:pStyle w:val="af8"/>
        <w:numPr>
          <w:ilvl w:val="1"/>
          <w:numId w:val="33"/>
        </w:numPr>
        <w:tabs>
          <w:tab w:val="left" w:pos="993"/>
        </w:tabs>
        <w:ind w:left="0" w:firstLine="709"/>
        <w:jc w:val="both"/>
        <w:rPr>
          <w:sz w:val="24"/>
          <w:szCs w:val="24"/>
        </w:rPr>
      </w:pPr>
      <w:r>
        <w:rPr>
          <w:sz w:val="24"/>
          <w:szCs w:val="24"/>
        </w:rPr>
        <w:t xml:space="preserve"> На обеспечение пожарной безопасности в муниципальных учреждениях </w:t>
      </w:r>
      <w:r>
        <w:rPr>
          <w:sz w:val="24"/>
          <w:szCs w:val="24"/>
        </w:rPr>
        <w:br/>
        <w:t>- 33 804,52 тыс.руб., в т.ч.: в зданиях образовательных учреждений – 9 512,94 тыс.руб.,</w:t>
      </w:r>
      <w:r>
        <w:rPr>
          <w:bCs/>
          <w:sz w:val="24"/>
          <w:szCs w:val="24"/>
        </w:rPr>
        <w:t xml:space="preserve"> </w:t>
      </w:r>
      <w:r>
        <w:rPr>
          <w:sz w:val="24"/>
          <w:szCs w:val="24"/>
        </w:rPr>
        <w:t>в зданиях учреждений культуры – 17 865,58 тыс. руб., в зданиях учреждений спорта – 2 361,76, в зданиях учреждений дополнительного образования – 1 000,0 тыс.руб., в зданиях детских оздоровительных лагерей – 3 064,24 тыс.руб.;</w:t>
      </w:r>
    </w:p>
    <w:p>
      <w:pPr>
        <w:pStyle w:val="af8"/>
        <w:numPr>
          <w:ilvl w:val="1"/>
          <w:numId w:val="33"/>
        </w:numPr>
        <w:tabs>
          <w:tab w:val="left" w:pos="993"/>
        </w:tabs>
        <w:ind w:left="0" w:firstLine="709"/>
        <w:jc w:val="both"/>
        <w:rPr>
          <w:bCs/>
          <w:sz w:val="24"/>
          <w:szCs w:val="24"/>
        </w:rPr>
      </w:pPr>
      <w:r>
        <w:rPr>
          <w:sz w:val="24"/>
          <w:szCs w:val="24"/>
        </w:rPr>
        <w:t xml:space="preserve"> Устройство и обновление противопожарных минерализованных полос, прочистка просек, размещение аншлагов, содержащих информацию о мерах пожарной безопасности в лесах – 470,82 тыс.руб.;</w:t>
      </w:r>
    </w:p>
    <w:p>
      <w:pPr>
        <w:pStyle w:val="af8"/>
        <w:numPr>
          <w:ilvl w:val="1"/>
          <w:numId w:val="33"/>
        </w:numPr>
        <w:tabs>
          <w:tab w:val="left" w:pos="993"/>
        </w:tabs>
        <w:ind w:left="0" w:firstLine="709"/>
        <w:jc w:val="both"/>
        <w:rPr>
          <w:sz w:val="24"/>
          <w:szCs w:val="24"/>
        </w:rPr>
      </w:pPr>
      <w:r>
        <w:rPr>
          <w:sz w:val="24"/>
          <w:szCs w:val="24"/>
        </w:rPr>
        <w:t xml:space="preserve"> На проведение викторин среди учащихся муниципальных общеобразовательных учреждений на знание правил пожарной безопасности и поведения учащихся в экстремальных ситуациях - 223,99 тыс.руб.</w:t>
      </w:r>
    </w:p>
    <w:p>
      <w:pPr>
        <w:pStyle w:val="af8"/>
        <w:numPr>
          <w:ilvl w:val="1"/>
          <w:numId w:val="33"/>
        </w:numPr>
        <w:tabs>
          <w:tab w:val="left" w:pos="993"/>
        </w:tabs>
        <w:ind w:left="0" w:firstLine="709"/>
        <w:jc w:val="both"/>
        <w:rPr>
          <w:sz w:val="24"/>
          <w:szCs w:val="24"/>
        </w:rPr>
      </w:pPr>
      <w:r>
        <w:rPr>
          <w:sz w:val="24"/>
          <w:szCs w:val="24"/>
        </w:rPr>
        <w:t xml:space="preserve"> На распространение материалов по противопожарной пропаганде на территории населенных пунктов и о мерах пожарной безопасности в лесах -16,66  тыс.руб.</w:t>
      </w:r>
    </w:p>
    <w:p>
      <w:pPr>
        <w:pStyle w:val="af8"/>
        <w:numPr>
          <w:ilvl w:val="0"/>
          <w:numId w:val="33"/>
        </w:numPr>
        <w:ind w:left="0" w:firstLine="709"/>
        <w:jc w:val="both"/>
        <w:rPr>
          <w:bCs/>
          <w:sz w:val="24"/>
          <w:szCs w:val="24"/>
        </w:rPr>
      </w:pPr>
      <w:r>
        <w:rPr>
          <w:bCs/>
          <w:sz w:val="24"/>
          <w:szCs w:val="24"/>
        </w:rPr>
        <w:t>Повышение уровня защиты населения и территории ЗАТО Северск от чрезвычайных ситуаций мирного и военного времени - 14 222,89 тыс.руб., из них:</w:t>
      </w:r>
    </w:p>
    <w:p>
      <w:pPr>
        <w:pStyle w:val="af8"/>
        <w:numPr>
          <w:ilvl w:val="1"/>
          <w:numId w:val="33"/>
        </w:numPr>
        <w:tabs>
          <w:tab w:val="left" w:pos="993"/>
        </w:tabs>
        <w:ind w:left="0" w:firstLine="709"/>
        <w:jc w:val="both"/>
        <w:rPr>
          <w:bCs/>
          <w:sz w:val="24"/>
          <w:szCs w:val="24"/>
        </w:rPr>
      </w:pPr>
      <w:r>
        <w:rPr>
          <w:bCs/>
          <w:sz w:val="24"/>
          <w:szCs w:val="24"/>
        </w:rPr>
        <w:t xml:space="preserve"> На обеспечение деятельности МКУ «Единая дежурно-диспетчерская служба ЗАТО Северск» - 13 149,52 тыс.руб.;</w:t>
      </w:r>
    </w:p>
    <w:p>
      <w:pPr>
        <w:pStyle w:val="af8"/>
        <w:numPr>
          <w:ilvl w:val="1"/>
          <w:numId w:val="33"/>
        </w:numPr>
        <w:tabs>
          <w:tab w:val="left" w:pos="993"/>
        </w:tabs>
        <w:ind w:left="0" w:firstLine="709"/>
        <w:jc w:val="both"/>
        <w:rPr>
          <w:bCs/>
          <w:sz w:val="24"/>
          <w:szCs w:val="24"/>
        </w:rPr>
      </w:pPr>
      <w:r>
        <w:rPr>
          <w:bCs/>
          <w:sz w:val="24"/>
          <w:szCs w:val="24"/>
        </w:rPr>
        <w:t xml:space="preserve"> На обеспечение безопасного пребывания людей на водных объектах -  999,90 тыс.руб.;</w:t>
      </w:r>
    </w:p>
    <w:p>
      <w:pPr>
        <w:pStyle w:val="af8"/>
        <w:numPr>
          <w:ilvl w:val="1"/>
          <w:numId w:val="33"/>
        </w:numPr>
        <w:tabs>
          <w:tab w:val="left" w:pos="993"/>
        </w:tabs>
        <w:ind w:left="0" w:firstLine="709"/>
        <w:jc w:val="both"/>
        <w:rPr>
          <w:bCs/>
          <w:color w:val="000000"/>
          <w:sz w:val="24"/>
          <w:szCs w:val="24"/>
        </w:rPr>
      </w:pPr>
      <w:r>
        <w:rPr>
          <w:bCs/>
          <w:color w:val="000000"/>
          <w:sz w:val="24"/>
          <w:szCs w:val="24"/>
        </w:rPr>
        <w:t xml:space="preserve">На проведение мероприятий по наблюдению за ледовыми явлениями – 13,46 тыс.руб.; </w:t>
      </w:r>
    </w:p>
    <w:p>
      <w:pPr>
        <w:pStyle w:val="af8"/>
        <w:numPr>
          <w:ilvl w:val="1"/>
          <w:numId w:val="33"/>
        </w:numPr>
        <w:tabs>
          <w:tab w:val="left" w:pos="993"/>
        </w:tabs>
        <w:ind w:left="0" w:firstLine="709"/>
        <w:jc w:val="both"/>
        <w:rPr>
          <w:bCs/>
          <w:sz w:val="24"/>
          <w:szCs w:val="24"/>
        </w:rPr>
      </w:pPr>
      <w:r>
        <w:rPr>
          <w:bCs/>
          <w:sz w:val="24"/>
          <w:szCs w:val="24"/>
        </w:rPr>
        <w:t xml:space="preserve"> На содержание объектов гражданской обороны –</w:t>
      </w:r>
      <w:r>
        <w:rPr>
          <w:bCs/>
          <w:color w:val="000000"/>
          <w:sz w:val="24"/>
          <w:szCs w:val="24"/>
        </w:rPr>
        <w:t xml:space="preserve"> 46,14 </w:t>
      </w:r>
      <w:r>
        <w:rPr>
          <w:bCs/>
          <w:sz w:val="24"/>
          <w:szCs w:val="24"/>
        </w:rPr>
        <w:t>тыс.руб..</w:t>
      </w:r>
    </w:p>
    <w:p>
      <w:pPr>
        <w:pStyle w:val="af8"/>
        <w:numPr>
          <w:ilvl w:val="0"/>
          <w:numId w:val="33"/>
        </w:numPr>
        <w:ind w:left="0" w:firstLine="709"/>
        <w:jc w:val="both"/>
        <w:rPr>
          <w:bCs/>
          <w:sz w:val="24"/>
          <w:szCs w:val="24"/>
        </w:rPr>
      </w:pPr>
      <w:r>
        <w:rPr>
          <w:bCs/>
          <w:sz w:val="24"/>
          <w:szCs w:val="24"/>
        </w:rPr>
        <w:t>Обеспечение деятельности ответственного исполнителя программы – 11 212,99 тыс. руб.</w:t>
      </w:r>
    </w:p>
    <w:p>
      <w:pPr>
        <w:ind w:right="55"/>
        <w:jc w:val="center"/>
        <w:rPr>
          <w:b/>
          <w:bCs/>
          <w:i/>
          <w:sz w:val="24"/>
          <w:szCs w:val="24"/>
          <w:highlight w:val="yellow"/>
        </w:rPr>
      </w:pPr>
    </w:p>
    <w:p>
      <w:pPr>
        <w:ind w:right="55"/>
        <w:jc w:val="center"/>
        <w:rPr>
          <w:b/>
          <w:bCs/>
          <w:i/>
          <w:sz w:val="24"/>
          <w:szCs w:val="24"/>
        </w:rPr>
      </w:pPr>
      <w:r>
        <w:rPr>
          <w:b/>
          <w:bCs/>
          <w:i/>
          <w:sz w:val="24"/>
          <w:szCs w:val="24"/>
        </w:rPr>
        <w:t>4.1.5.13. Муниципальная программа</w:t>
      </w:r>
    </w:p>
    <w:p>
      <w:pPr>
        <w:spacing w:after="120"/>
        <w:ind w:right="57"/>
        <w:jc w:val="center"/>
        <w:rPr>
          <w:b/>
          <w:bCs/>
          <w:i/>
          <w:sz w:val="24"/>
          <w:szCs w:val="24"/>
        </w:rPr>
      </w:pPr>
      <w:r>
        <w:rPr>
          <w:b/>
          <w:bCs/>
          <w:i/>
          <w:sz w:val="24"/>
          <w:szCs w:val="24"/>
        </w:rPr>
        <w:t>«Охрана окружающей среды на территории ЗАТО Северск»</w:t>
      </w:r>
    </w:p>
    <w:p>
      <w:pPr>
        <w:pStyle w:val="ConsPlusNormal"/>
        <w:ind w:firstLine="709"/>
        <w:jc w:val="both"/>
        <w:rPr>
          <w:bCs/>
        </w:rPr>
      </w:pPr>
      <w:r>
        <w:rPr>
          <w:bCs/>
        </w:rPr>
        <w:t>Программа исполнена в общей сумме 916,06 тыс.руб. ответственным исполнителем Администрацией ЗАТО Северск в сумме 248,64 тыс.руб.</w:t>
      </w:r>
      <w:r>
        <w:t xml:space="preserve">, </w:t>
      </w:r>
      <w:r>
        <w:rPr>
          <w:bCs/>
        </w:rPr>
        <w:t xml:space="preserve">а также участниками программы </w:t>
      </w:r>
      <w:r>
        <w:t>УВГТ</w:t>
      </w:r>
      <w:r>
        <w:rPr>
          <w:bCs/>
        </w:rPr>
        <w:t xml:space="preserve"> Администрации ЗАТО Северск в сумме 578,25 тыс.руб., Управлением образования Администрации ЗАТО Северск в сумме 89,17 тыс.руб.</w:t>
      </w:r>
    </w:p>
    <w:p>
      <w:pPr>
        <w:ind w:right="55" w:firstLine="708"/>
        <w:jc w:val="both"/>
        <w:rPr>
          <w:bCs/>
          <w:sz w:val="24"/>
          <w:szCs w:val="24"/>
        </w:rPr>
      </w:pPr>
      <w:r>
        <w:rPr>
          <w:bCs/>
          <w:sz w:val="24"/>
          <w:szCs w:val="24"/>
        </w:rPr>
        <w:lastRenderedPageBreak/>
        <w:t>Бюджетные ассигнования направлены на:</w:t>
      </w:r>
    </w:p>
    <w:p>
      <w:pPr>
        <w:autoSpaceDE w:val="0"/>
        <w:autoSpaceDN w:val="0"/>
        <w:adjustRightInd w:val="0"/>
        <w:ind w:firstLine="709"/>
        <w:jc w:val="both"/>
        <w:outlineLvl w:val="0"/>
        <w:rPr>
          <w:sz w:val="24"/>
          <w:szCs w:val="24"/>
        </w:rPr>
      </w:pPr>
      <w:r>
        <w:rPr>
          <w:sz w:val="24"/>
          <w:szCs w:val="24"/>
        </w:rPr>
        <w:t>1. Экологическое воспитание, образование и информирование населения – 166,45 тыс.руб., в том числе:</w:t>
      </w:r>
    </w:p>
    <w:p>
      <w:pPr>
        <w:autoSpaceDE w:val="0"/>
        <w:autoSpaceDN w:val="0"/>
        <w:adjustRightInd w:val="0"/>
        <w:ind w:firstLine="709"/>
        <w:jc w:val="both"/>
        <w:outlineLvl w:val="0"/>
        <w:rPr>
          <w:sz w:val="24"/>
          <w:szCs w:val="24"/>
        </w:rPr>
      </w:pPr>
      <w:r>
        <w:rPr>
          <w:sz w:val="24"/>
          <w:szCs w:val="24"/>
        </w:rPr>
        <w:t>1.1. Проведение в рамках экологического воспитания и образования школьников и дошкольников 9 общегородских мероприятий с участием 753 учащихся (исполнитель – УО)  -  89,17 тыс.руб.;</w:t>
      </w:r>
    </w:p>
    <w:p>
      <w:pPr>
        <w:autoSpaceDE w:val="0"/>
        <w:autoSpaceDN w:val="0"/>
        <w:adjustRightInd w:val="0"/>
        <w:ind w:firstLine="709"/>
        <w:jc w:val="both"/>
        <w:outlineLvl w:val="0"/>
        <w:rPr>
          <w:sz w:val="24"/>
          <w:szCs w:val="24"/>
        </w:rPr>
      </w:pPr>
      <w:r>
        <w:rPr>
          <w:sz w:val="24"/>
          <w:szCs w:val="24"/>
        </w:rPr>
        <w:t>1.2. Издание ежегодного обзора «Состояние окружающей природной среды на территории ЗАТО Северск» тиражом 121 экземпляр (исполнитель – Администрация ЗАТО Северск)  - 47,66 тыс.руб.;</w:t>
      </w:r>
    </w:p>
    <w:p>
      <w:pPr>
        <w:autoSpaceDE w:val="0"/>
        <w:autoSpaceDN w:val="0"/>
        <w:adjustRightInd w:val="0"/>
        <w:ind w:firstLine="709"/>
        <w:jc w:val="both"/>
        <w:outlineLvl w:val="0"/>
        <w:rPr>
          <w:sz w:val="24"/>
          <w:szCs w:val="24"/>
          <w:highlight w:val="yellow"/>
        </w:rPr>
      </w:pPr>
      <w:r>
        <w:rPr>
          <w:sz w:val="24"/>
          <w:szCs w:val="24"/>
        </w:rPr>
        <w:t>1.3. Издание печатной полиграфической продукции эколого-просветительской направленности (листовки, плакаты), посвященной вопросам экологического воспитания и формирования экологической культуры в области обращения с твердыми коммунальными отходами, экологической безопасности тиражом 4 785 экземпляров (исполнитель – Администрация ЗАТО Северск)  - 29,62 тыс.руб.;</w:t>
      </w:r>
    </w:p>
    <w:p>
      <w:pPr>
        <w:tabs>
          <w:tab w:val="left" w:pos="851"/>
        </w:tabs>
        <w:autoSpaceDE w:val="0"/>
        <w:autoSpaceDN w:val="0"/>
        <w:adjustRightInd w:val="0"/>
        <w:ind w:firstLine="709"/>
        <w:jc w:val="both"/>
        <w:outlineLvl w:val="0"/>
        <w:rPr>
          <w:sz w:val="24"/>
          <w:szCs w:val="24"/>
        </w:rPr>
      </w:pPr>
      <w:r>
        <w:rPr>
          <w:sz w:val="24"/>
          <w:szCs w:val="24"/>
        </w:rPr>
        <w:t>2. Обследование состояния природных объектов ООПТ – 119,24 тыс.руб. (исполнитель – Администрация ЗАТО Северск): проведены гидрологические исследования водной экосистемы ООПТ и промерные работы  на озерах;</w:t>
      </w:r>
    </w:p>
    <w:p>
      <w:pPr>
        <w:tabs>
          <w:tab w:val="left" w:pos="851"/>
        </w:tabs>
        <w:autoSpaceDE w:val="0"/>
        <w:autoSpaceDN w:val="0"/>
        <w:adjustRightInd w:val="0"/>
        <w:ind w:firstLine="709"/>
        <w:jc w:val="both"/>
        <w:outlineLvl w:val="0"/>
        <w:rPr>
          <w:sz w:val="24"/>
          <w:szCs w:val="24"/>
        </w:rPr>
      </w:pPr>
      <w:r>
        <w:rPr>
          <w:sz w:val="24"/>
          <w:szCs w:val="24"/>
        </w:rPr>
        <w:t>3. Содержание рекреационной зоны ООПТ - 568,82 тыс.руб. (исполнитель – УВГТ), в том числе:</w:t>
      </w:r>
    </w:p>
    <w:p>
      <w:pPr>
        <w:pStyle w:val="af8"/>
        <w:tabs>
          <w:tab w:val="left" w:pos="0"/>
          <w:tab w:val="left" w:pos="851"/>
        </w:tabs>
        <w:autoSpaceDE w:val="0"/>
        <w:autoSpaceDN w:val="0"/>
        <w:adjustRightInd w:val="0"/>
        <w:ind w:left="0" w:firstLine="709"/>
        <w:jc w:val="both"/>
        <w:outlineLvl w:val="0"/>
        <w:rPr>
          <w:sz w:val="24"/>
          <w:szCs w:val="24"/>
        </w:rPr>
      </w:pPr>
      <w:r>
        <w:rPr>
          <w:sz w:val="24"/>
          <w:szCs w:val="24"/>
        </w:rPr>
        <w:t>3.1. выполнение регулярной санитарной уборки пляжей озер в теплый период времени года - 448,66 тыс.руб. (площадь уборки 15,5 га, вывезено 510,90 м</w:t>
      </w:r>
      <w:r>
        <w:rPr>
          <w:sz w:val="24"/>
          <w:szCs w:val="24"/>
          <w:vertAlign w:val="superscript"/>
        </w:rPr>
        <w:t xml:space="preserve">3 </w:t>
      </w:r>
      <w:r>
        <w:rPr>
          <w:sz w:val="24"/>
          <w:szCs w:val="24"/>
        </w:rPr>
        <w:t>отходов);</w:t>
      </w:r>
    </w:p>
    <w:p>
      <w:pPr>
        <w:pStyle w:val="af8"/>
        <w:tabs>
          <w:tab w:val="left" w:pos="0"/>
          <w:tab w:val="left" w:pos="851"/>
        </w:tabs>
        <w:autoSpaceDE w:val="0"/>
        <w:autoSpaceDN w:val="0"/>
        <w:adjustRightInd w:val="0"/>
        <w:ind w:left="0" w:firstLine="709"/>
        <w:jc w:val="both"/>
        <w:outlineLvl w:val="0"/>
        <w:rPr>
          <w:sz w:val="24"/>
          <w:szCs w:val="24"/>
        </w:rPr>
      </w:pPr>
      <w:r>
        <w:rPr>
          <w:sz w:val="24"/>
          <w:szCs w:val="24"/>
        </w:rPr>
        <w:t>3.2. выполнение уборки 383,0 кв.м. отходов - 99,98 тыс.руб.;</w:t>
      </w:r>
    </w:p>
    <w:p>
      <w:pPr>
        <w:pStyle w:val="af8"/>
        <w:tabs>
          <w:tab w:val="left" w:pos="0"/>
          <w:tab w:val="left" w:pos="851"/>
        </w:tabs>
        <w:autoSpaceDE w:val="0"/>
        <w:autoSpaceDN w:val="0"/>
        <w:adjustRightInd w:val="0"/>
        <w:ind w:left="0" w:firstLine="709"/>
        <w:jc w:val="both"/>
        <w:outlineLvl w:val="0"/>
        <w:rPr>
          <w:sz w:val="24"/>
          <w:szCs w:val="24"/>
        </w:rPr>
      </w:pPr>
      <w:r>
        <w:rPr>
          <w:sz w:val="24"/>
          <w:szCs w:val="24"/>
        </w:rPr>
        <w:t xml:space="preserve">3.3. покраска </w:t>
      </w:r>
      <w:r>
        <w:rPr>
          <w:sz w:val="24"/>
          <w:szCs w:val="24"/>
          <w:shd w:val="clear" w:color="auto" w:fill="FFFFFF"/>
        </w:rPr>
        <w:t xml:space="preserve">контейнеров для ТКО, малых архитектурных форм, туалетов - </w:t>
      </w:r>
      <w:r>
        <w:rPr>
          <w:sz w:val="24"/>
          <w:szCs w:val="24"/>
        </w:rPr>
        <w:t>20,18 тыс.руб.</w:t>
      </w:r>
      <w:r>
        <w:rPr>
          <w:sz w:val="24"/>
          <w:szCs w:val="24"/>
          <w:shd w:val="clear" w:color="auto" w:fill="FFFFFF"/>
        </w:rPr>
        <w:t>;</w:t>
      </w:r>
    </w:p>
    <w:p>
      <w:pPr>
        <w:pStyle w:val="af8"/>
        <w:tabs>
          <w:tab w:val="left" w:pos="0"/>
          <w:tab w:val="left" w:pos="851"/>
        </w:tabs>
        <w:autoSpaceDE w:val="0"/>
        <w:autoSpaceDN w:val="0"/>
        <w:adjustRightInd w:val="0"/>
        <w:ind w:left="0" w:firstLine="709"/>
        <w:jc w:val="both"/>
        <w:outlineLvl w:val="0"/>
        <w:rPr>
          <w:sz w:val="24"/>
          <w:szCs w:val="24"/>
        </w:rPr>
      </w:pPr>
      <w:r>
        <w:rPr>
          <w:sz w:val="24"/>
          <w:szCs w:val="24"/>
        </w:rPr>
        <w:t xml:space="preserve">4. Организацию охраны ООПТ и повышение информативности населения о правилах поведения на территории ООПТ – 61,55 тыс. руб., в том числе: </w:t>
      </w:r>
    </w:p>
    <w:p>
      <w:pPr>
        <w:pStyle w:val="af8"/>
        <w:tabs>
          <w:tab w:val="left" w:pos="0"/>
          <w:tab w:val="left" w:pos="851"/>
        </w:tabs>
        <w:autoSpaceDE w:val="0"/>
        <w:autoSpaceDN w:val="0"/>
        <w:adjustRightInd w:val="0"/>
        <w:ind w:left="0" w:firstLine="709"/>
        <w:jc w:val="both"/>
        <w:outlineLvl w:val="0"/>
        <w:rPr>
          <w:sz w:val="24"/>
          <w:szCs w:val="24"/>
        </w:rPr>
      </w:pPr>
      <w:r>
        <w:rPr>
          <w:sz w:val="24"/>
          <w:szCs w:val="24"/>
        </w:rPr>
        <w:t>4.1. Разработку макетов и издание 2 000 листовок и плакатов,  1 040 брошюр с материалами по охране ООПТ (исполнитель – Администрация ЗАТО Северск) - 52,12 тыс.руб.;</w:t>
      </w:r>
    </w:p>
    <w:p>
      <w:pPr>
        <w:pStyle w:val="af8"/>
        <w:tabs>
          <w:tab w:val="left" w:pos="0"/>
          <w:tab w:val="left" w:pos="851"/>
        </w:tabs>
        <w:autoSpaceDE w:val="0"/>
        <w:autoSpaceDN w:val="0"/>
        <w:adjustRightInd w:val="0"/>
        <w:ind w:left="0" w:firstLine="709"/>
        <w:jc w:val="both"/>
        <w:outlineLvl w:val="0"/>
        <w:rPr>
          <w:sz w:val="24"/>
          <w:szCs w:val="24"/>
        </w:rPr>
      </w:pPr>
      <w:r>
        <w:rPr>
          <w:sz w:val="24"/>
          <w:szCs w:val="24"/>
        </w:rPr>
        <w:t>4.2. На восстановление 2 информационных аншлагов по периметру ООПТ (исполнитель - УВГТ) - 9,43 тыс.руб.</w:t>
      </w:r>
    </w:p>
    <w:p>
      <w:pPr>
        <w:pStyle w:val="af8"/>
        <w:tabs>
          <w:tab w:val="left" w:pos="0"/>
          <w:tab w:val="left" w:pos="851"/>
        </w:tabs>
        <w:autoSpaceDE w:val="0"/>
        <w:autoSpaceDN w:val="0"/>
        <w:adjustRightInd w:val="0"/>
        <w:ind w:left="709" w:right="55"/>
        <w:jc w:val="both"/>
        <w:outlineLvl w:val="0"/>
        <w:rPr>
          <w:bCs/>
          <w:sz w:val="24"/>
          <w:szCs w:val="24"/>
          <w:highlight w:val="yellow"/>
        </w:rPr>
      </w:pPr>
    </w:p>
    <w:p>
      <w:pPr>
        <w:ind w:right="55"/>
        <w:jc w:val="center"/>
        <w:rPr>
          <w:b/>
          <w:bCs/>
          <w:i/>
          <w:sz w:val="24"/>
          <w:szCs w:val="24"/>
        </w:rPr>
      </w:pPr>
      <w:r>
        <w:rPr>
          <w:b/>
          <w:bCs/>
          <w:i/>
          <w:sz w:val="24"/>
          <w:szCs w:val="24"/>
        </w:rPr>
        <w:t>4.1.5.14.</w:t>
      </w:r>
      <w:r>
        <w:rPr>
          <w:b/>
          <w:i/>
          <w:sz w:val="24"/>
          <w:szCs w:val="24"/>
        </w:rPr>
        <w:t> Муниципальная программа</w:t>
      </w:r>
    </w:p>
    <w:p>
      <w:pPr>
        <w:tabs>
          <w:tab w:val="left" w:pos="1701"/>
        </w:tabs>
        <w:spacing w:after="120"/>
        <w:ind w:right="57" w:firstLine="709"/>
        <w:jc w:val="center"/>
        <w:rPr>
          <w:b/>
          <w:bCs/>
          <w:i/>
          <w:sz w:val="24"/>
          <w:szCs w:val="24"/>
        </w:rPr>
      </w:pPr>
      <w:r>
        <w:rPr>
          <w:b/>
          <w:bCs/>
          <w:i/>
          <w:sz w:val="24"/>
          <w:szCs w:val="24"/>
        </w:rPr>
        <w:t>«Эффективное управление муниципальными финансами ЗАТО Северск»</w:t>
      </w:r>
    </w:p>
    <w:p>
      <w:pPr>
        <w:ind w:right="55" w:firstLine="708"/>
        <w:jc w:val="both"/>
        <w:rPr>
          <w:bCs/>
          <w:sz w:val="24"/>
          <w:szCs w:val="24"/>
        </w:rPr>
      </w:pPr>
      <w:r>
        <w:rPr>
          <w:bCs/>
          <w:sz w:val="24"/>
          <w:szCs w:val="24"/>
        </w:rPr>
        <w:t>Программа исполнена ответственным исполнителем Финансовым управлением Администрации ЗАТО Северск в сумме 41 593,65 тыс. 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Сопровождение и модернизацию программного обеспечения, используемого в процессе планирования и исполнения бюджета ЗАТО Северск, - 493,0 тыс. руб.;</w:t>
      </w:r>
    </w:p>
    <w:p>
      <w:pPr>
        <w:pStyle w:val="ConsPlusNormal"/>
        <w:jc w:val="both"/>
        <w:rPr>
          <w:rFonts w:eastAsia="Calibri"/>
          <w:lang w:eastAsia="en-US"/>
        </w:rPr>
      </w:pPr>
      <w:r>
        <w:rPr>
          <w:bCs/>
        </w:rPr>
        <w:tab/>
        <w:t xml:space="preserve">2. Обслуживание муниципального долга - </w:t>
      </w:r>
      <w:r>
        <w:t xml:space="preserve">14 117,10 </w:t>
      </w:r>
      <w:r>
        <w:rPr>
          <w:bCs/>
        </w:rPr>
        <w:t xml:space="preserve">тыс. руб. или 0,4% к объему расходов местного бюджета, за исключением объема расходов, которые осуществляются за счет субвенций. В рамках Соглашения, заключенного между Управлением Федерального казначейства по Томской области и Администрацией ЗАТО Северск, в течение 2021 года для покрытия кассовых разрывов при исполнении бюджета использовался механизм заимствования с лицевых счетов муниципальных учреждений. Бюджетный эффект составил 5 961,94 тыс.руб.    </w:t>
      </w:r>
    </w:p>
    <w:p>
      <w:pPr>
        <w:ind w:right="55" w:firstLine="708"/>
        <w:jc w:val="both"/>
        <w:rPr>
          <w:bCs/>
          <w:sz w:val="24"/>
          <w:szCs w:val="24"/>
        </w:rPr>
      </w:pPr>
      <w:r>
        <w:rPr>
          <w:bCs/>
          <w:sz w:val="24"/>
          <w:szCs w:val="24"/>
        </w:rPr>
        <w:t>3. Обеспечение деятельности ответственного исполнителя программы в сумме 26 983,54тыс. руб.</w:t>
      </w:r>
    </w:p>
    <w:p>
      <w:pPr>
        <w:ind w:right="55"/>
        <w:jc w:val="center"/>
        <w:rPr>
          <w:b/>
          <w:bCs/>
          <w:i/>
          <w:sz w:val="24"/>
          <w:szCs w:val="24"/>
          <w:highlight w:val="yellow"/>
        </w:rPr>
      </w:pPr>
    </w:p>
    <w:p>
      <w:pPr>
        <w:ind w:right="55"/>
        <w:jc w:val="center"/>
        <w:rPr>
          <w:b/>
          <w:bCs/>
          <w:i/>
          <w:sz w:val="24"/>
          <w:szCs w:val="24"/>
        </w:rPr>
      </w:pPr>
      <w:r>
        <w:rPr>
          <w:b/>
          <w:bCs/>
          <w:i/>
          <w:sz w:val="24"/>
          <w:szCs w:val="24"/>
        </w:rPr>
        <w:t>4.1.5.15. Муниципальная программа</w:t>
      </w:r>
    </w:p>
    <w:p>
      <w:pPr>
        <w:spacing w:after="120"/>
        <w:ind w:right="57"/>
        <w:jc w:val="center"/>
        <w:rPr>
          <w:b/>
          <w:bCs/>
          <w:i/>
          <w:sz w:val="24"/>
          <w:szCs w:val="24"/>
        </w:rPr>
      </w:pPr>
      <w:r>
        <w:rPr>
          <w:b/>
          <w:bCs/>
          <w:i/>
          <w:sz w:val="24"/>
          <w:szCs w:val="24"/>
        </w:rPr>
        <w:t>«Эффективное управление муниципальным имуществом ЗАТО Северск»</w:t>
      </w:r>
    </w:p>
    <w:p>
      <w:pPr>
        <w:ind w:right="55" w:firstLine="708"/>
        <w:jc w:val="both"/>
        <w:rPr>
          <w:bCs/>
          <w:sz w:val="24"/>
          <w:szCs w:val="24"/>
        </w:rPr>
      </w:pPr>
      <w:r>
        <w:rPr>
          <w:bCs/>
          <w:sz w:val="24"/>
          <w:szCs w:val="24"/>
        </w:rPr>
        <w:t>Программа исполнена ответственным исполнителем УИО в сумме 78 542,38 тыс.руб., Бюджетные ассигнования направлены на:</w:t>
      </w:r>
    </w:p>
    <w:p>
      <w:pPr>
        <w:pStyle w:val="af8"/>
        <w:numPr>
          <w:ilvl w:val="0"/>
          <w:numId w:val="21"/>
        </w:numPr>
        <w:ind w:left="0" w:firstLine="709"/>
        <w:jc w:val="both"/>
        <w:rPr>
          <w:sz w:val="24"/>
          <w:szCs w:val="24"/>
        </w:rPr>
      </w:pPr>
      <w:r>
        <w:rPr>
          <w:sz w:val="24"/>
          <w:szCs w:val="24"/>
        </w:rPr>
        <w:lastRenderedPageBreak/>
        <w:t xml:space="preserve">Содержание, обслуживание и уплату взносов на капитальный ремонт </w:t>
      </w:r>
      <w:r>
        <w:rPr>
          <w:sz w:val="24"/>
          <w:szCs w:val="24"/>
        </w:rPr>
        <w:br/>
        <w:t>по помещениям, расположенным в многоквартирных домах – 12 693,28 тыс.руб.;</w:t>
      </w:r>
    </w:p>
    <w:p>
      <w:pPr>
        <w:pStyle w:val="af8"/>
        <w:numPr>
          <w:ilvl w:val="0"/>
          <w:numId w:val="21"/>
        </w:numPr>
        <w:ind w:left="0" w:firstLine="709"/>
        <w:jc w:val="both"/>
        <w:rPr>
          <w:sz w:val="24"/>
          <w:szCs w:val="24"/>
        </w:rPr>
      </w:pPr>
      <w:r>
        <w:rPr>
          <w:sz w:val="24"/>
          <w:szCs w:val="24"/>
        </w:rPr>
        <w:t xml:space="preserve">Содержание МКУ «Лесничество ЗАТО Северск» </w:t>
      </w:r>
      <w:r>
        <w:rPr>
          <w:bCs/>
          <w:sz w:val="24"/>
          <w:szCs w:val="24"/>
        </w:rPr>
        <w:t>–</w:t>
      </w:r>
      <w:r>
        <w:rPr>
          <w:sz w:val="24"/>
          <w:szCs w:val="24"/>
        </w:rPr>
        <w:t xml:space="preserve"> 14 135,74 тыс.руб.;</w:t>
      </w:r>
    </w:p>
    <w:p>
      <w:pPr>
        <w:pStyle w:val="af8"/>
        <w:widowControl w:val="0"/>
        <w:numPr>
          <w:ilvl w:val="0"/>
          <w:numId w:val="21"/>
        </w:numPr>
        <w:ind w:left="0" w:firstLine="709"/>
        <w:jc w:val="both"/>
        <w:rPr>
          <w:sz w:val="24"/>
          <w:szCs w:val="24"/>
        </w:rPr>
      </w:pPr>
      <w:r>
        <w:rPr>
          <w:bCs/>
          <w:sz w:val="24"/>
          <w:szCs w:val="24"/>
        </w:rPr>
        <w:t xml:space="preserve">Организацию лесохозяйственных мероприятий – 1 109,11 тыс. руб.; </w:t>
      </w:r>
    </w:p>
    <w:p>
      <w:pPr>
        <w:pStyle w:val="af8"/>
        <w:numPr>
          <w:ilvl w:val="0"/>
          <w:numId w:val="21"/>
        </w:numPr>
        <w:ind w:left="0" w:firstLine="709"/>
        <w:jc w:val="both"/>
        <w:rPr>
          <w:sz w:val="24"/>
          <w:szCs w:val="24"/>
        </w:rPr>
      </w:pPr>
      <w:r>
        <w:rPr>
          <w:sz w:val="24"/>
          <w:szCs w:val="24"/>
        </w:rPr>
        <w:t xml:space="preserve">Проведение технической инвентаризация недвижимого имущества, государственный кадастровый учет и государственную регистрацию права собственности (76 объектов), проведение оценки рыночной стоимости имущества ЗАТО Северск (46 объектов) – 652,49 тыс.руб.; </w:t>
      </w:r>
    </w:p>
    <w:p>
      <w:pPr>
        <w:pStyle w:val="af8"/>
        <w:numPr>
          <w:ilvl w:val="0"/>
          <w:numId w:val="21"/>
        </w:numPr>
        <w:ind w:left="0" w:firstLine="709"/>
        <w:jc w:val="both"/>
        <w:rPr>
          <w:sz w:val="24"/>
          <w:szCs w:val="24"/>
        </w:rPr>
      </w:pPr>
      <w:r>
        <w:rPr>
          <w:sz w:val="24"/>
          <w:szCs w:val="24"/>
        </w:rPr>
        <w:t>Уплату налога на добавленную стоимость (НДС) с доходов, полученных от реализации (передачи) имущества физическим лицам, не являющимися индивидуальными предпринимателями, при приватизации и в аренду – 260,67 тыс.руб.;</w:t>
      </w:r>
    </w:p>
    <w:p>
      <w:pPr>
        <w:pStyle w:val="af8"/>
        <w:numPr>
          <w:ilvl w:val="0"/>
          <w:numId w:val="21"/>
        </w:numPr>
        <w:ind w:left="0" w:firstLine="709"/>
        <w:jc w:val="both"/>
        <w:rPr>
          <w:sz w:val="24"/>
          <w:szCs w:val="24"/>
        </w:rPr>
      </w:pPr>
      <w:r>
        <w:rPr>
          <w:sz w:val="24"/>
          <w:szCs w:val="24"/>
        </w:rPr>
        <w:t>Выполнение кадастровых работ по межеванию земельных участков, находящихся в муниципальной собственности - 167,40 тыс. руб.;</w:t>
      </w:r>
    </w:p>
    <w:p>
      <w:pPr>
        <w:pStyle w:val="af8"/>
        <w:numPr>
          <w:ilvl w:val="0"/>
          <w:numId w:val="21"/>
        </w:numPr>
        <w:ind w:left="0" w:firstLine="709"/>
        <w:jc w:val="both"/>
        <w:rPr>
          <w:sz w:val="24"/>
          <w:szCs w:val="24"/>
        </w:rPr>
      </w:pPr>
      <w:r>
        <w:rPr>
          <w:sz w:val="24"/>
          <w:szCs w:val="24"/>
        </w:rPr>
        <w:t>Подготовку объектов коммунального комплекса к передаче по концессионному соглашению - 1 593,33 тыс.руб.;</w:t>
      </w:r>
    </w:p>
    <w:p>
      <w:pPr>
        <w:pStyle w:val="af8"/>
        <w:numPr>
          <w:ilvl w:val="0"/>
          <w:numId w:val="21"/>
        </w:numPr>
        <w:ind w:left="0" w:firstLine="709"/>
        <w:jc w:val="both"/>
        <w:rPr>
          <w:sz w:val="24"/>
          <w:szCs w:val="24"/>
        </w:rPr>
      </w:pPr>
      <w:r>
        <w:rPr>
          <w:bCs/>
          <w:sz w:val="24"/>
          <w:szCs w:val="24"/>
        </w:rPr>
        <w:t>Обеспечение деятельности ответственного исполнителя программы – 47 930,36 </w:t>
      </w:r>
      <w:r>
        <w:rPr>
          <w:sz w:val="24"/>
          <w:szCs w:val="24"/>
        </w:rPr>
        <w:t>тыс. руб.</w:t>
      </w:r>
    </w:p>
    <w:p>
      <w:pPr>
        <w:ind w:right="57" w:firstLine="709"/>
        <w:jc w:val="center"/>
        <w:rPr>
          <w:bCs/>
          <w:sz w:val="24"/>
          <w:szCs w:val="24"/>
          <w:highlight w:val="yellow"/>
        </w:rPr>
      </w:pPr>
    </w:p>
    <w:p>
      <w:pPr>
        <w:ind w:right="55"/>
        <w:jc w:val="center"/>
        <w:rPr>
          <w:b/>
          <w:bCs/>
          <w:i/>
          <w:sz w:val="24"/>
          <w:szCs w:val="24"/>
        </w:rPr>
      </w:pPr>
      <w:r>
        <w:rPr>
          <w:b/>
          <w:bCs/>
          <w:i/>
          <w:sz w:val="24"/>
          <w:szCs w:val="24"/>
        </w:rPr>
        <w:t>4.1.5.16. Муниципальная программа</w:t>
      </w:r>
    </w:p>
    <w:p>
      <w:pPr>
        <w:spacing w:after="120"/>
        <w:ind w:right="57" w:firstLine="709"/>
        <w:jc w:val="center"/>
        <w:rPr>
          <w:b/>
          <w:bCs/>
          <w:i/>
          <w:sz w:val="24"/>
          <w:szCs w:val="24"/>
        </w:rPr>
      </w:pPr>
      <w:r>
        <w:rPr>
          <w:b/>
          <w:bCs/>
          <w:i/>
          <w:sz w:val="24"/>
          <w:szCs w:val="24"/>
        </w:rPr>
        <w:t>«Профилактика алкоголизма, наркомании, токсикомании и ВИЧ-инфекции»</w:t>
      </w:r>
    </w:p>
    <w:p>
      <w:pPr>
        <w:ind w:right="55" w:firstLine="708"/>
        <w:jc w:val="both"/>
        <w:rPr>
          <w:bCs/>
          <w:sz w:val="24"/>
          <w:szCs w:val="24"/>
        </w:rPr>
      </w:pPr>
      <w:r>
        <w:rPr>
          <w:bCs/>
          <w:sz w:val="24"/>
          <w:szCs w:val="24"/>
        </w:rPr>
        <w:t>Программа исполнена Управлением образования в сумме 953,53 тыс.руб. Ответственный исполнитель Администрация ЗАТО Северск.</w:t>
      </w:r>
    </w:p>
    <w:p>
      <w:pPr>
        <w:ind w:right="55" w:firstLine="708"/>
        <w:jc w:val="both"/>
        <w:rPr>
          <w:bCs/>
          <w:sz w:val="24"/>
          <w:szCs w:val="24"/>
        </w:rPr>
      </w:pPr>
      <w:r>
        <w:rPr>
          <w:bCs/>
          <w:sz w:val="24"/>
          <w:szCs w:val="24"/>
        </w:rPr>
        <w:t>Бюджетные ассигнования направлены на:</w:t>
      </w:r>
    </w:p>
    <w:p>
      <w:pPr>
        <w:ind w:right="55" w:firstLine="708"/>
        <w:jc w:val="both"/>
        <w:rPr>
          <w:sz w:val="24"/>
          <w:szCs w:val="24"/>
        </w:rPr>
      </w:pPr>
      <w:r>
        <w:rPr>
          <w:bCs/>
          <w:sz w:val="24"/>
          <w:szCs w:val="24"/>
        </w:rPr>
        <w:t>1. С</w:t>
      </w:r>
      <w:r>
        <w:rPr>
          <w:sz w:val="24"/>
          <w:szCs w:val="24"/>
        </w:rPr>
        <w:t>овершенствование форм и методов профилактики злоупотребления спиртными напитками и психоактивными веществами - 753,49 тыс.руб.</w:t>
      </w:r>
      <w:r>
        <w:t xml:space="preserve"> К</w:t>
      </w:r>
      <w:r>
        <w:rPr>
          <w:sz w:val="24"/>
          <w:szCs w:val="24"/>
        </w:rPr>
        <w:t>оличество обучающихся, родителей обучающихся и волонтеров, привлеченных к профилактическим мероприятиям составило 16 1652 чел.;</w:t>
      </w:r>
    </w:p>
    <w:p>
      <w:pPr>
        <w:ind w:right="55" w:firstLine="708"/>
        <w:jc w:val="both"/>
        <w:rPr>
          <w:sz w:val="24"/>
          <w:szCs w:val="24"/>
        </w:rPr>
      </w:pPr>
      <w:r>
        <w:rPr>
          <w:sz w:val="24"/>
          <w:szCs w:val="24"/>
        </w:rPr>
        <w:t>2. Информационное обеспечение в профилактике злоупотребления спиртными напитками, психотропными веществами и распространения ВИЧ-инфекции - 200,04 тыс.руб. В средствах массовой информации публиковались тематические статьи и рубрики, размещались ролики антинаркотической направленности в количестве 500 ед.</w:t>
      </w:r>
    </w:p>
    <w:p>
      <w:pPr>
        <w:ind w:right="55" w:firstLine="708"/>
        <w:jc w:val="center"/>
        <w:rPr>
          <w:bCs/>
          <w:color w:val="FF0000"/>
          <w:sz w:val="24"/>
          <w:szCs w:val="24"/>
          <w:highlight w:val="yellow"/>
        </w:rPr>
      </w:pPr>
    </w:p>
    <w:p>
      <w:pPr>
        <w:ind w:right="55"/>
        <w:jc w:val="center"/>
        <w:rPr>
          <w:b/>
          <w:bCs/>
          <w:i/>
          <w:sz w:val="24"/>
          <w:szCs w:val="24"/>
        </w:rPr>
      </w:pPr>
      <w:r>
        <w:rPr>
          <w:b/>
          <w:bCs/>
          <w:i/>
          <w:sz w:val="24"/>
          <w:szCs w:val="24"/>
        </w:rPr>
        <w:t>4.1.5.17. Муниципальная программа</w:t>
      </w:r>
    </w:p>
    <w:p>
      <w:pPr>
        <w:spacing w:after="120"/>
        <w:ind w:right="57"/>
        <w:jc w:val="center"/>
        <w:rPr>
          <w:b/>
          <w:bCs/>
          <w:i/>
          <w:sz w:val="24"/>
          <w:szCs w:val="24"/>
        </w:rPr>
      </w:pPr>
      <w:r>
        <w:rPr>
          <w:b/>
          <w:bCs/>
          <w:i/>
          <w:sz w:val="24"/>
          <w:szCs w:val="24"/>
        </w:rPr>
        <w:t>«Формирование современной городской среды ЗАТО Северск»</w:t>
      </w:r>
    </w:p>
    <w:p>
      <w:pPr>
        <w:ind w:right="55" w:firstLine="708"/>
        <w:jc w:val="both"/>
        <w:rPr>
          <w:bCs/>
          <w:sz w:val="24"/>
          <w:szCs w:val="24"/>
        </w:rPr>
      </w:pPr>
      <w:r>
        <w:rPr>
          <w:bCs/>
          <w:sz w:val="24"/>
          <w:szCs w:val="24"/>
        </w:rPr>
        <w:t xml:space="preserve">Программа исполнена в общей сумме 66 810,81 тыс.руб., в том числе ответственным исполнителем УЖКХ ТиС в сумме 26 691,04 тыс. руб., а также участником программы УКС в сумме 40 119,77 тыс.руб. </w:t>
      </w:r>
    </w:p>
    <w:p>
      <w:pPr>
        <w:ind w:right="55" w:firstLine="708"/>
        <w:jc w:val="both"/>
        <w:rPr>
          <w:bCs/>
          <w:sz w:val="24"/>
          <w:szCs w:val="24"/>
        </w:rPr>
      </w:pPr>
      <w:r>
        <w:rPr>
          <w:bCs/>
          <w:sz w:val="24"/>
          <w:szCs w:val="24"/>
        </w:rPr>
        <w:t>Бюджетные ассигнования направлены на:</w:t>
      </w:r>
    </w:p>
    <w:p>
      <w:pPr>
        <w:ind w:firstLine="709"/>
        <w:jc w:val="both"/>
        <w:rPr>
          <w:sz w:val="24"/>
          <w:szCs w:val="24"/>
        </w:rPr>
      </w:pPr>
      <w:r>
        <w:rPr>
          <w:bCs/>
          <w:sz w:val="24"/>
          <w:szCs w:val="24"/>
        </w:rPr>
        <w:t>1. Благоустройство общественных пространств - 40 259,26 тыс.руб.</w:t>
      </w:r>
      <w:r>
        <w:rPr>
          <w:sz w:val="24"/>
          <w:szCs w:val="24"/>
        </w:rPr>
        <w:t xml:space="preserve"> В 2021 году выполнено благоустройство:</w:t>
      </w:r>
    </w:p>
    <w:p>
      <w:pPr>
        <w:ind w:firstLine="709"/>
        <w:jc w:val="both"/>
        <w:rPr>
          <w:sz w:val="24"/>
          <w:szCs w:val="24"/>
        </w:rPr>
      </w:pPr>
      <w:r>
        <w:rPr>
          <w:sz w:val="24"/>
          <w:szCs w:val="24"/>
        </w:rPr>
        <w:t>- пешеходной зоны по просп.Коммунистическому (участок от пл.Ленина до ул.Строителей) в г.Северске - 3 617,54 тыс.руб.;</w:t>
      </w:r>
    </w:p>
    <w:p>
      <w:pPr>
        <w:ind w:firstLine="709"/>
        <w:jc w:val="both"/>
        <w:rPr>
          <w:sz w:val="24"/>
          <w:szCs w:val="24"/>
        </w:rPr>
      </w:pPr>
      <w:r>
        <w:rPr>
          <w:sz w:val="24"/>
          <w:szCs w:val="24"/>
        </w:rPr>
        <w:t>- территории, прилегающей к административному зданию по просп.Коммунистическому, 25 в г.Северске - 2 713,28 тыс.руб.;</w:t>
      </w:r>
    </w:p>
    <w:p>
      <w:pPr>
        <w:ind w:firstLine="709"/>
        <w:jc w:val="both"/>
        <w:rPr>
          <w:sz w:val="24"/>
          <w:szCs w:val="24"/>
        </w:rPr>
      </w:pPr>
      <w:r>
        <w:rPr>
          <w:sz w:val="24"/>
          <w:szCs w:val="24"/>
        </w:rPr>
        <w:t>- сквера перед зданием Детской городской больницы по просп.Коммунистическому, 62 в г.Северске - 10 417,28 тыс.руб.;</w:t>
      </w:r>
    </w:p>
    <w:p>
      <w:pPr>
        <w:ind w:firstLine="709"/>
        <w:jc w:val="both"/>
        <w:rPr>
          <w:sz w:val="24"/>
          <w:szCs w:val="24"/>
        </w:rPr>
      </w:pPr>
      <w:r>
        <w:rPr>
          <w:sz w:val="24"/>
          <w:szCs w:val="24"/>
        </w:rPr>
        <w:t>- сквера на территории, прилегающей к жилым домам по ул.Победы № 16 и № 20 в г.Северске - 22 340,49 тыс.руб.;</w:t>
      </w:r>
    </w:p>
    <w:p>
      <w:pPr>
        <w:ind w:firstLine="709"/>
        <w:jc w:val="both"/>
        <w:rPr>
          <w:sz w:val="24"/>
          <w:szCs w:val="24"/>
        </w:rPr>
      </w:pPr>
      <w:r>
        <w:rPr>
          <w:sz w:val="24"/>
          <w:szCs w:val="24"/>
        </w:rPr>
        <w:t>- сквера с озером в районе мемориала «Курган Славы» в микрорайоне «Ясный» в г.Северске - 1 031,18 тыс.руб.;</w:t>
      </w:r>
    </w:p>
    <w:p>
      <w:pPr>
        <w:ind w:firstLine="709"/>
        <w:jc w:val="both"/>
        <w:rPr>
          <w:sz w:val="24"/>
          <w:szCs w:val="24"/>
        </w:rPr>
      </w:pPr>
      <w:r>
        <w:rPr>
          <w:sz w:val="24"/>
          <w:szCs w:val="24"/>
        </w:rPr>
        <w:t>- организацию рейтингового голосования отбору общественных территорий, подлежащих благоустройству - 139,49 тыс.руб.;</w:t>
      </w:r>
    </w:p>
    <w:p>
      <w:pPr>
        <w:ind w:firstLine="709"/>
        <w:jc w:val="both"/>
        <w:rPr>
          <w:sz w:val="24"/>
          <w:szCs w:val="24"/>
          <w:highlight w:val="yellow"/>
        </w:rPr>
      </w:pPr>
      <w:r>
        <w:rPr>
          <w:sz w:val="24"/>
          <w:szCs w:val="24"/>
        </w:rPr>
        <w:t xml:space="preserve">2. Благоустройство дворовых территорий - 26 551,55 тыс.руб. В 2021 году выполнены работы по благоустройству 13 дворовых территорий (выполнены мероприятия </w:t>
      </w:r>
      <w:r>
        <w:rPr>
          <w:sz w:val="24"/>
          <w:szCs w:val="24"/>
        </w:rPr>
        <w:lastRenderedPageBreak/>
        <w:t xml:space="preserve">по благоустройству детских  площадок – замена игрового оборудования, установка  скамеек, урн  и планировка территории. Всего установлено 179 единиц игрового оборудования, 20 скамеек и 30 урн) и оплачены работы, которые были выполнены в 2020 году по ремонту и благоустройству дворовых территорий (неисполненные обязательства ТО). </w:t>
      </w:r>
    </w:p>
    <w:p>
      <w:pPr>
        <w:tabs>
          <w:tab w:val="left" w:pos="993"/>
        </w:tabs>
        <w:jc w:val="both"/>
        <w:rPr>
          <w:bCs/>
          <w:sz w:val="24"/>
          <w:szCs w:val="24"/>
          <w:highlight w:val="yellow"/>
        </w:rPr>
      </w:pPr>
    </w:p>
    <w:p>
      <w:pPr>
        <w:ind w:right="55"/>
        <w:jc w:val="center"/>
        <w:rPr>
          <w:b/>
          <w:bCs/>
          <w:i/>
          <w:sz w:val="24"/>
          <w:szCs w:val="24"/>
        </w:rPr>
      </w:pPr>
      <w:r>
        <w:rPr>
          <w:b/>
          <w:bCs/>
          <w:i/>
          <w:sz w:val="24"/>
          <w:szCs w:val="24"/>
        </w:rPr>
        <w:t xml:space="preserve">4.1.5.18. Муниципальная программа </w:t>
      </w:r>
    </w:p>
    <w:p>
      <w:pPr>
        <w:ind w:right="55"/>
        <w:jc w:val="center"/>
        <w:rPr>
          <w:b/>
          <w:bCs/>
          <w:i/>
          <w:sz w:val="24"/>
          <w:szCs w:val="24"/>
        </w:rPr>
      </w:pPr>
      <w:r>
        <w:rPr>
          <w:b/>
          <w:bCs/>
          <w:i/>
          <w:sz w:val="24"/>
          <w:szCs w:val="24"/>
        </w:rPr>
        <w:t>«Развитие информационного общества ЗАТО Северск»</w:t>
      </w:r>
    </w:p>
    <w:p>
      <w:pPr>
        <w:ind w:right="55"/>
        <w:jc w:val="center"/>
        <w:rPr>
          <w:b/>
          <w:bCs/>
          <w:i/>
          <w:sz w:val="24"/>
          <w:szCs w:val="24"/>
        </w:rPr>
      </w:pPr>
    </w:p>
    <w:p>
      <w:pPr>
        <w:ind w:right="55" w:firstLine="708"/>
        <w:jc w:val="both"/>
        <w:rPr>
          <w:bCs/>
          <w:sz w:val="24"/>
          <w:szCs w:val="24"/>
        </w:rPr>
      </w:pPr>
      <w:r>
        <w:rPr>
          <w:bCs/>
          <w:sz w:val="24"/>
          <w:szCs w:val="24"/>
        </w:rPr>
        <w:t xml:space="preserve">Программа исполнена ответственным исполнителем Администрацией ЗАТО Северск в сумме 7 209,34 тыс.руб. </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highlight w:val="yellow"/>
        </w:rPr>
      </w:pPr>
      <w:r>
        <w:rPr>
          <w:bCs/>
          <w:sz w:val="24"/>
          <w:szCs w:val="24"/>
        </w:rPr>
        <w:t>1. Приобретение серверной вычислительной техники для создания в ЗАТО Северск информационно-телекоммуникационной инфраструктуры высокоскоростной передачи, обработки и хранения данных преимущественно на основе отечественных разработок – 1 644,11 тыс.руб.;</w:t>
      </w:r>
    </w:p>
    <w:p>
      <w:pPr>
        <w:ind w:right="55" w:firstLine="708"/>
        <w:jc w:val="both"/>
        <w:rPr>
          <w:bCs/>
          <w:sz w:val="24"/>
          <w:szCs w:val="24"/>
        </w:rPr>
      </w:pPr>
      <w:r>
        <w:rPr>
          <w:bCs/>
          <w:sz w:val="24"/>
          <w:szCs w:val="24"/>
        </w:rPr>
        <w:t>2. Организацию защиты локальной сети между территориально распределенными органами местного самоуправления и муниципальными организациями, относящимися к муниципальной информационной сети ЗАТО Северск, посредством технологии туннелирования трафика для обеспечения возможности централизованного сбора, хранения и использования информации - 1 945,73 тыс.руб., в том числе:</w:t>
      </w:r>
    </w:p>
    <w:p>
      <w:pPr>
        <w:ind w:firstLine="708"/>
        <w:jc w:val="both"/>
        <w:rPr>
          <w:bCs/>
          <w:sz w:val="24"/>
          <w:szCs w:val="24"/>
        </w:rPr>
      </w:pPr>
      <w:r>
        <w:rPr>
          <w:bCs/>
          <w:sz w:val="24"/>
          <w:szCs w:val="24"/>
        </w:rPr>
        <w:t>2.1. Оказание услуги по модернизации и аттестации информационных систем Администрации ЗАТО Северск на соответствие требованиям по безопасности информации - 1 803,98 тыс.руб.;</w:t>
      </w:r>
    </w:p>
    <w:p>
      <w:pPr>
        <w:ind w:firstLine="708"/>
        <w:jc w:val="both"/>
        <w:rPr>
          <w:bCs/>
          <w:sz w:val="24"/>
          <w:szCs w:val="24"/>
        </w:rPr>
      </w:pPr>
      <w:r>
        <w:rPr>
          <w:bCs/>
          <w:sz w:val="24"/>
          <w:szCs w:val="24"/>
        </w:rPr>
        <w:t xml:space="preserve">2.2. Приобретение ноутбуков, отвечающие требованиям по обеспечению защиты информации, обрабатываемой и передаваемой при работе с конфиденциальными данными, а также для подключения к защищенной сети Vip-Net Администрации ЗАТО Северск - 141,75 тыс.руб.; </w:t>
      </w:r>
    </w:p>
    <w:p>
      <w:pPr>
        <w:ind w:right="55" w:firstLine="708"/>
        <w:jc w:val="both"/>
        <w:rPr>
          <w:bCs/>
          <w:sz w:val="24"/>
          <w:szCs w:val="24"/>
        </w:rPr>
      </w:pPr>
      <w:r>
        <w:rPr>
          <w:bCs/>
          <w:sz w:val="24"/>
          <w:szCs w:val="24"/>
        </w:rPr>
        <w:t>3. Эффективное управление с использованием информационно-телекоммуникационных технологий в ЗАТО Северск – 2 977,0 тыс.руб., в том числе:</w:t>
      </w:r>
    </w:p>
    <w:p>
      <w:pPr>
        <w:ind w:right="55" w:firstLine="708"/>
        <w:jc w:val="both"/>
        <w:rPr>
          <w:bCs/>
          <w:sz w:val="24"/>
          <w:szCs w:val="24"/>
        </w:rPr>
      </w:pPr>
      <w:r>
        <w:rPr>
          <w:bCs/>
          <w:sz w:val="24"/>
          <w:szCs w:val="24"/>
        </w:rPr>
        <w:t>3.1. О</w:t>
      </w:r>
      <w:r>
        <w:rPr>
          <w:color w:val="000000"/>
          <w:sz w:val="24"/>
          <w:szCs w:val="24"/>
          <w:shd w:val="clear" w:color="auto" w:fill="FFFFFF"/>
        </w:rPr>
        <w:t>казание услуги по техническому и информационному сопровождению систем </w:t>
      </w:r>
      <w:r>
        <w:rPr>
          <w:rStyle w:val="highlightcolor"/>
          <w:rFonts w:eastAsia="Arial"/>
          <w:color w:val="000000"/>
          <w:sz w:val="24"/>
          <w:szCs w:val="24"/>
          <w:bdr w:val="none" w:sz="0" w:space="0" w:color="auto" w:frame="1"/>
        </w:rPr>
        <w:t>КонсультантПлюс</w:t>
      </w:r>
      <w:r>
        <w:rPr>
          <w:bCs/>
          <w:sz w:val="24"/>
          <w:szCs w:val="24"/>
        </w:rPr>
        <w:t xml:space="preserve"> - 1 927,0 тыс.руб.</w:t>
      </w:r>
      <w:r>
        <w:rPr>
          <w:rStyle w:val="highlightcolor"/>
          <w:rFonts w:eastAsia="Arial"/>
          <w:color w:val="000000"/>
          <w:sz w:val="24"/>
          <w:szCs w:val="24"/>
          <w:bdr w:val="none" w:sz="0" w:space="0" w:color="auto" w:frame="1"/>
        </w:rPr>
        <w:t>;</w:t>
      </w:r>
    </w:p>
    <w:p>
      <w:pPr>
        <w:ind w:right="55" w:firstLine="708"/>
        <w:jc w:val="both"/>
        <w:rPr>
          <w:sz w:val="24"/>
          <w:szCs w:val="24"/>
        </w:rPr>
      </w:pPr>
      <w:r>
        <w:rPr>
          <w:bCs/>
          <w:sz w:val="24"/>
          <w:szCs w:val="24"/>
        </w:rPr>
        <w:t>3.2. О</w:t>
      </w:r>
      <w:r>
        <w:rPr>
          <w:sz w:val="24"/>
          <w:szCs w:val="24"/>
        </w:rPr>
        <w:t>казание услуги по организации автоматизированного информационного обмена муниципальных информационных систем Администрации ЗАТО Северск</w:t>
      </w:r>
      <w:r>
        <w:rPr>
          <w:bCs/>
          <w:sz w:val="24"/>
          <w:szCs w:val="24"/>
        </w:rPr>
        <w:t xml:space="preserve"> - 600,0 тыс.руб.</w:t>
      </w:r>
      <w:r>
        <w:rPr>
          <w:sz w:val="24"/>
          <w:szCs w:val="24"/>
        </w:rPr>
        <w:t>;</w:t>
      </w:r>
    </w:p>
    <w:p>
      <w:pPr>
        <w:ind w:right="55" w:firstLine="708"/>
        <w:jc w:val="both"/>
        <w:rPr>
          <w:bCs/>
          <w:sz w:val="24"/>
          <w:szCs w:val="24"/>
        </w:rPr>
      </w:pPr>
      <w:r>
        <w:rPr>
          <w:sz w:val="24"/>
          <w:szCs w:val="24"/>
        </w:rPr>
        <w:t>3.3. Оказание услуг по развитию автоматизированной муниципальной информационной системы Администрации ЗАТО Северск - 450,0 тыс.руб.;</w:t>
      </w:r>
    </w:p>
    <w:p>
      <w:pPr>
        <w:ind w:right="55" w:firstLine="708"/>
        <w:jc w:val="both"/>
        <w:rPr>
          <w:bCs/>
          <w:sz w:val="24"/>
          <w:szCs w:val="24"/>
        </w:rPr>
      </w:pPr>
      <w:r>
        <w:rPr>
          <w:bCs/>
          <w:sz w:val="24"/>
          <w:szCs w:val="24"/>
        </w:rPr>
        <w:t xml:space="preserve">4. </w:t>
      </w:r>
      <w:r>
        <w:rPr>
          <w:sz w:val="24"/>
          <w:szCs w:val="24"/>
        </w:rPr>
        <w:t>Информатизацию в социальной и экономической сферах ЗАТО Северск</w:t>
      </w:r>
      <w:r>
        <w:rPr>
          <w:bCs/>
          <w:sz w:val="24"/>
          <w:szCs w:val="24"/>
        </w:rPr>
        <w:t xml:space="preserve"> – на </w:t>
      </w:r>
      <w:r>
        <w:rPr>
          <w:sz w:val="24"/>
          <w:szCs w:val="24"/>
        </w:rPr>
        <w:t xml:space="preserve">оказание услуг по техническому и информационному сопровождению системы активного участия граждан в жизнедеятельности города «Мой Северск» - </w:t>
      </w:r>
      <w:r>
        <w:rPr>
          <w:bCs/>
          <w:sz w:val="24"/>
          <w:szCs w:val="24"/>
        </w:rPr>
        <w:t>642,50 тыс.руб.</w:t>
      </w:r>
    </w:p>
    <w:p>
      <w:pPr>
        <w:ind w:right="55" w:firstLine="708"/>
        <w:jc w:val="both"/>
      </w:pPr>
    </w:p>
    <w:p>
      <w:pPr>
        <w:ind w:right="55" w:firstLine="708"/>
        <w:jc w:val="both"/>
        <w:rPr>
          <w:bCs/>
          <w:color w:val="FF0000"/>
          <w:sz w:val="24"/>
          <w:szCs w:val="24"/>
          <w:highlight w:val="yellow"/>
        </w:rPr>
      </w:pPr>
    </w:p>
    <w:p>
      <w:pPr>
        <w:ind w:right="55"/>
        <w:jc w:val="center"/>
        <w:rPr>
          <w:b/>
          <w:bCs/>
          <w:i/>
          <w:sz w:val="24"/>
          <w:szCs w:val="24"/>
        </w:rPr>
      </w:pPr>
      <w:r>
        <w:rPr>
          <w:b/>
          <w:bCs/>
          <w:i/>
          <w:sz w:val="24"/>
          <w:szCs w:val="24"/>
        </w:rPr>
        <w:t>4.1.5.19. Программа «Комплексное развитие систем</w:t>
      </w:r>
    </w:p>
    <w:p>
      <w:pPr>
        <w:spacing w:after="120"/>
        <w:ind w:right="57"/>
        <w:jc w:val="center"/>
        <w:rPr>
          <w:b/>
          <w:bCs/>
          <w:i/>
          <w:sz w:val="24"/>
          <w:szCs w:val="24"/>
        </w:rPr>
      </w:pPr>
      <w:r>
        <w:rPr>
          <w:b/>
          <w:bCs/>
          <w:i/>
          <w:sz w:val="24"/>
          <w:szCs w:val="24"/>
        </w:rPr>
        <w:t xml:space="preserve"> коммунальной инфраструктуры ЗАТО Северск»</w:t>
      </w:r>
    </w:p>
    <w:p>
      <w:pPr>
        <w:spacing w:after="120"/>
        <w:ind w:right="57"/>
        <w:jc w:val="center"/>
        <w:rPr>
          <w:b/>
          <w:bCs/>
          <w:i/>
          <w:sz w:val="24"/>
          <w:szCs w:val="24"/>
        </w:rPr>
      </w:pPr>
    </w:p>
    <w:p>
      <w:pPr>
        <w:ind w:right="55" w:firstLine="708"/>
        <w:jc w:val="both"/>
        <w:rPr>
          <w:bCs/>
          <w:sz w:val="24"/>
          <w:szCs w:val="24"/>
        </w:rPr>
      </w:pPr>
      <w:r>
        <w:rPr>
          <w:bCs/>
          <w:sz w:val="24"/>
          <w:szCs w:val="24"/>
        </w:rPr>
        <w:t>Программа исполнена в общей сумме 78 569,61 тыс.руб. в том числе: ответственными исполнителями УКС в сумме 77 932,29 тыс.руб. и УЖКХ ТиС в сумме 637,32 тыс.руб.</w:t>
      </w:r>
    </w:p>
    <w:p>
      <w:pPr>
        <w:ind w:right="55" w:firstLine="708"/>
        <w:jc w:val="both"/>
        <w:rPr>
          <w:bCs/>
          <w:sz w:val="24"/>
          <w:szCs w:val="24"/>
        </w:rPr>
      </w:pPr>
      <w:r>
        <w:rPr>
          <w:bCs/>
          <w:sz w:val="24"/>
          <w:szCs w:val="24"/>
        </w:rPr>
        <w:t>Бюджетные ассигнования направлены на:</w:t>
      </w:r>
    </w:p>
    <w:p>
      <w:pPr>
        <w:ind w:right="55" w:firstLine="708"/>
        <w:jc w:val="both"/>
        <w:rPr>
          <w:bCs/>
          <w:sz w:val="24"/>
          <w:szCs w:val="24"/>
        </w:rPr>
      </w:pPr>
      <w:r>
        <w:rPr>
          <w:bCs/>
          <w:sz w:val="24"/>
          <w:szCs w:val="24"/>
        </w:rPr>
        <w:t>1. Строительство инженерной инфраструктуры на территории для размещения индивидуального жилищного строительства в пос.Самусь – 76 069,05 тыс.руб.;</w:t>
      </w:r>
    </w:p>
    <w:p>
      <w:pPr>
        <w:ind w:right="55" w:firstLine="708"/>
        <w:jc w:val="both"/>
        <w:rPr>
          <w:bCs/>
          <w:sz w:val="24"/>
          <w:szCs w:val="24"/>
        </w:rPr>
      </w:pPr>
      <w:r>
        <w:rPr>
          <w:bCs/>
          <w:sz w:val="24"/>
          <w:szCs w:val="24"/>
        </w:rPr>
        <w:t>2. Строительство 6 скважин на существующих подземных водозаборах (3 очередь). Водозабор № 1. Скважины № 7а, 15а в г.Северске – 1 015,27 тыс.руб.;</w:t>
      </w:r>
    </w:p>
    <w:p>
      <w:pPr>
        <w:ind w:right="55" w:firstLine="708"/>
        <w:jc w:val="both"/>
        <w:rPr>
          <w:bCs/>
          <w:sz w:val="24"/>
          <w:szCs w:val="24"/>
        </w:rPr>
      </w:pPr>
      <w:r>
        <w:rPr>
          <w:bCs/>
          <w:sz w:val="24"/>
          <w:szCs w:val="24"/>
        </w:rPr>
        <w:lastRenderedPageBreak/>
        <w:t>3. Строительство линии наружного освещения автомобильной дороги № 50 д.Чернильщиково – 847,97 тыс.руб.;</w:t>
      </w:r>
    </w:p>
    <w:p>
      <w:pPr>
        <w:ind w:right="55" w:firstLine="708"/>
        <w:jc w:val="both"/>
        <w:rPr>
          <w:bCs/>
          <w:sz w:val="24"/>
          <w:szCs w:val="24"/>
        </w:rPr>
      </w:pPr>
      <w:r>
        <w:rPr>
          <w:bCs/>
          <w:sz w:val="24"/>
          <w:szCs w:val="24"/>
        </w:rPr>
        <w:t>4. Устройство линий наружного освещения по ул.Транспортная (от ул.Спортивная до ул.Свердлова) – 594,19 тыс.руб.;</w:t>
      </w:r>
    </w:p>
    <w:p>
      <w:pPr>
        <w:ind w:right="55" w:firstLine="708"/>
        <w:jc w:val="both"/>
        <w:rPr>
          <w:bCs/>
          <w:sz w:val="24"/>
          <w:szCs w:val="24"/>
        </w:rPr>
      </w:pPr>
      <w:r>
        <w:rPr>
          <w:bCs/>
          <w:sz w:val="24"/>
          <w:szCs w:val="24"/>
        </w:rPr>
        <w:t>5. Проверка исправности оборудования водоочистного комплекса «Гейзер-ТМ-3» в дер.Кижирово – 37,93 тыс.руб.;</w:t>
      </w:r>
    </w:p>
    <w:p>
      <w:pPr>
        <w:ind w:right="55" w:firstLine="708"/>
        <w:jc w:val="both"/>
        <w:rPr>
          <w:bCs/>
          <w:sz w:val="24"/>
          <w:szCs w:val="24"/>
        </w:rPr>
      </w:pPr>
      <w:r>
        <w:rPr>
          <w:bCs/>
          <w:sz w:val="24"/>
          <w:szCs w:val="24"/>
        </w:rPr>
        <w:t>6. ПИР  на замену котла Е-25/14 ЦОК пос.Самусь – 5,2 тыс.руб.</w:t>
      </w:r>
    </w:p>
    <w:p>
      <w:pPr>
        <w:spacing w:after="120"/>
        <w:ind w:right="57"/>
        <w:jc w:val="center"/>
        <w:rPr>
          <w:b/>
          <w:bCs/>
          <w:sz w:val="16"/>
          <w:szCs w:val="16"/>
          <w:highlight w:val="yellow"/>
        </w:rPr>
      </w:pPr>
    </w:p>
    <w:p>
      <w:pPr>
        <w:spacing w:after="120"/>
        <w:ind w:right="57"/>
        <w:jc w:val="center"/>
        <w:rPr>
          <w:b/>
          <w:bCs/>
          <w:sz w:val="24"/>
          <w:szCs w:val="24"/>
        </w:rPr>
      </w:pPr>
      <w:r>
        <w:rPr>
          <w:b/>
          <w:bCs/>
          <w:sz w:val="24"/>
          <w:szCs w:val="24"/>
        </w:rPr>
        <w:t>4.1.6. Информация об исполнении непрограммных направлений расходования</w:t>
      </w:r>
    </w:p>
    <w:p>
      <w:pPr>
        <w:ind w:right="55" w:firstLine="708"/>
        <w:jc w:val="both"/>
        <w:rPr>
          <w:bCs/>
          <w:sz w:val="24"/>
          <w:szCs w:val="24"/>
        </w:rPr>
      </w:pPr>
      <w:r>
        <w:rPr>
          <w:bCs/>
          <w:sz w:val="24"/>
          <w:szCs w:val="24"/>
        </w:rPr>
        <w:t xml:space="preserve">В бюджете ЗАТО Северск на непрограммные мероприятия были предусмотрены средства в сумме 303 583,89 тыс.руб., исполнение за 2021 год составило 294 236,58 тыс.руб. или 96,9% к плану года, из них по: </w:t>
      </w:r>
    </w:p>
    <w:p>
      <w:pPr>
        <w:ind w:right="55" w:firstLine="708"/>
        <w:jc w:val="both"/>
        <w:rPr>
          <w:sz w:val="24"/>
          <w:szCs w:val="24"/>
        </w:rPr>
      </w:pPr>
      <w:r>
        <w:rPr>
          <w:sz w:val="24"/>
          <w:szCs w:val="24"/>
        </w:rPr>
        <w:t xml:space="preserve">1. Администрации ЗАТО Северск 199 637,13 тыс.руб. или 67,9% от общей суммы непрограммных расходов; </w:t>
      </w:r>
    </w:p>
    <w:p>
      <w:pPr>
        <w:ind w:right="55" w:firstLine="708"/>
        <w:jc w:val="both"/>
        <w:rPr>
          <w:sz w:val="24"/>
          <w:szCs w:val="24"/>
        </w:rPr>
      </w:pPr>
      <w:r>
        <w:rPr>
          <w:sz w:val="24"/>
          <w:szCs w:val="24"/>
        </w:rPr>
        <w:t xml:space="preserve">2. Думе ЗАТО Северск – 50 738,47 тыс.руб. или 17,2 %; </w:t>
      </w:r>
    </w:p>
    <w:p>
      <w:pPr>
        <w:ind w:right="55" w:firstLine="708"/>
        <w:jc w:val="both"/>
        <w:rPr>
          <w:sz w:val="24"/>
          <w:szCs w:val="24"/>
        </w:rPr>
      </w:pPr>
      <w:r>
        <w:rPr>
          <w:sz w:val="24"/>
          <w:szCs w:val="24"/>
        </w:rPr>
        <w:t>3. Счетной палате ЗАТО Северск – 17 409,19 тыс.руб. или 5,9%;</w:t>
      </w:r>
    </w:p>
    <w:p>
      <w:pPr>
        <w:ind w:right="55" w:firstLine="708"/>
        <w:jc w:val="both"/>
        <w:rPr>
          <w:sz w:val="24"/>
          <w:szCs w:val="24"/>
        </w:rPr>
      </w:pPr>
      <w:r>
        <w:rPr>
          <w:sz w:val="24"/>
          <w:szCs w:val="24"/>
        </w:rPr>
        <w:t>4. УЖКХ ТиС – 20 892,19 тыс.руб. или 7,1% (приобретено 8 жилых помещений детям-сиротам по решению суда).</w:t>
      </w:r>
    </w:p>
    <w:p>
      <w:pPr>
        <w:ind w:right="55" w:firstLine="708"/>
        <w:jc w:val="both"/>
        <w:rPr>
          <w:sz w:val="24"/>
          <w:szCs w:val="24"/>
        </w:rPr>
      </w:pPr>
      <w:r>
        <w:rPr>
          <w:sz w:val="24"/>
          <w:szCs w:val="24"/>
        </w:rPr>
        <w:t>5. УМСП ФКиС  - 2 387,28 тыс.руб. или 0,8 %.</w:t>
      </w:r>
    </w:p>
    <w:p>
      <w:pPr>
        <w:ind w:right="55" w:firstLine="708"/>
        <w:jc w:val="both"/>
        <w:rPr>
          <w:sz w:val="24"/>
          <w:szCs w:val="24"/>
        </w:rPr>
      </w:pPr>
      <w:r>
        <w:rPr>
          <w:sz w:val="24"/>
          <w:szCs w:val="24"/>
        </w:rPr>
        <w:t xml:space="preserve">6. Управлению образования  - 1 362,69 тыс.руб. или 0,5 %;  </w:t>
      </w:r>
    </w:p>
    <w:p>
      <w:pPr>
        <w:ind w:right="55" w:firstLine="708"/>
        <w:jc w:val="both"/>
        <w:rPr>
          <w:sz w:val="24"/>
          <w:szCs w:val="24"/>
        </w:rPr>
      </w:pPr>
      <w:r>
        <w:rPr>
          <w:sz w:val="24"/>
          <w:szCs w:val="24"/>
        </w:rPr>
        <w:t>7. Управлению внегородских территорий Администрации ЗАТО Северск  - 1 310,0 тыс.руб. или 0,4 %;</w:t>
      </w:r>
    </w:p>
    <w:p>
      <w:pPr>
        <w:ind w:right="55" w:firstLine="708"/>
        <w:jc w:val="both"/>
        <w:rPr>
          <w:sz w:val="24"/>
          <w:szCs w:val="24"/>
        </w:rPr>
      </w:pPr>
      <w:r>
        <w:rPr>
          <w:sz w:val="24"/>
          <w:szCs w:val="24"/>
        </w:rPr>
        <w:t>8. Управлению культуры Администрации ЗАТО Северск - 339,52 тыс.руб. или 0,1%;</w:t>
      </w:r>
    </w:p>
    <w:p>
      <w:pPr>
        <w:ind w:right="55" w:firstLine="708"/>
        <w:jc w:val="both"/>
        <w:rPr>
          <w:sz w:val="24"/>
          <w:szCs w:val="24"/>
        </w:rPr>
      </w:pPr>
      <w:r>
        <w:rPr>
          <w:sz w:val="24"/>
          <w:szCs w:val="24"/>
        </w:rPr>
        <w:t>9. Управлению имущественных отношений - 160,11 тыс.руб. или 0,1%;</w:t>
      </w:r>
    </w:p>
    <w:p>
      <w:pPr>
        <w:pStyle w:val="31"/>
        <w:ind w:right="45"/>
        <w:jc w:val="center"/>
        <w:rPr>
          <w:b/>
          <w:color w:val="FF0000"/>
          <w:sz w:val="24"/>
          <w:szCs w:val="24"/>
          <w:highlight w:val="yellow"/>
        </w:rPr>
      </w:pPr>
    </w:p>
    <w:p>
      <w:pPr>
        <w:pStyle w:val="31"/>
        <w:ind w:right="45"/>
        <w:jc w:val="center"/>
        <w:rPr>
          <w:b/>
          <w:sz w:val="24"/>
          <w:szCs w:val="24"/>
        </w:rPr>
      </w:pPr>
      <w:r>
        <w:rPr>
          <w:b/>
          <w:sz w:val="24"/>
          <w:szCs w:val="24"/>
        </w:rPr>
        <w:t xml:space="preserve">4.2. Исполнение расходной части бюджета ЗАТО Северск </w:t>
      </w:r>
    </w:p>
    <w:p>
      <w:pPr>
        <w:pStyle w:val="31"/>
        <w:ind w:right="45"/>
        <w:jc w:val="center"/>
        <w:rPr>
          <w:b/>
          <w:color w:val="FF0000"/>
          <w:sz w:val="24"/>
          <w:szCs w:val="24"/>
        </w:rPr>
      </w:pPr>
      <w:r>
        <w:rPr>
          <w:b/>
          <w:sz w:val="24"/>
          <w:szCs w:val="24"/>
        </w:rPr>
        <w:t>в разрезе ведомственной структуры расходов за 2021 год</w:t>
      </w:r>
    </w:p>
    <w:p>
      <w:pPr>
        <w:pStyle w:val="31"/>
        <w:tabs>
          <w:tab w:val="clear" w:pos="5529"/>
          <w:tab w:val="left" w:pos="709"/>
        </w:tabs>
        <w:ind w:right="0" w:firstLine="709"/>
        <w:rPr>
          <w:color w:val="000000"/>
          <w:sz w:val="16"/>
          <w:szCs w:val="16"/>
        </w:rPr>
      </w:pPr>
    </w:p>
    <w:p>
      <w:pPr>
        <w:pStyle w:val="3"/>
        <w:spacing w:before="0" w:after="120"/>
        <w:jc w:val="center"/>
        <w:rPr>
          <w:rFonts w:ascii="Times New Roman" w:hAnsi="Times New Roman"/>
          <w:sz w:val="24"/>
          <w:szCs w:val="24"/>
        </w:rPr>
      </w:pPr>
      <w:r>
        <w:rPr>
          <w:rFonts w:ascii="Times New Roman" w:hAnsi="Times New Roman"/>
          <w:sz w:val="24"/>
          <w:szCs w:val="24"/>
        </w:rPr>
        <w:t>4.2.1. Дума ЗАТО Северск</w:t>
      </w:r>
    </w:p>
    <w:p>
      <w:pPr>
        <w:ind w:firstLine="709"/>
        <w:jc w:val="both"/>
        <w:rPr>
          <w:sz w:val="24"/>
          <w:szCs w:val="24"/>
        </w:rPr>
      </w:pPr>
      <w:r>
        <w:rPr>
          <w:sz w:val="24"/>
          <w:szCs w:val="24"/>
        </w:rPr>
        <w:t xml:space="preserve">Кассовое исполнение по расходам за 2021 год составило 50 738,47 тыс.руб. или 98,7% к утвержденным годовым назначениям. </w:t>
      </w:r>
    </w:p>
    <w:p>
      <w:pPr>
        <w:ind w:firstLine="709"/>
        <w:jc w:val="both"/>
        <w:rPr>
          <w:sz w:val="24"/>
          <w:szCs w:val="24"/>
        </w:rPr>
      </w:pPr>
      <w:r>
        <w:rPr>
          <w:sz w:val="24"/>
          <w:szCs w:val="24"/>
        </w:rPr>
        <w:t>В общей структуре расходов бюджета ЗАТО Северск удельный вес расходов, подведомственных Думе ЗАТО Северск, составил 1,0%, исполнение непрограммных расходов осуществлялось по разделу 0100 «Общегосударственные расходы».</w:t>
      </w:r>
    </w:p>
    <w:p>
      <w:pPr>
        <w:ind w:firstLine="709"/>
        <w:jc w:val="both"/>
        <w:rPr>
          <w:sz w:val="24"/>
          <w:szCs w:val="24"/>
        </w:rPr>
      </w:pPr>
      <w:r>
        <w:rPr>
          <w:sz w:val="24"/>
          <w:szCs w:val="24"/>
        </w:rPr>
        <w:t>Бюджетные ассигнования направлены на:</w:t>
      </w:r>
    </w:p>
    <w:p>
      <w:pPr>
        <w:ind w:firstLine="709"/>
        <w:jc w:val="both"/>
        <w:rPr>
          <w:sz w:val="24"/>
          <w:szCs w:val="24"/>
        </w:rPr>
      </w:pPr>
      <w:r>
        <w:rPr>
          <w:sz w:val="24"/>
          <w:szCs w:val="24"/>
        </w:rPr>
        <w:t>1) обеспечение деятельности Думы ЗАТО Северск – 44 935,47 тыс.руб., из них:</w:t>
      </w:r>
    </w:p>
    <w:p>
      <w:pPr>
        <w:pStyle w:val="af8"/>
        <w:tabs>
          <w:tab w:val="left" w:pos="993"/>
        </w:tabs>
        <w:ind w:left="709"/>
        <w:jc w:val="both"/>
        <w:rPr>
          <w:sz w:val="24"/>
          <w:szCs w:val="24"/>
        </w:rPr>
      </w:pPr>
      <w:r>
        <w:rPr>
          <w:sz w:val="24"/>
          <w:szCs w:val="24"/>
        </w:rPr>
        <w:t>- 39 415,77 тыс.руб. на заработную плату с начислениями;</w:t>
      </w:r>
    </w:p>
    <w:p>
      <w:pPr>
        <w:pStyle w:val="af8"/>
        <w:tabs>
          <w:tab w:val="left" w:pos="993"/>
        </w:tabs>
        <w:ind w:left="709"/>
        <w:jc w:val="both"/>
        <w:rPr>
          <w:sz w:val="24"/>
          <w:szCs w:val="24"/>
        </w:rPr>
      </w:pPr>
      <w:r>
        <w:rPr>
          <w:sz w:val="24"/>
          <w:szCs w:val="24"/>
        </w:rPr>
        <w:t xml:space="preserve">- 361,35 тыс.руб.  на выплату пособия, компенсации при сокращении (1 шт.ед.); </w:t>
      </w:r>
    </w:p>
    <w:p>
      <w:pPr>
        <w:pStyle w:val="af8"/>
        <w:tabs>
          <w:tab w:val="left" w:pos="993"/>
        </w:tabs>
        <w:ind w:left="709"/>
        <w:jc w:val="both"/>
        <w:rPr>
          <w:sz w:val="24"/>
          <w:szCs w:val="24"/>
        </w:rPr>
      </w:pPr>
      <w:r>
        <w:rPr>
          <w:sz w:val="24"/>
          <w:szCs w:val="24"/>
        </w:rPr>
        <w:t>- 112,45 тыс.руб. на командировочные расходы.</w:t>
      </w:r>
    </w:p>
    <w:p>
      <w:pPr>
        <w:pStyle w:val="af8"/>
        <w:tabs>
          <w:tab w:val="left" w:pos="993"/>
        </w:tabs>
        <w:ind w:left="0" w:firstLine="709"/>
        <w:jc w:val="both"/>
        <w:rPr>
          <w:sz w:val="24"/>
          <w:szCs w:val="24"/>
        </w:rPr>
      </w:pPr>
      <w:r>
        <w:rPr>
          <w:sz w:val="24"/>
          <w:szCs w:val="24"/>
        </w:rPr>
        <w:t>2) информационные расходы органа местного самоуправления – 3 801,16 тыс.руб.;</w:t>
      </w:r>
    </w:p>
    <w:p>
      <w:pPr>
        <w:pStyle w:val="af8"/>
        <w:tabs>
          <w:tab w:val="left" w:pos="993"/>
        </w:tabs>
        <w:ind w:left="0" w:firstLine="709"/>
        <w:jc w:val="both"/>
        <w:rPr>
          <w:sz w:val="24"/>
          <w:szCs w:val="24"/>
        </w:rPr>
      </w:pPr>
      <w:r>
        <w:rPr>
          <w:sz w:val="24"/>
          <w:szCs w:val="24"/>
        </w:rPr>
        <w:t>3) единовременные поощрительные выплаты к праздничным и юбилейным датам  - 1 050,0 тыс.руб.  (награждено 300 человек);</w:t>
      </w:r>
    </w:p>
    <w:p>
      <w:pPr>
        <w:pStyle w:val="af8"/>
        <w:tabs>
          <w:tab w:val="left" w:pos="993"/>
        </w:tabs>
        <w:ind w:left="0" w:firstLine="709"/>
        <w:jc w:val="both"/>
        <w:rPr>
          <w:sz w:val="24"/>
          <w:szCs w:val="24"/>
        </w:rPr>
      </w:pPr>
      <w:r>
        <w:rPr>
          <w:sz w:val="24"/>
          <w:szCs w:val="24"/>
        </w:rPr>
        <w:t>4) оплату членских, целевых и других взносов в Ассоциацию сибирских и дальневосточных городов, Совет муниципальных образований Томской области, Ассоциацию новаторских городов – 587,31 тыс.руб.;</w:t>
      </w:r>
    </w:p>
    <w:p>
      <w:pPr>
        <w:pStyle w:val="31"/>
        <w:tabs>
          <w:tab w:val="clear" w:pos="5529"/>
        </w:tabs>
        <w:ind w:right="0" w:firstLine="709"/>
        <w:rPr>
          <w:sz w:val="24"/>
        </w:rPr>
      </w:pPr>
      <w:r>
        <w:rPr>
          <w:sz w:val="24"/>
          <w:szCs w:val="24"/>
        </w:rPr>
        <w:t>5) </w:t>
      </w:r>
      <w:r>
        <w:rPr>
          <w:sz w:val="24"/>
        </w:rPr>
        <w:t>выплату однократного единовременного поощрения в связи с прекращением муниципальной службы и выходом на пенсию – 364,53 тыс.руб. (1 чел.).</w:t>
      </w:r>
    </w:p>
    <w:p>
      <w:pPr>
        <w:pStyle w:val="af8"/>
        <w:tabs>
          <w:tab w:val="left" w:pos="993"/>
        </w:tabs>
        <w:ind w:left="0" w:firstLine="709"/>
        <w:jc w:val="both"/>
        <w:rPr>
          <w:sz w:val="16"/>
          <w:szCs w:val="16"/>
        </w:rPr>
      </w:pPr>
    </w:p>
    <w:p>
      <w:pPr>
        <w:pStyle w:val="31"/>
        <w:ind w:right="0"/>
        <w:jc w:val="center"/>
        <w:outlineLvl w:val="2"/>
        <w:rPr>
          <w:b/>
          <w:sz w:val="24"/>
          <w:szCs w:val="24"/>
        </w:rPr>
      </w:pPr>
      <w:r>
        <w:rPr>
          <w:b/>
          <w:sz w:val="24"/>
          <w:szCs w:val="24"/>
        </w:rPr>
        <w:t>4.2.2. Администрация ЗАТО Северск</w:t>
      </w:r>
    </w:p>
    <w:p>
      <w:pPr>
        <w:spacing w:before="120"/>
        <w:ind w:firstLine="709"/>
        <w:jc w:val="both"/>
        <w:rPr>
          <w:sz w:val="24"/>
          <w:szCs w:val="24"/>
        </w:rPr>
      </w:pPr>
      <w:r>
        <w:rPr>
          <w:sz w:val="24"/>
          <w:szCs w:val="24"/>
        </w:rPr>
        <w:t xml:space="preserve">Кассовое исполнение расходов за 2021 год составило 316 103,81 тыс.руб. или 97,5% к утвержденным годовым назначениям. </w:t>
      </w:r>
    </w:p>
    <w:p>
      <w:pPr>
        <w:pStyle w:val="31"/>
        <w:ind w:right="0" w:firstLine="709"/>
        <w:rPr>
          <w:sz w:val="24"/>
          <w:szCs w:val="24"/>
        </w:rPr>
      </w:pPr>
      <w:r>
        <w:rPr>
          <w:sz w:val="24"/>
          <w:szCs w:val="24"/>
        </w:rPr>
        <w:t xml:space="preserve">В общей структуре расходов удельный вес расходов, подведомственных Администрации, составил 6,3%. </w:t>
      </w:r>
    </w:p>
    <w:p>
      <w:pPr>
        <w:pStyle w:val="31"/>
        <w:ind w:right="0" w:firstLine="709"/>
        <w:rPr>
          <w:color w:val="000000"/>
          <w:sz w:val="24"/>
          <w:szCs w:val="24"/>
        </w:rPr>
      </w:pPr>
      <w:r>
        <w:rPr>
          <w:sz w:val="24"/>
          <w:szCs w:val="24"/>
        </w:rPr>
        <w:lastRenderedPageBreak/>
        <w:t>Исполнение расходов по программно-целевому принципу в рамках четырех муниципальных программ составило 116 466,68 тыс.руб.</w:t>
      </w:r>
      <w:r>
        <w:rPr>
          <w:color w:val="000000"/>
          <w:sz w:val="24"/>
          <w:szCs w:val="24"/>
        </w:rPr>
        <w:t xml:space="preserve"> (36,8% от общей суммы расходов Администрации ЗАТО Северск или 95,9% к утвержденным годовым расходам).</w:t>
      </w:r>
    </w:p>
    <w:p>
      <w:pPr>
        <w:spacing w:after="120"/>
        <w:ind w:firstLine="709"/>
        <w:jc w:val="both"/>
        <w:rPr>
          <w:sz w:val="24"/>
          <w:szCs w:val="24"/>
        </w:rPr>
      </w:pPr>
      <w:r>
        <w:rPr>
          <w:sz w:val="24"/>
          <w:szCs w:val="24"/>
        </w:rPr>
        <w:t>Администрация ЗАТО Северск является ответственным исполнителем четырех муниципальных программ «</w:t>
      </w:r>
      <w:r>
        <w:rPr>
          <w:bCs/>
          <w:sz w:val="24"/>
          <w:szCs w:val="24"/>
        </w:rPr>
        <w:t>Формирование благоприятного социального климата в ЗАТО Северск</w:t>
      </w:r>
      <w:r>
        <w:rPr>
          <w:sz w:val="24"/>
          <w:szCs w:val="24"/>
        </w:rPr>
        <w:t>», «Развитие предпринимательства в ЗАТО Северск», «Охрана окружающей среды на территории ЗАТО Северск», «Развитие информационного общества ЗАТО Северск»</w:t>
      </w:r>
      <w:r>
        <w:rPr>
          <w:bCs/>
          <w:sz w:val="24"/>
          <w:szCs w:val="24"/>
        </w:rPr>
        <w:t>.</w:t>
      </w:r>
      <w:r>
        <w:rPr>
          <w:sz w:val="24"/>
          <w:szCs w:val="24"/>
        </w:rPr>
        <w:t xml:space="preserve">   </w:t>
      </w:r>
    </w:p>
    <w:p>
      <w:pPr>
        <w:spacing w:after="60"/>
        <w:ind w:firstLine="709"/>
        <w:jc w:val="both"/>
        <w:rPr>
          <w:spacing w:val="-4"/>
          <w:sz w:val="24"/>
          <w:szCs w:val="24"/>
        </w:rPr>
      </w:pPr>
      <w:r>
        <w:rPr>
          <w:spacing w:val="-4"/>
          <w:sz w:val="24"/>
          <w:szCs w:val="24"/>
        </w:rPr>
        <w:t>Таблица 47. Расходы Администрации  в разрезе МП</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4252"/>
        <w:gridCol w:w="1559"/>
        <w:gridCol w:w="1560"/>
        <w:gridCol w:w="1559"/>
      </w:tblGrid>
      <w:tr>
        <w:trPr>
          <w:trHeight w:val="928"/>
        </w:trPr>
        <w:tc>
          <w:tcPr>
            <w:tcW w:w="441" w:type="dxa"/>
            <w:shd w:val="clear" w:color="auto" w:fill="auto"/>
            <w:textDirection w:val="btLr"/>
            <w:vAlign w:val="center"/>
          </w:tcPr>
          <w:p>
            <w:pPr>
              <w:jc w:val="center"/>
            </w:pPr>
          </w:p>
          <w:p>
            <w:pPr>
              <w:jc w:val="center"/>
            </w:pPr>
            <w:r>
              <w:rPr>
                <w:lang w:val="en-US"/>
              </w:rPr>
              <w:t xml:space="preserve">№ </w:t>
            </w:r>
            <w:r>
              <w:t>п/п</w:t>
            </w:r>
          </w:p>
          <w:p>
            <w:pPr>
              <w:jc w:val="center"/>
            </w:pPr>
          </w:p>
        </w:tc>
        <w:tc>
          <w:tcPr>
            <w:tcW w:w="4252" w:type="dxa"/>
            <w:shd w:val="clear" w:color="auto" w:fill="auto"/>
            <w:vAlign w:val="center"/>
          </w:tcPr>
          <w:p>
            <w:pPr>
              <w:jc w:val="center"/>
            </w:pPr>
            <w:r>
              <w:t xml:space="preserve">Наименование программы </w:t>
            </w:r>
          </w:p>
        </w:tc>
        <w:tc>
          <w:tcPr>
            <w:tcW w:w="1559" w:type="dxa"/>
            <w:shd w:val="clear" w:color="auto" w:fill="auto"/>
            <w:vAlign w:val="center"/>
          </w:tcPr>
          <w:p>
            <w:pPr>
              <w:jc w:val="center"/>
            </w:pPr>
            <w:r>
              <w:t>Уточненный план 2021 г., тыс.руб.</w:t>
            </w:r>
          </w:p>
        </w:tc>
        <w:tc>
          <w:tcPr>
            <w:tcW w:w="1560" w:type="dxa"/>
            <w:shd w:val="clear" w:color="auto" w:fill="auto"/>
            <w:vAlign w:val="center"/>
          </w:tcPr>
          <w:p>
            <w:pPr>
              <w:ind w:right="-42"/>
              <w:jc w:val="center"/>
            </w:pPr>
            <w:r>
              <w:t xml:space="preserve">Исполнено </w:t>
            </w:r>
          </w:p>
          <w:p>
            <w:pPr>
              <w:ind w:right="-42"/>
              <w:jc w:val="center"/>
            </w:pPr>
            <w:r>
              <w:t>за 2021 г., тыс.руб.</w:t>
            </w:r>
          </w:p>
        </w:tc>
        <w:tc>
          <w:tcPr>
            <w:tcW w:w="1559" w:type="dxa"/>
            <w:shd w:val="clear" w:color="auto" w:fill="auto"/>
            <w:vAlign w:val="center"/>
          </w:tcPr>
          <w:p>
            <w:pPr>
              <w:jc w:val="center"/>
            </w:pPr>
            <w:r>
              <w:t xml:space="preserve">Процент исполнения </w:t>
            </w:r>
          </w:p>
          <w:p>
            <w:pPr>
              <w:jc w:val="center"/>
            </w:pPr>
            <w:r>
              <w:t>к плану</w:t>
            </w:r>
            <w:r>
              <w:br/>
              <w:t xml:space="preserve"> 2021 г.</w:t>
            </w:r>
          </w:p>
        </w:tc>
      </w:tr>
      <w:tr>
        <w:trPr>
          <w:trHeight w:val="255"/>
        </w:trPr>
        <w:tc>
          <w:tcPr>
            <w:tcW w:w="441" w:type="dxa"/>
            <w:shd w:val="clear" w:color="auto" w:fill="auto"/>
            <w:noWrap/>
            <w:vAlign w:val="center"/>
          </w:tcPr>
          <w:p>
            <w:pPr>
              <w:jc w:val="center"/>
            </w:pPr>
            <w:r>
              <w:t>1</w:t>
            </w:r>
          </w:p>
        </w:tc>
        <w:tc>
          <w:tcPr>
            <w:tcW w:w="4252" w:type="dxa"/>
            <w:shd w:val="clear" w:color="auto" w:fill="auto"/>
            <w:vAlign w:val="center"/>
          </w:tcPr>
          <w:p>
            <w:r>
              <w:t>МП «Развитие предпринимательства ЗАТО Северск»</w:t>
            </w:r>
          </w:p>
        </w:tc>
        <w:tc>
          <w:tcPr>
            <w:tcW w:w="1559" w:type="dxa"/>
            <w:shd w:val="clear" w:color="auto" w:fill="auto"/>
            <w:noWrap/>
            <w:vAlign w:val="center"/>
          </w:tcPr>
          <w:p>
            <w:pPr>
              <w:jc w:val="right"/>
            </w:pPr>
            <w:r>
              <w:t>21 485,91</w:t>
            </w:r>
          </w:p>
        </w:tc>
        <w:tc>
          <w:tcPr>
            <w:tcW w:w="1560" w:type="dxa"/>
            <w:shd w:val="clear" w:color="auto" w:fill="auto"/>
            <w:noWrap/>
            <w:vAlign w:val="center"/>
          </w:tcPr>
          <w:p>
            <w:pPr>
              <w:jc w:val="right"/>
            </w:pPr>
            <w:r>
              <w:t>19 585,87</w:t>
            </w:r>
          </w:p>
        </w:tc>
        <w:tc>
          <w:tcPr>
            <w:tcW w:w="1559" w:type="dxa"/>
            <w:shd w:val="clear" w:color="auto" w:fill="auto"/>
            <w:noWrap/>
            <w:vAlign w:val="center"/>
          </w:tcPr>
          <w:p>
            <w:pPr>
              <w:jc w:val="right"/>
            </w:pPr>
            <w:r>
              <w:t>91,2</w:t>
            </w:r>
          </w:p>
        </w:tc>
      </w:tr>
      <w:tr>
        <w:trPr>
          <w:trHeight w:val="199"/>
        </w:trPr>
        <w:tc>
          <w:tcPr>
            <w:tcW w:w="441" w:type="dxa"/>
            <w:shd w:val="clear" w:color="auto" w:fill="auto"/>
            <w:noWrap/>
            <w:vAlign w:val="center"/>
          </w:tcPr>
          <w:p>
            <w:pPr>
              <w:jc w:val="center"/>
            </w:pPr>
            <w:r>
              <w:t>2</w:t>
            </w:r>
          </w:p>
        </w:tc>
        <w:tc>
          <w:tcPr>
            <w:tcW w:w="4252" w:type="dxa"/>
            <w:shd w:val="clear" w:color="auto" w:fill="auto"/>
            <w:vAlign w:val="center"/>
          </w:tcPr>
          <w:p>
            <w:pPr>
              <w:ind w:right="-60"/>
            </w:pPr>
            <w:r>
              <w:t>МП «</w:t>
            </w:r>
            <w:r>
              <w:rPr>
                <w:bCs/>
              </w:rPr>
              <w:t>Формирование благоприятного социального климата в ЗАТО Северск</w:t>
            </w:r>
            <w:r>
              <w:t>»</w:t>
            </w:r>
          </w:p>
        </w:tc>
        <w:tc>
          <w:tcPr>
            <w:tcW w:w="1559" w:type="dxa"/>
            <w:shd w:val="clear" w:color="auto" w:fill="auto"/>
            <w:noWrap/>
            <w:vAlign w:val="center"/>
          </w:tcPr>
          <w:p>
            <w:pPr>
              <w:jc w:val="right"/>
            </w:pPr>
            <w:r>
              <w:t>92 522,71</w:t>
            </w:r>
          </w:p>
        </w:tc>
        <w:tc>
          <w:tcPr>
            <w:tcW w:w="1560" w:type="dxa"/>
            <w:shd w:val="clear" w:color="auto" w:fill="auto"/>
            <w:noWrap/>
            <w:vAlign w:val="center"/>
          </w:tcPr>
          <w:p>
            <w:pPr>
              <w:jc w:val="right"/>
            </w:pPr>
            <w:r>
              <w:t>89 422,82</w:t>
            </w:r>
          </w:p>
        </w:tc>
        <w:tc>
          <w:tcPr>
            <w:tcW w:w="1559" w:type="dxa"/>
            <w:shd w:val="clear" w:color="auto" w:fill="auto"/>
            <w:noWrap/>
            <w:vAlign w:val="center"/>
          </w:tcPr>
          <w:p>
            <w:pPr>
              <w:jc w:val="right"/>
            </w:pPr>
            <w:r>
              <w:t>96,6</w:t>
            </w:r>
          </w:p>
        </w:tc>
      </w:tr>
      <w:tr>
        <w:trPr>
          <w:trHeight w:val="255"/>
        </w:trPr>
        <w:tc>
          <w:tcPr>
            <w:tcW w:w="441" w:type="dxa"/>
            <w:shd w:val="clear" w:color="auto" w:fill="auto"/>
            <w:noWrap/>
            <w:vAlign w:val="center"/>
          </w:tcPr>
          <w:p>
            <w:pPr>
              <w:jc w:val="center"/>
            </w:pPr>
            <w:r>
              <w:t>3</w:t>
            </w:r>
          </w:p>
        </w:tc>
        <w:tc>
          <w:tcPr>
            <w:tcW w:w="4252" w:type="dxa"/>
            <w:shd w:val="clear" w:color="auto" w:fill="auto"/>
            <w:vAlign w:val="center"/>
          </w:tcPr>
          <w:p>
            <w:pPr>
              <w:ind w:right="-60"/>
            </w:pPr>
            <w:r>
              <w:t>МП «Охрана окружающей среды на территории ЗАТО Северск»</w:t>
            </w:r>
          </w:p>
        </w:tc>
        <w:tc>
          <w:tcPr>
            <w:tcW w:w="1559" w:type="dxa"/>
            <w:shd w:val="clear" w:color="auto" w:fill="auto"/>
            <w:noWrap/>
            <w:vAlign w:val="center"/>
          </w:tcPr>
          <w:p>
            <w:pPr>
              <w:jc w:val="right"/>
            </w:pPr>
            <w:r>
              <w:t>248,91</w:t>
            </w:r>
          </w:p>
        </w:tc>
        <w:tc>
          <w:tcPr>
            <w:tcW w:w="1560" w:type="dxa"/>
            <w:shd w:val="clear" w:color="auto" w:fill="auto"/>
            <w:noWrap/>
            <w:vAlign w:val="center"/>
          </w:tcPr>
          <w:p>
            <w:pPr>
              <w:jc w:val="right"/>
            </w:pPr>
            <w:r>
              <w:t>248,64</w:t>
            </w:r>
          </w:p>
        </w:tc>
        <w:tc>
          <w:tcPr>
            <w:tcW w:w="1559" w:type="dxa"/>
            <w:shd w:val="clear" w:color="auto" w:fill="auto"/>
            <w:noWrap/>
            <w:vAlign w:val="center"/>
          </w:tcPr>
          <w:p>
            <w:pPr>
              <w:jc w:val="right"/>
            </w:pPr>
            <w:r>
              <w:t>99,9</w:t>
            </w:r>
          </w:p>
        </w:tc>
      </w:tr>
      <w:tr>
        <w:trPr>
          <w:trHeight w:val="255"/>
        </w:trPr>
        <w:tc>
          <w:tcPr>
            <w:tcW w:w="441" w:type="dxa"/>
            <w:shd w:val="clear" w:color="auto" w:fill="auto"/>
            <w:noWrap/>
            <w:vAlign w:val="center"/>
          </w:tcPr>
          <w:p>
            <w:pPr>
              <w:jc w:val="center"/>
            </w:pPr>
            <w:r>
              <w:t>4</w:t>
            </w:r>
          </w:p>
        </w:tc>
        <w:tc>
          <w:tcPr>
            <w:tcW w:w="4252" w:type="dxa"/>
            <w:shd w:val="clear" w:color="auto" w:fill="auto"/>
            <w:vAlign w:val="center"/>
          </w:tcPr>
          <w:p>
            <w:r>
              <w:t>МП «Развитие информационного общества ЗАТО Северск»</w:t>
            </w:r>
          </w:p>
        </w:tc>
        <w:tc>
          <w:tcPr>
            <w:tcW w:w="1559" w:type="dxa"/>
            <w:shd w:val="clear" w:color="auto" w:fill="auto"/>
            <w:noWrap/>
            <w:vAlign w:val="center"/>
          </w:tcPr>
          <w:p>
            <w:pPr>
              <w:jc w:val="right"/>
            </w:pPr>
            <w:r>
              <w:t>7 220,23</w:t>
            </w:r>
          </w:p>
        </w:tc>
        <w:tc>
          <w:tcPr>
            <w:tcW w:w="1560" w:type="dxa"/>
            <w:shd w:val="clear" w:color="auto" w:fill="auto"/>
            <w:noWrap/>
            <w:vAlign w:val="center"/>
          </w:tcPr>
          <w:p>
            <w:pPr>
              <w:jc w:val="right"/>
            </w:pPr>
            <w:r>
              <w:t>7 209,35</w:t>
            </w:r>
          </w:p>
        </w:tc>
        <w:tc>
          <w:tcPr>
            <w:tcW w:w="1559" w:type="dxa"/>
            <w:shd w:val="clear" w:color="auto" w:fill="auto"/>
            <w:noWrap/>
            <w:vAlign w:val="center"/>
          </w:tcPr>
          <w:p>
            <w:pPr>
              <w:jc w:val="right"/>
            </w:pPr>
            <w:r>
              <w:t>99,8</w:t>
            </w:r>
          </w:p>
        </w:tc>
      </w:tr>
      <w:tr>
        <w:trPr>
          <w:trHeight w:val="255"/>
        </w:trPr>
        <w:tc>
          <w:tcPr>
            <w:tcW w:w="441" w:type="dxa"/>
            <w:shd w:val="clear" w:color="auto" w:fill="auto"/>
            <w:noWrap/>
            <w:vAlign w:val="center"/>
          </w:tcPr>
          <w:p>
            <w:pPr>
              <w:jc w:val="center"/>
            </w:pPr>
          </w:p>
        </w:tc>
        <w:tc>
          <w:tcPr>
            <w:tcW w:w="4252" w:type="dxa"/>
            <w:shd w:val="clear" w:color="auto" w:fill="auto"/>
            <w:vAlign w:val="center"/>
          </w:tcPr>
          <w:p>
            <w:r>
              <w:t xml:space="preserve">Всего по программам </w:t>
            </w:r>
          </w:p>
        </w:tc>
        <w:tc>
          <w:tcPr>
            <w:tcW w:w="1559" w:type="dxa"/>
            <w:shd w:val="clear" w:color="auto" w:fill="auto"/>
            <w:noWrap/>
            <w:vAlign w:val="center"/>
          </w:tcPr>
          <w:p>
            <w:pPr>
              <w:jc w:val="right"/>
            </w:pPr>
            <w:r>
              <w:t>121 477,76</w:t>
            </w:r>
          </w:p>
        </w:tc>
        <w:tc>
          <w:tcPr>
            <w:tcW w:w="1560" w:type="dxa"/>
            <w:shd w:val="clear" w:color="auto" w:fill="auto"/>
            <w:noWrap/>
            <w:vAlign w:val="center"/>
          </w:tcPr>
          <w:p>
            <w:pPr>
              <w:jc w:val="right"/>
            </w:pPr>
            <w:r>
              <w:t>116 466,68</w:t>
            </w:r>
          </w:p>
        </w:tc>
        <w:tc>
          <w:tcPr>
            <w:tcW w:w="1559" w:type="dxa"/>
            <w:shd w:val="clear" w:color="auto" w:fill="auto"/>
            <w:noWrap/>
            <w:vAlign w:val="center"/>
          </w:tcPr>
          <w:p>
            <w:pPr>
              <w:jc w:val="right"/>
            </w:pPr>
            <w:r>
              <w:t>95,9</w:t>
            </w:r>
          </w:p>
        </w:tc>
      </w:tr>
    </w:tbl>
    <w:p>
      <w:pPr>
        <w:pStyle w:val="31"/>
        <w:tabs>
          <w:tab w:val="clear" w:pos="5529"/>
        </w:tabs>
        <w:ind w:right="0" w:firstLine="709"/>
        <w:rPr>
          <w:sz w:val="24"/>
          <w:szCs w:val="24"/>
          <w:highlight w:val="yellow"/>
        </w:rPr>
      </w:pPr>
    </w:p>
    <w:p>
      <w:pPr>
        <w:pStyle w:val="31"/>
        <w:tabs>
          <w:tab w:val="clear" w:pos="5529"/>
        </w:tabs>
        <w:ind w:right="0" w:firstLine="709"/>
        <w:rPr>
          <w:sz w:val="24"/>
          <w:szCs w:val="24"/>
        </w:rPr>
      </w:pPr>
      <w:r>
        <w:rPr>
          <w:sz w:val="24"/>
          <w:szCs w:val="24"/>
        </w:rPr>
        <w:t xml:space="preserve">Всего за 2021 год расходы по </w:t>
      </w:r>
      <w:r>
        <w:rPr>
          <w:spacing w:val="-4"/>
          <w:sz w:val="24"/>
          <w:szCs w:val="24"/>
        </w:rPr>
        <w:t>непрограммным мероприятиям Администрации ЗАТО Северск составили 199 637,13 тыс.руб., из них:</w:t>
      </w:r>
    </w:p>
    <w:p>
      <w:pPr>
        <w:pStyle w:val="31"/>
        <w:tabs>
          <w:tab w:val="clear" w:pos="5529"/>
        </w:tabs>
        <w:ind w:right="0" w:firstLine="709"/>
        <w:rPr>
          <w:spacing w:val="-4"/>
          <w:sz w:val="24"/>
          <w:szCs w:val="24"/>
        </w:rPr>
      </w:pPr>
      <w:r>
        <w:rPr>
          <w:spacing w:val="-4"/>
          <w:sz w:val="24"/>
          <w:szCs w:val="24"/>
        </w:rPr>
        <w:t>1) на обеспечение деятельности Администрации ЗАТО Северск – 173 218,38 тыс.руб., из них:</w:t>
      </w:r>
    </w:p>
    <w:p>
      <w:pPr>
        <w:pStyle w:val="31"/>
        <w:tabs>
          <w:tab w:val="clear" w:pos="5529"/>
        </w:tabs>
        <w:ind w:right="0" w:firstLine="709"/>
        <w:jc w:val="left"/>
        <w:rPr>
          <w:sz w:val="24"/>
          <w:szCs w:val="24"/>
        </w:rPr>
      </w:pPr>
      <w:r>
        <w:rPr>
          <w:spacing w:val="-4"/>
          <w:sz w:val="24"/>
          <w:szCs w:val="24"/>
        </w:rPr>
        <w:t xml:space="preserve">- 145 032,99 тыс.руб. </w:t>
      </w:r>
      <w:r>
        <w:rPr>
          <w:sz w:val="24"/>
          <w:szCs w:val="24"/>
        </w:rPr>
        <w:t>на заработную плату с начислениями;</w:t>
      </w:r>
    </w:p>
    <w:p>
      <w:pPr>
        <w:pStyle w:val="31"/>
        <w:tabs>
          <w:tab w:val="clear" w:pos="5529"/>
        </w:tabs>
        <w:ind w:right="0" w:firstLine="709"/>
        <w:rPr>
          <w:sz w:val="24"/>
          <w:szCs w:val="24"/>
        </w:rPr>
      </w:pPr>
      <w:r>
        <w:rPr>
          <w:sz w:val="24"/>
          <w:szCs w:val="24"/>
        </w:rPr>
        <w:t>- 8 417,85 тыс.руб. на оплату услуг по комплексному обслуживанию зданий, уборке и вывозу снега, наледи, техническому обслуживанию автотранспорта, сопровождению программного обеспечения, охране зданий, погрузо-разгрузочным работам, проведение текущих ремонтов кабинетов;</w:t>
      </w:r>
    </w:p>
    <w:p>
      <w:pPr>
        <w:pStyle w:val="31"/>
        <w:tabs>
          <w:tab w:val="clear" w:pos="5529"/>
        </w:tabs>
        <w:ind w:right="0" w:firstLine="709"/>
        <w:rPr>
          <w:sz w:val="24"/>
          <w:szCs w:val="24"/>
        </w:rPr>
      </w:pPr>
      <w:r>
        <w:rPr>
          <w:sz w:val="24"/>
          <w:szCs w:val="24"/>
        </w:rPr>
        <w:t>- 6 826,12 тыс.руб. на приобретение материальных запасов;</w:t>
      </w:r>
    </w:p>
    <w:p>
      <w:pPr>
        <w:pStyle w:val="31"/>
        <w:tabs>
          <w:tab w:val="clear" w:pos="5529"/>
        </w:tabs>
        <w:ind w:right="0" w:firstLine="709"/>
        <w:rPr>
          <w:sz w:val="24"/>
          <w:szCs w:val="24"/>
        </w:rPr>
      </w:pPr>
      <w:r>
        <w:rPr>
          <w:sz w:val="24"/>
          <w:szCs w:val="24"/>
        </w:rPr>
        <w:t>- 4 756,74 тыс.руб. приобретение средств вычислительной техники и комплектующих к ней, оборудования, мебели;</w:t>
      </w:r>
    </w:p>
    <w:p>
      <w:pPr>
        <w:pStyle w:val="31"/>
        <w:tabs>
          <w:tab w:val="clear" w:pos="5529"/>
        </w:tabs>
        <w:ind w:right="0" w:firstLine="709"/>
        <w:jc w:val="left"/>
        <w:rPr>
          <w:sz w:val="24"/>
          <w:szCs w:val="24"/>
        </w:rPr>
      </w:pPr>
      <w:r>
        <w:rPr>
          <w:sz w:val="24"/>
          <w:szCs w:val="24"/>
        </w:rPr>
        <w:t>- 4 587,92 тыс.руб. на оплату коммунальных услуг;</w:t>
      </w:r>
    </w:p>
    <w:p>
      <w:pPr>
        <w:tabs>
          <w:tab w:val="left" w:pos="993"/>
        </w:tabs>
        <w:ind w:firstLine="709"/>
        <w:jc w:val="both"/>
        <w:rPr>
          <w:color w:val="000000"/>
          <w:sz w:val="24"/>
          <w:szCs w:val="24"/>
        </w:rPr>
      </w:pPr>
      <w:r>
        <w:rPr>
          <w:sz w:val="24"/>
          <w:szCs w:val="24"/>
        </w:rPr>
        <w:t xml:space="preserve">- </w:t>
      </w:r>
      <w:r>
        <w:rPr>
          <w:bCs/>
          <w:sz w:val="24"/>
          <w:szCs w:val="24"/>
        </w:rPr>
        <w:t xml:space="preserve">237,60 тыс.руб. – </w:t>
      </w:r>
      <w:r>
        <w:rPr>
          <w:bCs/>
          <w:color w:val="000000"/>
          <w:sz w:val="24"/>
          <w:szCs w:val="24"/>
        </w:rPr>
        <w:t>приобретение оборудования и средств индивидуальной защиты для реализации мероприятий, направленных на предупреждение распространения новой коронавирусной инфекции</w:t>
      </w:r>
      <w:r>
        <w:rPr>
          <w:color w:val="000000"/>
          <w:sz w:val="24"/>
          <w:szCs w:val="24"/>
        </w:rPr>
        <w:t>;</w:t>
      </w:r>
    </w:p>
    <w:p>
      <w:pPr>
        <w:pStyle w:val="31"/>
        <w:tabs>
          <w:tab w:val="clear" w:pos="5529"/>
        </w:tabs>
        <w:ind w:right="0" w:firstLine="709"/>
        <w:rPr>
          <w:sz w:val="24"/>
          <w:szCs w:val="24"/>
        </w:rPr>
      </w:pPr>
      <w:r>
        <w:rPr>
          <w:sz w:val="24"/>
          <w:szCs w:val="24"/>
        </w:rPr>
        <w:t>2) информационные расходы органа местного самоуправления – 13 437,28 тыс.руб.;</w:t>
      </w:r>
    </w:p>
    <w:p>
      <w:pPr>
        <w:pStyle w:val="31"/>
        <w:tabs>
          <w:tab w:val="clear" w:pos="5529"/>
        </w:tabs>
        <w:ind w:right="0" w:firstLine="709"/>
        <w:jc w:val="left"/>
        <w:rPr>
          <w:sz w:val="24"/>
        </w:rPr>
      </w:pPr>
      <w:r>
        <w:rPr>
          <w:sz w:val="24"/>
        </w:rPr>
        <w:t>3) обеспечение деятельности МКУ «Ресурсный центр» - 5 598,89 тыс.руб.;</w:t>
      </w:r>
    </w:p>
    <w:p>
      <w:pPr>
        <w:autoSpaceDE w:val="0"/>
        <w:autoSpaceDN w:val="0"/>
        <w:adjustRightInd w:val="0"/>
        <w:ind w:firstLine="709"/>
        <w:jc w:val="both"/>
        <w:rPr>
          <w:sz w:val="24"/>
          <w:szCs w:val="24"/>
        </w:rPr>
      </w:pPr>
      <w:r>
        <w:rPr>
          <w:sz w:val="24"/>
          <w:szCs w:val="24"/>
        </w:rPr>
        <w:t>4) выплаты лицам, удостоенным звания Почетный гражданин (17 чел.), включая погребение (2 чел.)  - 2 153,79 тыс.руб.;</w:t>
      </w:r>
    </w:p>
    <w:p>
      <w:pPr>
        <w:pStyle w:val="31"/>
        <w:tabs>
          <w:tab w:val="clear" w:pos="5529"/>
        </w:tabs>
        <w:ind w:right="0" w:firstLine="709"/>
        <w:rPr>
          <w:sz w:val="24"/>
        </w:rPr>
      </w:pPr>
      <w:r>
        <w:rPr>
          <w:sz w:val="24"/>
          <w:szCs w:val="24"/>
        </w:rPr>
        <w:t xml:space="preserve">5) </w:t>
      </w:r>
      <w:r>
        <w:rPr>
          <w:sz w:val="24"/>
        </w:rPr>
        <w:t>выплату однократного единовременного поощрения в связи с прекращением муниципальной службы и выходом на пенсию - 1 679,26 тыс.руб. (4 чел.);</w:t>
      </w:r>
    </w:p>
    <w:p>
      <w:pPr>
        <w:pStyle w:val="31"/>
        <w:tabs>
          <w:tab w:val="clear" w:pos="5529"/>
        </w:tabs>
        <w:ind w:right="0" w:firstLine="709"/>
        <w:rPr>
          <w:sz w:val="24"/>
          <w:szCs w:val="24"/>
        </w:rPr>
      </w:pPr>
      <w:r>
        <w:rPr>
          <w:sz w:val="24"/>
          <w:szCs w:val="24"/>
        </w:rPr>
        <w:t>6) оплату членских, целевых и других взносов для участия городского округа ЗАТО Северск в различных Ассоциациях, межмуниципальных объединениях и организациях, некоммерческих организациях - 1 572,46 тыс.руб.;</w:t>
      </w:r>
    </w:p>
    <w:p>
      <w:pPr>
        <w:pStyle w:val="31"/>
        <w:tabs>
          <w:tab w:val="clear" w:pos="5529"/>
        </w:tabs>
        <w:ind w:right="0" w:firstLine="709"/>
        <w:rPr>
          <w:sz w:val="24"/>
          <w:szCs w:val="24"/>
        </w:rPr>
      </w:pPr>
      <w:r>
        <w:rPr>
          <w:sz w:val="24"/>
          <w:szCs w:val="24"/>
        </w:rPr>
        <w:t>7) единовременные поощрительные выплаты: гражданам, чьи фотографии занесены на Доску почета в ЗАТО Северск (47 чел.); награжденным Почетной грамотой ЗАТО Северск (6 чел.)  - 825,0 тыс.руб.;</w:t>
      </w:r>
    </w:p>
    <w:p>
      <w:pPr>
        <w:pStyle w:val="31"/>
        <w:tabs>
          <w:tab w:val="clear" w:pos="5529"/>
        </w:tabs>
        <w:ind w:right="0" w:firstLine="709"/>
        <w:rPr>
          <w:sz w:val="24"/>
          <w:szCs w:val="24"/>
        </w:rPr>
      </w:pPr>
      <w:r>
        <w:rPr>
          <w:sz w:val="24"/>
          <w:szCs w:val="24"/>
        </w:rPr>
        <w:t>8) финансовое обеспечение мероприятий, направленных на профилактику и устранение последствий распространения коронавирусной инфекции Федеральному государственному бюджетному учреждению «Сибирский федеральный научно-клинический центр Федерального медико-биологического агентства» - 350,0 тыс.руб.</w:t>
      </w:r>
    </w:p>
    <w:p>
      <w:pPr>
        <w:rPr>
          <w:highlight w:val="yellow"/>
        </w:rPr>
      </w:pPr>
    </w:p>
    <w:p>
      <w:pPr>
        <w:pStyle w:val="3"/>
        <w:shd w:val="clear" w:color="auto" w:fill="FFFFFF"/>
        <w:spacing w:before="0" w:after="120"/>
        <w:jc w:val="center"/>
        <w:rPr>
          <w:rFonts w:ascii="Times New Roman" w:hAnsi="Times New Roman"/>
          <w:sz w:val="24"/>
          <w:szCs w:val="24"/>
        </w:rPr>
      </w:pPr>
      <w:r>
        <w:rPr>
          <w:rFonts w:ascii="Times New Roman" w:hAnsi="Times New Roman"/>
          <w:sz w:val="24"/>
          <w:szCs w:val="24"/>
        </w:rPr>
        <w:lastRenderedPageBreak/>
        <w:t>4.2.3. Финансовое управление Администрации ЗАТО Северск</w:t>
      </w:r>
    </w:p>
    <w:p>
      <w:pPr>
        <w:shd w:val="clear" w:color="auto" w:fill="FFFFFF"/>
        <w:ind w:firstLine="709"/>
        <w:jc w:val="both"/>
        <w:rPr>
          <w:sz w:val="24"/>
          <w:szCs w:val="24"/>
        </w:rPr>
      </w:pPr>
      <w:r>
        <w:rPr>
          <w:sz w:val="24"/>
          <w:szCs w:val="24"/>
        </w:rPr>
        <w:t xml:space="preserve">Кассовое исполнение расходов за 2021 год составило 41 593,65 тыс.руб. или 96,6 %    к утвержденным годовым назначениям. </w:t>
      </w:r>
    </w:p>
    <w:p>
      <w:pPr>
        <w:shd w:val="clear" w:color="auto" w:fill="FFFFFF"/>
        <w:ind w:firstLine="709"/>
        <w:jc w:val="both"/>
        <w:rPr>
          <w:sz w:val="24"/>
          <w:szCs w:val="24"/>
        </w:rPr>
      </w:pPr>
      <w:r>
        <w:rPr>
          <w:sz w:val="24"/>
          <w:szCs w:val="24"/>
        </w:rPr>
        <w:t xml:space="preserve">В общей структуре расходов удельный вес расходов, подведомственных Финансовому управлению составил 0,8%. </w:t>
      </w:r>
    </w:p>
    <w:p>
      <w:pPr>
        <w:shd w:val="clear" w:color="auto" w:fill="FFFFFF"/>
        <w:ind w:right="55" w:firstLine="708"/>
        <w:jc w:val="both"/>
        <w:rPr>
          <w:spacing w:val="-4"/>
          <w:sz w:val="24"/>
          <w:szCs w:val="24"/>
        </w:rPr>
      </w:pPr>
      <w:r>
        <w:rPr>
          <w:sz w:val="24"/>
          <w:szCs w:val="24"/>
        </w:rPr>
        <w:t xml:space="preserve">Исполнение расходов по программно-целевому принципу в рамках муниципальной программы </w:t>
      </w:r>
      <w:r>
        <w:rPr>
          <w:bCs/>
          <w:sz w:val="24"/>
          <w:szCs w:val="24"/>
        </w:rPr>
        <w:t xml:space="preserve">«Эффективное управление муниципальными финансами ЗАТО Северск» </w:t>
      </w:r>
      <w:r>
        <w:rPr>
          <w:sz w:val="24"/>
          <w:szCs w:val="24"/>
        </w:rPr>
        <w:t>составило 41 593,65 тыс.руб., что составляет 100 % от общей суммы расходов управления.</w:t>
      </w:r>
    </w:p>
    <w:p>
      <w:pPr>
        <w:shd w:val="clear" w:color="auto" w:fill="FFFFFF"/>
        <w:spacing w:line="274" w:lineRule="exact"/>
        <w:ind w:left="6" w:right="68" w:firstLine="697"/>
        <w:jc w:val="both"/>
        <w:rPr>
          <w:sz w:val="24"/>
          <w:szCs w:val="24"/>
        </w:rPr>
      </w:pPr>
      <w:r>
        <w:rPr>
          <w:sz w:val="24"/>
          <w:szCs w:val="24"/>
        </w:rPr>
        <w:t>Расходы на обслуживание долга в 2021 году при плане 14 638,91 тыс.руб., составили 14 117,10 тыс.руб., при этом первоначально на эти цели было предусмотрено 27 881,74 тыс.руб. Предпринятые меры по досрочному погашению бюджетного и коммерческого кредитов позволили сократить первоначальные расходы по обслуживанию муниципального долга на 13 764,64 тыс.руб.</w:t>
      </w:r>
    </w:p>
    <w:p>
      <w:pPr>
        <w:pStyle w:val="31"/>
        <w:tabs>
          <w:tab w:val="clear" w:pos="5529"/>
          <w:tab w:val="left" w:pos="709"/>
        </w:tabs>
        <w:ind w:right="0"/>
        <w:rPr>
          <w:spacing w:val="-4"/>
          <w:sz w:val="24"/>
          <w:szCs w:val="24"/>
          <w:highlight w:val="yellow"/>
        </w:rPr>
      </w:pPr>
    </w:p>
    <w:p>
      <w:pPr>
        <w:pStyle w:val="3"/>
        <w:spacing w:before="0" w:after="120"/>
        <w:ind w:right="28"/>
        <w:jc w:val="center"/>
        <w:rPr>
          <w:rFonts w:ascii="Times New Roman" w:hAnsi="Times New Roman"/>
          <w:sz w:val="24"/>
          <w:szCs w:val="24"/>
        </w:rPr>
      </w:pPr>
      <w:r>
        <w:rPr>
          <w:rFonts w:ascii="Times New Roman" w:hAnsi="Times New Roman"/>
          <w:sz w:val="24"/>
          <w:szCs w:val="24"/>
        </w:rPr>
        <w:t>4.2.4. Управление культуры Администрации ЗАТО Северск</w:t>
      </w:r>
    </w:p>
    <w:p>
      <w:pPr>
        <w:spacing w:before="120"/>
        <w:ind w:firstLine="709"/>
        <w:jc w:val="both"/>
        <w:rPr>
          <w:sz w:val="24"/>
          <w:szCs w:val="24"/>
        </w:rPr>
      </w:pPr>
      <w:r>
        <w:rPr>
          <w:sz w:val="24"/>
          <w:szCs w:val="24"/>
        </w:rPr>
        <w:t>Кассовое исполнение расходов за 2021 год составило 547 141,12 тыс.руб. или 99,9% к утвержденным годовым назначениям.</w:t>
      </w:r>
    </w:p>
    <w:p>
      <w:pPr>
        <w:pStyle w:val="31"/>
        <w:ind w:right="0" w:firstLine="709"/>
        <w:rPr>
          <w:sz w:val="24"/>
          <w:szCs w:val="24"/>
        </w:rPr>
      </w:pPr>
      <w:r>
        <w:rPr>
          <w:sz w:val="24"/>
          <w:szCs w:val="24"/>
        </w:rPr>
        <w:t xml:space="preserve">В общей структуре произведенных расходов удельный вес расходов, подведомственных Управлению культуры Администрации ЗАТО Северск, составил 10,9%. </w:t>
      </w:r>
    </w:p>
    <w:p>
      <w:pPr>
        <w:ind w:firstLine="709"/>
        <w:jc w:val="both"/>
        <w:rPr>
          <w:sz w:val="24"/>
          <w:szCs w:val="24"/>
        </w:rPr>
      </w:pPr>
      <w:r>
        <w:rPr>
          <w:sz w:val="24"/>
          <w:szCs w:val="24"/>
        </w:rPr>
        <w:t xml:space="preserve">Управлением культуры Администрации ЗАТО Северск за 2021 год </w:t>
      </w:r>
      <w:r>
        <w:rPr>
          <w:spacing w:val="-4"/>
          <w:sz w:val="24"/>
          <w:szCs w:val="24"/>
        </w:rPr>
        <w:t xml:space="preserve">исполнены </w:t>
      </w:r>
      <w:r>
        <w:rPr>
          <w:spacing w:val="-4"/>
          <w:sz w:val="24"/>
          <w:szCs w:val="24"/>
        </w:rPr>
        <w:br/>
        <w:t>2 муниципальные программы на общую сумму 546 801,60 тыс.руб. или 99,9</w:t>
      </w:r>
      <w:r>
        <w:rPr>
          <w:sz w:val="24"/>
          <w:szCs w:val="24"/>
        </w:rPr>
        <w:t xml:space="preserve">% </w:t>
      </w:r>
      <w:r>
        <w:rPr>
          <w:sz w:val="24"/>
          <w:szCs w:val="24"/>
        </w:rPr>
        <w:br/>
        <w:t>к утвержденным годовым назначениям.</w:t>
      </w:r>
    </w:p>
    <w:p>
      <w:pPr>
        <w:spacing w:before="120" w:after="60"/>
        <w:ind w:right="57" w:firstLine="709"/>
        <w:jc w:val="both"/>
        <w:rPr>
          <w:spacing w:val="-4"/>
          <w:sz w:val="24"/>
          <w:szCs w:val="24"/>
        </w:rPr>
      </w:pPr>
      <w:r>
        <w:rPr>
          <w:bCs/>
          <w:sz w:val="24"/>
          <w:szCs w:val="24"/>
        </w:rPr>
        <w:t>Таблица 48.</w:t>
      </w:r>
      <w:r>
        <w:rPr>
          <w:spacing w:val="-4"/>
          <w:sz w:val="24"/>
          <w:szCs w:val="24"/>
        </w:rPr>
        <w:t xml:space="preserve"> Анализ расходов Управления культуры в разрезе муниципальных программ</w:t>
      </w:r>
    </w:p>
    <w:tbl>
      <w:tblPr>
        <w:tblW w:w="9640" w:type="dxa"/>
        <w:tblInd w:w="-34" w:type="dxa"/>
        <w:tblLayout w:type="fixed"/>
        <w:tblLook w:val="04A0" w:firstRow="1" w:lastRow="0" w:firstColumn="1" w:lastColumn="0" w:noHBand="0" w:noVBand="1"/>
      </w:tblPr>
      <w:tblGrid>
        <w:gridCol w:w="567"/>
        <w:gridCol w:w="4537"/>
        <w:gridCol w:w="1559"/>
        <w:gridCol w:w="1559"/>
        <w:gridCol w:w="1418"/>
      </w:tblGrid>
      <w:tr>
        <w:trPr>
          <w:trHeight w:val="100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rPr>
                <w:lang w:val="en-US"/>
              </w:rPr>
              <w:t xml:space="preserve">№ </w:t>
            </w:r>
            <w:r>
              <w:t>п/п</w:t>
            </w:r>
          </w:p>
        </w:tc>
        <w:tc>
          <w:tcPr>
            <w:tcW w:w="4537"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Наименование программы</w:t>
            </w:r>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pPr>
              <w:jc w:val="center"/>
            </w:pPr>
            <w:r>
              <w:t>Уточненный план 2021 г., тыс.руб.</w:t>
            </w:r>
          </w:p>
        </w:tc>
        <w:tc>
          <w:tcPr>
            <w:tcW w:w="1559" w:type="dxa"/>
            <w:tcBorders>
              <w:top w:val="single" w:sz="4" w:space="0" w:color="auto"/>
              <w:left w:val="nil"/>
              <w:bottom w:val="single" w:sz="4" w:space="0" w:color="auto"/>
              <w:right w:val="single" w:sz="4" w:space="0" w:color="auto"/>
            </w:tcBorders>
            <w:shd w:val="clear" w:color="auto" w:fill="auto"/>
            <w:vAlign w:val="center"/>
          </w:tcPr>
          <w:p>
            <w:pPr>
              <w:ind w:right="-42"/>
              <w:jc w:val="center"/>
            </w:pPr>
            <w:r>
              <w:t xml:space="preserve">Исполнено </w:t>
            </w:r>
          </w:p>
          <w:p>
            <w:pPr>
              <w:ind w:right="-42"/>
              <w:jc w:val="center"/>
            </w:pPr>
            <w:r>
              <w:t>за 2021 г., тыс.руб.</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pPr>
              <w:jc w:val="center"/>
            </w:pPr>
            <w:r>
              <w:t xml:space="preserve">Процент исполнения </w:t>
            </w:r>
          </w:p>
          <w:p>
            <w:pPr>
              <w:jc w:val="center"/>
            </w:pPr>
            <w:r>
              <w:t>к плану</w:t>
            </w:r>
            <w:r>
              <w:br/>
              <w:t xml:space="preserve"> 2021 г.</w:t>
            </w:r>
          </w:p>
        </w:tc>
      </w:tr>
      <w:tr>
        <w:trPr>
          <w:trHeight w:val="524"/>
        </w:trPr>
        <w:tc>
          <w:tcPr>
            <w:tcW w:w="567" w:type="dxa"/>
            <w:tcBorders>
              <w:top w:val="nil"/>
              <w:left w:val="single" w:sz="4" w:space="0" w:color="auto"/>
              <w:bottom w:val="single" w:sz="4" w:space="0" w:color="auto"/>
              <w:right w:val="single" w:sz="4" w:space="0" w:color="auto"/>
            </w:tcBorders>
            <w:shd w:val="clear" w:color="auto" w:fill="auto"/>
            <w:noWrap/>
            <w:vAlign w:val="center"/>
          </w:tcPr>
          <w:p>
            <w:pPr>
              <w:jc w:val="center"/>
              <w:rPr>
                <w:bCs/>
              </w:rPr>
            </w:pPr>
            <w:r>
              <w:rPr>
                <w:bCs/>
              </w:rPr>
              <w:t>1.</w:t>
            </w:r>
          </w:p>
          <w:p>
            <w:pPr>
              <w:jc w:val="center"/>
              <w:rPr>
                <w:bCs/>
              </w:rPr>
            </w:pPr>
          </w:p>
        </w:tc>
        <w:tc>
          <w:tcPr>
            <w:tcW w:w="4537" w:type="dxa"/>
            <w:tcBorders>
              <w:top w:val="nil"/>
              <w:left w:val="nil"/>
              <w:bottom w:val="single" w:sz="4" w:space="0" w:color="auto"/>
              <w:right w:val="nil"/>
            </w:tcBorders>
            <w:shd w:val="clear" w:color="auto" w:fill="auto"/>
            <w:vAlign w:val="center"/>
          </w:tcPr>
          <w:p>
            <w:pPr>
              <w:rPr>
                <w:bCs/>
              </w:rPr>
            </w:pPr>
            <w:r>
              <w:t xml:space="preserve">МП </w:t>
            </w:r>
            <w:r>
              <w:rPr>
                <w:bCs/>
              </w:rPr>
              <w:t xml:space="preserve">«Развитие культуры и туризма в ЗАТО Северск» </w:t>
            </w:r>
          </w:p>
        </w:tc>
        <w:tc>
          <w:tcPr>
            <w:tcW w:w="1559" w:type="dxa"/>
            <w:tcBorders>
              <w:top w:val="nil"/>
              <w:left w:val="single" w:sz="4" w:space="0" w:color="auto"/>
              <w:bottom w:val="single" w:sz="4" w:space="0" w:color="auto"/>
              <w:right w:val="single" w:sz="4" w:space="0" w:color="auto"/>
            </w:tcBorders>
            <w:shd w:val="clear" w:color="auto" w:fill="auto"/>
            <w:noWrap/>
            <w:vAlign w:val="center"/>
          </w:tcPr>
          <w:p>
            <w:pPr>
              <w:jc w:val="right"/>
            </w:pPr>
            <w:r>
              <w:t>542 186,55</w:t>
            </w:r>
          </w:p>
        </w:tc>
        <w:tc>
          <w:tcPr>
            <w:tcW w:w="1559" w:type="dxa"/>
            <w:tcBorders>
              <w:top w:val="nil"/>
              <w:left w:val="nil"/>
              <w:bottom w:val="single" w:sz="4" w:space="0" w:color="auto"/>
              <w:right w:val="single" w:sz="4" w:space="0" w:color="auto"/>
            </w:tcBorders>
            <w:shd w:val="clear" w:color="auto" w:fill="auto"/>
            <w:noWrap/>
            <w:vAlign w:val="center"/>
          </w:tcPr>
          <w:p>
            <w:pPr>
              <w:jc w:val="right"/>
            </w:pPr>
            <w:r>
              <w:t>541 801,70</w:t>
            </w:r>
          </w:p>
        </w:tc>
        <w:tc>
          <w:tcPr>
            <w:tcW w:w="1418" w:type="dxa"/>
            <w:tcBorders>
              <w:top w:val="nil"/>
              <w:left w:val="nil"/>
              <w:bottom w:val="single" w:sz="4" w:space="0" w:color="auto"/>
              <w:right w:val="single" w:sz="4" w:space="0" w:color="auto"/>
            </w:tcBorders>
            <w:shd w:val="clear" w:color="auto" w:fill="auto"/>
            <w:noWrap/>
            <w:vAlign w:val="center"/>
          </w:tcPr>
          <w:p>
            <w:pPr>
              <w:jc w:val="right"/>
            </w:pPr>
            <w:r>
              <w:t>99,9</w:t>
            </w:r>
          </w:p>
        </w:tc>
      </w:tr>
      <w:tr>
        <w:trPr>
          <w:trHeight w:val="56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right="-160" w:hanging="108"/>
              <w:jc w:val="center"/>
            </w:pPr>
            <w:r>
              <w:t>2.</w:t>
            </w:r>
          </w:p>
        </w:tc>
        <w:tc>
          <w:tcPr>
            <w:tcW w:w="4537" w:type="dxa"/>
            <w:tcBorders>
              <w:top w:val="single" w:sz="4" w:space="0" w:color="auto"/>
              <w:left w:val="nil"/>
              <w:bottom w:val="single" w:sz="4" w:space="0" w:color="auto"/>
              <w:right w:val="single" w:sz="4" w:space="0" w:color="auto"/>
            </w:tcBorders>
            <w:shd w:val="clear" w:color="auto" w:fill="auto"/>
            <w:vAlign w:val="center"/>
          </w:tcPr>
          <w:p>
            <w:r>
              <w:t xml:space="preserve">МП «Обеспечение безопасности населения на территории ЗАТО Северск» </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5 000,00</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4 999,90</w:t>
            </w:r>
          </w:p>
        </w:tc>
        <w:tc>
          <w:tcPr>
            <w:tcW w:w="1418" w:type="dxa"/>
            <w:tcBorders>
              <w:top w:val="single" w:sz="4" w:space="0" w:color="auto"/>
              <w:left w:val="nil"/>
              <w:bottom w:val="single" w:sz="4" w:space="0" w:color="auto"/>
              <w:right w:val="single" w:sz="4" w:space="0" w:color="auto"/>
            </w:tcBorders>
            <w:shd w:val="clear" w:color="auto" w:fill="auto"/>
            <w:noWrap/>
            <w:vAlign w:val="center"/>
          </w:tcPr>
          <w:p>
            <w:pPr>
              <w:jc w:val="right"/>
            </w:pPr>
            <w:r>
              <w:t>100,0</w:t>
            </w:r>
          </w:p>
        </w:tc>
      </w:tr>
      <w:tr>
        <w:trPr>
          <w:trHeight w:val="29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pPr>
              <w:ind w:right="-160" w:hanging="108"/>
              <w:jc w:val="center"/>
            </w:pPr>
          </w:p>
        </w:tc>
        <w:tc>
          <w:tcPr>
            <w:tcW w:w="4537" w:type="dxa"/>
            <w:tcBorders>
              <w:top w:val="single" w:sz="4" w:space="0" w:color="auto"/>
              <w:left w:val="nil"/>
              <w:bottom w:val="single" w:sz="4" w:space="0" w:color="auto"/>
              <w:right w:val="single" w:sz="4" w:space="0" w:color="auto"/>
            </w:tcBorders>
            <w:shd w:val="clear" w:color="auto" w:fill="auto"/>
            <w:vAlign w:val="center"/>
          </w:tcPr>
          <w:p>
            <w:r>
              <w:t xml:space="preserve">Всего по программам </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rPr>
                <w:bCs/>
              </w:rPr>
            </w:pPr>
            <w:r>
              <w:rPr>
                <w:bCs/>
              </w:rPr>
              <w:t>547 186,55</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rPr>
                <w:bCs/>
              </w:rPr>
            </w:pPr>
            <w:r>
              <w:rPr>
                <w:bCs/>
              </w:rPr>
              <w:t>546 801,60</w:t>
            </w:r>
          </w:p>
        </w:tc>
        <w:tc>
          <w:tcPr>
            <w:tcW w:w="1418" w:type="dxa"/>
            <w:tcBorders>
              <w:top w:val="single" w:sz="4" w:space="0" w:color="auto"/>
              <w:left w:val="nil"/>
              <w:bottom w:val="single" w:sz="4" w:space="0" w:color="auto"/>
              <w:right w:val="single" w:sz="4" w:space="0" w:color="auto"/>
            </w:tcBorders>
            <w:shd w:val="clear" w:color="auto" w:fill="auto"/>
            <w:noWrap/>
            <w:vAlign w:val="center"/>
          </w:tcPr>
          <w:p>
            <w:pPr>
              <w:jc w:val="right"/>
              <w:rPr>
                <w:bCs/>
              </w:rPr>
            </w:pPr>
            <w:r>
              <w:rPr>
                <w:bCs/>
              </w:rPr>
              <w:t>99,9</w:t>
            </w:r>
          </w:p>
        </w:tc>
      </w:tr>
    </w:tbl>
    <w:p>
      <w:pPr>
        <w:pStyle w:val="31"/>
        <w:spacing w:before="120"/>
        <w:ind w:right="0" w:firstLine="709"/>
        <w:rPr>
          <w:spacing w:val="-4"/>
          <w:sz w:val="24"/>
          <w:szCs w:val="24"/>
        </w:rPr>
      </w:pPr>
      <w:r>
        <w:rPr>
          <w:sz w:val="24"/>
          <w:szCs w:val="24"/>
        </w:rPr>
        <w:t xml:space="preserve">Управлением культуры Администрации ЗАТО Северск 2021 год </w:t>
      </w:r>
      <w:r>
        <w:rPr>
          <w:spacing w:val="-4"/>
          <w:sz w:val="24"/>
          <w:szCs w:val="24"/>
        </w:rPr>
        <w:t>исполнены непрограммные мероприятия на сумму 339,52 тыс.руб. за счет средств областного бюджета. Средства резервного фонда ФНР Администрации Томской области были направлены на укрепление материально-технической базы муниципальных учреждений, в отношении которых Управление культуры выступает учредителем.</w:t>
      </w:r>
    </w:p>
    <w:p>
      <w:pPr>
        <w:spacing w:before="120" w:after="120"/>
        <w:ind w:firstLine="709"/>
        <w:jc w:val="both"/>
        <w:rPr>
          <w:sz w:val="24"/>
          <w:szCs w:val="24"/>
        </w:rPr>
      </w:pPr>
      <w:r>
        <w:rPr>
          <w:sz w:val="24"/>
          <w:szCs w:val="24"/>
        </w:rPr>
        <w:t>В разрезе разделов исполнение расходов осуществлялось по двум направлениям.</w:t>
      </w:r>
    </w:p>
    <w:p>
      <w:pPr>
        <w:spacing w:after="60"/>
        <w:ind w:firstLine="709"/>
        <w:jc w:val="both"/>
        <w:rPr>
          <w:sz w:val="24"/>
          <w:szCs w:val="24"/>
        </w:rPr>
      </w:pPr>
      <w:r>
        <w:rPr>
          <w:sz w:val="24"/>
          <w:szCs w:val="24"/>
        </w:rPr>
        <w:t xml:space="preserve">Таблица 49. Расходы </w:t>
      </w:r>
      <w:r>
        <w:rPr>
          <w:spacing w:val="-4"/>
          <w:sz w:val="24"/>
          <w:szCs w:val="24"/>
        </w:rPr>
        <w:t>Управления культуры</w:t>
      </w:r>
      <w:r>
        <w:rPr>
          <w:sz w:val="24"/>
          <w:szCs w:val="24"/>
        </w:rPr>
        <w:t xml:space="preserve"> по разделам за 2021 год </w:t>
      </w:r>
    </w:p>
    <w:tbl>
      <w:tblPr>
        <w:tblW w:w="9606" w:type="dxa"/>
        <w:tblLayout w:type="fixed"/>
        <w:tblLook w:val="04A0" w:firstRow="1" w:lastRow="0" w:firstColumn="1" w:lastColumn="0" w:noHBand="0" w:noVBand="1"/>
      </w:tblPr>
      <w:tblGrid>
        <w:gridCol w:w="709"/>
        <w:gridCol w:w="4361"/>
        <w:gridCol w:w="1559"/>
        <w:gridCol w:w="1559"/>
        <w:gridCol w:w="1418"/>
      </w:tblGrid>
      <w:tr>
        <w:trPr>
          <w:trHeight w:val="905"/>
        </w:trPr>
        <w:tc>
          <w:tcPr>
            <w:tcW w:w="709" w:type="dxa"/>
            <w:tcBorders>
              <w:top w:val="single" w:sz="4" w:space="0" w:color="auto"/>
              <w:left w:val="single" w:sz="4" w:space="0" w:color="auto"/>
              <w:right w:val="single" w:sz="4" w:space="0" w:color="auto"/>
            </w:tcBorders>
            <w:shd w:val="clear" w:color="auto" w:fill="auto"/>
            <w:textDirection w:val="btLr"/>
            <w:vAlign w:val="center"/>
          </w:tcPr>
          <w:p>
            <w:pPr>
              <w:jc w:val="center"/>
            </w:pPr>
            <w:r>
              <w:t>Раздел, подраздел</w:t>
            </w:r>
          </w:p>
        </w:tc>
        <w:tc>
          <w:tcPr>
            <w:tcW w:w="4361" w:type="dxa"/>
            <w:tcBorders>
              <w:top w:val="single" w:sz="4" w:space="0" w:color="auto"/>
              <w:left w:val="nil"/>
              <w:right w:val="single" w:sz="4" w:space="0" w:color="auto"/>
            </w:tcBorders>
            <w:shd w:val="clear" w:color="auto" w:fill="auto"/>
            <w:vAlign w:val="center"/>
          </w:tcPr>
          <w:p>
            <w:pPr>
              <w:jc w:val="center"/>
            </w:pPr>
            <w:r>
              <w:t>Наименование</w:t>
            </w:r>
          </w:p>
        </w:tc>
        <w:tc>
          <w:tcPr>
            <w:tcW w:w="1559" w:type="dxa"/>
            <w:tcBorders>
              <w:top w:val="single" w:sz="4" w:space="0" w:color="auto"/>
              <w:left w:val="nil"/>
              <w:right w:val="single" w:sz="4" w:space="0" w:color="auto"/>
            </w:tcBorders>
            <w:shd w:val="clear" w:color="auto" w:fill="auto"/>
            <w:vAlign w:val="center"/>
          </w:tcPr>
          <w:p>
            <w:pPr>
              <w:jc w:val="center"/>
            </w:pPr>
            <w:r>
              <w:t>Уточненный план 2021 г., тыс.руб.</w:t>
            </w:r>
          </w:p>
        </w:tc>
        <w:tc>
          <w:tcPr>
            <w:tcW w:w="1559" w:type="dxa"/>
            <w:tcBorders>
              <w:top w:val="single" w:sz="4" w:space="0" w:color="auto"/>
              <w:left w:val="nil"/>
              <w:right w:val="single" w:sz="4" w:space="0" w:color="auto"/>
            </w:tcBorders>
            <w:shd w:val="clear" w:color="auto" w:fill="auto"/>
            <w:vAlign w:val="center"/>
          </w:tcPr>
          <w:p>
            <w:pPr>
              <w:ind w:right="-42"/>
              <w:jc w:val="center"/>
            </w:pPr>
            <w:r>
              <w:t xml:space="preserve">Исполнено </w:t>
            </w:r>
          </w:p>
          <w:p>
            <w:pPr>
              <w:ind w:right="-42"/>
              <w:jc w:val="center"/>
            </w:pPr>
            <w:r>
              <w:t>за 2021 г., тыс.руб.</w:t>
            </w:r>
          </w:p>
        </w:tc>
        <w:tc>
          <w:tcPr>
            <w:tcW w:w="1418" w:type="dxa"/>
            <w:tcBorders>
              <w:top w:val="single" w:sz="4" w:space="0" w:color="auto"/>
              <w:left w:val="nil"/>
              <w:right w:val="single" w:sz="4" w:space="0" w:color="auto"/>
            </w:tcBorders>
            <w:vAlign w:val="center"/>
          </w:tcPr>
          <w:p>
            <w:pPr>
              <w:jc w:val="center"/>
            </w:pPr>
            <w:r>
              <w:t xml:space="preserve">Процент исполнения </w:t>
            </w:r>
          </w:p>
          <w:p>
            <w:pPr>
              <w:jc w:val="center"/>
            </w:pPr>
            <w:r>
              <w:t>к плану</w:t>
            </w:r>
            <w:r>
              <w:br/>
              <w:t xml:space="preserve"> 2021 г.</w:t>
            </w:r>
          </w:p>
        </w:tc>
      </w:tr>
      <w:tr>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p>
        </w:tc>
        <w:tc>
          <w:tcPr>
            <w:tcW w:w="4361" w:type="dxa"/>
            <w:tcBorders>
              <w:top w:val="single" w:sz="4" w:space="0" w:color="auto"/>
              <w:left w:val="nil"/>
              <w:bottom w:val="single" w:sz="4" w:space="0" w:color="auto"/>
              <w:right w:val="single" w:sz="4" w:space="0" w:color="auto"/>
            </w:tcBorders>
            <w:shd w:val="clear" w:color="auto" w:fill="auto"/>
            <w:vAlign w:val="center"/>
          </w:tcPr>
          <w:p>
            <w:pPr>
              <w:ind w:left="-363" w:firstLine="363"/>
            </w:pPr>
            <w:r>
              <w:t>Управление культуры:</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rPr>
                <w:bCs/>
              </w:rPr>
            </w:pPr>
            <w:r>
              <w:rPr>
                <w:bCs/>
              </w:rPr>
              <w:t>547 526,07</w:t>
            </w:r>
          </w:p>
        </w:tc>
        <w:tc>
          <w:tcPr>
            <w:tcW w:w="1559" w:type="dxa"/>
            <w:tcBorders>
              <w:top w:val="single" w:sz="4" w:space="0" w:color="auto"/>
              <w:left w:val="nil"/>
              <w:bottom w:val="single" w:sz="4" w:space="0" w:color="auto"/>
              <w:right w:val="single" w:sz="4" w:space="0" w:color="auto"/>
            </w:tcBorders>
            <w:vAlign w:val="center"/>
          </w:tcPr>
          <w:p>
            <w:pPr>
              <w:jc w:val="right"/>
              <w:rPr>
                <w:bCs/>
              </w:rPr>
            </w:pPr>
            <w:r>
              <w:rPr>
                <w:bCs/>
              </w:rPr>
              <w:t>547 141,12</w:t>
            </w:r>
          </w:p>
        </w:tc>
        <w:tc>
          <w:tcPr>
            <w:tcW w:w="1418" w:type="dxa"/>
            <w:tcBorders>
              <w:top w:val="single" w:sz="4" w:space="0" w:color="auto"/>
              <w:left w:val="nil"/>
              <w:bottom w:val="single" w:sz="4" w:space="0" w:color="auto"/>
              <w:right w:val="single" w:sz="4" w:space="0" w:color="auto"/>
            </w:tcBorders>
            <w:vAlign w:val="center"/>
          </w:tcPr>
          <w:p>
            <w:pPr>
              <w:jc w:val="right"/>
              <w:rPr>
                <w:bCs/>
              </w:rPr>
            </w:pPr>
            <w:r>
              <w:rPr>
                <w:bCs/>
              </w:rPr>
              <w:t>99,9</w:t>
            </w:r>
          </w:p>
        </w:tc>
      </w:tr>
      <w:tr>
        <w:trPr>
          <w:trHeight w:val="340"/>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0700</w:t>
            </w:r>
          </w:p>
        </w:tc>
        <w:tc>
          <w:tcPr>
            <w:tcW w:w="4361" w:type="dxa"/>
            <w:tcBorders>
              <w:top w:val="single" w:sz="4" w:space="0" w:color="auto"/>
              <w:left w:val="nil"/>
              <w:bottom w:val="single" w:sz="4" w:space="0" w:color="auto"/>
              <w:right w:val="single" w:sz="4" w:space="0" w:color="auto"/>
            </w:tcBorders>
            <w:shd w:val="clear" w:color="auto" w:fill="auto"/>
            <w:vAlign w:val="center"/>
          </w:tcPr>
          <w:p>
            <w:r>
              <w:t>Образование</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138 548,98</w:t>
            </w:r>
          </w:p>
        </w:tc>
        <w:tc>
          <w:tcPr>
            <w:tcW w:w="1559" w:type="dxa"/>
            <w:tcBorders>
              <w:top w:val="single" w:sz="4" w:space="0" w:color="auto"/>
              <w:left w:val="nil"/>
              <w:bottom w:val="single" w:sz="4" w:space="0" w:color="auto"/>
              <w:right w:val="single" w:sz="4" w:space="0" w:color="auto"/>
            </w:tcBorders>
            <w:vAlign w:val="center"/>
          </w:tcPr>
          <w:p>
            <w:pPr>
              <w:jc w:val="right"/>
            </w:pPr>
            <w:r>
              <w:t>138 519,93</w:t>
            </w:r>
          </w:p>
        </w:tc>
        <w:tc>
          <w:tcPr>
            <w:tcW w:w="1418" w:type="dxa"/>
            <w:tcBorders>
              <w:top w:val="single" w:sz="4" w:space="0" w:color="auto"/>
              <w:left w:val="nil"/>
              <w:bottom w:val="single" w:sz="4" w:space="0" w:color="auto"/>
              <w:right w:val="single" w:sz="4" w:space="0" w:color="auto"/>
            </w:tcBorders>
            <w:vAlign w:val="center"/>
          </w:tcPr>
          <w:p>
            <w:pPr>
              <w:jc w:val="right"/>
            </w:pPr>
            <w:r>
              <w:t>100,0</w:t>
            </w:r>
          </w:p>
        </w:tc>
      </w:tr>
      <w:tr>
        <w:trPr>
          <w:trHeight w:val="340"/>
        </w:trPr>
        <w:tc>
          <w:tcPr>
            <w:tcW w:w="709" w:type="dxa"/>
            <w:tcBorders>
              <w:top w:val="nil"/>
              <w:left w:val="single" w:sz="4" w:space="0" w:color="auto"/>
              <w:bottom w:val="single" w:sz="4" w:space="0" w:color="auto"/>
              <w:right w:val="single" w:sz="4" w:space="0" w:color="auto"/>
            </w:tcBorders>
            <w:shd w:val="clear" w:color="auto" w:fill="auto"/>
            <w:noWrap/>
            <w:vAlign w:val="center"/>
          </w:tcPr>
          <w:p>
            <w:pPr>
              <w:jc w:val="center"/>
            </w:pPr>
            <w:r>
              <w:t>0800</w:t>
            </w:r>
          </w:p>
        </w:tc>
        <w:tc>
          <w:tcPr>
            <w:tcW w:w="4361" w:type="dxa"/>
            <w:tcBorders>
              <w:top w:val="nil"/>
              <w:left w:val="nil"/>
              <w:bottom w:val="single" w:sz="4" w:space="0" w:color="auto"/>
              <w:right w:val="single" w:sz="4" w:space="0" w:color="auto"/>
            </w:tcBorders>
            <w:shd w:val="clear" w:color="auto" w:fill="auto"/>
            <w:vAlign w:val="center"/>
          </w:tcPr>
          <w:p>
            <w:r>
              <w:t>Культура, кинематография</w:t>
            </w:r>
          </w:p>
        </w:tc>
        <w:tc>
          <w:tcPr>
            <w:tcW w:w="1559" w:type="dxa"/>
            <w:tcBorders>
              <w:top w:val="nil"/>
              <w:left w:val="nil"/>
              <w:bottom w:val="single" w:sz="4" w:space="0" w:color="auto"/>
              <w:right w:val="single" w:sz="4" w:space="0" w:color="auto"/>
            </w:tcBorders>
            <w:shd w:val="clear" w:color="auto" w:fill="auto"/>
            <w:noWrap/>
            <w:vAlign w:val="center"/>
          </w:tcPr>
          <w:p>
            <w:pPr>
              <w:jc w:val="right"/>
            </w:pPr>
            <w:r>
              <w:t>408 977,09</w:t>
            </w:r>
          </w:p>
        </w:tc>
        <w:tc>
          <w:tcPr>
            <w:tcW w:w="1559" w:type="dxa"/>
            <w:tcBorders>
              <w:top w:val="nil"/>
              <w:left w:val="nil"/>
              <w:bottom w:val="single" w:sz="4" w:space="0" w:color="auto"/>
              <w:right w:val="single" w:sz="4" w:space="0" w:color="auto"/>
            </w:tcBorders>
            <w:vAlign w:val="center"/>
          </w:tcPr>
          <w:p>
            <w:pPr>
              <w:jc w:val="right"/>
            </w:pPr>
            <w:r>
              <w:t>408 621,19</w:t>
            </w:r>
          </w:p>
        </w:tc>
        <w:tc>
          <w:tcPr>
            <w:tcW w:w="1418" w:type="dxa"/>
            <w:tcBorders>
              <w:top w:val="nil"/>
              <w:left w:val="nil"/>
              <w:bottom w:val="single" w:sz="4" w:space="0" w:color="auto"/>
              <w:right w:val="single" w:sz="4" w:space="0" w:color="auto"/>
            </w:tcBorders>
            <w:vAlign w:val="center"/>
          </w:tcPr>
          <w:p>
            <w:pPr>
              <w:jc w:val="right"/>
            </w:pPr>
            <w:r>
              <w:t>99,9</w:t>
            </w:r>
          </w:p>
        </w:tc>
      </w:tr>
    </w:tbl>
    <w:p>
      <w:pPr>
        <w:pStyle w:val="31"/>
        <w:spacing w:after="120"/>
        <w:ind w:right="0"/>
        <w:jc w:val="center"/>
        <w:rPr>
          <w:b/>
          <w:sz w:val="24"/>
          <w:szCs w:val="24"/>
          <w:highlight w:val="yellow"/>
        </w:rPr>
      </w:pPr>
    </w:p>
    <w:p>
      <w:pPr>
        <w:pStyle w:val="3"/>
        <w:spacing w:before="0" w:after="0"/>
        <w:ind w:right="28"/>
        <w:jc w:val="center"/>
        <w:rPr>
          <w:rFonts w:ascii="Times New Roman" w:hAnsi="Times New Roman"/>
          <w:sz w:val="24"/>
          <w:szCs w:val="24"/>
        </w:rPr>
      </w:pPr>
      <w:r>
        <w:rPr>
          <w:rFonts w:ascii="Times New Roman" w:hAnsi="Times New Roman"/>
          <w:sz w:val="24"/>
          <w:szCs w:val="24"/>
        </w:rPr>
        <w:lastRenderedPageBreak/>
        <w:t>4.2.5. Управление молодежной и семейной политики, физической культуры и спорта Администрации ЗАТО Северск</w:t>
      </w:r>
    </w:p>
    <w:p>
      <w:pPr>
        <w:spacing w:before="120"/>
        <w:ind w:firstLine="709"/>
        <w:jc w:val="both"/>
        <w:rPr>
          <w:sz w:val="24"/>
          <w:szCs w:val="24"/>
        </w:rPr>
      </w:pPr>
      <w:r>
        <w:rPr>
          <w:sz w:val="24"/>
          <w:szCs w:val="24"/>
        </w:rPr>
        <w:t>Кассовое исполнение расходов за 2021 год составило 509 047,55 тыс.руб. или 100,0% к утвержденным годовым назначениям.</w:t>
      </w:r>
    </w:p>
    <w:p>
      <w:pPr>
        <w:pStyle w:val="31"/>
        <w:ind w:right="0" w:firstLine="709"/>
        <w:rPr>
          <w:sz w:val="24"/>
          <w:szCs w:val="24"/>
        </w:rPr>
      </w:pPr>
      <w:r>
        <w:rPr>
          <w:sz w:val="24"/>
          <w:szCs w:val="24"/>
        </w:rPr>
        <w:t xml:space="preserve">В общей структуре произведенных расходов удельный вес расходов, подведомственных УМСП ФКиС, составил 10,1%. </w:t>
      </w:r>
    </w:p>
    <w:p>
      <w:pPr>
        <w:ind w:firstLine="709"/>
        <w:jc w:val="both"/>
        <w:rPr>
          <w:sz w:val="24"/>
          <w:szCs w:val="24"/>
        </w:rPr>
      </w:pPr>
      <w:r>
        <w:rPr>
          <w:sz w:val="24"/>
          <w:szCs w:val="24"/>
        </w:rPr>
        <w:t>УМСП ФКиС является ответственным исполнителем двух муниципальных программ и участником одной муниципальной программы,</w:t>
      </w:r>
      <w:r>
        <w:rPr>
          <w:bCs/>
          <w:sz w:val="24"/>
          <w:szCs w:val="24"/>
        </w:rPr>
        <w:t xml:space="preserve"> расходы составили суммарно</w:t>
      </w:r>
      <w:r>
        <w:rPr>
          <w:sz w:val="24"/>
          <w:szCs w:val="24"/>
        </w:rPr>
        <w:t xml:space="preserve"> 506 660,27</w:t>
      </w:r>
      <w:r>
        <w:rPr>
          <w:spacing w:val="-4"/>
          <w:sz w:val="24"/>
          <w:szCs w:val="24"/>
        </w:rPr>
        <w:t> тыс.руб. или 100,0</w:t>
      </w:r>
      <w:r>
        <w:rPr>
          <w:sz w:val="24"/>
          <w:szCs w:val="24"/>
        </w:rPr>
        <w:t xml:space="preserve"> % к утвержденным годовым назначениям.</w:t>
      </w:r>
    </w:p>
    <w:p>
      <w:pPr>
        <w:spacing w:before="120" w:after="120"/>
        <w:ind w:right="57" w:firstLine="709"/>
        <w:jc w:val="both"/>
        <w:rPr>
          <w:sz w:val="24"/>
          <w:szCs w:val="24"/>
        </w:rPr>
      </w:pPr>
      <w:r>
        <w:rPr>
          <w:bCs/>
          <w:sz w:val="24"/>
          <w:szCs w:val="24"/>
        </w:rPr>
        <w:t>Таблица 50.</w:t>
      </w:r>
      <w:r>
        <w:rPr>
          <w:spacing w:val="-4"/>
          <w:sz w:val="24"/>
          <w:szCs w:val="24"/>
        </w:rPr>
        <w:t xml:space="preserve"> Расходы УМСП ФКиС в разрезе МП</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961"/>
        <w:gridCol w:w="1417"/>
        <w:gridCol w:w="1276"/>
        <w:gridCol w:w="1276"/>
      </w:tblGrid>
      <w:tr>
        <w:trPr>
          <w:cantSplit/>
          <w:trHeight w:val="960"/>
        </w:trPr>
        <w:tc>
          <w:tcPr>
            <w:tcW w:w="426" w:type="dxa"/>
            <w:shd w:val="clear" w:color="auto" w:fill="auto"/>
            <w:noWrap/>
            <w:textDirection w:val="btLr"/>
            <w:vAlign w:val="center"/>
          </w:tcPr>
          <w:p>
            <w:pPr>
              <w:ind w:left="-57" w:right="-57"/>
              <w:jc w:val="center"/>
            </w:pPr>
            <w:r>
              <w:rPr>
                <w:lang w:val="en-US"/>
              </w:rPr>
              <w:t xml:space="preserve">№ </w:t>
            </w:r>
            <w:r>
              <w:t>п/п</w:t>
            </w:r>
          </w:p>
        </w:tc>
        <w:tc>
          <w:tcPr>
            <w:tcW w:w="4961" w:type="dxa"/>
            <w:shd w:val="clear" w:color="auto" w:fill="auto"/>
            <w:vAlign w:val="center"/>
          </w:tcPr>
          <w:p>
            <w:pPr>
              <w:jc w:val="center"/>
            </w:pPr>
            <w:r>
              <w:t>Наименование программы</w:t>
            </w:r>
          </w:p>
        </w:tc>
        <w:tc>
          <w:tcPr>
            <w:tcW w:w="1417" w:type="dxa"/>
            <w:shd w:val="clear" w:color="000000" w:fill="FFFFFF"/>
            <w:vAlign w:val="center"/>
          </w:tcPr>
          <w:p>
            <w:pPr>
              <w:jc w:val="center"/>
            </w:pPr>
            <w:r>
              <w:t>Уточненный план</w:t>
            </w:r>
            <w:r>
              <w:br/>
              <w:t>2021 г., тыс.руб.</w:t>
            </w:r>
          </w:p>
        </w:tc>
        <w:tc>
          <w:tcPr>
            <w:tcW w:w="1276" w:type="dxa"/>
            <w:shd w:val="clear" w:color="auto" w:fill="auto"/>
            <w:vAlign w:val="center"/>
          </w:tcPr>
          <w:p>
            <w:pPr>
              <w:ind w:right="-42"/>
              <w:jc w:val="center"/>
            </w:pPr>
            <w:r>
              <w:t xml:space="preserve">Исполнено </w:t>
            </w:r>
          </w:p>
          <w:p>
            <w:pPr>
              <w:ind w:right="-42"/>
              <w:jc w:val="center"/>
            </w:pPr>
            <w:r>
              <w:t>за 2021 г., тыс.руб.</w:t>
            </w:r>
          </w:p>
        </w:tc>
        <w:tc>
          <w:tcPr>
            <w:tcW w:w="1276" w:type="dxa"/>
            <w:shd w:val="clear" w:color="auto" w:fill="auto"/>
            <w:vAlign w:val="center"/>
          </w:tcPr>
          <w:p>
            <w:pPr>
              <w:jc w:val="center"/>
            </w:pPr>
            <w:r>
              <w:t xml:space="preserve">Процент исполнения </w:t>
            </w:r>
          </w:p>
          <w:p>
            <w:pPr>
              <w:jc w:val="center"/>
            </w:pPr>
            <w:r>
              <w:t>к плану</w:t>
            </w:r>
            <w:r>
              <w:br/>
              <w:t xml:space="preserve"> 2021 г.</w:t>
            </w:r>
          </w:p>
        </w:tc>
      </w:tr>
      <w:tr>
        <w:trPr>
          <w:trHeight w:val="406"/>
        </w:trPr>
        <w:tc>
          <w:tcPr>
            <w:tcW w:w="426" w:type="dxa"/>
            <w:shd w:val="clear" w:color="auto" w:fill="auto"/>
            <w:noWrap/>
            <w:vAlign w:val="center"/>
          </w:tcPr>
          <w:p>
            <w:pPr>
              <w:jc w:val="center"/>
            </w:pPr>
            <w:r>
              <w:t>1</w:t>
            </w:r>
          </w:p>
        </w:tc>
        <w:tc>
          <w:tcPr>
            <w:tcW w:w="4961" w:type="dxa"/>
            <w:shd w:val="clear" w:color="auto" w:fill="auto"/>
            <w:vAlign w:val="center"/>
          </w:tcPr>
          <w:p>
            <w:r>
              <w:t>МП «Развитие физической культуры и спорта в ЗАТО Северск»</w:t>
            </w:r>
          </w:p>
        </w:tc>
        <w:tc>
          <w:tcPr>
            <w:tcW w:w="1417" w:type="dxa"/>
            <w:shd w:val="clear" w:color="auto" w:fill="auto"/>
            <w:noWrap/>
            <w:vAlign w:val="center"/>
          </w:tcPr>
          <w:p>
            <w:pPr>
              <w:jc w:val="right"/>
            </w:pPr>
            <w:r>
              <w:t>390 169,44</w:t>
            </w:r>
          </w:p>
        </w:tc>
        <w:tc>
          <w:tcPr>
            <w:tcW w:w="1276" w:type="dxa"/>
            <w:shd w:val="clear" w:color="auto" w:fill="auto"/>
            <w:noWrap/>
            <w:vAlign w:val="center"/>
          </w:tcPr>
          <w:p>
            <w:pPr>
              <w:jc w:val="right"/>
            </w:pPr>
            <w:r>
              <w:t>390 169,01</w:t>
            </w:r>
          </w:p>
        </w:tc>
        <w:tc>
          <w:tcPr>
            <w:tcW w:w="1276" w:type="dxa"/>
            <w:shd w:val="clear" w:color="auto" w:fill="auto"/>
            <w:noWrap/>
            <w:vAlign w:val="center"/>
          </w:tcPr>
          <w:p>
            <w:pPr>
              <w:jc w:val="right"/>
            </w:pPr>
            <w:r>
              <w:t>100,0</w:t>
            </w:r>
          </w:p>
        </w:tc>
      </w:tr>
      <w:tr>
        <w:trPr>
          <w:trHeight w:val="406"/>
        </w:trPr>
        <w:tc>
          <w:tcPr>
            <w:tcW w:w="426" w:type="dxa"/>
            <w:shd w:val="clear" w:color="auto" w:fill="auto"/>
            <w:noWrap/>
            <w:vAlign w:val="center"/>
          </w:tcPr>
          <w:p>
            <w:pPr>
              <w:jc w:val="center"/>
            </w:pPr>
            <w:r>
              <w:t>2</w:t>
            </w:r>
          </w:p>
        </w:tc>
        <w:tc>
          <w:tcPr>
            <w:tcW w:w="4961" w:type="dxa"/>
            <w:shd w:val="clear" w:color="auto" w:fill="auto"/>
            <w:vAlign w:val="center"/>
          </w:tcPr>
          <w:p>
            <w:r>
              <w:t xml:space="preserve">МП «Молодежная политика в ЗАТО Северск» </w:t>
            </w:r>
          </w:p>
        </w:tc>
        <w:tc>
          <w:tcPr>
            <w:tcW w:w="1417" w:type="dxa"/>
            <w:shd w:val="clear" w:color="auto" w:fill="auto"/>
            <w:noWrap/>
            <w:vAlign w:val="center"/>
          </w:tcPr>
          <w:p>
            <w:pPr>
              <w:jc w:val="right"/>
            </w:pPr>
            <w:r>
              <w:t>111 073,75</w:t>
            </w:r>
          </w:p>
        </w:tc>
        <w:tc>
          <w:tcPr>
            <w:tcW w:w="1276" w:type="dxa"/>
            <w:shd w:val="clear" w:color="auto" w:fill="auto"/>
            <w:noWrap/>
            <w:vAlign w:val="center"/>
          </w:tcPr>
          <w:p>
            <w:pPr>
              <w:jc w:val="right"/>
            </w:pPr>
            <w:r>
              <w:t>111  065,26</w:t>
            </w:r>
          </w:p>
        </w:tc>
        <w:tc>
          <w:tcPr>
            <w:tcW w:w="1276" w:type="dxa"/>
            <w:shd w:val="clear" w:color="auto" w:fill="auto"/>
            <w:noWrap/>
            <w:vAlign w:val="center"/>
          </w:tcPr>
          <w:p>
            <w:pPr>
              <w:jc w:val="right"/>
            </w:pPr>
            <w:r>
              <w:t>100,0</w:t>
            </w:r>
          </w:p>
        </w:tc>
      </w:tr>
      <w:tr>
        <w:trPr>
          <w:trHeight w:val="366"/>
        </w:trPr>
        <w:tc>
          <w:tcPr>
            <w:tcW w:w="426" w:type="dxa"/>
            <w:shd w:val="clear" w:color="auto" w:fill="auto"/>
            <w:noWrap/>
            <w:vAlign w:val="center"/>
          </w:tcPr>
          <w:p>
            <w:pPr>
              <w:jc w:val="center"/>
            </w:pPr>
            <w:r>
              <w:t>3</w:t>
            </w:r>
          </w:p>
        </w:tc>
        <w:tc>
          <w:tcPr>
            <w:tcW w:w="4961" w:type="dxa"/>
            <w:shd w:val="clear" w:color="auto" w:fill="auto"/>
            <w:vAlign w:val="center"/>
          </w:tcPr>
          <w:p>
            <w:r>
              <w:t>МП «Обеспечение безопасности населения на территории ЗАТО Северск»</w:t>
            </w:r>
          </w:p>
        </w:tc>
        <w:tc>
          <w:tcPr>
            <w:tcW w:w="1417" w:type="dxa"/>
            <w:shd w:val="clear" w:color="auto" w:fill="auto"/>
            <w:noWrap/>
            <w:vAlign w:val="center"/>
          </w:tcPr>
          <w:p>
            <w:pPr>
              <w:jc w:val="right"/>
            </w:pPr>
            <w:r>
              <w:t>5 426,00</w:t>
            </w:r>
          </w:p>
        </w:tc>
        <w:tc>
          <w:tcPr>
            <w:tcW w:w="1276" w:type="dxa"/>
            <w:shd w:val="clear" w:color="auto" w:fill="auto"/>
            <w:noWrap/>
            <w:vAlign w:val="center"/>
          </w:tcPr>
          <w:p>
            <w:pPr>
              <w:jc w:val="right"/>
            </w:pPr>
            <w:r>
              <w:t>5 426,00</w:t>
            </w:r>
          </w:p>
        </w:tc>
        <w:tc>
          <w:tcPr>
            <w:tcW w:w="1276" w:type="dxa"/>
            <w:shd w:val="clear" w:color="auto" w:fill="auto"/>
            <w:noWrap/>
            <w:vAlign w:val="center"/>
          </w:tcPr>
          <w:p>
            <w:pPr>
              <w:jc w:val="right"/>
            </w:pPr>
            <w:r>
              <w:t>100,0</w:t>
            </w:r>
          </w:p>
        </w:tc>
      </w:tr>
      <w:tr>
        <w:trPr>
          <w:trHeight w:val="366"/>
        </w:trPr>
        <w:tc>
          <w:tcPr>
            <w:tcW w:w="426" w:type="dxa"/>
            <w:shd w:val="clear" w:color="auto" w:fill="auto"/>
            <w:noWrap/>
            <w:vAlign w:val="center"/>
          </w:tcPr>
          <w:p>
            <w:pPr>
              <w:jc w:val="center"/>
            </w:pPr>
          </w:p>
        </w:tc>
        <w:tc>
          <w:tcPr>
            <w:tcW w:w="4961" w:type="dxa"/>
            <w:shd w:val="clear" w:color="auto" w:fill="auto"/>
            <w:vAlign w:val="center"/>
          </w:tcPr>
          <w:p>
            <w:r>
              <w:t>Всего по программам</w:t>
            </w:r>
          </w:p>
        </w:tc>
        <w:tc>
          <w:tcPr>
            <w:tcW w:w="1417" w:type="dxa"/>
            <w:shd w:val="clear" w:color="auto" w:fill="auto"/>
            <w:noWrap/>
            <w:vAlign w:val="center"/>
          </w:tcPr>
          <w:p>
            <w:pPr>
              <w:jc w:val="right"/>
            </w:pPr>
            <w:r>
              <w:t>506 669,19</w:t>
            </w:r>
          </w:p>
        </w:tc>
        <w:tc>
          <w:tcPr>
            <w:tcW w:w="1276" w:type="dxa"/>
            <w:shd w:val="clear" w:color="auto" w:fill="auto"/>
            <w:noWrap/>
            <w:vAlign w:val="center"/>
          </w:tcPr>
          <w:p>
            <w:pPr>
              <w:jc w:val="right"/>
            </w:pPr>
            <w:r>
              <w:t>506 660,27</w:t>
            </w:r>
          </w:p>
        </w:tc>
        <w:tc>
          <w:tcPr>
            <w:tcW w:w="1276" w:type="dxa"/>
            <w:shd w:val="clear" w:color="auto" w:fill="auto"/>
            <w:noWrap/>
            <w:vAlign w:val="center"/>
          </w:tcPr>
          <w:p>
            <w:pPr>
              <w:jc w:val="right"/>
            </w:pPr>
            <w:r>
              <w:t>100,0</w:t>
            </w:r>
          </w:p>
        </w:tc>
      </w:tr>
    </w:tbl>
    <w:p>
      <w:pPr>
        <w:pStyle w:val="31"/>
        <w:tabs>
          <w:tab w:val="clear" w:pos="5529"/>
          <w:tab w:val="left" w:pos="709"/>
        </w:tabs>
        <w:ind w:right="0" w:firstLine="709"/>
        <w:rPr>
          <w:spacing w:val="-4"/>
          <w:sz w:val="24"/>
          <w:szCs w:val="24"/>
        </w:rPr>
      </w:pPr>
      <w:r>
        <w:rPr>
          <w:sz w:val="24"/>
          <w:szCs w:val="24"/>
        </w:rPr>
        <w:t xml:space="preserve">УМСП ФКиС за 2021 год </w:t>
      </w:r>
      <w:r>
        <w:rPr>
          <w:spacing w:val="-4"/>
          <w:sz w:val="24"/>
          <w:szCs w:val="24"/>
        </w:rPr>
        <w:t xml:space="preserve">исполнялись непрограммные мероприятия: </w:t>
      </w:r>
    </w:p>
    <w:p>
      <w:pPr>
        <w:pStyle w:val="31"/>
        <w:tabs>
          <w:tab w:val="clear" w:pos="5529"/>
          <w:tab w:val="left" w:pos="709"/>
        </w:tabs>
        <w:ind w:right="0" w:firstLine="709"/>
        <w:rPr>
          <w:color w:val="FF0000"/>
          <w:spacing w:val="-4"/>
          <w:sz w:val="24"/>
          <w:szCs w:val="24"/>
          <w:highlight w:val="yellow"/>
        </w:rPr>
      </w:pPr>
      <w:r>
        <w:rPr>
          <w:spacing w:val="-4"/>
          <w:sz w:val="24"/>
          <w:szCs w:val="24"/>
        </w:rPr>
        <w:t xml:space="preserve">- в сумме 546,38 тыс.руб. за счет средств резервного фонда ФНР Администрации  ЗАТО Северск средства направлены </w:t>
      </w:r>
      <w:r>
        <w:rPr>
          <w:sz w:val="24"/>
          <w:szCs w:val="24"/>
        </w:rPr>
        <w:t>на выплату однократного единовременного поощрения в связи с прекращением муниципальной службы (выходом на пенсию).</w:t>
      </w:r>
      <w:r>
        <w:rPr>
          <w:spacing w:val="-4"/>
          <w:sz w:val="24"/>
          <w:szCs w:val="24"/>
        </w:rPr>
        <w:t>;</w:t>
      </w:r>
    </w:p>
    <w:p>
      <w:pPr>
        <w:pStyle w:val="31"/>
        <w:spacing w:before="120"/>
        <w:ind w:right="0" w:firstLine="709"/>
        <w:rPr>
          <w:spacing w:val="-4"/>
          <w:sz w:val="24"/>
          <w:szCs w:val="24"/>
        </w:rPr>
      </w:pPr>
      <w:r>
        <w:rPr>
          <w:spacing w:val="-4"/>
          <w:sz w:val="24"/>
          <w:szCs w:val="24"/>
        </w:rPr>
        <w:t>- в сумме 1 840,90 тыс.руб. за счет средств областного бюджета. Средства резервного фонда ФНР Администрации Томской области были направлены на укрепление материально-технической базы муниципальных учреждений, в отношении которых УМСП ФКиС выступает учредителем.</w:t>
      </w:r>
    </w:p>
    <w:p>
      <w:pPr>
        <w:spacing w:before="120"/>
        <w:ind w:firstLine="709"/>
        <w:jc w:val="both"/>
        <w:rPr>
          <w:sz w:val="24"/>
          <w:szCs w:val="24"/>
        </w:rPr>
      </w:pPr>
      <w:r>
        <w:rPr>
          <w:sz w:val="24"/>
          <w:szCs w:val="24"/>
        </w:rPr>
        <w:t xml:space="preserve">В разрезе разделов исполнение расходов осуществлялось по трем направлениям: </w:t>
      </w:r>
    </w:p>
    <w:p>
      <w:pPr>
        <w:spacing w:before="120" w:after="120"/>
        <w:ind w:right="57" w:firstLine="709"/>
        <w:jc w:val="both"/>
        <w:rPr>
          <w:sz w:val="24"/>
          <w:szCs w:val="24"/>
        </w:rPr>
      </w:pPr>
      <w:r>
        <w:rPr>
          <w:sz w:val="24"/>
          <w:szCs w:val="24"/>
        </w:rPr>
        <w:t>Таблица 51. Расходы УМСП ФКиС по разделам за 2021 год</w:t>
      </w:r>
    </w:p>
    <w:tbl>
      <w:tblPr>
        <w:tblW w:w="9395" w:type="dxa"/>
        <w:jc w:val="center"/>
        <w:tblLayout w:type="fixed"/>
        <w:tblLook w:val="04A0" w:firstRow="1" w:lastRow="0" w:firstColumn="1" w:lastColumn="0" w:noHBand="0" w:noVBand="1"/>
      </w:tblPr>
      <w:tblGrid>
        <w:gridCol w:w="1135"/>
        <w:gridCol w:w="4131"/>
        <w:gridCol w:w="1559"/>
        <w:gridCol w:w="1291"/>
        <w:gridCol w:w="1279"/>
      </w:tblGrid>
      <w:tr>
        <w:trPr>
          <w:trHeight w:val="984"/>
          <w:jc w:val="center"/>
        </w:trPr>
        <w:tc>
          <w:tcPr>
            <w:tcW w:w="1135" w:type="dxa"/>
            <w:tcBorders>
              <w:top w:val="single" w:sz="4" w:space="0" w:color="auto"/>
              <w:left w:val="single" w:sz="4" w:space="0" w:color="auto"/>
              <w:right w:val="single" w:sz="4" w:space="0" w:color="auto"/>
            </w:tcBorders>
            <w:shd w:val="clear" w:color="auto" w:fill="auto"/>
            <w:textDirection w:val="btLr"/>
            <w:vAlign w:val="center"/>
          </w:tcPr>
          <w:p>
            <w:pPr>
              <w:jc w:val="center"/>
            </w:pPr>
            <w:r>
              <w:t>Раздел, подраздел</w:t>
            </w:r>
          </w:p>
        </w:tc>
        <w:tc>
          <w:tcPr>
            <w:tcW w:w="4131" w:type="dxa"/>
            <w:tcBorders>
              <w:top w:val="single" w:sz="4" w:space="0" w:color="auto"/>
              <w:left w:val="nil"/>
              <w:right w:val="single" w:sz="4" w:space="0" w:color="auto"/>
            </w:tcBorders>
            <w:shd w:val="clear" w:color="auto" w:fill="auto"/>
            <w:vAlign w:val="center"/>
          </w:tcPr>
          <w:p>
            <w:pPr>
              <w:jc w:val="center"/>
            </w:pPr>
            <w:r>
              <w:t>Наименование</w:t>
            </w:r>
          </w:p>
        </w:tc>
        <w:tc>
          <w:tcPr>
            <w:tcW w:w="1559" w:type="dxa"/>
            <w:tcBorders>
              <w:top w:val="single" w:sz="4" w:space="0" w:color="auto"/>
              <w:left w:val="nil"/>
              <w:right w:val="single" w:sz="4" w:space="0" w:color="auto"/>
            </w:tcBorders>
            <w:shd w:val="clear" w:color="auto" w:fill="auto"/>
            <w:vAlign w:val="center"/>
          </w:tcPr>
          <w:p>
            <w:pPr>
              <w:jc w:val="center"/>
            </w:pPr>
            <w:r>
              <w:t>Уточненный план</w:t>
            </w:r>
            <w:r>
              <w:br/>
              <w:t>2021 г., тыс.руб.</w:t>
            </w:r>
          </w:p>
        </w:tc>
        <w:tc>
          <w:tcPr>
            <w:tcW w:w="1291" w:type="dxa"/>
            <w:tcBorders>
              <w:top w:val="single" w:sz="4" w:space="0" w:color="auto"/>
              <w:left w:val="nil"/>
              <w:right w:val="single" w:sz="4" w:space="0" w:color="auto"/>
            </w:tcBorders>
            <w:shd w:val="clear" w:color="auto" w:fill="auto"/>
            <w:vAlign w:val="center"/>
          </w:tcPr>
          <w:p>
            <w:pPr>
              <w:ind w:right="-42"/>
              <w:jc w:val="center"/>
            </w:pPr>
            <w:r>
              <w:t xml:space="preserve">Исполнено </w:t>
            </w:r>
          </w:p>
          <w:p>
            <w:pPr>
              <w:ind w:right="-42"/>
              <w:jc w:val="center"/>
            </w:pPr>
            <w:r>
              <w:t>за 2021 г., тыс.руб.</w:t>
            </w:r>
          </w:p>
        </w:tc>
        <w:tc>
          <w:tcPr>
            <w:tcW w:w="1279" w:type="dxa"/>
            <w:tcBorders>
              <w:top w:val="single" w:sz="4" w:space="0" w:color="auto"/>
              <w:left w:val="nil"/>
              <w:right w:val="single" w:sz="4" w:space="0" w:color="auto"/>
            </w:tcBorders>
            <w:vAlign w:val="center"/>
          </w:tcPr>
          <w:p>
            <w:pPr>
              <w:jc w:val="center"/>
            </w:pPr>
            <w:r>
              <w:t xml:space="preserve">Процент исполнения </w:t>
            </w:r>
          </w:p>
          <w:p>
            <w:pPr>
              <w:jc w:val="center"/>
            </w:pPr>
            <w:r>
              <w:t>к плану</w:t>
            </w:r>
            <w:r>
              <w:br/>
              <w:t xml:space="preserve"> 2021 г.</w:t>
            </w:r>
          </w:p>
        </w:tc>
      </w:tr>
      <w:tr>
        <w:trPr>
          <w:trHeight w:val="321"/>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p>
        </w:tc>
        <w:tc>
          <w:tcPr>
            <w:tcW w:w="4131" w:type="dxa"/>
            <w:tcBorders>
              <w:top w:val="single" w:sz="4" w:space="0" w:color="auto"/>
              <w:left w:val="nil"/>
              <w:bottom w:val="single" w:sz="4" w:space="0" w:color="auto"/>
              <w:right w:val="single" w:sz="4" w:space="0" w:color="auto"/>
            </w:tcBorders>
            <w:shd w:val="clear" w:color="auto" w:fill="auto"/>
            <w:vAlign w:val="center"/>
          </w:tcPr>
          <w:p>
            <w:r>
              <w:t>УМСП ФКиС:</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509 056,47</w:t>
            </w:r>
          </w:p>
        </w:tc>
        <w:tc>
          <w:tcPr>
            <w:tcW w:w="1291" w:type="dxa"/>
            <w:tcBorders>
              <w:top w:val="single" w:sz="4" w:space="0" w:color="auto"/>
              <w:left w:val="nil"/>
              <w:bottom w:val="single" w:sz="4" w:space="0" w:color="auto"/>
              <w:right w:val="single" w:sz="4" w:space="0" w:color="auto"/>
            </w:tcBorders>
            <w:vAlign w:val="center"/>
          </w:tcPr>
          <w:p>
            <w:pPr>
              <w:jc w:val="right"/>
            </w:pPr>
            <w:r>
              <w:t>509 047,55</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r>
        <w:trPr>
          <w:trHeight w:val="25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0700</w:t>
            </w:r>
          </w:p>
        </w:tc>
        <w:tc>
          <w:tcPr>
            <w:tcW w:w="4131" w:type="dxa"/>
            <w:tcBorders>
              <w:top w:val="single" w:sz="4" w:space="0" w:color="auto"/>
              <w:left w:val="nil"/>
              <w:bottom w:val="single" w:sz="4" w:space="0" w:color="auto"/>
              <w:right w:val="single" w:sz="4" w:space="0" w:color="auto"/>
            </w:tcBorders>
            <w:shd w:val="clear" w:color="auto" w:fill="auto"/>
            <w:vAlign w:val="center"/>
          </w:tcPr>
          <w:p>
            <w:r>
              <w:t>Образование</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249 554,93</w:t>
            </w:r>
          </w:p>
        </w:tc>
        <w:tc>
          <w:tcPr>
            <w:tcW w:w="1291" w:type="dxa"/>
            <w:tcBorders>
              <w:top w:val="single" w:sz="4" w:space="0" w:color="auto"/>
              <w:left w:val="nil"/>
              <w:bottom w:val="single" w:sz="4" w:space="0" w:color="auto"/>
              <w:right w:val="single" w:sz="4" w:space="0" w:color="auto"/>
            </w:tcBorders>
            <w:vAlign w:val="center"/>
          </w:tcPr>
          <w:p>
            <w:pPr>
              <w:jc w:val="right"/>
            </w:pPr>
            <w:r>
              <w:t>249 546,44</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r>
        <w:trPr>
          <w:trHeight w:val="25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1000</w:t>
            </w:r>
          </w:p>
        </w:tc>
        <w:tc>
          <w:tcPr>
            <w:tcW w:w="4131" w:type="dxa"/>
            <w:tcBorders>
              <w:top w:val="single" w:sz="4" w:space="0" w:color="auto"/>
              <w:left w:val="nil"/>
              <w:bottom w:val="single" w:sz="4" w:space="0" w:color="auto"/>
              <w:right w:val="single" w:sz="4" w:space="0" w:color="auto"/>
            </w:tcBorders>
            <w:shd w:val="clear" w:color="auto" w:fill="auto"/>
            <w:vAlign w:val="center"/>
          </w:tcPr>
          <w:p>
            <w:r>
              <w:t>Социальная политика</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14 555,52</w:t>
            </w:r>
          </w:p>
        </w:tc>
        <w:tc>
          <w:tcPr>
            <w:tcW w:w="1291" w:type="dxa"/>
            <w:tcBorders>
              <w:top w:val="single" w:sz="4" w:space="0" w:color="auto"/>
              <w:left w:val="nil"/>
              <w:bottom w:val="single" w:sz="4" w:space="0" w:color="auto"/>
              <w:right w:val="single" w:sz="4" w:space="0" w:color="auto"/>
            </w:tcBorders>
            <w:vAlign w:val="center"/>
          </w:tcPr>
          <w:p>
            <w:pPr>
              <w:jc w:val="right"/>
            </w:pPr>
            <w:r>
              <w:t>14 555,52</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r>
        <w:trPr>
          <w:trHeight w:val="254"/>
          <w:jc w:val="center"/>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tcPr>
          <w:p>
            <w:pPr>
              <w:jc w:val="center"/>
            </w:pPr>
            <w:r>
              <w:t>1100</w:t>
            </w:r>
          </w:p>
        </w:tc>
        <w:tc>
          <w:tcPr>
            <w:tcW w:w="4131" w:type="dxa"/>
            <w:tcBorders>
              <w:top w:val="single" w:sz="4" w:space="0" w:color="auto"/>
              <w:left w:val="nil"/>
              <w:bottom w:val="single" w:sz="4" w:space="0" w:color="auto"/>
              <w:right w:val="single" w:sz="4" w:space="0" w:color="auto"/>
            </w:tcBorders>
            <w:shd w:val="clear" w:color="auto" w:fill="auto"/>
            <w:vAlign w:val="center"/>
          </w:tcPr>
          <w:p>
            <w:r>
              <w:t>Физическая культура и спорт</w:t>
            </w:r>
          </w:p>
        </w:tc>
        <w:tc>
          <w:tcPr>
            <w:tcW w:w="1559" w:type="dxa"/>
            <w:tcBorders>
              <w:top w:val="single" w:sz="4" w:space="0" w:color="auto"/>
              <w:left w:val="nil"/>
              <w:bottom w:val="single" w:sz="4" w:space="0" w:color="auto"/>
              <w:right w:val="single" w:sz="4" w:space="0" w:color="auto"/>
            </w:tcBorders>
            <w:shd w:val="clear" w:color="auto" w:fill="auto"/>
            <w:noWrap/>
            <w:vAlign w:val="center"/>
          </w:tcPr>
          <w:p>
            <w:pPr>
              <w:jc w:val="right"/>
            </w:pPr>
            <w:r>
              <w:t>244 946,02</w:t>
            </w:r>
          </w:p>
        </w:tc>
        <w:tc>
          <w:tcPr>
            <w:tcW w:w="1291" w:type="dxa"/>
            <w:tcBorders>
              <w:top w:val="single" w:sz="4" w:space="0" w:color="auto"/>
              <w:left w:val="nil"/>
              <w:bottom w:val="single" w:sz="4" w:space="0" w:color="auto"/>
              <w:right w:val="single" w:sz="4" w:space="0" w:color="auto"/>
            </w:tcBorders>
            <w:vAlign w:val="center"/>
          </w:tcPr>
          <w:p>
            <w:pPr>
              <w:jc w:val="right"/>
            </w:pPr>
            <w:r>
              <w:t>244 945,59</w:t>
            </w:r>
          </w:p>
        </w:tc>
        <w:tc>
          <w:tcPr>
            <w:tcW w:w="1279" w:type="dxa"/>
            <w:tcBorders>
              <w:top w:val="single" w:sz="4" w:space="0" w:color="auto"/>
              <w:left w:val="nil"/>
              <w:bottom w:val="single" w:sz="4" w:space="0" w:color="auto"/>
              <w:right w:val="single" w:sz="4" w:space="0" w:color="auto"/>
            </w:tcBorders>
            <w:vAlign w:val="center"/>
          </w:tcPr>
          <w:p>
            <w:pPr>
              <w:jc w:val="right"/>
            </w:pPr>
            <w:r>
              <w:t>100,0</w:t>
            </w:r>
          </w:p>
        </w:tc>
      </w:tr>
    </w:tbl>
    <w:p>
      <w:pPr>
        <w:pStyle w:val="31"/>
        <w:tabs>
          <w:tab w:val="clear" w:pos="5529"/>
          <w:tab w:val="left" w:pos="709"/>
        </w:tabs>
        <w:ind w:right="-2"/>
        <w:rPr>
          <w:sz w:val="24"/>
          <w:szCs w:val="24"/>
          <w:highlight w:val="yellow"/>
        </w:rPr>
      </w:pPr>
    </w:p>
    <w:p>
      <w:pPr>
        <w:pStyle w:val="31"/>
        <w:tabs>
          <w:tab w:val="clear" w:pos="5529"/>
          <w:tab w:val="left" w:pos="709"/>
        </w:tabs>
        <w:ind w:right="-2"/>
        <w:rPr>
          <w:sz w:val="24"/>
          <w:szCs w:val="24"/>
          <w:highlight w:val="yellow"/>
        </w:rPr>
      </w:pPr>
    </w:p>
    <w:p>
      <w:pPr>
        <w:pStyle w:val="31"/>
        <w:spacing w:after="120"/>
        <w:ind w:right="0"/>
        <w:jc w:val="center"/>
        <w:rPr>
          <w:b/>
          <w:sz w:val="24"/>
          <w:szCs w:val="24"/>
        </w:rPr>
      </w:pPr>
      <w:r>
        <w:rPr>
          <w:b/>
          <w:sz w:val="24"/>
          <w:szCs w:val="24"/>
        </w:rPr>
        <w:t>4.2.6. Управление по делам защиты населения и территорий от чрезвычайных ситуаций Администрации ЗАТО Северск</w:t>
      </w:r>
    </w:p>
    <w:p>
      <w:pPr>
        <w:pStyle w:val="31"/>
        <w:ind w:right="0" w:firstLine="709"/>
        <w:rPr>
          <w:sz w:val="24"/>
          <w:szCs w:val="24"/>
        </w:rPr>
      </w:pPr>
      <w:r>
        <w:rPr>
          <w:sz w:val="24"/>
          <w:szCs w:val="24"/>
        </w:rPr>
        <w:t>Кассовое исполнение расходов за 2021 год составило 25 610,45 тыс.руб. или 99,2% к утвержденным годовым назначениям.</w:t>
      </w:r>
    </w:p>
    <w:p>
      <w:pPr>
        <w:pStyle w:val="31"/>
        <w:ind w:right="0" w:firstLine="709"/>
        <w:rPr>
          <w:sz w:val="24"/>
          <w:szCs w:val="24"/>
        </w:rPr>
      </w:pPr>
      <w:r>
        <w:rPr>
          <w:sz w:val="24"/>
          <w:szCs w:val="24"/>
        </w:rPr>
        <w:t xml:space="preserve">В общей структуре расходов удельный вес расходов, подведомственных Управлению ЧС, составил 0,5%. </w:t>
      </w:r>
    </w:p>
    <w:p>
      <w:pPr>
        <w:pStyle w:val="31"/>
        <w:ind w:right="0" w:firstLine="709"/>
        <w:rPr>
          <w:sz w:val="24"/>
          <w:szCs w:val="24"/>
        </w:rPr>
      </w:pPr>
      <w:r>
        <w:rPr>
          <w:sz w:val="24"/>
          <w:szCs w:val="24"/>
        </w:rPr>
        <w:t>Управление ЧС является ответственным исполнителем муниципальной программы «</w:t>
      </w:r>
      <w:r>
        <w:rPr>
          <w:bCs/>
          <w:sz w:val="24"/>
          <w:szCs w:val="24"/>
        </w:rPr>
        <w:t xml:space="preserve">Обеспечение безопасности населения на территории ЗАТО Северск», которая </w:t>
      </w:r>
      <w:r>
        <w:rPr>
          <w:sz w:val="24"/>
          <w:szCs w:val="24"/>
        </w:rPr>
        <w:t xml:space="preserve">за 2021 год </w:t>
      </w:r>
      <w:r>
        <w:rPr>
          <w:spacing w:val="-4"/>
          <w:sz w:val="24"/>
          <w:szCs w:val="24"/>
        </w:rPr>
        <w:t xml:space="preserve">исполнена управлением в общей сумме 25 610,45 тыс.руб. или </w:t>
      </w:r>
      <w:r>
        <w:rPr>
          <w:sz w:val="24"/>
          <w:szCs w:val="24"/>
        </w:rPr>
        <w:t xml:space="preserve">99,1% к утвержденным годовым назначениям. </w:t>
      </w:r>
    </w:p>
    <w:p>
      <w:pPr>
        <w:ind w:firstLine="709"/>
        <w:jc w:val="both"/>
        <w:rPr>
          <w:sz w:val="24"/>
          <w:szCs w:val="24"/>
        </w:rPr>
      </w:pPr>
      <w:r>
        <w:rPr>
          <w:sz w:val="24"/>
          <w:szCs w:val="24"/>
        </w:rPr>
        <w:lastRenderedPageBreak/>
        <w:t xml:space="preserve">В разрезе разделов исполнение расходов осуществлялось по одному направлению: «Национальная безопасность и правоохранительная деятельность» на общую сумму </w:t>
      </w:r>
      <w:r>
        <w:rPr>
          <w:spacing w:val="-4"/>
          <w:sz w:val="24"/>
          <w:szCs w:val="24"/>
        </w:rPr>
        <w:t xml:space="preserve">25 610,45 </w:t>
      </w:r>
      <w:r>
        <w:rPr>
          <w:sz w:val="24"/>
          <w:szCs w:val="24"/>
        </w:rPr>
        <w:t>тыс.руб. или 99,2% к утвержденным годовым назначениям.</w:t>
      </w:r>
    </w:p>
    <w:p>
      <w:pPr>
        <w:pStyle w:val="3"/>
        <w:spacing w:before="0" w:after="120"/>
        <w:jc w:val="center"/>
        <w:rPr>
          <w:rFonts w:ascii="Times New Roman" w:hAnsi="Times New Roman"/>
          <w:sz w:val="16"/>
          <w:szCs w:val="16"/>
          <w:lang w:val="ru-RU"/>
        </w:rPr>
      </w:pPr>
    </w:p>
    <w:p>
      <w:pPr>
        <w:pStyle w:val="3"/>
        <w:spacing w:before="0" w:after="120"/>
        <w:jc w:val="center"/>
        <w:rPr>
          <w:rFonts w:ascii="Times New Roman" w:hAnsi="Times New Roman"/>
          <w:sz w:val="24"/>
          <w:szCs w:val="24"/>
        </w:rPr>
      </w:pPr>
      <w:r>
        <w:rPr>
          <w:rFonts w:ascii="Times New Roman" w:hAnsi="Times New Roman"/>
          <w:sz w:val="24"/>
          <w:szCs w:val="24"/>
        </w:rPr>
        <w:t>4.2.7. Управление образования Администрации ЗАТО Северск</w:t>
      </w:r>
    </w:p>
    <w:p>
      <w:pPr>
        <w:ind w:firstLine="708"/>
        <w:jc w:val="both"/>
        <w:rPr>
          <w:sz w:val="24"/>
          <w:szCs w:val="24"/>
        </w:rPr>
      </w:pPr>
      <w:r>
        <w:rPr>
          <w:sz w:val="24"/>
          <w:szCs w:val="24"/>
        </w:rPr>
        <w:t>Кассовое исполнение расходов за 2021 год составило 2 432 037,13 тыс.руб. или 99,4% к утвержденным годовым назначениям.</w:t>
      </w:r>
    </w:p>
    <w:p>
      <w:pPr>
        <w:pStyle w:val="31"/>
        <w:ind w:right="0" w:firstLine="709"/>
        <w:rPr>
          <w:sz w:val="24"/>
          <w:szCs w:val="24"/>
        </w:rPr>
      </w:pPr>
      <w:r>
        <w:rPr>
          <w:sz w:val="24"/>
          <w:szCs w:val="24"/>
        </w:rPr>
        <w:t xml:space="preserve">В общей структуре расходов удельный вес расходов, подведомственных Управлению образования, составил 48,4%. </w:t>
      </w:r>
    </w:p>
    <w:p>
      <w:pPr>
        <w:ind w:firstLine="708"/>
        <w:jc w:val="both"/>
        <w:rPr>
          <w:i/>
          <w:spacing w:val="-4"/>
          <w:sz w:val="6"/>
          <w:szCs w:val="6"/>
        </w:rPr>
      </w:pPr>
      <w:r>
        <w:rPr>
          <w:sz w:val="24"/>
          <w:szCs w:val="24"/>
        </w:rPr>
        <w:t>Управление образования является ответственным исполнителем муниципальной программы «Развитие образования в ЗАТО Северск» и участником четырех муниципальных программ.</w:t>
      </w:r>
      <w:r>
        <w:rPr>
          <w:bCs/>
          <w:sz w:val="24"/>
          <w:szCs w:val="24"/>
        </w:rPr>
        <w:t xml:space="preserve"> Расходы по муниципальным программам исполнены </w:t>
      </w:r>
      <w:r>
        <w:rPr>
          <w:sz w:val="24"/>
          <w:szCs w:val="24"/>
        </w:rPr>
        <w:t xml:space="preserve">в сумме 2 430 674,44 </w:t>
      </w:r>
      <w:r>
        <w:rPr>
          <w:spacing w:val="-4"/>
          <w:sz w:val="24"/>
          <w:szCs w:val="24"/>
        </w:rPr>
        <w:t>тыс.руб. или 99,4</w:t>
      </w:r>
      <w:r>
        <w:rPr>
          <w:sz w:val="24"/>
          <w:szCs w:val="24"/>
        </w:rPr>
        <w:t>% к утвержденным годовым назначениям.</w:t>
      </w:r>
      <w:r>
        <w:rPr>
          <w:i/>
          <w:spacing w:val="-4"/>
          <w:sz w:val="6"/>
          <w:szCs w:val="6"/>
        </w:rPr>
        <w:t xml:space="preserve"> </w:t>
      </w:r>
    </w:p>
    <w:p>
      <w:pPr>
        <w:ind w:firstLine="708"/>
        <w:jc w:val="both"/>
        <w:rPr>
          <w:i/>
          <w:spacing w:val="-4"/>
          <w:sz w:val="6"/>
          <w:szCs w:val="6"/>
        </w:rPr>
      </w:pPr>
    </w:p>
    <w:p>
      <w:pPr>
        <w:spacing w:after="120"/>
        <w:ind w:firstLine="709"/>
        <w:jc w:val="both"/>
        <w:rPr>
          <w:spacing w:val="-4"/>
          <w:sz w:val="24"/>
          <w:szCs w:val="24"/>
        </w:rPr>
      </w:pPr>
      <w:r>
        <w:rPr>
          <w:spacing w:val="-4"/>
          <w:sz w:val="24"/>
          <w:szCs w:val="24"/>
        </w:rPr>
        <w:t xml:space="preserve">Таблица 52. Расходы Управления образования в разрезе МП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4819"/>
        <w:gridCol w:w="1418"/>
        <w:gridCol w:w="1417"/>
        <w:gridCol w:w="1276"/>
      </w:tblGrid>
      <w:tr>
        <w:trPr>
          <w:cantSplit/>
          <w:trHeight w:val="989"/>
        </w:trPr>
        <w:tc>
          <w:tcPr>
            <w:tcW w:w="426" w:type="dxa"/>
            <w:textDirection w:val="btLr"/>
            <w:vAlign w:val="center"/>
          </w:tcPr>
          <w:p>
            <w:pPr>
              <w:ind w:left="-57" w:right="-57"/>
              <w:jc w:val="center"/>
              <w:rPr>
                <w:bCs/>
                <w:highlight w:val="yellow"/>
              </w:rPr>
            </w:pPr>
            <w:r>
              <w:t>№ п/п</w:t>
            </w:r>
          </w:p>
        </w:tc>
        <w:tc>
          <w:tcPr>
            <w:tcW w:w="4819" w:type="dxa"/>
            <w:vAlign w:val="center"/>
          </w:tcPr>
          <w:p>
            <w:pPr>
              <w:ind w:right="55"/>
              <w:jc w:val="center"/>
              <w:rPr>
                <w:bCs/>
              </w:rPr>
            </w:pPr>
            <w:r>
              <w:t>Наименование программы</w:t>
            </w:r>
          </w:p>
        </w:tc>
        <w:tc>
          <w:tcPr>
            <w:tcW w:w="1418" w:type="dxa"/>
            <w:vAlign w:val="center"/>
          </w:tcPr>
          <w:p>
            <w:pPr>
              <w:jc w:val="center"/>
            </w:pPr>
            <w:r>
              <w:t>Уточненный план</w:t>
            </w:r>
            <w:r>
              <w:br/>
              <w:t>2021 г., тыс.руб.</w:t>
            </w:r>
          </w:p>
        </w:tc>
        <w:tc>
          <w:tcPr>
            <w:tcW w:w="1417" w:type="dxa"/>
            <w:vAlign w:val="center"/>
          </w:tcPr>
          <w:p>
            <w:pPr>
              <w:ind w:right="-42"/>
              <w:jc w:val="center"/>
            </w:pPr>
            <w:r>
              <w:t xml:space="preserve">Исполнено </w:t>
            </w:r>
          </w:p>
          <w:p>
            <w:pPr>
              <w:ind w:right="-42"/>
              <w:jc w:val="center"/>
            </w:pPr>
            <w:r>
              <w:t>за 2021 г., тыс.руб.</w:t>
            </w:r>
          </w:p>
        </w:tc>
        <w:tc>
          <w:tcPr>
            <w:tcW w:w="1276" w:type="dxa"/>
            <w:vAlign w:val="center"/>
          </w:tcPr>
          <w:p>
            <w:pPr>
              <w:jc w:val="center"/>
            </w:pPr>
            <w:r>
              <w:t xml:space="preserve">Процент исполнения </w:t>
            </w:r>
          </w:p>
          <w:p>
            <w:pPr>
              <w:jc w:val="center"/>
            </w:pPr>
            <w:r>
              <w:t>к плану</w:t>
            </w:r>
            <w:r>
              <w:br/>
              <w:t xml:space="preserve"> 2021 г.</w:t>
            </w:r>
          </w:p>
        </w:tc>
      </w:tr>
      <w:tr>
        <w:trPr>
          <w:trHeight w:val="354"/>
        </w:trPr>
        <w:tc>
          <w:tcPr>
            <w:tcW w:w="426" w:type="dxa"/>
            <w:vAlign w:val="center"/>
          </w:tcPr>
          <w:p>
            <w:pPr>
              <w:jc w:val="center"/>
            </w:pPr>
            <w:r>
              <w:t>1</w:t>
            </w:r>
          </w:p>
        </w:tc>
        <w:tc>
          <w:tcPr>
            <w:tcW w:w="4819" w:type="dxa"/>
            <w:vAlign w:val="center"/>
          </w:tcPr>
          <w:p>
            <w:r>
              <w:t>МП «Развитие образования в ЗАТО Северск»</w:t>
            </w:r>
          </w:p>
        </w:tc>
        <w:tc>
          <w:tcPr>
            <w:tcW w:w="1418" w:type="dxa"/>
            <w:vAlign w:val="center"/>
          </w:tcPr>
          <w:p>
            <w:pPr>
              <w:jc w:val="right"/>
            </w:pPr>
            <w:r>
              <w:t>2 430 218,51</w:t>
            </w:r>
          </w:p>
        </w:tc>
        <w:tc>
          <w:tcPr>
            <w:tcW w:w="1417" w:type="dxa"/>
            <w:vAlign w:val="center"/>
          </w:tcPr>
          <w:p>
            <w:pPr>
              <w:jc w:val="right"/>
            </w:pPr>
            <w:r>
              <w:t>2 416 693,87</w:t>
            </w:r>
          </w:p>
        </w:tc>
        <w:tc>
          <w:tcPr>
            <w:tcW w:w="1276" w:type="dxa"/>
            <w:vAlign w:val="center"/>
          </w:tcPr>
          <w:p>
            <w:pPr>
              <w:jc w:val="right"/>
            </w:pPr>
            <w:r>
              <w:t>99,4</w:t>
            </w:r>
          </w:p>
        </w:tc>
      </w:tr>
      <w:tr>
        <w:trPr>
          <w:trHeight w:val="548"/>
        </w:trPr>
        <w:tc>
          <w:tcPr>
            <w:tcW w:w="426" w:type="dxa"/>
            <w:vAlign w:val="center"/>
          </w:tcPr>
          <w:p>
            <w:pPr>
              <w:jc w:val="center"/>
            </w:pPr>
            <w:r>
              <w:t>2</w:t>
            </w:r>
          </w:p>
        </w:tc>
        <w:tc>
          <w:tcPr>
            <w:tcW w:w="4819" w:type="dxa"/>
            <w:vAlign w:val="center"/>
          </w:tcPr>
          <w:p>
            <w:r>
              <w:t xml:space="preserve">МП «Обеспечение безопасности населения на территории ЗАТО Северск» </w:t>
            </w:r>
          </w:p>
        </w:tc>
        <w:tc>
          <w:tcPr>
            <w:tcW w:w="1418" w:type="dxa"/>
            <w:vAlign w:val="center"/>
          </w:tcPr>
          <w:p>
            <w:pPr>
              <w:jc w:val="right"/>
            </w:pPr>
            <w:r>
              <w:t>9 736,95</w:t>
            </w:r>
          </w:p>
        </w:tc>
        <w:tc>
          <w:tcPr>
            <w:tcW w:w="1417" w:type="dxa"/>
            <w:vAlign w:val="center"/>
          </w:tcPr>
          <w:p>
            <w:pPr>
              <w:jc w:val="right"/>
            </w:pPr>
            <w:r>
              <w:t>9 736,94</w:t>
            </w:r>
          </w:p>
        </w:tc>
        <w:tc>
          <w:tcPr>
            <w:tcW w:w="1276" w:type="dxa"/>
            <w:vAlign w:val="center"/>
          </w:tcPr>
          <w:p>
            <w:pPr>
              <w:jc w:val="right"/>
            </w:pPr>
            <w:r>
              <w:t>100,0</w:t>
            </w:r>
          </w:p>
        </w:tc>
      </w:tr>
      <w:tr>
        <w:trPr>
          <w:trHeight w:val="402"/>
        </w:trPr>
        <w:tc>
          <w:tcPr>
            <w:tcW w:w="426" w:type="dxa"/>
            <w:vAlign w:val="center"/>
          </w:tcPr>
          <w:p>
            <w:pPr>
              <w:jc w:val="center"/>
            </w:pPr>
            <w:r>
              <w:t>3</w:t>
            </w:r>
          </w:p>
        </w:tc>
        <w:tc>
          <w:tcPr>
            <w:tcW w:w="4819" w:type="dxa"/>
            <w:vAlign w:val="center"/>
          </w:tcPr>
          <w:p>
            <w:r>
              <w:t>МП "Молодежная политика в ЗАТО Северск"</w:t>
            </w:r>
          </w:p>
        </w:tc>
        <w:tc>
          <w:tcPr>
            <w:tcW w:w="1418" w:type="dxa"/>
            <w:vAlign w:val="center"/>
          </w:tcPr>
          <w:p>
            <w:pPr>
              <w:jc w:val="right"/>
            </w:pPr>
            <w:r>
              <w:t>3 151,71</w:t>
            </w:r>
          </w:p>
        </w:tc>
        <w:tc>
          <w:tcPr>
            <w:tcW w:w="1417" w:type="dxa"/>
            <w:vAlign w:val="center"/>
          </w:tcPr>
          <w:p>
            <w:pPr>
              <w:jc w:val="right"/>
            </w:pPr>
            <w:r>
              <w:t>3 151,71</w:t>
            </w:r>
          </w:p>
        </w:tc>
        <w:tc>
          <w:tcPr>
            <w:tcW w:w="1276" w:type="dxa"/>
            <w:vAlign w:val="center"/>
          </w:tcPr>
          <w:p>
            <w:pPr>
              <w:jc w:val="right"/>
            </w:pPr>
            <w:r>
              <w:t>100,0</w:t>
            </w:r>
          </w:p>
        </w:tc>
      </w:tr>
      <w:tr>
        <w:trPr>
          <w:trHeight w:val="402"/>
        </w:trPr>
        <w:tc>
          <w:tcPr>
            <w:tcW w:w="426" w:type="dxa"/>
            <w:vAlign w:val="center"/>
          </w:tcPr>
          <w:p>
            <w:pPr>
              <w:jc w:val="center"/>
            </w:pPr>
            <w:r>
              <w:t>4</w:t>
            </w:r>
          </w:p>
        </w:tc>
        <w:tc>
          <w:tcPr>
            <w:tcW w:w="4819" w:type="dxa"/>
            <w:vAlign w:val="center"/>
          </w:tcPr>
          <w:p>
            <w:r>
              <w:t>МП «Охрана окружающей среды на территории ЗАТО Северск»</w:t>
            </w:r>
          </w:p>
        </w:tc>
        <w:tc>
          <w:tcPr>
            <w:tcW w:w="1418" w:type="dxa"/>
            <w:vAlign w:val="center"/>
          </w:tcPr>
          <w:p>
            <w:pPr>
              <w:jc w:val="right"/>
            </w:pPr>
            <w:r>
              <w:t>89,17</w:t>
            </w:r>
          </w:p>
        </w:tc>
        <w:tc>
          <w:tcPr>
            <w:tcW w:w="1417" w:type="dxa"/>
            <w:vAlign w:val="center"/>
          </w:tcPr>
          <w:p>
            <w:pPr>
              <w:jc w:val="right"/>
            </w:pPr>
            <w:r>
              <w:t>89,17</w:t>
            </w:r>
          </w:p>
        </w:tc>
        <w:tc>
          <w:tcPr>
            <w:tcW w:w="1276" w:type="dxa"/>
            <w:vAlign w:val="center"/>
          </w:tcPr>
          <w:p>
            <w:pPr>
              <w:jc w:val="right"/>
            </w:pPr>
            <w:r>
              <w:t>100,0</w:t>
            </w:r>
          </w:p>
        </w:tc>
      </w:tr>
      <w:tr>
        <w:trPr>
          <w:trHeight w:val="311"/>
        </w:trPr>
        <w:tc>
          <w:tcPr>
            <w:tcW w:w="426" w:type="dxa"/>
            <w:vAlign w:val="center"/>
          </w:tcPr>
          <w:p>
            <w:pPr>
              <w:jc w:val="center"/>
            </w:pPr>
            <w:r>
              <w:t>5</w:t>
            </w:r>
          </w:p>
        </w:tc>
        <w:tc>
          <w:tcPr>
            <w:tcW w:w="4819" w:type="dxa"/>
            <w:vAlign w:val="center"/>
          </w:tcPr>
          <w:p>
            <w:r>
              <w:t>МП</w:t>
            </w:r>
            <w:r>
              <w:rPr>
                <w:spacing w:val="-4"/>
              </w:rPr>
              <w:t xml:space="preserve"> «Профилактика алкоголизма, наркомании, токсикомании и ВИЧ-инфекции»</w:t>
            </w:r>
          </w:p>
        </w:tc>
        <w:tc>
          <w:tcPr>
            <w:tcW w:w="1418" w:type="dxa"/>
            <w:vAlign w:val="center"/>
          </w:tcPr>
          <w:p>
            <w:pPr>
              <w:jc w:val="right"/>
            </w:pPr>
            <w:r>
              <w:t>953,53</w:t>
            </w:r>
          </w:p>
        </w:tc>
        <w:tc>
          <w:tcPr>
            <w:tcW w:w="1417" w:type="dxa"/>
            <w:vAlign w:val="center"/>
          </w:tcPr>
          <w:p>
            <w:pPr>
              <w:jc w:val="right"/>
            </w:pPr>
            <w:r>
              <w:t>953,53</w:t>
            </w:r>
          </w:p>
        </w:tc>
        <w:tc>
          <w:tcPr>
            <w:tcW w:w="1276" w:type="dxa"/>
            <w:vAlign w:val="center"/>
          </w:tcPr>
          <w:p>
            <w:pPr>
              <w:jc w:val="right"/>
            </w:pPr>
            <w:r>
              <w:t>100,0</w:t>
            </w:r>
          </w:p>
        </w:tc>
      </w:tr>
      <w:tr>
        <w:trPr>
          <w:trHeight w:val="311"/>
        </w:trPr>
        <w:tc>
          <w:tcPr>
            <w:tcW w:w="426" w:type="dxa"/>
            <w:vAlign w:val="center"/>
          </w:tcPr>
          <w:p>
            <w:pPr>
              <w:jc w:val="center"/>
            </w:pPr>
            <w:r>
              <w:t>6</w:t>
            </w:r>
          </w:p>
        </w:tc>
        <w:tc>
          <w:tcPr>
            <w:tcW w:w="4819" w:type="dxa"/>
            <w:vAlign w:val="center"/>
          </w:tcPr>
          <w:p>
            <w:r>
              <w:t>МП "Дорожная деятельность и транспортное обслуживание на территории ЗАТО Северск"</w:t>
            </w:r>
          </w:p>
        </w:tc>
        <w:tc>
          <w:tcPr>
            <w:tcW w:w="1418" w:type="dxa"/>
            <w:vAlign w:val="center"/>
          </w:tcPr>
          <w:p>
            <w:pPr>
              <w:jc w:val="right"/>
            </w:pPr>
            <w:r>
              <w:t>49,22</w:t>
            </w:r>
          </w:p>
        </w:tc>
        <w:tc>
          <w:tcPr>
            <w:tcW w:w="1417" w:type="dxa"/>
            <w:vAlign w:val="center"/>
          </w:tcPr>
          <w:p>
            <w:pPr>
              <w:jc w:val="right"/>
            </w:pPr>
            <w:r>
              <w:t>49,22</w:t>
            </w:r>
          </w:p>
        </w:tc>
        <w:tc>
          <w:tcPr>
            <w:tcW w:w="1276" w:type="dxa"/>
            <w:vAlign w:val="center"/>
          </w:tcPr>
          <w:p>
            <w:pPr>
              <w:jc w:val="right"/>
            </w:pPr>
            <w:r>
              <w:t>100,0</w:t>
            </w:r>
          </w:p>
        </w:tc>
      </w:tr>
      <w:tr>
        <w:trPr>
          <w:trHeight w:val="311"/>
        </w:trPr>
        <w:tc>
          <w:tcPr>
            <w:tcW w:w="426" w:type="dxa"/>
            <w:vAlign w:val="center"/>
          </w:tcPr>
          <w:p>
            <w:pPr>
              <w:jc w:val="center"/>
            </w:pPr>
          </w:p>
        </w:tc>
        <w:tc>
          <w:tcPr>
            <w:tcW w:w="4819" w:type="dxa"/>
            <w:vAlign w:val="center"/>
          </w:tcPr>
          <w:p>
            <w:r>
              <w:t>Всего по программам</w:t>
            </w:r>
          </w:p>
        </w:tc>
        <w:tc>
          <w:tcPr>
            <w:tcW w:w="1418" w:type="dxa"/>
            <w:vAlign w:val="center"/>
          </w:tcPr>
          <w:p>
            <w:pPr>
              <w:jc w:val="right"/>
            </w:pPr>
            <w:r>
              <w:t>2 444 199,09</w:t>
            </w:r>
          </w:p>
        </w:tc>
        <w:tc>
          <w:tcPr>
            <w:tcW w:w="1417" w:type="dxa"/>
            <w:vAlign w:val="center"/>
          </w:tcPr>
          <w:p>
            <w:pPr>
              <w:jc w:val="right"/>
            </w:pPr>
            <w:r>
              <w:t>2 430 674,44</w:t>
            </w:r>
          </w:p>
        </w:tc>
        <w:tc>
          <w:tcPr>
            <w:tcW w:w="1276" w:type="dxa"/>
            <w:vAlign w:val="center"/>
          </w:tcPr>
          <w:p>
            <w:pPr>
              <w:jc w:val="right"/>
            </w:pPr>
            <w:r>
              <w:t>99,4</w:t>
            </w:r>
          </w:p>
        </w:tc>
      </w:tr>
    </w:tbl>
    <w:p>
      <w:pPr>
        <w:jc w:val="both"/>
        <w:rPr>
          <w:sz w:val="16"/>
          <w:szCs w:val="16"/>
          <w:highlight w:val="yellow"/>
        </w:rPr>
      </w:pPr>
    </w:p>
    <w:p>
      <w:pPr>
        <w:pStyle w:val="31"/>
        <w:ind w:right="-2" w:firstLine="709"/>
        <w:rPr>
          <w:spacing w:val="-4"/>
          <w:sz w:val="24"/>
          <w:szCs w:val="24"/>
        </w:rPr>
      </w:pPr>
      <w:r>
        <w:rPr>
          <w:sz w:val="24"/>
          <w:szCs w:val="24"/>
        </w:rPr>
        <w:t xml:space="preserve">Управлением образования за 2021 год </w:t>
      </w:r>
      <w:r>
        <w:rPr>
          <w:spacing w:val="-4"/>
          <w:sz w:val="24"/>
          <w:szCs w:val="24"/>
        </w:rPr>
        <w:t>исполнены непрограммные мероприятия на сумму 1 362,69 тыс.руб.,  том числе:</w:t>
      </w:r>
    </w:p>
    <w:p>
      <w:pPr>
        <w:pStyle w:val="31"/>
        <w:ind w:right="-2" w:firstLine="709"/>
        <w:rPr>
          <w:spacing w:val="-4"/>
          <w:sz w:val="24"/>
          <w:szCs w:val="24"/>
        </w:rPr>
      </w:pPr>
      <w:r>
        <w:rPr>
          <w:spacing w:val="-4"/>
          <w:sz w:val="24"/>
          <w:szCs w:val="24"/>
        </w:rPr>
        <w:t>-  1 007,43 тыс.руб. за счет средств резервного фонда ФНР Администрации Томской области;</w:t>
      </w:r>
    </w:p>
    <w:p>
      <w:pPr>
        <w:pStyle w:val="31"/>
        <w:ind w:right="-2" w:firstLine="709"/>
        <w:rPr>
          <w:spacing w:val="-4"/>
          <w:sz w:val="24"/>
          <w:szCs w:val="24"/>
        </w:rPr>
      </w:pPr>
      <w:r>
        <w:rPr>
          <w:spacing w:val="-4"/>
          <w:sz w:val="24"/>
          <w:szCs w:val="24"/>
        </w:rPr>
        <w:t>- 279,09 тыс.руб. за счет средств ФНР</w:t>
      </w:r>
      <w:r>
        <w:rPr>
          <w:sz w:val="24"/>
        </w:rPr>
        <w:t xml:space="preserve"> (выплаты однократного единовременного поощрения в связи с прекращением муниципальной службы);</w:t>
      </w:r>
    </w:p>
    <w:p>
      <w:pPr>
        <w:pStyle w:val="31"/>
        <w:ind w:right="-2" w:firstLine="709"/>
        <w:rPr>
          <w:spacing w:val="-4"/>
          <w:sz w:val="24"/>
          <w:szCs w:val="24"/>
        </w:rPr>
      </w:pPr>
      <w:r>
        <w:rPr>
          <w:spacing w:val="-4"/>
          <w:sz w:val="24"/>
          <w:szCs w:val="24"/>
        </w:rPr>
        <w:t>- 76,17 тыс.руб. за счет средств местного бюджета (расходы на исполнение условий мирового соглашения).</w:t>
      </w:r>
    </w:p>
    <w:p>
      <w:pPr>
        <w:pStyle w:val="31"/>
        <w:ind w:right="0"/>
        <w:rPr>
          <w:b/>
          <w:sz w:val="24"/>
          <w:szCs w:val="24"/>
          <w:highlight w:val="yellow"/>
        </w:rPr>
      </w:pPr>
    </w:p>
    <w:p>
      <w:pPr>
        <w:pStyle w:val="31"/>
        <w:spacing w:after="120"/>
        <w:ind w:left="567" w:right="0"/>
        <w:jc w:val="center"/>
        <w:rPr>
          <w:b/>
          <w:sz w:val="24"/>
          <w:szCs w:val="24"/>
        </w:rPr>
      </w:pPr>
      <w:r>
        <w:rPr>
          <w:b/>
          <w:sz w:val="24"/>
          <w:szCs w:val="24"/>
        </w:rPr>
        <w:t>4.2.8. Управление имущественных отношений Администрации ЗАТО Северск</w:t>
      </w:r>
    </w:p>
    <w:p>
      <w:pPr>
        <w:ind w:firstLine="709"/>
        <w:jc w:val="both"/>
        <w:rPr>
          <w:sz w:val="24"/>
          <w:szCs w:val="24"/>
          <w:highlight w:val="yellow"/>
        </w:rPr>
      </w:pPr>
      <w:r>
        <w:rPr>
          <w:sz w:val="24"/>
          <w:szCs w:val="24"/>
        </w:rPr>
        <w:t xml:space="preserve">Кассовое исполнение расходов за 2021 год составило 88 842,05 тыс.руб. или 96% </w:t>
      </w:r>
      <w:r>
        <w:rPr>
          <w:sz w:val="24"/>
          <w:szCs w:val="24"/>
        </w:rPr>
        <w:br/>
        <w:t>к утвержденным годовым назначениям.</w:t>
      </w:r>
    </w:p>
    <w:p>
      <w:pPr>
        <w:ind w:firstLine="709"/>
        <w:jc w:val="both"/>
        <w:rPr>
          <w:sz w:val="24"/>
          <w:szCs w:val="24"/>
        </w:rPr>
      </w:pPr>
      <w:r>
        <w:rPr>
          <w:sz w:val="24"/>
          <w:szCs w:val="24"/>
        </w:rPr>
        <w:t xml:space="preserve">В общей структуре расходов удельный вес расходов, подведомственных Управлению имущественных отношений, составил 1,8%. </w:t>
      </w:r>
    </w:p>
    <w:p>
      <w:pPr>
        <w:ind w:firstLine="709"/>
        <w:jc w:val="both"/>
        <w:rPr>
          <w:sz w:val="24"/>
          <w:szCs w:val="24"/>
        </w:rPr>
      </w:pPr>
      <w:r>
        <w:rPr>
          <w:sz w:val="24"/>
          <w:szCs w:val="24"/>
        </w:rPr>
        <w:t xml:space="preserve">Управление имущественных отношений является ответственным исполнителем муниципальной программы «Эффективное управление муниципальным имуществом ЗАТО Северск» и участником двух муниципальных программ, расходы по ним исполнены </w:t>
      </w:r>
      <w:r>
        <w:rPr>
          <w:spacing w:val="-4"/>
          <w:sz w:val="24"/>
          <w:szCs w:val="24"/>
        </w:rPr>
        <w:t>на общую сумму 88 681,94 тыс.руб. или 96</w:t>
      </w:r>
      <w:r>
        <w:rPr>
          <w:sz w:val="24"/>
          <w:szCs w:val="24"/>
        </w:rPr>
        <w:t>% к утвержденным годовым назначениям.</w:t>
      </w:r>
    </w:p>
    <w:p>
      <w:pPr>
        <w:ind w:firstLine="709"/>
        <w:jc w:val="both"/>
        <w:rPr>
          <w:spacing w:val="-4"/>
          <w:sz w:val="10"/>
          <w:szCs w:val="10"/>
          <w:highlight w:val="yellow"/>
        </w:rPr>
      </w:pPr>
    </w:p>
    <w:p>
      <w:pPr>
        <w:spacing w:after="120"/>
        <w:ind w:firstLine="709"/>
        <w:jc w:val="both"/>
        <w:rPr>
          <w:spacing w:val="-4"/>
          <w:sz w:val="24"/>
          <w:szCs w:val="24"/>
        </w:rPr>
      </w:pPr>
    </w:p>
    <w:p>
      <w:pPr>
        <w:spacing w:after="120"/>
        <w:ind w:firstLine="709"/>
        <w:jc w:val="both"/>
        <w:rPr>
          <w:spacing w:val="-4"/>
          <w:sz w:val="24"/>
          <w:szCs w:val="24"/>
        </w:rPr>
      </w:pPr>
    </w:p>
    <w:p>
      <w:pPr>
        <w:spacing w:after="120"/>
        <w:ind w:firstLine="709"/>
        <w:jc w:val="both"/>
        <w:rPr>
          <w:spacing w:val="-4"/>
          <w:sz w:val="24"/>
          <w:szCs w:val="24"/>
        </w:rPr>
      </w:pPr>
    </w:p>
    <w:p>
      <w:pPr>
        <w:spacing w:after="120"/>
        <w:ind w:firstLine="709"/>
        <w:jc w:val="both"/>
        <w:rPr>
          <w:spacing w:val="-4"/>
          <w:sz w:val="24"/>
          <w:szCs w:val="24"/>
        </w:rPr>
      </w:pPr>
    </w:p>
    <w:p>
      <w:pPr>
        <w:spacing w:after="120"/>
        <w:ind w:firstLine="709"/>
        <w:jc w:val="both"/>
        <w:rPr>
          <w:spacing w:val="-4"/>
          <w:sz w:val="24"/>
          <w:szCs w:val="24"/>
        </w:rPr>
      </w:pPr>
      <w:r>
        <w:rPr>
          <w:spacing w:val="-4"/>
          <w:sz w:val="24"/>
          <w:szCs w:val="24"/>
        </w:rPr>
        <w:lastRenderedPageBreak/>
        <w:t>Таблица 53. Расходы Управления имущественных отношений в разрезе МП</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4677"/>
        <w:gridCol w:w="1560"/>
        <w:gridCol w:w="1275"/>
        <w:gridCol w:w="1418"/>
      </w:tblGrid>
      <w:tr>
        <w:trPr>
          <w:trHeight w:val="840"/>
        </w:trPr>
        <w:tc>
          <w:tcPr>
            <w:tcW w:w="441" w:type="dxa"/>
            <w:shd w:val="clear" w:color="auto" w:fill="auto"/>
            <w:textDirection w:val="btLr"/>
            <w:vAlign w:val="center"/>
          </w:tcPr>
          <w:p>
            <w:pPr>
              <w:jc w:val="center"/>
            </w:pPr>
          </w:p>
          <w:p>
            <w:pPr>
              <w:jc w:val="center"/>
            </w:pPr>
            <w:r>
              <w:rPr>
                <w:lang w:val="en-US"/>
              </w:rPr>
              <w:t xml:space="preserve">№ </w:t>
            </w:r>
            <w:r>
              <w:t>п/п</w:t>
            </w:r>
          </w:p>
          <w:p>
            <w:pPr>
              <w:jc w:val="center"/>
            </w:pPr>
          </w:p>
        </w:tc>
        <w:tc>
          <w:tcPr>
            <w:tcW w:w="4677" w:type="dxa"/>
            <w:shd w:val="clear" w:color="auto" w:fill="auto"/>
            <w:vAlign w:val="center"/>
          </w:tcPr>
          <w:p>
            <w:pPr>
              <w:jc w:val="center"/>
            </w:pPr>
            <w:r>
              <w:t xml:space="preserve">Наименование программы </w:t>
            </w:r>
          </w:p>
        </w:tc>
        <w:tc>
          <w:tcPr>
            <w:tcW w:w="1560" w:type="dxa"/>
            <w:shd w:val="clear" w:color="auto" w:fill="auto"/>
            <w:vAlign w:val="center"/>
          </w:tcPr>
          <w:p>
            <w:pPr>
              <w:jc w:val="center"/>
            </w:pPr>
            <w:r>
              <w:t>Уточненный план 2021 г., тыс.руб.</w:t>
            </w:r>
          </w:p>
        </w:tc>
        <w:tc>
          <w:tcPr>
            <w:tcW w:w="1275" w:type="dxa"/>
            <w:shd w:val="clear" w:color="auto" w:fill="auto"/>
            <w:vAlign w:val="center"/>
          </w:tcPr>
          <w:p>
            <w:pPr>
              <w:ind w:right="-42"/>
              <w:jc w:val="center"/>
            </w:pPr>
            <w:r>
              <w:t xml:space="preserve">Исполнено </w:t>
            </w:r>
          </w:p>
          <w:p>
            <w:pPr>
              <w:ind w:right="-42"/>
              <w:jc w:val="center"/>
            </w:pPr>
            <w:r>
              <w:t>за 2021 г., тыс.руб.</w:t>
            </w:r>
          </w:p>
        </w:tc>
        <w:tc>
          <w:tcPr>
            <w:tcW w:w="1418" w:type="dxa"/>
            <w:shd w:val="clear" w:color="auto" w:fill="auto"/>
            <w:vAlign w:val="center"/>
          </w:tcPr>
          <w:p>
            <w:pPr>
              <w:jc w:val="center"/>
            </w:pPr>
            <w:r>
              <w:t xml:space="preserve">Процент исполнения </w:t>
            </w:r>
          </w:p>
          <w:p>
            <w:pPr>
              <w:jc w:val="center"/>
            </w:pPr>
            <w:r>
              <w:t>к плану</w:t>
            </w:r>
            <w:r>
              <w:br/>
              <w:t xml:space="preserve"> 2021 г.</w:t>
            </w:r>
          </w:p>
        </w:tc>
      </w:tr>
      <w:tr>
        <w:trPr>
          <w:trHeight w:val="476"/>
        </w:trPr>
        <w:tc>
          <w:tcPr>
            <w:tcW w:w="441" w:type="dxa"/>
            <w:shd w:val="clear" w:color="auto" w:fill="auto"/>
            <w:noWrap/>
            <w:vAlign w:val="center"/>
          </w:tcPr>
          <w:p>
            <w:pPr>
              <w:jc w:val="center"/>
            </w:pPr>
            <w:r>
              <w:t>1</w:t>
            </w:r>
          </w:p>
        </w:tc>
        <w:tc>
          <w:tcPr>
            <w:tcW w:w="4677" w:type="dxa"/>
            <w:shd w:val="clear" w:color="auto" w:fill="auto"/>
            <w:vAlign w:val="center"/>
          </w:tcPr>
          <w:p>
            <w:r>
              <w:t>МП «Эффективное управление муниципальным имуществом»</w:t>
            </w:r>
          </w:p>
        </w:tc>
        <w:tc>
          <w:tcPr>
            <w:tcW w:w="1560" w:type="dxa"/>
            <w:shd w:val="clear" w:color="auto" w:fill="auto"/>
            <w:noWrap/>
            <w:vAlign w:val="center"/>
          </w:tcPr>
          <w:p>
            <w:pPr>
              <w:jc w:val="right"/>
            </w:pPr>
            <w:r>
              <w:t>81 591,22</w:t>
            </w:r>
          </w:p>
        </w:tc>
        <w:tc>
          <w:tcPr>
            <w:tcW w:w="1275" w:type="dxa"/>
            <w:shd w:val="clear" w:color="auto" w:fill="auto"/>
            <w:noWrap/>
            <w:vAlign w:val="center"/>
          </w:tcPr>
          <w:p>
            <w:pPr>
              <w:jc w:val="right"/>
            </w:pPr>
            <w:r>
              <w:t>78 542,38</w:t>
            </w:r>
          </w:p>
        </w:tc>
        <w:tc>
          <w:tcPr>
            <w:tcW w:w="1418" w:type="dxa"/>
            <w:shd w:val="clear" w:color="auto" w:fill="auto"/>
            <w:noWrap/>
            <w:vAlign w:val="center"/>
          </w:tcPr>
          <w:p>
            <w:pPr>
              <w:jc w:val="right"/>
            </w:pPr>
            <w:r>
              <w:t>96,3</w:t>
            </w:r>
          </w:p>
        </w:tc>
      </w:tr>
      <w:tr>
        <w:trPr>
          <w:trHeight w:val="255"/>
        </w:trPr>
        <w:tc>
          <w:tcPr>
            <w:tcW w:w="441" w:type="dxa"/>
            <w:shd w:val="clear" w:color="auto" w:fill="auto"/>
            <w:noWrap/>
            <w:vAlign w:val="center"/>
          </w:tcPr>
          <w:p>
            <w:pPr>
              <w:jc w:val="center"/>
            </w:pPr>
            <w:r>
              <w:t>4</w:t>
            </w:r>
          </w:p>
        </w:tc>
        <w:tc>
          <w:tcPr>
            <w:tcW w:w="4677" w:type="dxa"/>
            <w:shd w:val="clear" w:color="auto" w:fill="auto"/>
            <w:vAlign w:val="center"/>
          </w:tcPr>
          <w:p>
            <w:r>
              <w:t xml:space="preserve">МП «Обеспечение безопасности населения на территории ЗАТО Северск» </w:t>
            </w:r>
          </w:p>
        </w:tc>
        <w:tc>
          <w:tcPr>
            <w:tcW w:w="1560" w:type="dxa"/>
            <w:shd w:val="clear" w:color="auto" w:fill="auto"/>
            <w:noWrap/>
            <w:vAlign w:val="center"/>
          </w:tcPr>
          <w:p>
            <w:pPr>
              <w:jc w:val="right"/>
            </w:pPr>
            <w:r>
              <w:t>507,57</w:t>
            </w:r>
          </w:p>
        </w:tc>
        <w:tc>
          <w:tcPr>
            <w:tcW w:w="1275" w:type="dxa"/>
            <w:shd w:val="clear" w:color="auto" w:fill="auto"/>
            <w:noWrap/>
            <w:vAlign w:val="center"/>
          </w:tcPr>
          <w:p>
            <w:pPr>
              <w:jc w:val="right"/>
            </w:pPr>
            <w:r>
              <w:t>393,70</w:t>
            </w:r>
          </w:p>
        </w:tc>
        <w:tc>
          <w:tcPr>
            <w:tcW w:w="1418" w:type="dxa"/>
            <w:shd w:val="clear" w:color="auto" w:fill="auto"/>
            <w:noWrap/>
            <w:vAlign w:val="center"/>
          </w:tcPr>
          <w:p>
            <w:pPr>
              <w:jc w:val="right"/>
            </w:pPr>
            <w:r>
              <w:t>77,6</w:t>
            </w:r>
          </w:p>
        </w:tc>
      </w:tr>
      <w:tr>
        <w:trPr>
          <w:trHeight w:val="506"/>
        </w:trPr>
        <w:tc>
          <w:tcPr>
            <w:tcW w:w="441" w:type="dxa"/>
            <w:shd w:val="clear" w:color="auto" w:fill="auto"/>
            <w:noWrap/>
            <w:vAlign w:val="center"/>
          </w:tcPr>
          <w:p>
            <w:pPr>
              <w:jc w:val="center"/>
            </w:pPr>
            <w:r>
              <w:t>5</w:t>
            </w:r>
          </w:p>
        </w:tc>
        <w:tc>
          <w:tcPr>
            <w:tcW w:w="4677" w:type="dxa"/>
            <w:shd w:val="clear" w:color="auto" w:fill="auto"/>
            <w:vAlign w:val="center"/>
          </w:tcPr>
          <w:p>
            <w:r>
              <w:t>МП «Развитие предпринимательства в ЗАТО Северск»</w:t>
            </w:r>
          </w:p>
        </w:tc>
        <w:tc>
          <w:tcPr>
            <w:tcW w:w="1560" w:type="dxa"/>
            <w:shd w:val="clear" w:color="auto" w:fill="auto"/>
            <w:noWrap/>
            <w:vAlign w:val="center"/>
          </w:tcPr>
          <w:p>
            <w:pPr>
              <w:jc w:val="right"/>
            </w:pPr>
            <w:r>
              <w:t>10 241,67</w:t>
            </w:r>
          </w:p>
        </w:tc>
        <w:tc>
          <w:tcPr>
            <w:tcW w:w="1275" w:type="dxa"/>
            <w:shd w:val="clear" w:color="auto" w:fill="auto"/>
            <w:noWrap/>
            <w:vAlign w:val="center"/>
          </w:tcPr>
          <w:p>
            <w:pPr>
              <w:jc w:val="right"/>
            </w:pPr>
            <w:r>
              <w:t>9 745,86</w:t>
            </w:r>
          </w:p>
        </w:tc>
        <w:tc>
          <w:tcPr>
            <w:tcW w:w="1418" w:type="dxa"/>
            <w:shd w:val="clear" w:color="auto" w:fill="auto"/>
            <w:noWrap/>
            <w:vAlign w:val="center"/>
          </w:tcPr>
          <w:p>
            <w:pPr>
              <w:jc w:val="right"/>
            </w:pPr>
            <w:r>
              <w:t>95,2</w:t>
            </w:r>
          </w:p>
        </w:tc>
      </w:tr>
      <w:tr>
        <w:trPr>
          <w:trHeight w:val="305"/>
        </w:trPr>
        <w:tc>
          <w:tcPr>
            <w:tcW w:w="441" w:type="dxa"/>
            <w:shd w:val="clear" w:color="auto" w:fill="auto"/>
            <w:noWrap/>
            <w:vAlign w:val="center"/>
          </w:tcPr>
          <w:p>
            <w:pPr>
              <w:jc w:val="center"/>
            </w:pPr>
          </w:p>
        </w:tc>
        <w:tc>
          <w:tcPr>
            <w:tcW w:w="4677" w:type="dxa"/>
            <w:shd w:val="clear" w:color="auto" w:fill="auto"/>
            <w:vAlign w:val="center"/>
          </w:tcPr>
          <w:p>
            <w:r>
              <w:t>Всего по программам</w:t>
            </w:r>
          </w:p>
        </w:tc>
        <w:tc>
          <w:tcPr>
            <w:tcW w:w="1560" w:type="dxa"/>
            <w:shd w:val="clear" w:color="auto" w:fill="auto"/>
            <w:noWrap/>
            <w:vAlign w:val="center"/>
          </w:tcPr>
          <w:p>
            <w:pPr>
              <w:jc w:val="right"/>
              <w:rPr>
                <w:bCs/>
              </w:rPr>
            </w:pPr>
            <w:r>
              <w:rPr>
                <w:bCs/>
              </w:rPr>
              <w:t>92 340,46</w:t>
            </w:r>
          </w:p>
        </w:tc>
        <w:tc>
          <w:tcPr>
            <w:tcW w:w="1275" w:type="dxa"/>
            <w:shd w:val="clear" w:color="auto" w:fill="auto"/>
            <w:noWrap/>
            <w:vAlign w:val="center"/>
          </w:tcPr>
          <w:p>
            <w:pPr>
              <w:jc w:val="right"/>
              <w:rPr>
                <w:bCs/>
              </w:rPr>
            </w:pPr>
            <w:r>
              <w:rPr>
                <w:bCs/>
              </w:rPr>
              <w:t>88 681,94</w:t>
            </w:r>
          </w:p>
        </w:tc>
        <w:tc>
          <w:tcPr>
            <w:tcW w:w="1418" w:type="dxa"/>
            <w:shd w:val="clear" w:color="auto" w:fill="auto"/>
            <w:noWrap/>
            <w:vAlign w:val="center"/>
          </w:tcPr>
          <w:p>
            <w:pPr>
              <w:jc w:val="right"/>
              <w:rPr>
                <w:bCs/>
              </w:rPr>
            </w:pPr>
            <w:r>
              <w:rPr>
                <w:bCs/>
              </w:rPr>
              <w:t>96,0</w:t>
            </w:r>
          </w:p>
        </w:tc>
      </w:tr>
    </w:tbl>
    <w:p>
      <w:pPr>
        <w:pStyle w:val="31"/>
        <w:tabs>
          <w:tab w:val="clear" w:pos="5529"/>
          <w:tab w:val="left" w:pos="709"/>
        </w:tabs>
        <w:spacing w:before="120"/>
        <w:ind w:right="0" w:firstLine="709"/>
        <w:rPr>
          <w:spacing w:val="-4"/>
          <w:sz w:val="24"/>
          <w:szCs w:val="24"/>
        </w:rPr>
      </w:pPr>
      <w:r>
        <w:rPr>
          <w:sz w:val="24"/>
          <w:szCs w:val="24"/>
        </w:rPr>
        <w:t xml:space="preserve">Управлением имущественных отношений за 2021 год </w:t>
      </w:r>
      <w:r>
        <w:rPr>
          <w:spacing w:val="-4"/>
          <w:sz w:val="24"/>
          <w:szCs w:val="24"/>
        </w:rPr>
        <w:t>исполнялись непрограммные мероприятия в сумме 160,11 тыс.руб. - исполнение судебных актов.</w:t>
      </w:r>
    </w:p>
    <w:p>
      <w:pPr>
        <w:spacing w:before="120"/>
        <w:ind w:firstLine="709"/>
        <w:jc w:val="both"/>
        <w:rPr>
          <w:sz w:val="24"/>
          <w:szCs w:val="24"/>
        </w:rPr>
      </w:pPr>
      <w:r>
        <w:rPr>
          <w:sz w:val="24"/>
          <w:szCs w:val="24"/>
        </w:rPr>
        <w:t>В разрезе разделов исполнение расходов осуществлялось по двум разделам:</w:t>
      </w:r>
    </w:p>
    <w:p>
      <w:pPr>
        <w:spacing w:before="120" w:after="60"/>
        <w:ind w:firstLine="709"/>
        <w:jc w:val="both"/>
        <w:rPr>
          <w:sz w:val="24"/>
          <w:szCs w:val="24"/>
        </w:rPr>
      </w:pPr>
      <w:r>
        <w:rPr>
          <w:sz w:val="24"/>
          <w:szCs w:val="24"/>
        </w:rPr>
        <w:t>Таблица 54. Расходы Управления имущественных отношений по разделам                   за 2020 год</w:t>
      </w:r>
    </w:p>
    <w:tbl>
      <w:tblPr>
        <w:tblW w:w="9356" w:type="dxa"/>
        <w:tblInd w:w="108" w:type="dxa"/>
        <w:tblLayout w:type="fixed"/>
        <w:tblLook w:val="04A0" w:firstRow="1" w:lastRow="0" w:firstColumn="1" w:lastColumn="0" w:noHBand="0" w:noVBand="1"/>
      </w:tblPr>
      <w:tblGrid>
        <w:gridCol w:w="720"/>
        <w:gridCol w:w="4383"/>
        <w:gridCol w:w="1560"/>
        <w:gridCol w:w="1275"/>
        <w:gridCol w:w="1418"/>
      </w:tblGrid>
      <w:tr>
        <w:trPr>
          <w:trHeight w:val="959"/>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pPr>
              <w:jc w:val="center"/>
            </w:pPr>
            <w:r>
              <w:t>Раздел, подраздел</w:t>
            </w:r>
          </w:p>
        </w:tc>
        <w:tc>
          <w:tcPr>
            <w:tcW w:w="4383" w:type="dxa"/>
            <w:tcBorders>
              <w:top w:val="single" w:sz="4" w:space="0" w:color="auto"/>
              <w:left w:val="nil"/>
              <w:bottom w:val="single" w:sz="4" w:space="0" w:color="auto"/>
              <w:right w:val="single" w:sz="4" w:space="0" w:color="auto"/>
            </w:tcBorders>
            <w:shd w:val="clear" w:color="auto" w:fill="auto"/>
            <w:vAlign w:val="center"/>
          </w:tcPr>
          <w:p>
            <w:pPr>
              <w:jc w:val="center"/>
            </w:pPr>
            <w:r>
              <w:t>Наименование</w:t>
            </w:r>
          </w:p>
        </w:tc>
        <w:tc>
          <w:tcPr>
            <w:tcW w:w="1560" w:type="dxa"/>
            <w:tcBorders>
              <w:top w:val="single" w:sz="4" w:space="0" w:color="auto"/>
              <w:left w:val="nil"/>
              <w:bottom w:val="single" w:sz="4" w:space="0" w:color="auto"/>
              <w:right w:val="single" w:sz="4" w:space="0" w:color="auto"/>
            </w:tcBorders>
            <w:shd w:val="clear" w:color="auto" w:fill="auto"/>
            <w:vAlign w:val="center"/>
          </w:tcPr>
          <w:p>
            <w:pPr>
              <w:jc w:val="center"/>
            </w:pPr>
            <w:r>
              <w:t>Уточненный план 2021 г., тыс.руб.</w:t>
            </w:r>
          </w:p>
        </w:tc>
        <w:tc>
          <w:tcPr>
            <w:tcW w:w="1275" w:type="dxa"/>
            <w:tcBorders>
              <w:top w:val="single" w:sz="4" w:space="0" w:color="auto"/>
              <w:left w:val="nil"/>
              <w:bottom w:val="single" w:sz="4" w:space="0" w:color="auto"/>
              <w:right w:val="single" w:sz="4" w:space="0" w:color="auto"/>
            </w:tcBorders>
            <w:shd w:val="clear" w:color="auto" w:fill="auto"/>
            <w:vAlign w:val="center"/>
          </w:tcPr>
          <w:p>
            <w:pPr>
              <w:ind w:right="-42"/>
              <w:jc w:val="center"/>
            </w:pPr>
            <w:r>
              <w:t xml:space="preserve">Исполнено </w:t>
            </w:r>
          </w:p>
          <w:p>
            <w:pPr>
              <w:ind w:right="-42"/>
              <w:jc w:val="center"/>
            </w:pPr>
            <w:r>
              <w:t>за 2021 г., тыс.руб.</w:t>
            </w:r>
          </w:p>
        </w:tc>
        <w:tc>
          <w:tcPr>
            <w:tcW w:w="1418" w:type="dxa"/>
            <w:tcBorders>
              <w:top w:val="single" w:sz="4" w:space="0" w:color="auto"/>
              <w:left w:val="nil"/>
              <w:bottom w:val="single" w:sz="4" w:space="0" w:color="auto"/>
              <w:right w:val="single" w:sz="4" w:space="0" w:color="auto"/>
            </w:tcBorders>
            <w:vAlign w:val="center"/>
          </w:tcPr>
          <w:p>
            <w:pPr>
              <w:jc w:val="center"/>
            </w:pPr>
            <w:r>
              <w:t xml:space="preserve">Процент </w:t>
            </w:r>
          </w:p>
          <w:p>
            <w:pPr>
              <w:jc w:val="center"/>
            </w:pPr>
            <w:r>
              <w:t xml:space="preserve">исполнения </w:t>
            </w:r>
          </w:p>
          <w:p>
            <w:pPr>
              <w:jc w:val="center"/>
            </w:pPr>
            <w:r>
              <w:t>к плану</w:t>
            </w:r>
            <w:r>
              <w:br/>
              <w:t xml:space="preserve"> 2021 г.</w:t>
            </w:r>
          </w:p>
        </w:tc>
      </w:tr>
      <w:tr>
        <w:trPr>
          <w:trHeight w:val="247"/>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p>
        </w:tc>
        <w:tc>
          <w:tcPr>
            <w:tcW w:w="4383" w:type="dxa"/>
            <w:tcBorders>
              <w:top w:val="nil"/>
              <w:left w:val="nil"/>
              <w:bottom w:val="single" w:sz="4" w:space="0" w:color="auto"/>
              <w:right w:val="single" w:sz="4" w:space="0" w:color="auto"/>
            </w:tcBorders>
            <w:shd w:val="clear" w:color="auto" w:fill="auto"/>
            <w:vAlign w:val="center"/>
          </w:tcPr>
          <w:p>
            <w:r>
              <w:t>Управление имущественных отношений:</w:t>
            </w:r>
          </w:p>
        </w:tc>
        <w:tc>
          <w:tcPr>
            <w:tcW w:w="1560" w:type="dxa"/>
            <w:tcBorders>
              <w:top w:val="nil"/>
              <w:left w:val="nil"/>
              <w:bottom w:val="single" w:sz="4" w:space="0" w:color="auto"/>
              <w:right w:val="single" w:sz="4" w:space="0" w:color="auto"/>
            </w:tcBorders>
            <w:shd w:val="clear" w:color="auto" w:fill="auto"/>
            <w:noWrap/>
            <w:vAlign w:val="center"/>
          </w:tcPr>
          <w:p>
            <w:pPr>
              <w:jc w:val="right"/>
              <w:rPr>
                <w:bCs/>
              </w:rPr>
            </w:pPr>
            <w:r>
              <w:rPr>
                <w:bCs/>
              </w:rPr>
              <w:t>92 526,46</w:t>
            </w:r>
          </w:p>
        </w:tc>
        <w:tc>
          <w:tcPr>
            <w:tcW w:w="1275" w:type="dxa"/>
            <w:tcBorders>
              <w:top w:val="single" w:sz="4" w:space="0" w:color="auto"/>
              <w:left w:val="nil"/>
              <w:bottom w:val="single" w:sz="4" w:space="0" w:color="auto"/>
              <w:right w:val="single" w:sz="4" w:space="0" w:color="auto"/>
            </w:tcBorders>
            <w:shd w:val="clear" w:color="auto" w:fill="auto"/>
            <w:noWrap/>
            <w:vAlign w:val="center"/>
          </w:tcPr>
          <w:p>
            <w:pPr>
              <w:jc w:val="right"/>
              <w:rPr>
                <w:bCs/>
              </w:rPr>
            </w:pPr>
            <w:r>
              <w:rPr>
                <w:bCs/>
              </w:rPr>
              <w:t>88 842,05</w:t>
            </w:r>
          </w:p>
        </w:tc>
        <w:tc>
          <w:tcPr>
            <w:tcW w:w="1418" w:type="dxa"/>
            <w:tcBorders>
              <w:top w:val="single" w:sz="4" w:space="0" w:color="auto"/>
              <w:left w:val="nil"/>
              <w:bottom w:val="single" w:sz="4" w:space="0" w:color="auto"/>
              <w:right w:val="single" w:sz="4" w:space="0" w:color="auto"/>
            </w:tcBorders>
            <w:vAlign w:val="center"/>
          </w:tcPr>
          <w:p>
            <w:pPr>
              <w:jc w:val="right"/>
              <w:rPr>
                <w:bCs/>
              </w:rPr>
            </w:pPr>
            <w:r>
              <w:rPr>
                <w:bCs/>
              </w:rPr>
              <w:t>96,0</w:t>
            </w:r>
          </w:p>
        </w:tc>
      </w:tr>
      <w:tr>
        <w:trPr>
          <w:trHeight w:val="278"/>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0100</w:t>
            </w:r>
          </w:p>
        </w:tc>
        <w:tc>
          <w:tcPr>
            <w:tcW w:w="4383" w:type="dxa"/>
            <w:tcBorders>
              <w:top w:val="nil"/>
              <w:left w:val="nil"/>
              <w:bottom w:val="single" w:sz="4" w:space="0" w:color="auto"/>
              <w:right w:val="single" w:sz="4" w:space="0" w:color="auto"/>
            </w:tcBorders>
            <w:shd w:val="clear" w:color="auto" w:fill="auto"/>
            <w:vAlign w:val="center"/>
          </w:tcPr>
          <w:p>
            <w:r>
              <w:t>Общегосударственные вопросы</w:t>
            </w:r>
          </w:p>
        </w:tc>
        <w:tc>
          <w:tcPr>
            <w:tcW w:w="1560" w:type="dxa"/>
            <w:tcBorders>
              <w:top w:val="nil"/>
              <w:left w:val="nil"/>
              <w:bottom w:val="single" w:sz="4" w:space="0" w:color="auto"/>
              <w:right w:val="single" w:sz="4" w:space="0" w:color="auto"/>
            </w:tcBorders>
            <w:shd w:val="clear" w:color="auto" w:fill="auto"/>
            <w:noWrap/>
            <w:vAlign w:val="center"/>
          </w:tcPr>
          <w:p>
            <w:pPr>
              <w:jc w:val="right"/>
            </w:pPr>
            <w:r>
              <w:t>17 360,36</w:t>
            </w:r>
          </w:p>
        </w:tc>
        <w:tc>
          <w:tcPr>
            <w:tcW w:w="1275" w:type="dxa"/>
            <w:tcBorders>
              <w:top w:val="nil"/>
              <w:left w:val="nil"/>
              <w:bottom w:val="single" w:sz="4" w:space="0" w:color="auto"/>
              <w:right w:val="single" w:sz="4" w:space="0" w:color="auto"/>
            </w:tcBorders>
            <w:shd w:val="clear" w:color="auto" w:fill="auto"/>
            <w:noWrap/>
            <w:vAlign w:val="center"/>
          </w:tcPr>
          <w:p>
            <w:pPr>
              <w:jc w:val="right"/>
            </w:pPr>
            <w:r>
              <w:t>15 359,88</w:t>
            </w:r>
          </w:p>
        </w:tc>
        <w:tc>
          <w:tcPr>
            <w:tcW w:w="1418" w:type="dxa"/>
            <w:tcBorders>
              <w:top w:val="single" w:sz="4" w:space="0" w:color="auto"/>
              <w:left w:val="nil"/>
              <w:bottom w:val="single" w:sz="4" w:space="0" w:color="auto"/>
              <w:right w:val="single" w:sz="4" w:space="0" w:color="auto"/>
            </w:tcBorders>
            <w:vAlign w:val="center"/>
          </w:tcPr>
          <w:p>
            <w:pPr>
              <w:jc w:val="right"/>
            </w:pPr>
            <w:r>
              <w:t>88,5</w:t>
            </w:r>
          </w:p>
        </w:tc>
      </w:tr>
      <w:tr>
        <w:trPr>
          <w:trHeight w:val="255"/>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0400</w:t>
            </w:r>
          </w:p>
        </w:tc>
        <w:tc>
          <w:tcPr>
            <w:tcW w:w="4383" w:type="dxa"/>
            <w:tcBorders>
              <w:top w:val="nil"/>
              <w:left w:val="nil"/>
              <w:bottom w:val="single" w:sz="4" w:space="0" w:color="auto"/>
              <w:right w:val="single" w:sz="4" w:space="0" w:color="auto"/>
            </w:tcBorders>
            <w:shd w:val="clear" w:color="auto" w:fill="auto"/>
            <w:vAlign w:val="center"/>
          </w:tcPr>
          <w:p>
            <w:r>
              <w:t>Национальная экономика</w:t>
            </w:r>
          </w:p>
        </w:tc>
        <w:tc>
          <w:tcPr>
            <w:tcW w:w="1560" w:type="dxa"/>
            <w:tcBorders>
              <w:top w:val="nil"/>
              <w:left w:val="nil"/>
              <w:bottom w:val="single" w:sz="4" w:space="0" w:color="auto"/>
              <w:right w:val="single" w:sz="4" w:space="0" w:color="auto"/>
            </w:tcBorders>
            <w:shd w:val="clear" w:color="auto" w:fill="auto"/>
            <w:noWrap/>
            <w:vAlign w:val="center"/>
          </w:tcPr>
          <w:p>
            <w:pPr>
              <w:jc w:val="right"/>
            </w:pPr>
            <w:r>
              <w:t>75 166,10</w:t>
            </w:r>
          </w:p>
        </w:tc>
        <w:tc>
          <w:tcPr>
            <w:tcW w:w="1275" w:type="dxa"/>
            <w:tcBorders>
              <w:top w:val="nil"/>
              <w:left w:val="nil"/>
              <w:bottom w:val="single" w:sz="4" w:space="0" w:color="auto"/>
              <w:right w:val="single" w:sz="4" w:space="0" w:color="auto"/>
            </w:tcBorders>
            <w:shd w:val="clear" w:color="auto" w:fill="auto"/>
            <w:noWrap/>
            <w:vAlign w:val="center"/>
          </w:tcPr>
          <w:p>
            <w:pPr>
              <w:jc w:val="right"/>
            </w:pPr>
            <w:r>
              <w:t>73 482,17</w:t>
            </w:r>
          </w:p>
        </w:tc>
        <w:tc>
          <w:tcPr>
            <w:tcW w:w="1418" w:type="dxa"/>
            <w:tcBorders>
              <w:top w:val="single" w:sz="4" w:space="0" w:color="auto"/>
              <w:left w:val="nil"/>
              <w:bottom w:val="single" w:sz="4" w:space="0" w:color="auto"/>
              <w:right w:val="single" w:sz="4" w:space="0" w:color="auto"/>
            </w:tcBorders>
            <w:vAlign w:val="center"/>
          </w:tcPr>
          <w:p>
            <w:pPr>
              <w:jc w:val="right"/>
            </w:pPr>
            <w:r>
              <w:t>97,8</w:t>
            </w:r>
          </w:p>
        </w:tc>
      </w:tr>
    </w:tbl>
    <w:p>
      <w:pPr>
        <w:pStyle w:val="31"/>
        <w:tabs>
          <w:tab w:val="clear" w:pos="5529"/>
          <w:tab w:val="left" w:pos="709"/>
        </w:tabs>
        <w:spacing w:before="120"/>
        <w:ind w:right="0"/>
        <w:rPr>
          <w:b/>
          <w:sz w:val="24"/>
          <w:szCs w:val="24"/>
        </w:rPr>
      </w:pPr>
      <w:r>
        <w:rPr>
          <w:b/>
          <w:sz w:val="24"/>
          <w:szCs w:val="24"/>
        </w:rPr>
        <w:tab/>
      </w:r>
      <w:r>
        <w:rPr>
          <w:b/>
          <w:sz w:val="24"/>
          <w:szCs w:val="24"/>
        </w:rPr>
        <w:tab/>
      </w:r>
    </w:p>
    <w:p>
      <w:pPr>
        <w:pStyle w:val="31"/>
        <w:spacing w:after="120"/>
        <w:ind w:right="0" w:firstLine="709"/>
        <w:jc w:val="center"/>
        <w:outlineLvl w:val="2"/>
        <w:rPr>
          <w:b/>
          <w:sz w:val="24"/>
          <w:szCs w:val="24"/>
        </w:rPr>
      </w:pPr>
      <w:r>
        <w:rPr>
          <w:b/>
          <w:sz w:val="24"/>
          <w:szCs w:val="24"/>
        </w:rPr>
        <w:t>4.2.9. Счетная палата ЗАТО Северск</w:t>
      </w:r>
    </w:p>
    <w:p>
      <w:pPr>
        <w:ind w:firstLine="709"/>
        <w:jc w:val="both"/>
        <w:rPr>
          <w:sz w:val="24"/>
          <w:szCs w:val="24"/>
        </w:rPr>
      </w:pPr>
      <w:r>
        <w:rPr>
          <w:sz w:val="24"/>
          <w:szCs w:val="24"/>
        </w:rPr>
        <w:t>Кассовое исполнение по непрограммным направлениям расходов за 2021 год составило 17 409,19 тыс.руб. или 99,9% к плану к утвержденным годовым назначениям.</w:t>
      </w:r>
    </w:p>
    <w:p>
      <w:pPr>
        <w:ind w:firstLine="709"/>
        <w:jc w:val="both"/>
        <w:rPr>
          <w:sz w:val="24"/>
          <w:szCs w:val="24"/>
        </w:rPr>
      </w:pPr>
      <w:r>
        <w:rPr>
          <w:sz w:val="24"/>
          <w:szCs w:val="24"/>
        </w:rPr>
        <w:t>В общей структуре произведенных расходов удельный вес расходов, подведомственных Счетной палате, составил 0,3%, исполнение расходов осуществлялось по разделу 0100 «Общегосударственные расходы».</w:t>
      </w:r>
    </w:p>
    <w:p>
      <w:pPr>
        <w:ind w:firstLine="709"/>
        <w:jc w:val="both"/>
        <w:rPr>
          <w:sz w:val="24"/>
          <w:szCs w:val="24"/>
        </w:rPr>
      </w:pPr>
      <w:r>
        <w:rPr>
          <w:sz w:val="24"/>
          <w:szCs w:val="24"/>
        </w:rPr>
        <w:t>Бюджетные ассигнования направлены на:</w:t>
      </w:r>
    </w:p>
    <w:p>
      <w:pPr>
        <w:ind w:firstLine="709"/>
        <w:jc w:val="both"/>
        <w:rPr>
          <w:sz w:val="24"/>
          <w:szCs w:val="24"/>
        </w:rPr>
      </w:pPr>
      <w:r>
        <w:rPr>
          <w:sz w:val="24"/>
          <w:szCs w:val="24"/>
        </w:rPr>
        <w:t>1) обеспечение деятельности Счетной палаты – 15 809,31тыс.руб., из них:</w:t>
      </w:r>
    </w:p>
    <w:p>
      <w:pPr>
        <w:ind w:firstLine="709"/>
        <w:jc w:val="both"/>
        <w:rPr>
          <w:sz w:val="24"/>
          <w:szCs w:val="24"/>
        </w:rPr>
      </w:pPr>
      <w:r>
        <w:rPr>
          <w:sz w:val="24"/>
          <w:szCs w:val="24"/>
        </w:rPr>
        <w:t>- 12 822,73 тыс.руб. на заработную плату с начислениями;</w:t>
      </w:r>
    </w:p>
    <w:p>
      <w:pPr>
        <w:pStyle w:val="31"/>
        <w:tabs>
          <w:tab w:val="clear" w:pos="5529"/>
        </w:tabs>
        <w:ind w:right="0" w:firstLine="709"/>
        <w:rPr>
          <w:sz w:val="24"/>
          <w:szCs w:val="24"/>
        </w:rPr>
      </w:pPr>
      <w:r>
        <w:rPr>
          <w:sz w:val="24"/>
          <w:szCs w:val="24"/>
        </w:rPr>
        <w:t>- 1 591,93 тыс.руб. - услуг связи, обслуживание программного обеспечение, приобретение вычислительной техники и комплектующих к ней;</w:t>
      </w:r>
    </w:p>
    <w:p>
      <w:pPr>
        <w:pStyle w:val="31"/>
        <w:tabs>
          <w:tab w:val="clear" w:pos="5529"/>
        </w:tabs>
        <w:ind w:right="0" w:firstLine="709"/>
        <w:jc w:val="left"/>
        <w:rPr>
          <w:sz w:val="24"/>
          <w:szCs w:val="24"/>
        </w:rPr>
      </w:pPr>
      <w:r>
        <w:rPr>
          <w:sz w:val="24"/>
          <w:szCs w:val="24"/>
        </w:rPr>
        <w:t>- 124,8 тыс.руб. на оплату коммунальных услуг;</w:t>
      </w:r>
    </w:p>
    <w:p>
      <w:pPr>
        <w:ind w:firstLine="709"/>
        <w:jc w:val="both"/>
        <w:rPr>
          <w:sz w:val="24"/>
          <w:szCs w:val="24"/>
        </w:rPr>
      </w:pPr>
      <w:r>
        <w:rPr>
          <w:sz w:val="24"/>
          <w:szCs w:val="24"/>
        </w:rPr>
        <w:t>2) оплату членских взносов в Союз муниципальных контрольно-счетных органов – 25,0 тыс.руб.</w:t>
      </w:r>
    </w:p>
    <w:p>
      <w:pPr>
        <w:ind w:firstLine="709"/>
        <w:jc w:val="both"/>
        <w:rPr>
          <w:sz w:val="24"/>
          <w:szCs w:val="24"/>
          <w:highlight w:val="yellow"/>
        </w:rPr>
      </w:pPr>
      <w:r>
        <w:rPr>
          <w:sz w:val="24"/>
          <w:szCs w:val="24"/>
        </w:rPr>
        <w:t>3) выплата однократного единовременного пособия при прекращении полномочий – 1 574,88 тыс.руб. (</w:t>
      </w:r>
      <w:r>
        <w:rPr>
          <w:spacing w:val="-4"/>
          <w:sz w:val="24"/>
          <w:szCs w:val="24"/>
        </w:rPr>
        <w:t>за счет средств ФНР ЗАТО Северск).</w:t>
      </w:r>
    </w:p>
    <w:p>
      <w:pPr>
        <w:ind w:firstLine="709"/>
        <w:jc w:val="both"/>
        <w:rPr>
          <w:sz w:val="24"/>
          <w:szCs w:val="24"/>
          <w:highlight w:val="yellow"/>
        </w:rPr>
      </w:pPr>
    </w:p>
    <w:p>
      <w:pPr>
        <w:pStyle w:val="31"/>
        <w:ind w:right="0" w:firstLine="709"/>
        <w:jc w:val="center"/>
        <w:rPr>
          <w:b/>
          <w:sz w:val="24"/>
          <w:szCs w:val="24"/>
        </w:rPr>
      </w:pPr>
      <w:r>
        <w:rPr>
          <w:b/>
          <w:sz w:val="24"/>
          <w:szCs w:val="24"/>
        </w:rPr>
        <w:t xml:space="preserve">4.2.10. Управление жилищно-коммунального хозяйства, </w:t>
      </w:r>
    </w:p>
    <w:p>
      <w:pPr>
        <w:pStyle w:val="31"/>
        <w:spacing w:after="120"/>
        <w:ind w:right="0" w:firstLine="709"/>
        <w:jc w:val="center"/>
        <w:rPr>
          <w:b/>
          <w:sz w:val="24"/>
          <w:szCs w:val="24"/>
        </w:rPr>
      </w:pPr>
      <w:r>
        <w:rPr>
          <w:b/>
          <w:sz w:val="24"/>
          <w:szCs w:val="24"/>
        </w:rPr>
        <w:t>транспорта и связи Администрации ЗАТО Северск</w:t>
      </w:r>
    </w:p>
    <w:p>
      <w:pPr>
        <w:pStyle w:val="27"/>
        <w:shd w:val="clear" w:color="auto" w:fill="auto"/>
        <w:spacing w:line="240" w:lineRule="auto"/>
        <w:ind w:firstLine="709"/>
        <w:rPr>
          <w:rFonts w:eastAsia="Calibri"/>
          <w:sz w:val="24"/>
          <w:szCs w:val="24"/>
        </w:rPr>
      </w:pPr>
      <w:r>
        <w:rPr>
          <w:rFonts w:eastAsia="Calibri"/>
          <w:sz w:val="24"/>
          <w:szCs w:val="24"/>
        </w:rPr>
        <w:t>Кассовое исполнение расходов за 2021 год составило 513 850,49 тыс.руб. или 97,3% к утвержденным годовым назначениям.</w:t>
      </w:r>
    </w:p>
    <w:p>
      <w:pPr>
        <w:pStyle w:val="27"/>
        <w:shd w:val="clear" w:color="auto" w:fill="auto"/>
        <w:spacing w:line="240" w:lineRule="auto"/>
        <w:ind w:firstLine="709"/>
        <w:rPr>
          <w:rFonts w:eastAsia="Calibri"/>
          <w:sz w:val="24"/>
          <w:szCs w:val="24"/>
        </w:rPr>
      </w:pPr>
      <w:r>
        <w:rPr>
          <w:rFonts w:eastAsia="Calibri"/>
          <w:sz w:val="24"/>
          <w:szCs w:val="24"/>
        </w:rPr>
        <w:t xml:space="preserve">В общей структуре произведенных расходов удельный вес расходов, подведомственных УЖКХ ТиС, составил 10,2%. </w:t>
      </w:r>
    </w:p>
    <w:p>
      <w:pPr>
        <w:ind w:firstLine="709"/>
        <w:jc w:val="both"/>
        <w:rPr>
          <w:sz w:val="24"/>
          <w:szCs w:val="24"/>
        </w:rPr>
      </w:pPr>
      <w:r>
        <w:rPr>
          <w:sz w:val="24"/>
          <w:szCs w:val="24"/>
        </w:rPr>
        <w:t>УЖКХ ТиС является ответственным исполнителем пяти муниципальных программ, участником Муниципальной программы «Формирование благоприятного социального климата в ЗАТО Северск», исполнителем программы «Комплексное развитие систем коммунальной инфраструктуры ЗАТО Северск» на 2013 год и на перспективу до 2035 года.</w:t>
      </w:r>
    </w:p>
    <w:p>
      <w:pPr>
        <w:ind w:firstLine="709"/>
        <w:jc w:val="both"/>
        <w:rPr>
          <w:spacing w:val="-4"/>
          <w:sz w:val="24"/>
          <w:szCs w:val="24"/>
        </w:rPr>
      </w:pPr>
      <w:r>
        <w:rPr>
          <w:sz w:val="24"/>
          <w:szCs w:val="24"/>
        </w:rPr>
        <w:lastRenderedPageBreak/>
        <w:t xml:space="preserve">Кассовое исполнение по муниципальным программам составило </w:t>
      </w:r>
      <w:r>
        <w:rPr>
          <w:spacing w:val="-4"/>
          <w:sz w:val="24"/>
          <w:szCs w:val="24"/>
        </w:rPr>
        <w:t xml:space="preserve">492 958,30 тыс.руб. </w:t>
      </w:r>
      <w:r>
        <w:rPr>
          <w:sz w:val="24"/>
          <w:szCs w:val="24"/>
        </w:rPr>
        <w:t>или 98,1% к утвержденным годовым назначениям.</w:t>
      </w:r>
    </w:p>
    <w:p>
      <w:pPr>
        <w:pStyle w:val="31"/>
        <w:tabs>
          <w:tab w:val="clear" w:pos="5529"/>
          <w:tab w:val="left" w:pos="0"/>
        </w:tabs>
        <w:spacing w:before="120" w:after="60"/>
        <w:ind w:right="0" w:firstLine="709"/>
        <w:rPr>
          <w:spacing w:val="-4"/>
          <w:sz w:val="24"/>
          <w:szCs w:val="24"/>
        </w:rPr>
      </w:pPr>
      <w:r>
        <w:rPr>
          <w:sz w:val="24"/>
          <w:szCs w:val="24"/>
        </w:rPr>
        <w:t>Таблица 55. Расходы УЖКХ ТиС в разрезе МП</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4871"/>
        <w:gridCol w:w="1296"/>
        <w:gridCol w:w="1403"/>
        <w:gridCol w:w="1422"/>
      </w:tblGrid>
      <w:tr>
        <w:trPr>
          <w:cantSplit/>
          <w:trHeight w:val="988"/>
        </w:trPr>
        <w:tc>
          <w:tcPr>
            <w:tcW w:w="506" w:type="dxa"/>
            <w:textDirection w:val="btLr"/>
            <w:vAlign w:val="center"/>
          </w:tcPr>
          <w:p>
            <w:pPr>
              <w:ind w:left="113" w:right="55"/>
              <w:jc w:val="center"/>
              <w:rPr>
                <w:bCs/>
              </w:rPr>
            </w:pPr>
            <w:r>
              <w:rPr>
                <w:lang w:val="en-US"/>
              </w:rPr>
              <w:t xml:space="preserve">№ </w:t>
            </w:r>
            <w:r>
              <w:t>п/п</w:t>
            </w:r>
          </w:p>
        </w:tc>
        <w:tc>
          <w:tcPr>
            <w:tcW w:w="4871" w:type="dxa"/>
            <w:vAlign w:val="center"/>
          </w:tcPr>
          <w:p>
            <w:pPr>
              <w:ind w:right="55"/>
              <w:jc w:val="center"/>
              <w:rPr>
                <w:bCs/>
              </w:rPr>
            </w:pPr>
            <w:r>
              <w:t>Наименование программы</w:t>
            </w:r>
          </w:p>
        </w:tc>
        <w:tc>
          <w:tcPr>
            <w:tcW w:w="1296" w:type="dxa"/>
            <w:vAlign w:val="center"/>
          </w:tcPr>
          <w:p>
            <w:pPr>
              <w:pStyle w:val="31"/>
              <w:spacing w:line="264" w:lineRule="auto"/>
              <w:ind w:left="-103" w:right="-103"/>
              <w:jc w:val="center"/>
              <w:rPr>
                <w:sz w:val="20"/>
              </w:rPr>
            </w:pPr>
            <w:r>
              <w:rPr>
                <w:sz w:val="20"/>
              </w:rPr>
              <w:t>Утверждено на 2021 год, тыс.руб.</w:t>
            </w:r>
          </w:p>
        </w:tc>
        <w:tc>
          <w:tcPr>
            <w:tcW w:w="1403" w:type="dxa"/>
            <w:vAlign w:val="center"/>
          </w:tcPr>
          <w:p>
            <w:pPr>
              <w:ind w:right="55"/>
              <w:jc w:val="center"/>
            </w:pPr>
            <w:r>
              <w:rPr>
                <w:bCs/>
              </w:rPr>
              <w:t>Исполнено за 2021 год, тыс. руб.</w:t>
            </w:r>
          </w:p>
        </w:tc>
        <w:tc>
          <w:tcPr>
            <w:tcW w:w="1422" w:type="dxa"/>
            <w:vAlign w:val="center"/>
          </w:tcPr>
          <w:p>
            <w:pPr>
              <w:jc w:val="center"/>
            </w:pPr>
            <w:r>
              <w:t xml:space="preserve">Процент </w:t>
            </w:r>
          </w:p>
          <w:p>
            <w:pPr>
              <w:jc w:val="center"/>
            </w:pPr>
            <w:r>
              <w:t>исполнения</w:t>
            </w:r>
          </w:p>
          <w:p>
            <w:pPr>
              <w:jc w:val="center"/>
            </w:pPr>
            <w:r>
              <w:t>к плану</w:t>
            </w:r>
            <w:r>
              <w:br/>
              <w:t xml:space="preserve"> 2021 г.</w:t>
            </w:r>
          </w:p>
        </w:tc>
      </w:tr>
      <w:tr>
        <w:trPr>
          <w:trHeight w:val="406"/>
        </w:trPr>
        <w:tc>
          <w:tcPr>
            <w:tcW w:w="506" w:type="dxa"/>
            <w:vAlign w:val="center"/>
          </w:tcPr>
          <w:p>
            <w:pPr>
              <w:jc w:val="center"/>
              <w:rPr>
                <w:bCs/>
              </w:rPr>
            </w:pPr>
            <w:r>
              <w:rPr>
                <w:bCs/>
              </w:rPr>
              <w:t>1</w:t>
            </w:r>
          </w:p>
        </w:tc>
        <w:tc>
          <w:tcPr>
            <w:tcW w:w="4871" w:type="dxa"/>
            <w:vAlign w:val="center"/>
          </w:tcPr>
          <w:p>
            <w:pPr>
              <w:rPr>
                <w:bCs/>
              </w:rPr>
            </w:pPr>
            <w:r>
              <w:rPr>
                <w:bCs/>
              </w:rPr>
              <w:t>МП «</w:t>
            </w:r>
            <w:r>
              <w:t>Формирование благоприятного социального климата в ЗАТО Северск</w:t>
            </w:r>
            <w:r>
              <w:rPr>
                <w:bCs/>
              </w:rPr>
              <w:t>»</w:t>
            </w:r>
          </w:p>
        </w:tc>
        <w:tc>
          <w:tcPr>
            <w:tcW w:w="1296" w:type="dxa"/>
            <w:vAlign w:val="center"/>
          </w:tcPr>
          <w:p>
            <w:pPr>
              <w:jc w:val="right"/>
            </w:pPr>
            <w:r>
              <w:t>9 391,16</w:t>
            </w:r>
          </w:p>
        </w:tc>
        <w:tc>
          <w:tcPr>
            <w:tcW w:w="1403" w:type="dxa"/>
            <w:vAlign w:val="center"/>
          </w:tcPr>
          <w:p>
            <w:pPr>
              <w:jc w:val="right"/>
            </w:pPr>
            <w:r>
              <w:t>9 323,28</w:t>
            </w:r>
          </w:p>
        </w:tc>
        <w:tc>
          <w:tcPr>
            <w:tcW w:w="1422" w:type="dxa"/>
            <w:vAlign w:val="center"/>
          </w:tcPr>
          <w:p>
            <w:pPr>
              <w:jc w:val="right"/>
            </w:pPr>
            <w:r>
              <w:t>99,3</w:t>
            </w:r>
          </w:p>
        </w:tc>
      </w:tr>
      <w:tr>
        <w:trPr>
          <w:trHeight w:val="640"/>
        </w:trPr>
        <w:tc>
          <w:tcPr>
            <w:tcW w:w="506" w:type="dxa"/>
            <w:vAlign w:val="center"/>
          </w:tcPr>
          <w:p>
            <w:pPr>
              <w:jc w:val="center"/>
              <w:rPr>
                <w:bCs/>
              </w:rPr>
            </w:pPr>
            <w:r>
              <w:rPr>
                <w:bCs/>
              </w:rPr>
              <w:t>2</w:t>
            </w:r>
          </w:p>
        </w:tc>
        <w:tc>
          <w:tcPr>
            <w:tcW w:w="4871" w:type="dxa"/>
            <w:vAlign w:val="center"/>
          </w:tcPr>
          <w:p>
            <w:pPr>
              <w:rPr>
                <w:bCs/>
              </w:rPr>
            </w:pPr>
            <w:r>
              <w:rPr>
                <w:bCs/>
              </w:rPr>
              <w:t>МП «Улучшение качественного состояния объектов благоустройства и озеленения города Северска»</w:t>
            </w:r>
          </w:p>
        </w:tc>
        <w:tc>
          <w:tcPr>
            <w:tcW w:w="1296" w:type="dxa"/>
            <w:vAlign w:val="center"/>
          </w:tcPr>
          <w:p>
            <w:pPr>
              <w:jc w:val="right"/>
            </w:pPr>
            <w:r>
              <w:t>111 783,58</w:t>
            </w:r>
          </w:p>
        </w:tc>
        <w:tc>
          <w:tcPr>
            <w:tcW w:w="1403" w:type="dxa"/>
            <w:vAlign w:val="center"/>
          </w:tcPr>
          <w:p>
            <w:pPr>
              <w:jc w:val="right"/>
            </w:pPr>
            <w:r>
              <w:t>107 833,53</w:t>
            </w:r>
          </w:p>
        </w:tc>
        <w:tc>
          <w:tcPr>
            <w:tcW w:w="1422" w:type="dxa"/>
            <w:vAlign w:val="center"/>
          </w:tcPr>
          <w:p>
            <w:pPr>
              <w:jc w:val="right"/>
            </w:pPr>
            <w:r>
              <w:t>96,5</w:t>
            </w:r>
          </w:p>
        </w:tc>
      </w:tr>
      <w:tr>
        <w:trPr>
          <w:trHeight w:val="380"/>
        </w:trPr>
        <w:tc>
          <w:tcPr>
            <w:tcW w:w="506" w:type="dxa"/>
            <w:vAlign w:val="center"/>
          </w:tcPr>
          <w:p>
            <w:pPr>
              <w:jc w:val="center"/>
            </w:pPr>
            <w:r>
              <w:t>3</w:t>
            </w:r>
          </w:p>
        </w:tc>
        <w:tc>
          <w:tcPr>
            <w:tcW w:w="4871" w:type="dxa"/>
            <w:vAlign w:val="center"/>
          </w:tcPr>
          <w:p>
            <w:pPr>
              <w:pStyle w:val="31"/>
              <w:tabs>
                <w:tab w:val="clear" w:pos="5529"/>
                <w:tab w:val="left" w:pos="0"/>
              </w:tabs>
              <w:ind w:right="0"/>
              <w:jc w:val="left"/>
              <w:rPr>
                <w:bCs/>
                <w:sz w:val="20"/>
              </w:rPr>
            </w:pPr>
            <w:r>
              <w:rPr>
                <w:spacing w:val="-4"/>
                <w:sz w:val="20"/>
              </w:rPr>
              <w:t xml:space="preserve">МП </w:t>
            </w:r>
            <w:r>
              <w:rPr>
                <w:bCs/>
                <w:sz w:val="20"/>
              </w:rPr>
              <w:t xml:space="preserve">«Повышение энергоэффективности в ЗАТО Северск» </w:t>
            </w:r>
          </w:p>
        </w:tc>
        <w:tc>
          <w:tcPr>
            <w:tcW w:w="1296" w:type="dxa"/>
            <w:vAlign w:val="center"/>
          </w:tcPr>
          <w:p>
            <w:pPr>
              <w:jc w:val="right"/>
            </w:pPr>
            <w:r>
              <w:t>39 078,16</w:t>
            </w:r>
          </w:p>
        </w:tc>
        <w:tc>
          <w:tcPr>
            <w:tcW w:w="1403" w:type="dxa"/>
            <w:vAlign w:val="center"/>
          </w:tcPr>
          <w:p>
            <w:pPr>
              <w:jc w:val="right"/>
            </w:pPr>
            <w:r>
              <w:t>37 470,77</w:t>
            </w:r>
          </w:p>
        </w:tc>
        <w:tc>
          <w:tcPr>
            <w:tcW w:w="1422" w:type="dxa"/>
            <w:vAlign w:val="center"/>
          </w:tcPr>
          <w:p>
            <w:pPr>
              <w:jc w:val="right"/>
            </w:pPr>
            <w:r>
              <w:t>95,9</w:t>
            </w:r>
          </w:p>
        </w:tc>
      </w:tr>
      <w:tr>
        <w:trPr>
          <w:trHeight w:val="330"/>
        </w:trPr>
        <w:tc>
          <w:tcPr>
            <w:tcW w:w="506" w:type="dxa"/>
            <w:vAlign w:val="center"/>
          </w:tcPr>
          <w:p>
            <w:pPr>
              <w:jc w:val="center"/>
              <w:rPr>
                <w:bCs/>
              </w:rPr>
            </w:pPr>
            <w:r>
              <w:rPr>
                <w:bCs/>
              </w:rPr>
              <w:t>4</w:t>
            </w:r>
          </w:p>
        </w:tc>
        <w:tc>
          <w:tcPr>
            <w:tcW w:w="4871" w:type="dxa"/>
            <w:vAlign w:val="center"/>
          </w:tcPr>
          <w:p>
            <w:pPr>
              <w:rPr>
                <w:bCs/>
              </w:rPr>
            </w:pPr>
            <w:r>
              <w:rPr>
                <w:bCs/>
              </w:rPr>
              <w:t>МП «Обеспечение доступным и комфортным жильем граждан ЗАТО Северск»</w:t>
            </w:r>
          </w:p>
        </w:tc>
        <w:tc>
          <w:tcPr>
            <w:tcW w:w="1296" w:type="dxa"/>
            <w:vAlign w:val="center"/>
          </w:tcPr>
          <w:p>
            <w:pPr>
              <w:jc w:val="right"/>
            </w:pPr>
            <w:r>
              <w:t>21 912,77</w:t>
            </w:r>
          </w:p>
        </w:tc>
        <w:tc>
          <w:tcPr>
            <w:tcW w:w="1403" w:type="dxa"/>
            <w:vAlign w:val="center"/>
          </w:tcPr>
          <w:p>
            <w:pPr>
              <w:jc w:val="right"/>
            </w:pPr>
            <w:r>
              <w:t>20 585,83</w:t>
            </w:r>
          </w:p>
        </w:tc>
        <w:tc>
          <w:tcPr>
            <w:tcW w:w="1422" w:type="dxa"/>
            <w:vAlign w:val="center"/>
          </w:tcPr>
          <w:p>
            <w:pPr>
              <w:jc w:val="right"/>
            </w:pPr>
            <w:r>
              <w:t>93,9</w:t>
            </w:r>
          </w:p>
        </w:tc>
      </w:tr>
      <w:tr>
        <w:trPr>
          <w:trHeight w:val="422"/>
        </w:trPr>
        <w:tc>
          <w:tcPr>
            <w:tcW w:w="506" w:type="dxa"/>
            <w:vAlign w:val="center"/>
          </w:tcPr>
          <w:p>
            <w:pPr>
              <w:jc w:val="center"/>
              <w:rPr>
                <w:bCs/>
              </w:rPr>
            </w:pPr>
            <w:r>
              <w:rPr>
                <w:bCs/>
              </w:rPr>
              <w:t>5</w:t>
            </w:r>
          </w:p>
        </w:tc>
        <w:tc>
          <w:tcPr>
            <w:tcW w:w="4871" w:type="dxa"/>
            <w:vAlign w:val="center"/>
          </w:tcPr>
          <w:p>
            <w:pPr>
              <w:rPr>
                <w:bCs/>
              </w:rPr>
            </w:pPr>
            <w:r>
              <w:rPr>
                <w:bCs/>
              </w:rPr>
              <w:t>МП «Формирование современной городской среды ЗАТО Северск»</w:t>
            </w:r>
          </w:p>
        </w:tc>
        <w:tc>
          <w:tcPr>
            <w:tcW w:w="1296" w:type="dxa"/>
            <w:vAlign w:val="center"/>
          </w:tcPr>
          <w:p>
            <w:pPr>
              <w:jc w:val="right"/>
            </w:pPr>
            <w:r>
              <w:t>26 695,24</w:t>
            </w:r>
          </w:p>
        </w:tc>
        <w:tc>
          <w:tcPr>
            <w:tcW w:w="1403" w:type="dxa"/>
            <w:vAlign w:val="center"/>
          </w:tcPr>
          <w:p>
            <w:pPr>
              <w:jc w:val="right"/>
            </w:pPr>
            <w:r>
              <w:t>26 691,04</w:t>
            </w:r>
          </w:p>
        </w:tc>
        <w:tc>
          <w:tcPr>
            <w:tcW w:w="1422" w:type="dxa"/>
            <w:vAlign w:val="center"/>
          </w:tcPr>
          <w:p>
            <w:pPr>
              <w:jc w:val="right"/>
            </w:pPr>
            <w:r>
              <w:t>100,0</w:t>
            </w:r>
          </w:p>
        </w:tc>
      </w:tr>
      <w:tr>
        <w:trPr>
          <w:trHeight w:val="386"/>
        </w:trPr>
        <w:tc>
          <w:tcPr>
            <w:tcW w:w="506" w:type="dxa"/>
            <w:vAlign w:val="center"/>
          </w:tcPr>
          <w:p>
            <w:pPr>
              <w:jc w:val="center"/>
              <w:rPr>
                <w:bCs/>
              </w:rPr>
            </w:pPr>
            <w:r>
              <w:rPr>
                <w:bCs/>
              </w:rPr>
              <w:t>6</w:t>
            </w:r>
          </w:p>
        </w:tc>
        <w:tc>
          <w:tcPr>
            <w:tcW w:w="4871" w:type="dxa"/>
            <w:vAlign w:val="center"/>
          </w:tcPr>
          <w:p>
            <w:pPr>
              <w:rPr>
                <w:bCs/>
              </w:rPr>
            </w:pPr>
            <w:r>
              <w:rPr>
                <w:bCs/>
              </w:rPr>
              <w:t xml:space="preserve">МП «Дорожная деятельность и транспортное обслуживание на территории ЗАТО Северск» </w:t>
            </w:r>
          </w:p>
        </w:tc>
        <w:tc>
          <w:tcPr>
            <w:tcW w:w="1296" w:type="dxa"/>
            <w:vAlign w:val="center"/>
          </w:tcPr>
          <w:p>
            <w:pPr>
              <w:jc w:val="right"/>
            </w:pPr>
            <w:r>
              <w:t>291 575,40</w:t>
            </w:r>
          </w:p>
        </w:tc>
        <w:tc>
          <w:tcPr>
            <w:tcW w:w="1403" w:type="dxa"/>
            <w:vAlign w:val="center"/>
          </w:tcPr>
          <w:p>
            <w:pPr>
              <w:jc w:val="right"/>
            </w:pPr>
            <w:r>
              <w:t>290 416,52</w:t>
            </w:r>
          </w:p>
        </w:tc>
        <w:tc>
          <w:tcPr>
            <w:tcW w:w="1422" w:type="dxa"/>
            <w:vAlign w:val="center"/>
          </w:tcPr>
          <w:p>
            <w:pPr>
              <w:jc w:val="right"/>
            </w:pPr>
            <w:r>
              <w:t>99,6</w:t>
            </w:r>
          </w:p>
        </w:tc>
      </w:tr>
      <w:tr>
        <w:tc>
          <w:tcPr>
            <w:tcW w:w="506" w:type="dxa"/>
            <w:shd w:val="clear" w:color="auto" w:fill="auto"/>
            <w:vAlign w:val="center"/>
          </w:tcPr>
          <w:p>
            <w:pPr>
              <w:jc w:val="center"/>
              <w:rPr>
                <w:bCs/>
              </w:rPr>
            </w:pPr>
            <w:r>
              <w:rPr>
                <w:bCs/>
              </w:rPr>
              <w:t>7</w:t>
            </w:r>
          </w:p>
        </w:tc>
        <w:tc>
          <w:tcPr>
            <w:tcW w:w="4871" w:type="dxa"/>
            <w:shd w:val="clear" w:color="auto" w:fill="auto"/>
            <w:vAlign w:val="center"/>
          </w:tcPr>
          <w:p>
            <w:r>
              <w:t>Программа «Комплексное развитие систем коммунальной инфраструктуры ЗАТО Северск»</w:t>
            </w:r>
          </w:p>
        </w:tc>
        <w:tc>
          <w:tcPr>
            <w:tcW w:w="1296" w:type="dxa"/>
            <w:shd w:val="clear" w:color="auto" w:fill="auto"/>
            <w:vAlign w:val="center"/>
          </w:tcPr>
          <w:p>
            <w:pPr>
              <w:jc w:val="right"/>
            </w:pPr>
            <w:r>
              <w:t>2 009,81</w:t>
            </w:r>
          </w:p>
        </w:tc>
        <w:tc>
          <w:tcPr>
            <w:tcW w:w="1403" w:type="dxa"/>
            <w:shd w:val="clear" w:color="auto" w:fill="auto"/>
            <w:vAlign w:val="center"/>
          </w:tcPr>
          <w:p>
            <w:pPr>
              <w:jc w:val="right"/>
            </w:pPr>
            <w:r>
              <w:t>637,33</w:t>
            </w:r>
          </w:p>
        </w:tc>
        <w:tc>
          <w:tcPr>
            <w:tcW w:w="1422" w:type="dxa"/>
            <w:shd w:val="clear" w:color="auto" w:fill="auto"/>
            <w:vAlign w:val="center"/>
          </w:tcPr>
          <w:p>
            <w:pPr>
              <w:jc w:val="right"/>
            </w:pPr>
            <w:r>
              <w:t>31,7</w:t>
            </w:r>
          </w:p>
        </w:tc>
      </w:tr>
      <w:tr>
        <w:tc>
          <w:tcPr>
            <w:tcW w:w="506" w:type="dxa"/>
            <w:shd w:val="clear" w:color="auto" w:fill="auto"/>
            <w:vAlign w:val="center"/>
          </w:tcPr>
          <w:p>
            <w:pPr>
              <w:jc w:val="center"/>
              <w:rPr>
                <w:bCs/>
              </w:rPr>
            </w:pPr>
          </w:p>
        </w:tc>
        <w:tc>
          <w:tcPr>
            <w:tcW w:w="4871" w:type="dxa"/>
            <w:shd w:val="clear" w:color="auto" w:fill="auto"/>
            <w:vAlign w:val="center"/>
          </w:tcPr>
          <w:p>
            <w:r>
              <w:t>Всего по программам</w:t>
            </w:r>
          </w:p>
        </w:tc>
        <w:tc>
          <w:tcPr>
            <w:tcW w:w="1296" w:type="dxa"/>
            <w:shd w:val="clear" w:color="auto" w:fill="auto"/>
            <w:vAlign w:val="center"/>
          </w:tcPr>
          <w:p>
            <w:pPr>
              <w:jc w:val="right"/>
            </w:pPr>
            <w:r>
              <w:t>502 446,12</w:t>
            </w:r>
          </w:p>
        </w:tc>
        <w:tc>
          <w:tcPr>
            <w:tcW w:w="1403" w:type="dxa"/>
            <w:shd w:val="clear" w:color="auto" w:fill="auto"/>
            <w:vAlign w:val="center"/>
          </w:tcPr>
          <w:p>
            <w:pPr>
              <w:jc w:val="right"/>
            </w:pPr>
            <w:r>
              <w:t>492 958,30</w:t>
            </w:r>
          </w:p>
        </w:tc>
        <w:tc>
          <w:tcPr>
            <w:tcW w:w="1422" w:type="dxa"/>
            <w:shd w:val="clear" w:color="auto" w:fill="auto"/>
            <w:vAlign w:val="center"/>
          </w:tcPr>
          <w:p>
            <w:pPr>
              <w:jc w:val="right"/>
            </w:pPr>
            <w:r>
              <w:t>98,1</w:t>
            </w:r>
          </w:p>
        </w:tc>
      </w:tr>
    </w:tbl>
    <w:p>
      <w:pPr>
        <w:pStyle w:val="31"/>
        <w:ind w:right="-2" w:firstLine="709"/>
        <w:rPr>
          <w:spacing w:val="-4"/>
          <w:sz w:val="24"/>
          <w:szCs w:val="24"/>
        </w:rPr>
      </w:pPr>
      <w:r>
        <w:rPr>
          <w:sz w:val="24"/>
          <w:szCs w:val="24"/>
        </w:rPr>
        <w:t xml:space="preserve">УЖКХ ТиС за 2021 год </w:t>
      </w:r>
      <w:r>
        <w:rPr>
          <w:spacing w:val="-4"/>
          <w:sz w:val="24"/>
          <w:szCs w:val="24"/>
        </w:rPr>
        <w:t>исполнялись непрограммные мероприятия на общую сумму 20 892,19 тыс. руб., в том числе:</w:t>
      </w:r>
    </w:p>
    <w:p>
      <w:pPr>
        <w:pStyle w:val="31"/>
        <w:ind w:right="-2" w:firstLine="709"/>
        <w:rPr>
          <w:bCs/>
          <w:sz w:val="24"/>
          <w:szCs w:val="24"/>
        </w:rPr>
      </w:pPr>
      <w:r>
        <w:rPr>
          <w:spacing w:val="-4"/>
          <w:sz w:val="24"/>
          <w:szCs w:val="24"/>
        </w:rPr>
        <w:t>- в сумме 20 207,45 тыс.руб. на исполнение судебных актов, из них:</w:t>
      </w:r>
      <w:r>
        <w:rPr>
          <w:bCs/>
          <w:sz w:val="24"/>
          <w:szCs w:val="24"/>
        </w:rPr>
        <w:t xml:space="preserve"> за счет средств областного бюджета в сумме 11 277,38 тыс.руб. было приобретено 8 жилых помещений для детей-сирот и детей, оставшихся без попечения родителей;</w:t>
      </w:r>
    </w:p>
    <w:p>
      <w:pPr>
        <w:pStyle w:val="31"/>
        <w:ind w:right="-2" w:firstLine="709"/>
        <w:rPr>
          <w:spacing w:val="-4"/>
          <w:sz w:val="24"/>
          <w:szCs w:val="24"/>
        </w:rPr>
      </w:pPr>
      <w:r>
        <w:rPr>
          <w:spacing w:val="-4"/>
          <w:sz w:val="24"/>
          <w:szCs w:val="24"/>
        </w:rPr>
        <w:t xml:space="preserve">- в сумме 574,34 тыс.руб. на приобретение дезинфицирующих средств для обработки </w:t>
      </w:r>
      <w:r>
        <w:rPr>
          <w:sz w:val="24"/>
          <w:szCs w:val="24"/>
        </w:rPr>
        <w:t xml:space="preserve">(дезинфекции) </w:t>
      </w:r>
      <w:r>
        <w:rPr>
          <w:spacing w:val="-4"/>
          <w:sz w:val="24"/>
          <w:szCs w:val="24"/>
        </w:rPr>
        <w:t>мест общего пользования в многоквартирных домах ЗАТО Северск в целях профилактики распространения новой коронавирусной инфекции (COVID-19);</w:t>
      </w:r>
    </w:p>
    <w:p>
      <w:pPr>
        <w:pStyle w:val="31"/>
        <w:ind w:right="-2" w:firstLine="709"/>
        <w:rPr>
          <w:sz w:val="24"/>
          <w:szCs w:val="24"/>
        </w:rPr>
      </w:pPr>
      <w:r>
        <w:rPr>
          <w:spacing w:val="-4"/>
          <w:sz w:val="24"/>
          <w:szCs w:val="24"/>
        </w:rPr>
        <w:t xml:space="preserve">- в сумме 110,40 тыс.руб. </w:t>
      </w:r>
      <w:r>
        <w:rPr>
          <w:sz w:val="24"/>
          <w:szCs w:val="24"/>
        </w:rPr>
        <w:t>на приобретение автошин на автогидроподъемник за счет средств резервного фонда финансирования непредвиденных расходов Администрации Томской области</w:t>
      </w:r>
    </w:p>
    <w:p>
      <w:pPr>
        <w:pStyle w:val="27"/>
        <w:shd w:val="clear" w:color="auto" w:fill="auto"/>
        <w:spacing w:before="120" w:line="240" w:lineRule="auto"/>
        <w:ind w:firstLine="709"/>
        <w:rPr>
          <w:rFonts w:eastAsia="Calibri"/>
          <w:sz w:val="24"/>
          <w:szCs w:val="24"/>
        </w:rPr>
      </w:pPr>
      <w:r>
        <w:rPr>
          <w:rStyle w:val="16"/>
          <w:rFonts w:eastAsia="Calibri"/>
          <w:sz w:val="24"/>
          <w:szCs w:val="24"/>
          <w:u w:val="none"/>
        </w:rPr>
        <w:t>В разрезе разделов функциональной классификации и</w:t>
      </w:r>
      <w:r>
        <w:rPr>
          <w:rFonts w:eastAsia="Calibri"/>
          <w:sz w:val="24"/>
          <w:szCs w:val="24"/>
        </w:rPr>
        <w:t xml:space="preserve">сполнение расходов УЖКХ ТиС осуществлялось по 4 разделам: </w:t>
      </w:r>
    </w:p>
    <w:p>
      <w:pPr>
        <w:spacing w:before="120" w:after="60"/>
        <w:ind w:firstLine="709"/>
        <w:jc w:val="both"/>
        <w:rPr>
          <w:sz w:val="24"/>
          <w:szCs w:val="24"/>
        </w:rPr>
      </w:pPr>
      <w:r>
        <w:rPr>
          <w:sz w:val="24"/>
          <w:szCs w:val="24"/>
        </w:rPr>
        <w:t>Таблица 56. Расходы УЖКХ ТиС по разделам за 2021 год</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6"/>
        <w:gridCol w:w="4636"/>
        <w:gridCol w:w="1320"/>
        <w:gridCol w:w="1296"/>
        <w:gridCol w:w="1395"/>
      </w:tblGrid>
      <w:tr>
        <w:trPr>
          <w:cantSplit/>
          <w:trHeight w:val="959"/>
        </w:trPr>
        <w:tc>
          <w:tcPr>
            <w:tcW w:w="866" w:type="dxa"/>
            <w:shd w:val="clear" w:color="auto" w:fill="auto"/>
            <w:noWrap/>
            <w:tcMar>
              <w:left w:w="0" w:type="dxa"/>
              <w:right w:w="0" w:type="dxa"/>
            </w:tcMar>
            <w:textDirection w:val="btLr"/>
            <w:vAlign w:val="center"/>
          </w:tcPr>
          <w:p>
            <w:pPr>
              <w:ind w:left="113" w:right="113"/>
              <w:jc w:val="center"/>
            </w:pPr>
            <w:r>
              <w:t>Раздел,</w:t>
            </w:r>
          </w:p>
          <w:p>
            <w:pPr>
              <w:ind w:left="113" w:right="113"/>
              <w:jc w:val="center"/>
            </w:pPr>
            <w:r>
              <w:t>подраз-дел</w:t>
            </w:r>
          </w:p>
        </w:tc>
        <w:tc>
          <w:tcPr>
            <w:tcW w:w="4636" w:type="dxa"/>
            <w:shd w:val="clear" w:color="auto" w:fill="auto"/>
            <w:vAlign w:val="center"/>
          </w:tcPr>
          <w:p>
            <w:pPr>
              <w:ind w:left="-57" w:right="-57"/>
              <w:jc w:val="center"/>
            </w:pPr>
            <w:r>
              <w:t>Наименование</w:t>
            </w:r>
          </w:p>
        </w:tc>
        <w:tc>
          <w:tcPr>
            <w:tcW w:w="1320" w:type="dxa"/>
            <w:shd w:val="clear" w:color="auto" w:fill="auto"/>
            <w:noWrap/>
            <w:vAlign w:val="center"/>
          </w:tcPr>
          <w:p>
            <w:pPr>
              <w:ind w:left="-57" w:right="-57"/>
              <w:jc w:val="center"/>
            </w:pPr>
            <w:r>
              <w:t>Утверждено на 2021 год, тыс.руб.</w:t>
            </w:r>
          </w:p>
        </w:tc>
        <w:tc>
          <w:tcPr>
            <w:tcW w:w="1296" w:type="dxa"/>
            <w:shd w:val="clear" w:color="auto" w:fill="auto"/>
            <w:vAlign w:val="center"/>
          </w:tcPr>
          <w:p>
            <w:pPr>
              <w:jc w:val="center"/>
            </w:pPr>
            <w:r>
              <w:t>Исполнено за 2021 год, тыс. руб.</w:t>
            </w:r>
          </w:p>
        </w:tc>
        <w:tc>
          <w:tcPr>
            <w:tcW w:w="1395" w:type="dxa"/>
            <w:shd w:val="clear" w:color="auto" w:fill="auto"/>
            <w:vAlign w:val="center"/>
          </w:tcPr>
          <w:p>
            <w:pPr>
              <w:jc w:val="center"/>
            </w:pPr>
            <w:r>
              <w:t xml:space="preserve">Процент </w:t>
            </w:r>
          </w:p>
          <w:p>
            <w:pPr>
              <w:jc w:val="center"/>
            </w:pPr>
            <w:r>
              <w:t>исполнения</w:t>
            </w:r>
          </w:p>
          <w:p>
            <w:pPr>
              <w:jc w:val="center"/>
            </w:pPr>
            <w:r>
              <w:t>к плану</w:t>
            </w:r>
            <w:r>
              <w:br/>
              <w:t xml:space="preserve"> 2021 г.</w:t>
            </w:r>
          </w:p>
        </w:tc>
      </w:tr>
      <w:tr>
        <w:trPr>
          <w:trHeight w:val="255"/>
        </w:trPr>
        <w:tc>
          <w:tcPr>
            <w:tcW w:w="866" w:type="dxa"/>
            <w:shd w:val="clear" w:color="auto" w:fill="auto"/>
            <w:noWrap/>
            <w:vAlign w:val="center"/>
          </w:tcPr>
          <w:p>
            <w:pPr>
              <w:jc w:val="center"/>
            </w:pPr>
          </w:p>
        </w:tc>
        <w:tc>
          <w:tcPr>
            <w:tcW w:w="4636" w:type="dxa"/>
            <w:shd w:val="clear" w:color="auto" w:fill="auto"/>
            <w:vAlign w:val="center"/>
          </w:tcPr>
          <w:p>
            <w:pPr>
              <w:pStyle w:val="27"/>
              <w:shd w:val="clear" w:color="auto" w:fill="auto"/>
              <w:spacing w:line="264" w:lineRule="auto"/>
              <w:ind w:firstLine="0"/>
              <w:jc w:val="left"/>
              <w:rPr>
                <w:rStyle w:val="55pt"/>
                <w:rFonts w:eastAsia="Calibri"/>
                <w:sz w:val="20"/>
                <w:szCs w:val="20"/>
                <w:lang w:eastAsia="ru-RU"/>
              </w:rPr>
            </w:pPr>
            <w:r>
              <w:rPr>
                <w:rStyle w:val="55pt"/>
                <w:rFonts w:eastAsia="Calibri"/>
                <w:sz w:val="20"/>
                <w:szCs w:val="20"/>
                <w:lang w:eastAsia="ru-RU"/>
              </w:rPr>
              <w:t>УЖКХ ТиС:</w:t>
            </w:r>
          </w:p>
        </w:tc>
        <w:tc>
          <w:tcPr>
            <w:tcW w:w="1320" w:type="dxa"/>
            <w:shd w:val="clear" w:color="auto" w:fill="auto"/>
            <w:noWrap/>
            <w:vAlign w:val="center"/>
          </w:tcPr>
          <w:p>
            <w:pPr>
              <w:jc w:val="right"/>
            </w:pPr>
            <w:r>
              <w:t>528 066,46</w:t>
            </w:r>
          </w:p>
        </w:tc>
        <w:tc>
          <w:tcPr>
            <w:tcW w:w="1296" w:type="dxa"/>
            <w:shd w:val="clear" w:color="auto" w:fill="auto"/>
            <w:noWrap/>
            <w:vAlign w:val="center"/>
          </w:tcPr>
          <w:p>
            <w:pPr>
              <w:jc w:val="right"/>
            </w:pPr>
            <w:r>
              <w:t>513 850,49</w:t>
            </w:r>
          </w:p>
        </w:tc>
        <w:tc>
          <w:tcPr>
            <w:tcW w:w="1395" w:type="dxa"/>
            <w:shd w:val="clear" w:color="auto" w:fill="auto"/>
            <w:noWrap/>
            <w:vAlign w:val="center"/>
          </w:tcPr>
          <w:p>
            <w:pPr>
              <w:jc w:val="center"/>
            </w:pPr>
            <w:r>
              <w:t>97,3</w:t>
            </w:r>
          </w:p>
        </w:tc>
      </w:tr>
      <w:tr>
        <w:trPr>
          <w:trHeight w:val="255"/>
        </w:trPr>
        <w:tc>
          <w:tcPr>
            <w:tcW w:w="866" w:type="dxa"/>
            <w:shd w:val="clear" w:color="auto" w:fill="auto"/>
            <w:noWrap/>
            <w:vAlign w:val="center"/>
          </w:tcPr>
          <w:p>
            <w:pPr>
              <w:jc w:val="center"/>
            </w:pPr>
            <w:r>
              <w:t>0100</w:t>
            </w:r>
          </w:p>
        </w:tc>
        <w:tc>
          <w:tcPr>
            <w:tcW w:w="4636" w:type="dxa"/>
            <w:shd w:val="clear" w:color="auto" w:fill="auto"/>
            <w:vAlign w:val="center"/>
          </w:tcPr>
          <w:p>
            <w:r>
              <w:t>Общегосударственные вопросы</w:t>
            </w:r>
          </w:p>
        </w:tc>
        <w:tc>
          <w:tcPr>
            <w:tcW w:w="1320" w:type="dxa"/>
            <w:shd w:val="clear" w:color="auto" w:fill="auto"/>
            <w:noWrap/>
            <w:vAlign w:val="center"/>
          </w:tcPr>
          <w:p>
            <w:pPr>
              <w:jc w:val="right"/>
            </w:pPr>
            <w:r>
              <w:t>9 030,08</w:t>
            </w:r>
          </w:p>
        </w:tc>
        <w:tc>
          <w:tcPr>
            <w:tcW w:w="1296" w:type="dxa"/>
            <w:shd w:val="clear" w:color="auto" w:fill="auto"/>
            <w:noWrap/>
            <w:vAlign w:val="center"/>
          </w:tcPr>
          <w:p>
            <w:pPr>
              <w:jc w:val="right"/>
            </w:pPr>
            <w:r>
              <w:t>8 930,08</w:t>
            </w:r>
          </w:p>
        </w:tc>
        <w:tc>
          <w:tcPr>
            <w:tcW w:w="1395" w:type="dxa"/>
            <w:shd w:val="clear" w:color="auto" w:fill="auto"/>
            <w:noWrap/>
            <w:vAlign w:val="center"/>
          </w:tcPr>
          <w:p>
            <w:pPr>
              <w:jc w:val="center"/>
            </w:pPr>
            <w:r>
              <w:t>98,9</w:t>
            </w:r>
          </w:p>
        </w:tc>
      </w:tr>
      <w:tr>
        <w:trPr>
          <w:trHeight w:val="146"/>
        </w:trPr>
        <w:tc>
          <w:tcPr>
            <w:tcW w:w="866" w:type="dxa"/>
            <w:shd w:val="clear" w:color="auto" w:fill="auto"/>
            <w:noWrap/>
            <w:vAlign w:val="center"/>
          </w:tcPr>
          <w:p>
            <w:pPr>
              <w:jc w:val="center"/>
            </w:pPr>
            <w:r>
              <w:t>0400</w:t>
            </w:r>
          </w:p>
        </w:tc>
        <w:tc>
          <w:tcPr>
            <w:tcW w:w="4636" w:type="dxa"/>
            <w:shd w:val="clear" w:color="auto" w:fill="auto"/>
            <w:vAlign w:val="center"/>
          </w:tcPr>
          <w:p>
            <w:pPr>
              <w:pStyle w:val="27"/>
              <w:shd w:val="clear" w:color="auto" w:fill="auto"/>
              <w:spacing w:line="264" w:lineRule="auto"/>
              <w:ind w:firstLine="0"/>
              <w:jc w:val="left"/>
              <w:rPr>
                <w:rFonts w:eastAsia="Calibri"/>
                <w:sz w:val="20"/>
                <w:szCs w:val="20"/>
                <w:lang w:val="ru-RU" w:eastAsia="ru-RU"/>
              </w:rPr>
            </w:pPr>
            <w:r>
              <w:rPr>
                <w:rStyle w:val="55pt"/>
                <w:rFonts w:eastAsia="Calibri"/>
                <w:sz w:val="20"/>
                <w:szCs w:val="20"/>
                <w:lang w:eastAsia="ru-RU"/>
              </w:rPr>
              <w:t>Национальная экономика</w:t>
            </w:r>
          </w:p>
        </w:tc>
        <w:tc>
          <w:tcPr>
            <w:tcW w:w="1320" w:type="dxa"/>
            <w:shd w:val="clear" w:color="auto" w:fill="auto"/>
            <w:noWrap/>
            <w:vAlign w:val="center"/>
          </w:tcPr>
          <w:p>
            <w:pPr>
              <w:jc w:val="right"/>
            </w:pPr>
            <w:r>
              <w:t>289 044,73</w:t>
            </w:r>
          </w:p>
        </w:tc>
        <w:tc>
          <w:tcPr>
            <w:tcW w:w="1296" w:type="dxa"/>
            <w:shd w:val="clear" w:color="auto" w:fill="auto"/>
            <w:noWrap/>
            <w:vAlign w:val="center"/>
          </w:tcPr>
          <w:p>
            <w:pPr>
              <w:jc w:val="right"/>
            </w:pPr>
            <w:r>
              <w:t>287 809,36</w:t>
            </w:r>
          </w:p>
        </w:tc>
        <w:tc>
          <w:tcPr>
            <w:tcW w:w="1395" w:type="dxa"/>
            <w:shd w:val="clear" w:color="auto" w:fill="auto"/>
            <w:noWrap/>
            <w:vAlign w:val="center"/>
          </w:tcPr>
          <w:p>
            <w:pPr>
              <w:jc w:val="center"/>
            </w:pPr>
            <w:r>
              <w:t>99,6</w:t>
            </w:r>
          </w:p>
        </w:tc>
      </w:tr>
      <w:tr>
        <w:trPr>
          <w:trHeight w:val="279"/>
        </w:trPr>
        <w:tc>
          <w:tcPr>
            <w:tcW w:w="866" w:type="dxa"/>
            <w:shd w:val="clear" w:color="auto" w:fill="auto"/>
            <w:noWrap/>
            <w:vAlign w:val="center"/>
          </w:tcPr>
          <w:p>
            <w:pPr>
              <w:jc w:val="center"/>
            </w:pPr>
            <w:r>
              <w:t>0500</w:t>
            </w:r>
          </w:p>
        </w:tc>
        <w:tc>
          <w:tcPr>
            <w:tcW w:w="4636" w:type="dxa"/>
            <w:shd w:val="clear" w:color="auto" w:fill="auto"/>
            <w:vAlign w:val="center"/>
          </w:tcPr>
          <w:p>
            <w:pPr>
              <w:pStyle w:val="27"/>
              <w:shd w:val="clear" w:color="auto" w:fill="auto"/>
              <w:spacing w:line="264" w:lineRule="auto"/>
              <w:ind w:firstLine="0"/>
              <w:jc w:val="left"/>
              <w:rPr>
                <w:rFonts w:eastAsia="Calibri"/>
                <w:sz w:val="20"/>
                <w:szCs w:val="20"/>
                <w:lang w:val="ru-RU" w:eastAsia="ru-RU"/>
              </w:rPr>
            </w:pPr>
            <w:r>
              <w:rPr>
                <w:rStyle w:val="55pt"/>
                <w:rFonts w:eastAsia="Calibri"/>
                <w:sz w:val="20"/>
                <w:szCs w:val="20"/>
                <w:lang w:eastAsia="ru-RU"/>
              </w:rPr>
              <w:t>Жилищно-коммунальное хозяйство</w:t>
            </w:r>
          </w:p>
        </w:tc>
        <w:tc>
          <w:tcPr>
            <w:tcW w:w="1320" w:type="dxa"/>
            <w:shd w:val="clear" w:color="auto" w:fill="auto"/>
            <w:noWrap/>
            <w:vAlign w:val="center"/>
          </w:tcPr>
          <w:p>
            <w:pPr>
              <w:jc w:val="right"/>
            </w:pPr>
            <w:r>
              <w:t>203 350,22</w:t>
            </w:r>
          </w:p>
        </w:tc>
        <w:tc>
          <w:tcPr>
            <w:tcW w:w="1296" w:type="dxa"/>
            <w:shd w:val="clear" w:color="auto" w:fill="auto"/>
            <w:noWrap/>
            <w:vAlign w:val="center"/>
          </w:tcPr>
          <w:p>
            <w:pPr>
              <w:jc w:val="right"/>
            </w:pPr>
            <w:r>
              <w:t>196 140,97</w:t>
            </w:r>
          </w:p>
        </w:tc>
        <w:tc>
          <w:tcPr>
            <w:tcW w:w="1395" w:type="dxa"/>
            <w:shd w:val="clear" w:color="auto" w:fill="auto"/>
            <w:noWrap/>
            <w:vAlign w:val="center"/>
          </w:tcPr>
          <w:p>
            <w:pPr>
              <w:jc w:val="center"/>
            </w:pPr>
            <w:r>
              <w:t>96,5</w:t>
            </w:r>
          </w:p>
        </w:tc>
      </w:tr>
      <w:tr>
        <w:trPr>
          <w:trHeight w:val="255"/>
        </w:trPr>
        <w:tc>
          <w:tcPr>
            <w:tcW w:w="866" w:type="dxa"/>
            <w:shd w:val="clear" w:color="auto" w:fill="auto"/>
            <w:noWrap/>
            <w:vAlign w:val="center"/>
          </w:tcPr>
          <w:p>
            <w:pPr>
              <w:jc w:val="center"/>
            </w:pPr>
            <w:r>
              <w:t>1000</w:t>
            </w:r>
          </w:p>
        </w:tc>
        <w:tc>
          <w:tcPr>
            <w:tcW w:w="4636" w:type="dxa"/>
            <w:shd w:val="clear" w:color="auto" w:fill="auto"/>
            <w:vAlign w:val="center"/>
          </w:tcPr>
          <w:p>
            <w:pPr>
              <w:pStyle w:val="27"/>
              <w:shd w:val="clear" w:color="auto" w:fill="auto"/>
              <w:spacing w:line="264" w:lineRule="auto"/>
              <w:ind w:firstLine="0"/>
              <w:jc w:val="left"/>
              <w:rPr>
                <w:rFonts w:eastAsia="Calibri"/>
                <w:color w:val="000000"/>
                <w:sz w:val="20"/>
                <w:szCs w:val="20"/>
                <w:shd w:val="clear" w:color="auto" w:fill="FFFFFF"/>
                <w:lang w:val="ru-RU" w:eastAsia="ru-RU"/>
              </w:rPr>
            </w:pPr>
            <w:r>
              <w:rPr>
                <w:rFonts w:eastAsia="Calibri"/>
                <w:color w:val="000000"/>
                <w:sz w:val="20"/>
                <w:szCs w:val="20"/>
                <w:shd w:val="clear" w:color="auto" w:fill="FFFFFF"/>
                <w:lang w:val="ru-RU" w:eastAsia="ru-RU"/>
              </w:rPr>
              <w:t>Социальная политика</w:t>
            </w:r>
          </w:p>
        </w:tc>
        <w:tc>
          <w:tcPr>
            <w:tcW w:w="1320" w:type="dxa"/>
            <w:shd w:val="clear" w:color="auto" w:fill="auto"/>
            <w:noWrap/>
            <w:vAlign w:val="center"/>
          </w:tcPr>
          <w:p>
            <w:pPr>
              <w:jc w:val="right"/>
            </w:pPr>
            <w:r>
              <w:t>26 641,43</w:t>
            </w:r>
          </w:p>
        </w:tc>
        <w:tc>
          <w:tcPr>
            <w:tcW w:w="1296" w:type="dxa"/>
            <w:shd w:val="clear" w:color="auto" w:fill="auto"/>
            <w:noWrap/>
            <w:vAlign w:val="center"/>
          </w:tcPr>
          <w:p>
            <w:pPr>
              <w:jc w:val="right"/>
            </w:pPr>
            <w:r>
              <w:t>20 970,08</w:t>
            </w:r>
          </w:p>
        </w:tc>
        <w:tc>
          <w:tcPr>
            <w:tcW w:w="1395" w:type="dxa"/>
            <w:shd w:val="clear" w:color="auto" w:fill="auto"/>
            <w:noWrap/>
            <w:vAlign w:val="center"/>
          </w:tcPr>
          <w:p>
            <w:pPr>
              <w:jc w:val="center"/>
            </w:pPr>
            <w:r>
              <w:t>78,7</w:t>
            </w:r>
          </w:p>
        </w:tc>
      </w:tr>
    </w:tbl>
    <w:p>
      <w:pPr>
        <w:jc w:val="center"/>
        <w:rPr>
          <w:b/>
          <w:sz w:val="22"/>
          <w:szCs w:val="22"/>
          <w:highlight w:val="yellow"/>
        </w:rPr>
      </w:pPr>
    </w:p>
    <w:p>
      <w:pPr>
        <w:jc w:val="center"/>
        <w:rPr>
          <w:b/>
          <w:sz w:val="24"/>
          <w:szCs w:val="24"/>
        </w:rPr>
      </w:pPr>
      <w:r>
        <w:rPr>
          <w:b/>
          <w:sz w:val="24"/>
          <w:szCs w:val="24"/>
        </w:rPr>
        <w:t>4.2.11. Управление капитального строительства</w:t>
      </w:r>
    </w:p>
    <w:p>
      <w:pPr>
        <w:spacing w:after="120"/>
        <w:jc w:val="center"/>
        <w:rPr>
          <w:b/>
          <w:sz w:val="24"/>
          <w:szCs w:val="24"/>
        </w:rPr>
      </w:pPr>
      <w:r>
        <w:rPr>
          <w:b/>
          <w:sz w:val="24"/>
          <w:szCs w:val="24"/>
        </w:rPr>
        <w:t>Администрации ЗАТО Северск</w:t>
      </w:r>
    </w:p>
    <w:p>
      <w:pPr>
        <w:ind w:firstLine="709"/>
        <w:jc w:val="both"/>
        <w:rPr>
          <w:sz w:val="24"/>
          <w:szCs w:val="24"/>
        </w:rPr>
      </w:pPr>
      <w:r>
        <w:rPr>
          <w:sz w:val="24"/>
          <w:szCs w:val="24"/>
        </w:rPr>
        <w:t>Кассовое исполнение расходов за 2021 год составило 402 721,74 тыс. руб. или 98,8% к утвержденным годовым назначениям.</w:t>
      </w:r>
    </w:p>
    <w:p>
      <w:pPr>
        <w:ind w:firstLine="709"/>
        <w:jc w:val="both"/>
        <w:rPr>
          <w:sz w:val="24"/>
          <w:szCs w:val="24"/>
        </w:rPr>
      </w:pPr>
      <w:r>
        <w:rPr>
          <w:sz w:val="24"/>
          <w:szCs w:val="24"/>
        </w:rPr>
        <w:t xml:space="preserve">В общей структуре расходов удельный вес расходов, подведомственных Управлению капитального строительства, составил 8 %. </w:t>
      </w:r>
    </w:p>
    <w:p>
      <w:pPr>
        <w:pStyle w:val="31"/>
        <w:ind w:right="0" w:firstLine="709"/>
        <w:rPr>
          <w:sz w:val="24"/>
          <w:szCs w:val="24"/>
        </w:rPr>
      </w:pPr>
      <w:r>
        <w:rPr>
          <w:sz w:val="24"/>
          <w:szCs w:val="24"/>
        </w:rPr>
        <w:t xml:space="preserve">Управление капитального строительства является участником 6 муниципальных программ и исполнителем программы «Комплексное развитие систем коммунальной инфраструктуры ЗАТО Северск» на 2013 год и на перспективу до 2035 года.  </w:t>
      </w:r>
    </w:p>
    <w:p>
      <w:pPr>
        <w:ind w:firstLine="709"/>
        <w:jc w:val="both"/>
        <w:rPr>
          <w:sz w:val="24"/>
          <w:szCs w:val="24"/>
        </w:rPr>
      </w:pPr>
      <w:r>
        <w:rPr>
          <w:sz w:val="24"/>
          <w:szCs w:val="24"/>
        </w:rPr>
        <w:lastRenderedPageBreak/>
        <w:t>Кассовое исполнение по программам составило сумму 402 721,74 тыс.руб.</w:t>
      </w:r>
    </w:p>
    <w:p>
      <w:pPr>
        <w:spacing w:before="60" w:after="60"/>
        <w:ind w:right="57" w:firstLine="709"/>
        <w:jc w:val="both"/>
        <w:rPr>
          <w:sz w:val="24"/>
          <w:szCs w:val="24"/>
        </w:rPr>
      </w:pPr>
      <w:r>
        <w:rPr>
          <w:sz w:val="24"/>
          <w:szCs w:val="24"/>
        </w:rPr>
        <w:t xml:space="preserve">Таблица 57. Расходы Управления капитального строительства в разрезе МП </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1"/>
        <w:gridCol w:w="4961"/>
        <w:gridCol w:w="1417"/>
        <w:gridCol w:w="1276"/>
        <w:gridCol w:w="1276"/>
      </w:tblGrid>
      <w:tr>
        <w:trPr>
          <w:trHeight w:val="928"/>
        </w:trPr>
        <w:tc>
          <w:tcPr>
            <w:tcW w:w="441" w:type="dxa"/>
            <w:shd w:val="clear" w:color="auto" w:fill="auto"/>
            <w:textDirection w:val="btLr"/>
            <w:vAlign w:val="center"/>
          </w:tcPr>
          <w:p>
            <w:pPr>
              <w:jc w:val="center"/>
            </w:pPr>
          </w:p>
          <w:p>
            <w:pPr>
              <w:jc w:val="center"/>
            </w:pPr>
            <w:r>
              <w:rPr>
                <w:lang w:val="en-US"/>
              </w:rPr>
              <w:t xml:space="preserve">№ </w:t>
            </w:r>
            <w:r>
              <w:t>п/п</w:t>
            </w:r>
          </w:p>
          <w:p>
            <w:pPr>
              <w:jc w:val="center"/>
            </w:pPr>
          </w:p>
        </w:tc>
        <w:tc>
          <w:tcPr>
            <w:tcW w:w="4961" w:type="dxa"/>
            <w:shd w:val="clear" w:color="auto" w:fill="auto"/>
            <w:vAlign w:val="center"/>
          </w:tcPr>
          <w:p>
            <w:pPr>
              <w:jc w:val="center"/>
            </w:pPr>
            <w:r>
              <w:t xml:space="preserve">Наименование программы </w:t>
            </w:r>
          </w:p>
        </w:tc>
        <w:tc>
          <w:tcPr>
            <w:tcW w:w="1417" w:type="dxa"/>
            <w:shd w:val="clear" w:color="auto" w:fill="auto"/>
            <w:vAlign w:val="center"/>
          </w:tcPr>
          <w:p>
            <w:pPr>
              <w:jc w:val="center"/>
            </w:pPr>
            <w:r>
              <w:t>Уточненный план 2021 г., тыс.руб.</w:t>
            </w:r>
          </w:p>
        </w:tc>
        <w:tc>
          <w:tcPr>
            <w:tcW w:w="1276" w:type="dxa"/>
            <w:shd w:val="clear" w:color="auto" w:fill="auto"/>
            <w:vAlign w:val="center"/>
          </w:tcPr>
          <w:p>
            <w:pPr>
              <w:ind w:right="-42"/>
              <w:jc w:val="center"/>
            </w:pPr>
            <w:r>
              <w:t xml:space="preserve">Исполнено </w:t>
            </w:r>
          </w:p>
          <w:p>
            <w:pPr>
              <w:ind w:right="-42"/>
              <w:jc w:val="center"/>
            </w:pPr>
            <w:r>
              <w:t>за 2021 г., тыс.руб.</w:t>
            </w:r>
          </w:p>
        </w:tc>
        <w:tc>
          <w:tcPr>
            <w:tcW w:w="1276" w:type="dxa"/>
            <w:shd w:val="clear" w:color="auto" w:fill="auto"/>
            <w:vAlign w:val="center"/>
          </w:tcPr>
          <w:p>
            <w:pPr>
              <w:ind w:left="-57" w:right="-57"/>
              <w:jc w:val="center"/>
            </w:pPr>
            <w:r>
              <w:t xml:space="preserve">Процент исполнения </w:t>
            </w:r>
          </w:p>
          <w:p>
            <w:pPr>
              <w:ind w:left="-57" w:right="-57"/>
              <w:jc w:val="center"/>
            </w:pPr>
            <w:r>
              <w:t>к плану</w:t>
            </w:r>
            <w:r>
              <w:br/>
              <w:t xml:space="preserve"> 2021 г.</w:t>
            </w:r>
          </w:p>
        </w:tc>
      </w:tr>
      <w:tr>
        <w:trPr>
          <w:trHeight w:val="255"/>
        </w:trPr>
        <w:tc>
          <w:tcPr>
            <w:tcW w:w="441" w:type="dxa"/>
            <w:shd w:val="clear" w:color="auto" w:fill="auto"/>
            <w:noWrap/>
            <w:vAlign w:val="center"/>
          </w:tcPr>
          <w:p>
            <w:pPr>
              <w:jc w:val="center"/>
            </w:pPr>
            <w:r>
              <w:t>1</w:t>
            </w:r>
          </w:p>
        </w:tc>
        <w:tc>
          <w:tcPr>
            <w:tcW w:w="4961" w:type="dxa"/>
            <w:shd w:val="clear" w:color="auto" w:fill="auto"/>
            <w:vAlign w:val="center"/>
          </w:tcPr>
          <w:p>
            <w:r>
              <w:t>МП «Развитие культуры и туризма в ЗАТО Северск»</w:t>
            </w:r>
          </w:p>
        </w:tc>
        <w:tc>
          <w:tcPr>
            <w:tcW w:w="1417" w:type="dxa"/>
            <w:shd w:val="clear" w:color="auto" w:fill="auto"/>
            <w:noWrap/>
            <w:vAlign w:val="center"/>
          </w:tcPr>
          <w:p>
            <w:pPr>
              <w:jc w:val="right"/>
            </w:pPr>
            <w:r>
              <w:t>15 029,90</w:t>
            </w:r>
          </w:p>
        </w:tc>
        <w:tc>
          <w:tcPr>
            <w:tcW w:w="1276" w:type="dxa"/>
            <w:shd w:val="clear" w:color="auto" w:fill="auto"/>
            <w:noWrap/>
            <w:vAlign w:val="center"/>
          </w:tcPr>
          <w:p>
            <w:pPr>
              <w:jc w:val="right"/>
            </w:pPr>
            <w:r>
              <w:t>14 944,50</w:t>
            </w:r>
          </w:p>
        </w:tc>
        <w:tc>
          <w:tcPr>
            <w:tcW w:w="1276" w:type="dxa"/>
            <w:shd w:val="clear" w:color="auto" w:fill="auto"/>
            <w:noWrap/>
            <w:vAlign w:val="center"/>
          </w:tcPr>
          <w:p>
            <w:pPr>
              <w:jc w:val="right"/>
            </w:pPr>
            <w:r>
              <w:t>99,4</w:t>
            </w:r>
          </w:p>
        </w:tc>
      </w:tr>
      <w:tr>
        <w:trPr>
          <w:trHeight w:val="255"/>
        </w:trPr>
        <w:tc>
          <w:tcPr>
            <w:tcW w:w="441" w:type="dxa"/>
            <w:shd w:val="clear" w:color="auto" w:fill="auto"/>
            <w:noWrap/>
            <w:vAlign w:val="center"/>
          </w:tcPr>
          <w:p>
            <w:pPr>
              <w:jc w:val="center"/>
            </w:pPr>
            <w:r>
              <w:t>2</w:t>
            </w:r>
          </w:p>
        </w:tc>
        <w:tc>
          <w:tcPr>
            <w:tcW w:w="4961" w:type="dxa"/>
            <w:shd w:val="clear" w:color="auto" w:fill="auto"/>
            <w:vAlign w:val="center"/>
          </w:tcPr>
          <w:p>
            <w:r>
              <w:t>МП «Улучшение качественного состояния объектов благоустройства и озеленения города Северска»</w:t>
            </w:r>
          </w:p>
        </w:tc>
        <w:tc>
          <w:tcPr>
            <w:tcW w:w="1417" w:type="dxa"/>
            <w:shd w:val="clear" w:color="auto" w:fill="auto"/>
            <w:noWrap/>
            <w:vAlign w:val="center"/>
          </w:tcPr>
          <w:p>
            <w:pPr>
              <w:jc w:val="right"/>
            </w:pPr>
            <w:r>
              <w:t>63 410,09</w:t>
            </w:r>
          </w:p>
        </w:tc>
        <w:tc>
          <w:tcPr>
            <w:tcW w:w="1276" w:type="dxa"/>
            <w:shd w:val="clear" w:color="auto" w:fill="auto"/>
            <w:noWrap/>
            <w:vAlign w:val="center"/>
          </w:tcPr>
          <w:p>
            <w:pPr>
              <w:jc w:val="right"/>
            </w:pPr>
            <w:r>
              <w:t>63 115,32</w:t>
            </w:r>
          </w:p>
        </w:tc>
        <w:tc>
          <w:tcPr>
            <w:tcW w:w="1276" w:type="dxa"/>
            <w:shd w:val="clear" w:color="auto" w:fill="auto"/>
            <w:noWrap/>
            <w:vAlign w:val="center"/>
          </w:tcPr>
          <w:p>
            <w:pPr>
              <w:jc w:val="right"/>
            </w:pPr>
            <w:r>
              <w:t>99,5</w:t>
            </w:r>
          </w:p>
        </w:tc>
      </w:tr>
      <w:tr>
        <w:trPr>
          <w:trHeight w:val="255"/>
        </w:trPr>
        <w:tc>
          <w:tcPr>
            <w:tcW w:w="441" w:type="dxa"/>
            <w:shd w:val="clear" w:color="auto" w:fill="auto"/>
            <w:noWrap/>
            <w:vAlign w:val="center"/>
          </w:tcPr>
          <w:p>
            <w:pPr>
              <w:jc w:val="center"/>
            </w:pPr>
            <w:r>
              <w:t>3</w:t>
            </w:r>
          </w:p>
        </w:tc>
        <w:tc>
          <w:tcPr>
            <w:tcW w:w="4961" w:type="dxa"/>
            <w:shd w:val="clear" w:color="auto" w:fill="auto"/>
            <w:vAlign w:val="center"/>
          </w:tcPr>
          <w:p>
            <w:r>
              <w:t>МП «Повышение энергоэффективности в ЗАТО Северск»</w:t>
            </w:r>
          </w:p>
        </w:tc>
        <w:tc>
          <w:tcPr>
            <w:tcW w:w="1417" w:type="dxa"/>
            <w:shd w:val="clear" w:color="auto" w:fill="auto"/>
            <w:noWrap/>
            <w:vAlign w:val="center"/>
          </w:tcPr>
          <w:p>
            <w:pPr>
              <w:jc w:val="right"/>
            </w:pPr>
            <w:r>
              <w:t>6 667,86</w:t>
            </w:r>
          </w:p>
        </w:tc>
        <w:tc>
          <w:tcPr>
            <w:tcW w:w="1276" w:type="dxa"/>
            <w:shd w:val="clear" w:color="auto" w:fill="auto"/>
            <w:noWrap/>
            <w:vAlign w:val="center"/>
          </w:tcPr>
          <w:p>
            <w:pPr>
              <w:jc w:val="right"/>
            </w:pPr>
            <w:r>
              <w:t>6 652,60</w:t>
            </w:r>
          </w:p>
        </w:tc>
        <w:tc>
          <w:tcPr>
            <w:tcW w:w="1276" w:type="dxa"/>
            <w:shd w:val="clear" w:color="auto" w:fill="auto"/>
            <w:noWrap/>
            <w:vAlign w:val="center"/>
          </w:tcPr>
          <w:p>
            <w:pPr>
              <w:jc w:val="right"/>
            </w:pPr>
            <w:r>
              <w:t>99,8</w:t>
            </w:r>
          </w:p>
        </w:tc>
      </w:tr>
      <w:tr>
        <w:trPr>
          <w:trHeight w:val="255"/>
        </w:trPr>
        <w:tc>
          <w:tcPr>
            <w:tcW w:w="441" w:type="dxa"/>
            <w:shd w:val="clear" w:color="auto" w:fill="auto"/>
            <w:noWrap/>
            <w:vAlign w:val="center"/>
          </w:tcPr>
          <w:p>
            <w:pPr>
              <w:jc w:val="center"/>
            </w:pPr>
            <w:r>
              <w:t>4</w:t>
            </w:r>
          </w:p>
        </w:tc>
        <w:tc>
          <w:tcPr>
            <w:tcW w:w="4961" w:type="dxa"/>
            <w:shd w:val="clear" w:color="auto" w:fill="auto"/>
            <w:vAlign w:val="center"/>
          </w:tcPr>
          <w:p>
            <w:r>
              <w:t>МП «Обеспечение безопасности населения на территории ЗАТО Северск»</w:t>
            </w:r>
          </w:p>
        </w:tc>
        <w:tc>
          <w:tcPr>
            <w:tcW w:w="1417" w:type="dxa"/>
            <w:shd w:val="clear" w:color="auto" w:fill="auto"/>
            <w:noWrap/>
            <w:vAlign w:val="center"/>
          </w:tcPr>
          <w:p>
            <w:pPr>
              <w:jc w:val="right"/>
            </w:pPr>
            <w:r>
              <w:t>14 064,40</w:t>
            </w:r>
          </w:p>
        </w:tc>
        <w:tc>
          <w:tcPr>
            <w:tcW w:w="1276" w:type="dxa"/>
            <w:shd w:val="clear" w:color="auto" w:fill="auto"/>
            <w:noWrap/>
            <w:vAlign w:val="center"/>
          </w:tcPr>
          <w:p>
            <w:pPr>
              <w:jc w:val="right"/>
            </w:pPr>
            <w:r>
              <w:t>13 865,68</w:t>
            </w:r>
          </w:p>
        </w:tc>
        <w:tc>
          <w:tcPr>
            <w:tcW w:w="1276" w:type="dxa"/>
            <w:shd w:val="clear" w:color="auto" w:fill="auto"/>
            <w:noWrap/>
            <w:vAlign w:val="center"/>
          </w:tcPr>
          <w:p>
            <w:pPr>
              <w:jc w:val="right"/>
            </w:pPr>
            <w:r>
              <w:t>98,6</w:t>
            </w:r>
          </w:p>
        </w:tc>
      </w:tr>
      <w:tr>
        <w:trPr>
          <w:trHeight w:val="255"/>
        </w:trPr>
        <w:tc>
          <w:tcPr>
            <w:tcW w:w="441" w:type="dxa"/>
            <w:shd w:val="clear" w:color="auto" w:fill="auto"/>
            <w:noWrap/>
            <w:vAlign w:val="center"/>
          </w:tcPr>
          <w:p>
            <w:pPr>
              <w:jc w:val="center"/>
            </w:pPr>
            <w:r>
              <w:t>5</w:t>
            </w:r>
          </w:p>
        </w:tc>
        <w:tc>
          <w:tcPr>
            <w:tcW w:w="4961" w:type="dxa"/>
            <w:shd w:val="clear" w:color="auto" w:fill="auto"/>
            <w:vAlign w:val="center"/>
          </w:tcPr>
          <w:p>
            <w:r>
              <w:t>МП «Дорожная деятельность и транспортное обслуживание на территории ЗАТО Северск»</w:t>
            </w:r>
          </w:p>
        </w:tc>
        <w:tc>
          <w:tcPr>
            <w:tcW w:w="1417" w:type="dxa"/>
            <w:shd w:val="clear" w:color="auto" w:fill="auto"/>
            <w:noWrap/>
            <w:vAlign w:val="center"/>
          </w:tcPr>
          <w:p>
            <w:pPr>
              <w:jc w:val="right"/>
            </w:pPr>
            <w:r>
              <w:t>187 007,08</w:t>
            </w:r>
          </w:p>
        </w:tc>
        <w:tc>
          <w:tcPr>
            <w:tcW w:w="1276" w:type="dxa"/>
            <w:shd w:val="clear" w:color="auto" w:fill="auto"/>
            <w:noWrap/>
            <w:vAlign w:val="center"/>
          </w:tcPr>
          <w:p>
            <w:pPr>
              <w:jc w:val="right"/>
            </w:pPr>
            <w:r>
              <w:t>186 091,58</w:t>
            </w:r>
          </w:p>
        </w:tc>
        <w:tc>
          <w:tcPr>
            <w:tcW w:w="1276" w:type="dxa"/>
            <w:shd w:val="clear" w:color="auto" w:fill="auto"/>
            <w:noWrap/>
            <w:vAlign w:val="center"/>
          </w:tcPr>
          <w:p>
            <w:pPr>
              <w:jc w:val="right"/>
            </w:pPr>
            <w:r>
              <w:t>99,5</w:t>
            </w:r>
          </w:p>
        </w:tc>
      </w:tr>
      <w:tr>
        <w:trPr>
          <w:trHeight w:val="255"/>
        </w:trPr>
        <w:tc>
          <w:tcPr>
            <w:tcW w:w="441" w:type="dxa"/>
            <w:shd w:val="clear" w:color="auto" w:fill="auto"/>
            <w:noWrap/>
            <w:vAlign w:val="center"/>
          </w:tcPr>
          <w:p>
            <w:pPr>
              <w:jc w:val="center"/>
            </w:pPr>
            <w:r>
              <w:t>6</w:t>
            </w:r>
          </w:p>
        </w:tc>
        <w:tc>
          <w:tcPr>
            <w:tcW w:w="4961" w:type="dxa"/>
            <w:shd w:val="clear" w:color="auto" w:fill="auto"/>
            <w:vAlign w:val="center"/>
          </w:tcPr>
          <w:p>
            <w:r>
              <w:t>МП «Формирование современной городской среды ЗАТО Северск»</w:t>
            </w:r>
          </w:p>
        </w:tc>
        <w:tc>
          <w:tcPr>
            <w:tcW w:w="1417" w:type="dxa"/>
            <w:shd w:val="clear" w:color="auto" w:fill="auto"/>
            <w:noWrap/>
            <w:vAlign w:val="center"/>
          </w:tcPr>
          <w:p>
            <w:pPr>
              <w:jc w:val="right"/>
            </w:pPr>
            <w:r>
              <w:t>40 476,46</w:t>
            </w:r>
          </w:p>
        </w:tc>
        <w:tc>
          <w:tcPr>
            <w:tcW w:w="1276" w:type="dxa"/>
            <w:shd w:val="clear" w:color="auto" w:fill="auto"/>
            <w:noWrap/>
            <w:vAlign w:val="center"/>
          </w:tcPr>
          <w:p>
            <w:pPr>
              <w:jc w:val="right"/>
            </w:pPr>
            <w:r>
              <w:t>40 119,77</w:t>
            </w:r>
          </w:p>
        </w:tc>
        <w:tc>
          <w:tcPr>
            <w:tcW w:w="1276" w:type="dxa"/>
            <w:shd w:val="clear" w:color="auto" w:fill="auto"/>
            <w:noWrap/>
            <w:vAlign w:val="center"/>
          </w:tcPr>
          <w:p>
            <w:pPr>
              <w:jc w:val="right"/>
            </w:pPr>
            <w:r>
              <w:t>99,1</w:t>
            </w:r>
          </w:p>
        </w:tc>
      </w:tr>
      <w:tr>
        <w:trPr>
          <w:trHeight w:val="436"/>
        </w:trPr>
        <w:tc>
          <w:tcPr>
            <w:tcW w:w="441" w:type="dxa"/>
            <w:shd w:val="clear" w:color="auto" w:fill="auto"/>
            <w:noWrap/>
            <w:vAlign w:val="center"/>
          </w:tcPr>
          <w:p>
            <w:pPr>
              <w:jc w:val="center"/>
            </w:pPr>
            <w:r>
              <w:t>7</w:t>
            </w:r>
          </w:p>
        </w:tc>
        <w:tc>
          <w:tcPr>
            <w:tcW w:w="4961" w:type="dxa"/>
            <w:shd w:val="clear" w:color="auto" w:fill="auto"/>
            <w:vAlign w:val="center"/>
          </w:tcPr>
          <w:p>
            <w:r>
              <w:t>Программа «Комплексное развитие систем коммунальной инфраструктуры ЗАТО Северск» на 2013 год и на перспективу до 2035 года</w:t>
            </w:r>
          </w:p>
        </w:tc>
        <w:tc>
          <w:tcPr>
            <w:tcW w:w="1417" w:type="dxa"/>
            <w:shd w:val="clear" w:color="auto" w:fill="auto"/>
            <w:noWrap/>
            <w:vAlign w:val="center"/>
          </w:tcPr>
          <w:p>
            <w:pPr>
              <w:jc w:val="right"/>
            </w:pPr>
            <w:r>
              <w:t>80 817,54</w:t>
            </w:r>
          </w:p>
        </w:tc>
        <w:tc>
          <w:tcPr>
            <w:tcW w:w="1276" w:type="dxa"/>
            <w:shd w:val="clear" w:color="auto" w:fill="auto"/>
            <w:noWrap/>
            <w:vAlign w:val="center"/>
          </w:tcPr>
          <w:p>
            <w:pPr>
              <w:jc w:val="right"/>
            </w:pPr>
            <w:r>
              <w:t>77 932,29</w:t>
            </w:r>
          </w:p>
        </w:tc>
        <w:tc>
          <w:tcPr>
            <w:tcW w:w="1276" w:type="dxa"/>
            <w:shd w:val="clear" w:color="auto" w:fill="auto"/>
            <w:noWrap/>
            <w:vAlign w:val="center"/>
          </w:tcPr>
          <w:p>
            <w:pPr>
              <w:jc w:val="right"/>
            </w:pPr>
            <w:r>
              <w:t>96,4</w:t>
            </w:r>
          </w:p>
        </w:tc>
      </w:tr>
      <w:tr>
        <w:trPr>
          <w:trHeight w:val="255"/>
        </w:trPr>
        <w:tc>
          <w:tcPr>
            <w:tcW w:w="441" w:type="dxa"/>
            <w:shd w:val="clear" w:color="auto" w:fill="auto"/>
            <w:noWrap/>
            <w:vAlign w:val="center"/>
          </w:tcPr>
          <w:p>
            <w:pPr>
              <w:jc w:val="center"/>
            </w:pPr>
            <w:r>
              <w:t>8</w:t>
            </w:r>
          </w:p>
        </w:tc>
        <w:tc>
          <w:tcPr>
            <w:tcW w:w="4961" w:type="dxa"/>
            <w:shd w:val="clear" w:color="auto" w:fill="auto"/>
            <w:vAlign w:val="center"/>
          </w:tcPr>
          <w:p>
            <w:r>
              <w:t>Всего по программам</w:t>
            </w:r>
          </w:p>
        </w:tc>
        <w:tc>
          <w:tcPr>
            <w:tcW w:w="1417" w:type="dxa"/>
            <w:shd w:val="clear" w:color="auto" w:fill="auto"/>
            <w:noWrap/>
            <w:vAlign w:val="center"/>
          </w:tcPr>
          <w:p>
            <w:pPr>
              <w:jc w:val="right"/>
            </w:pPr>
            <w:r>
              <w:t>407 473,33</w:t>
            </w:r>
          </w:p>
        </w:tc>
        <w:tc>
          <w:tcPr>
            <w:tcW w:w="1276" w:type="dxa"/>
            <w:shd w:val="clear" w:color="auto" w:fill="auto"/>
            <w:noWrap/>
            <w:vAlign w:val="center"/>
          </w:tcPr>
          <w:p>
            <w:pPr>
              <w:jc w:val="right"/>
            </w:pPr>
            <w:r>
              <w:t>402 721,74</w:t>
            </w:r>
          </w:p>
        </w:tc>
        <w:tc>
          <w:tcPr>
            <w:tcW w:w="1276" w:type="dxa"/>
            <w:shd w:val="clear" w:color="auto" w:fill="auto"/>
            <w:noWrap/>
            <w:vAlign w:val="center"/>
          </w:tcPr>
          <w:p>
            <w:pPr>
              <w:jc w:val="right"/>
            </w:pPr>
            <w:r>
              <w:t>98,8</w:t>
            </w:r>
          </w:p>
        </w:tc>
      </w:tr>
    </w:tbl>
    <w:p>
      <w:pPr>
        <w:spacing w:before="120" w:after="120"/>
        <w:ind w:firstLine="709"/>
        <w:jc w:val="both"/>
        <w:rPr>
          <w:rFonts w:eastAsia="Calibri"/>
          <w:sz w:val="24"/>
          <w:szCs w:val="24"/>
        </w:rPr>
      </w:pPr>
      <w:r>
        <w:rPr>
          <w:rStyle w:val="16"/>
          <w:rFonts w:eastAsia="Calibri"/>
          <w:sz w:val="24"/>
          <w:szCs w:val="24"/>
          <w:u w:val="none"/>
        </w:rPr>
        <w:t>В разрезе разделов функциональной классификации и</w:t>
      </w:r>
      <w:r>
        <w:rPr>
          <w:rFonts w:eastAsia="Calibri"/>
          <w:sz w:val="24"/>
          <w:szCs w:val="24"/>
        </w:rPr>
        <w:t xml:space="preserve">сполнение расходов УКС Администрации ЗАТО Северск осуществлялось по 4 разделам: </w:t>
      </w:r>
    </w:p>
    <w:p>
      <w:pPr>
        <w:spacing w:before="120" w:after="120"/>
        <w:ind w:right="57" w:firstLine="709"/>
        <w:jc w:val="both"/>
        <w:rPr>
          <w:sz w:val="24"/>
          <w:szCs w:val="24"/>
        </w:rPr>
      </w:pPr>
      <w:r>
        <w:rPr>
          <w:sz w:val="24"/>
          <w:szCs w:val="24"/>
        </w:rPr>
        <w:t>Таблица 58. Расходы УКС по разделам  за 2021 год</w:t>
      </w:r>
    </w:p>
    <w:tbl>
      <w:tblPr>
        <w:tblW w:w="9356" w:type="dxa"/>
        <w:tblInd w:w="108" w:type="dxa"/>
        <w:tblLayout w:type="fixed"/>
        <w:tblLook w:val="04A0" w:firstRow="1" w:lastRow="0" w:firstColumn="1" w:lastColumn="0" w:noHBand="0" w:noVBand="1"/>
      </w:tblPr>
      <w:tblGrid>
        <w:gridCol w:w="720"/>
        <w:gridCol w:w="4667"/>
        <w:gridCol w:w="1417"/>
        <w:gridCol w:w="1276"/>
        <w:gridCol w:w="1276"/>
      </w:tblGrid>
      <w:tr>
        <w:trPr>
          <w:trHeight w:val="959"/>
        </w:trPr>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pPr>
              <w:jc w:val="center"/>
            </w:pPr>
            <w:r>
              <w:t>Раздел, подраздел</w:t>
            </w:r>
          </w:p>
        </w:tc>
        <w:tc>
          <w:tcPr>
            <w:tcW w:w="4667" w:type="dxa"/>
            <w:tcBorders>
              <w:top w:val="single" w:sz="4" w:space="0" w:color="auto"/>
              <w:left w:val="nil"/>
              <w:bottom w:val="single" w:sz="4" w:space="0" w:color="auto"/>
              <w:right w:val="single" w:sz="4" w:space="0" w:color="auto"/>
            </w:tcBorders>
            <w:shd w:val="clear" w:color="auto" w:fill="auto"/>
            <w:vAlign w:val="center"/>
          </w:tcPr>
          <w:p>
            <w:pPr>
              <w:jc w:val="center"/>
            </w:pPr>
            <w:r>
              <w:t>Наименование</w:t>
            </w:r>
          </w:p>
        </w:tc>
        <w:tc>
          <w:tcPr>
            <w:tcW w:w="1417" w:type="dxa"/>
            <w:tcBorders>
              <w:top w:val="single" w:sz="4" w:space="0" w:color="auto"/>
              <w:left w:val="nil"/>
              <w:bottom w:val="single" w:sz="4" w:space="0" w:color="auto"/>
              <w:right w:val="single" w:sz="4" w:space="0" w:color="auto"/>
            </w:tcBorders>
            <w:shd w:val="clear" w:color="auto" w:fill="auto"/>
            <w:vAlign w:val="center"/>
          </w:tcPr>
          <w:p>
            <w:pPr>
              <w:jc w:val="center"/>
            </w:pPr>
            <w:r>
              <w:t>Уточненный план</w:t>
            </w:r>
            <w:r>
              <w:br/>
              <w:t>2021 г., тыс.руб.</w:t>
            </w:r>
          </w:p>
        </w:tc>
        <w:tc>
          <w:tcPr>
            <w:tcW w:w="1276" w:type="dxa"/>
            <w:tcBorders>
              <w:top w:val="single" w:sz="4" w:space="0" w:color="auto"/>
              <w:left w:val="nil"/>
              <w:bottom w:val="single" w:sz="4" w:space="0" w:color="auto"/>
              <w:right w:val="single" w:sz="4" w:space="0" w:color="auto"/>
            </w:tcBorders>
            <w:shd w:val="clear" w:color="auto" w:fill="auto"/>
            <w:vAlign w:val="center"/>
          </w:tcPr>
          <w:p>
            <w:pPr>
              <w:ind w:right="-42"/>
              <w:jc w:val="center"/>
            </w:pPr>
            <w:r>
              <w:t xml:space="preserve">Исполнено </w:t>
            </w:r>
          </w:p>
          <w:p>
            <w:pPr>
              <w:ind w:right="-42"/>
              <w:jc w:val="center"/>
            </w:pPr>
            <w:r>
              <w:t>за 2021 г., тыс.руб.</w:t>
            </w:r>
          </w:p>
        </w:tc>
        <w:tc>
          <w:tcPr>
            <w:tcW w:w="1276" w:type="dxa"/>
            <w:tcBorders>
              <w:top w:val="single" w:sz="4" w:space="0" w:color="auto"/>
              <w:left w:val="nil"/>
              <w:bottom w:val="single" w:sz="4" w:space="0" w:color="auto"/>
              <w:right w:val="single" w:sz="4" w:space="0" w:color="auto"/>
            </w:tcBorders>
            <w:vAlign w:val="center"/>
          </w:tcPr>
          <w:p>
            <w:pPr>
              <w:jc w:val="center"/>
            </w:pPr>
            <w:r>
              <w:t xml:space="preserve">Процент </w:t>
            </w:r>
          </w:p>
          <w:p>
            <w:pPr>
              <w:jc w:val="center"/>
            </w:pPr>
            <w:r>
              <w:t xml:space="preserve">исполнения </w:t>
            </w:r>
          </w:p>
          <w:p>
            <w:pPr>
              <w:jc w:val="center"/>
            </w:pPr>
            <w:r>
              <w:t>к плану</w:t>
            </w:r>
            <w:r>
              <w:br/>
              <w:t xml:space="preserve"> 2021 г.</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p>
        </w:tc>
        <w:tc>
          <w:tcPr>
            <w:tcW w:w="4667" w:type="dxa"/>
            <w:tcBorders>
              <w:top w:val="nil"/>
              <w:left w:val="nil"/>
              <w:bottom w:val="single" w:sz="4" w:space="0" w:color="auto"/>
              <w:right w:val="single" w:sz="4" w:space="0" w:color="auto"/>
            </w:tcBorders>
            <w:shd w:val="clear" w:color="auto" w:fill="auto"/>
            <w:vAlign w:val="center"/>
          </w:tcPr>
          <w:p>
            <w:r>
              <w:t>Управление капитального строительства:</w:t>
            </w:r>
          </w:p>
        </w:tc>
        <w:tc>
          <w:tcPr>
            <w:tcW w:w="1417" w:type="dxa"/>
            <w:tcBorders>
              <w:top w:val="nil"/>
              <w:left w:val="nil"/>
              <w:bottom w:val="single" w:sz="4" w:space="0" w:color="auto"/>
              <w:right w:val="single" w:sz="4" w:space="0" w:color="auto"/>
            </w:tcBorders>
            <w:shd w:val="clear" w:color="auto" w:fill="auto"/>
            <w:noWrap/>
            <w:vAlign w:val="bottom"/>
          </w:tcPr>
          <w:p>
            <w:pPr>
              <w:jc w:val="right"/>
            </w:pPr>
            <w:r>
              <w:t>407 473,33</w:t>
            </w:r>
          </w:p>
        </w:tc>
        <w:tc>
          <w:tcPr>
            <w:tcW w:w="1276" w:type="dxa"/>
            <w:tcBorders>
              <w:top w:val="single" w:sz="4" w:space="0" w:color="auto"/>
              <w:left w:val="nil"/>
              <w:bottom w:val="single" w:sz="4" w:space="0" w:color="auto"/>
              <w:right w:val="single" w:sz="4" w:space="0" w:color="auto"/>
            </w:tcBorders>
            <w:shd w:val="clear" w:color="auto" w:fill="auto"/>
            <w:noWrap/>
            <w:vAlign w:val="bottom"/>
          </w:tcPr>
          <w:p>
            <w:pPr>
              <w:jc w:val="right"/>
            </w:pPr>
            <w:r>
              <w:t>402 721,74</w:t>
            </w:r>
          </w:p>
        </w:tc>
        <w:tc>
          <w:tcPr>
            <w:tcW w:w="1276" w:type="dxa"/>
            <w:tcBorders>
              <w:top w:val="single" w:sz="4" w:space="0" w:color="auto"/>
              <w:left w:val="nil"/>
              <w:bottom w:val="single" w:sz="4" w:space="0" w:color="auto"/>
              <w:right w:val="single" w:sz="4" w:space="0" w:color="auto"/>
            </w:tcBorders>
            <w:vAlign w:val="bottom"/>
          </w:tcPr>
          <w:p>
            <w:pPr>
              <w:jc w:val="right"/>
            </w:pPr>
            <w:r>
              <w:t>98,8</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0100</w:t>
            </w:r>
          </w:p>
        </w:tc>
        <w:tc>
          <w:tcPr>
            <w:tcW w:w="4667" w:type="dxa"/>
            <w:tcBorders>
              <w:top w:val="nil"/>
              <w:left w:val="nil"/>
              <w:bottom w:val="single" w:sz="4" w:space="0" w:color="auto"/>
              <w:right w:val="single" w:sz="4" w:space="0" w:color="auto"/>
            </w:tcBorders>
            <w:shd w:val="clear" w:color="auto" w:fill="auto"/>
            <w:vAlign w:val="center"/>
          </w:tcPr>
          <w:p>
            <w:r>
              <w:t>Общегосударственные вопросы</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198,72</w:t>
            </w:r>
          </w:p>
        </w:tc>
        <w:tc>
          <w:tcPr>
            <w:tcW w:w="1276" w:type="dxa"/>
            <w:tcBorders>
              <w:top w:val="nil"/>
              <w:left w:val="nil"/>
              <w:bottom w:val="single" w:sz="4" w:space="0" w:color="auto"/>
              <w:right w:val="single" w:sz="4" w:space="0" w:color="auto"/>
            </w:tcBorders>
            <w:shd w:val="clear" w:color="auto" w:fill="auto"/>
            <w:noWrap/>
            <w:vAlign w:val="center"/>
          </w:tcPr>
          <w:p>
            <w:pPr>
              <w:jc w:val="right"/>
            </w:pPr>
            <w:r>
              <w:t>0,00</w:t>
            </w:r>
          </w:p>
        </w:tc>
        <w:tc>
          <w:tcPr>
            <w:tcW w:w="1276" w:type="dxa"/>
            <w:tcBorders>
              <w:top w:val="single" w:sz="4" w:space="0" w:color="auto"/>
              <w:left w:val="nil"/>
              <w:bottom w:val="single" w:sz="4" w:space="0" w:color="auto"/>
              <w:right w:val="single" w:sz="4" w:space="0" w:color="auto"/>
            </w:tcBorders>
            <w:vAlign w:val="center"/>
          </w:tcPr>
          <w:p>
            <w:pPr>
              <w:jc w:val="right"/>
            </w:pPr>
            <w:r>
              <w:t>0,00</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0400</w:t>
            </w:r>
          </w:p>
        </w:tc>
        <w:tc>
          <w:tcPr>
            <w:tcW w:w="4667" w:type="dxa"/>
            <w:tcBorders>
              <w:top w:val="nil"/>
              <w:left w:val="nil"/>
              <w:bottom w:val="single" w:sz="4" w:space="0" w:color="auto"/>
              <w:right w:val="single" w:sz="4" w:space="0" w:color="auto"/>
            </w:tcBorders>
            <w:shd w:val="clear" w:color="auto" w:fill="auto"/>
            <w:vAlign w:val="center"/>
          </w:tcPr>
          <w:p>
            <w:r>
              <w:t>Национальная экономика</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187 007,08</w:t>
            </w:r>
          </w:p>
        </w:tc>
        <w:tc>
          <w:tcPr>
            <w:tcW w:w="1276" w:type="dxa"/>
            <w:tcBorders>
              <w:top w:val="nil"/>
              <w:left w:val="nil"/>
              <w:bottom w:val="single" w:sz="4" w:space="0" w:color="auto"/>
              <w:right w:val="single" w:sz="4" w:space="0" w:color="auto"/>
            </w:tcBorders>
            <w:shd w:val="clear" w:color="auto" w:fill="auto"/>
            <w:noWrap/>
            <w:vAlign w:val="center"/>
          </w:tcPr>
          <w:p>
            <w:pPr>
              <w:jc w:val="right"/>
            </w:pPr>
            <w:r>
              <w:t>186 091,58</w:t>
            </w:r>
          </w:p>
        </w:tc>
        <w:tc>
          <w:tcPr>
            <w:tcW w:w="1276" w:type="dxa"/>
            <w:tcBorders>
              <w:top w:val="single" w:sz="4" w:space="0" w:color="auto"/>
              <w:left w:val="nil"/>
              <w:bottom w:val="single" w:sz="4" w:space="0" w:color="auto"/>
              <w:right w:val="single" w:sz="4" w:space="0" w:color="auto"/>
            </w:tcBorders>
            <w:vAlign w:val="center"/>
          </w:tcPr>
          <w:p>
            <w:pPr>
              <w:jc w:val="right"/>
            </w:pPr>
            <w:r>
              <w:t>99,5</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0500</w:t>
            </w:r>
          </w:p>
        </w:tc>
        <w:tc>
          <w:tcPr>
            <w:tcW w:w="4667" w:type="dxa"/>
            <w:tcBorders>
              <w:top w:val="nil"/>
              <w:left w:val="nil"/>
              <w:bottom w:val="single" w:sz="4" w:space="0" w:color="auto"/>
              <w:right w:val="single" w:sz="4" w:space="0" w:color="auto"/>
            </w:tcBorders>
            <w:shd w:val="clear" w:color="auto" w:fill="auto"/>
            <w:vAlign w:val="center"/>
          </w:tcPr>
          <w:p>
            <w:r>
              <w:t>Жилищно-коммунальное хозяйство</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191 371,95</w:t>
            </w:r>
          </w:p>
        </w:tc>
        <w:tc>
          <w:tcPr>
            <w:tcW w:w="1276" w:type="dxa"/>
            <w:tcBorders>
              <w:top w:val="nil"/>
              <w:left w:val="nil"/>
              <w:bottom w:val="single" w:sz="4" w:space="0" w:color="auto"/>
              <w:right w:val="single" w:sz="4" w:space="0" w:color="auto"/>
            </w:tcBorders>
            <w:shd w:val="clear" w:color="auto" w:fill="auto"/>
            <w:noWrap/>
            <w:vAlign w:val="center"/>
          </w:tcPr>
          <w:p>
            <w:pPr>
              <w:jc w:val="right"/>
            </w:pPr>
            <w:r>
              <w:t>187 819,98</w:t>
            </w:r>
          </w:p>
        </w:tc>
        <w:tc>
          <w:tcPr>
            <w:tcW w:w="1276" w:type="dxa"/>
            <w:tcBorders>
              <w:top w:val="single" w:sz="4" w:space="0" w:color="auto"/>
              <w:left w:val="nil"/>
              <w:bottom w:val="single" w:sz="4" w:space="0" w:color="auto"/>
              <w:right w:val="single" w:sz="4" w:space="0" w:color="auto"/>
            </w:tcBorders>
            <w:vAlign w:val="center"/>
          </w:tcPr>
          <w:p>
            <w:pPr>
              <w:jc w:val="right"/>
            </w:pPr>
            <w:r>
              <w:t>98,1</w:t>
            </w:r>
          </w:p>
        </w:tc>
      </w:tr>
      <w:tr>
        <w:trPr>
          <w:trHeight w:val="284"/>
        </w:trPr>
        <w:tc>
          <w:tcPr>
            <w:tcW w:w="720" w:type="dxa"/>
            <w:tcBorders>
              <w:top w:val="nil"/>
              <w:left w:val="single" w:sz="4" w:space="0" w:color="auto"/>
              <w:bottom w:val="single" w:sz="4" w:space="0" w:color="auto"/>
              <w:right w:val="single" w:sz="4" w:space="0" w:color="auto"/>
            </w:tcBorders>
            <w:shd w:val="clear" w:color="auto" w:fill="auto"/>
            <w:noWrap/>
            <w:vAlign w:val="center"/>
          </w:tcPr>
          <w:p>
            <w:pPr>
              <w:jc w:val="center"/>
            </w:pPr>
            <w:r>
              <w:t>0700</w:t>
            </w:r>
          </w:p>
        </w:tc>
        <w:tc>
          <w:tcPr>
            <w:tcW w:w="4667" w:type="dxa"/>
            <w:tcBorders>
              <w:top w:val="nil"/>
              <w:left w:val="nil"/>
              <w:bottom w:val="single" w:sz="4" w:space="0" w:color="auto"/>
              <w:right w:val="single" w:sz="4" w:space="0" w:color="auto"/>
            </w:tcBorders>
            <w:shd w:val="clear" w:color="auto" w:fill="auto"/>
            <w:vAlign w:val="center"/>
          </w:tcPr>
          <w:p>
            <w:pPr>
              <w:autoSpaceDE w:val="0"/>
              <w:autoSpaceDN w:val="0"/>
              <w:adjustRightInd w:val="0"/>
              <w:jc w:val="both"/>
              <w:outlineLvl w:val="4"/>
            </w:pPr>
            <w:r>
              <w:t>Образование</w:t>
            </w:r>
          </w:p>
        </w:tc>
        <w:tc>
          <w:tcPr>
            <w:tcW w:w="1417" w:type="dxa"/>
            <w:tcBorders>
              <w:top w:val="nil"/>
              <w:left w:val="nil"/>
              <w:bottom w:val="single" w:sz="4" w:space="0" w:color="auto"/>
              <w:right w:val="single" w:sz="4" w:space="0" w:color="auto"/>
            </w:tcBorders>
            <w:shd w:val="clear" w:color="auto" w:fill="auto"/>
            <w:noWrap/>
            <w:vAlign w:val="center"/>
          </w:tcPr>
          <w:p>
            <w:pPr>
              <w:jc w:val="right"/>
            </w:pPr>
            <w:r>
              <w:t>15 029,90</w:t>
            </w:r>
          </w:p>
        </w:tc>
        <w:tc>
          <w:tcPr>
            <w:tcW w:w="1276" w:type="dxa"/>
            <w:tcBorders>
              <w:top w:val="nil"/>
              <w:left w:val="nil"/>
              <w:bottom w:val="single" w:sz="4" w:space="0" w:color="auto"/>
              <w:right w:val="single" w:sz="4" w:space="0" w:color="auto"/>
            </w:tcBorders>
            <w:shd w:val="clear" w:color="auto" w:fill="auto"/>
            <w:noWrap/>
            <w:vAlign w:val="center"/>
          </w:tcPr>
          <w:p>
            <w:pPr>
              <w:jc w:val="right"/>
            </w:pPr>
            <w:r>
              <w:t>14 944,50</w:t>
            </w:r>
          </w:p>
        </w:tc>
        <w:tc>
          <w:tcPr>
            <w:tcW w:w="1276" w:type="dxa"/>
            <w:tcBorders>
              <w:top w:val="single" w:sz="4" w:space="0" w:color="auto"/>
              <w:left w:val="nil"/>
              <w:bottom w:val="single" w:sz="4" w:space="0" w:color="auto"/>
              <w:right w:val="single" w:sz="4" w:space="0" w:color="auto"/>
            </w:tcBorders>
            <w:vAlign w:val="center"/>
          </w:tcPr>
          <w:p>
            <w:pPr>
              <w:jc w:val="right"/>
            </w:pPr>
            <w:r>
              <w:t>99,4</w:t>
            </w:r>
          </w:p>
        </w:tc>
      </w:tr>
      <w:tr>
        <w:trPr>
          <w:trHeight w:val="284"/>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pPr>
              <w:shd w:val="clear" w:color="auto" w:fill="FFFFFF"/>
              <w:jc w:val="center"/>
            </w:pPr>
            <w:r>
              <w:t>0800</w:t>
            </w:r>
          </w:p>
        </w:tc>
        <w:tc>
          <w:tcPr>
            <w:tcW w:w="4667" w:type="dxa"/>
            <w:tcBorders>
              <w:top w:val="single" w:sz="4" w:space="0" w:color="auto"/>
              <w:left w:val="nil"/>
              <w:bottom w:val="single" w:sz="4" w:space="0" w:color="auto"/>
              <w:right w:val="single" w:sz="4" w:space="0" w:color="auto"/>
            </w:tcBorders>
            <w:shd w:val="clear" w:color="auto" w:fill="auto"/>
            <w:vAlign w:val="center"/>
          </w:tcPr>
          <w:p>
            <w:r>
              <w:t>Культура и кинематография</w:t>
            </w:r>
          </w:p>
        </w:tc>
        <w:tc>
          <w:tcPr>
            <w:tcW w:w="1417" w:type="dxa"/>
            <w:tcBorders>
              <w:top w:val="single" w:sz="4" w:space="0" w:color="auto"/>
              <w:left w:val="nil"/>
              <w:bottom w:val="single" w:sz="4" w:space="0" w:color="auto"/>
              <w:right w:val="single" w:sz="4" w:space="0" w:color="auto"/>
            </w:tcBorders>
            <w:shd w:val="clear" w:color="auto" w:fill="auto"/>
            <w:noWrap/>
            <w:vAlign w:val="center"/>
          </w:tcPr>
          <w:p>
            <w:pPr>
              <w:jc w:val="right"/>
            </w:pPr>
            <w:r>
              <w:t>13 865,68</w:t>
            </w:r>
          </w:p>
        </w:tc>
        <w:tc>
          <w:tcPr>
            <w:tcW w:w="1276" w:type="dxa"/>
            <w:tcBorders>
              <w:top w:val="single" w:sz="4" w:space="0" w:color="auto"/>
              <w:left w:val="nil"/>
              <w:bottom w:val="single" w:sz="4" w:space="0" w:color="auto"/>
              <w:right w:val="single" w:sz="4" w:space="0" w:color="auto"/>
            </w:tcBorders>
            <w:shd w:val="clear" w:color="auto" w:fill="auto"/>
            <w:noWrap/>
            <w:vAlign w:val="center"/>
          </w:tcPr>
          <w:p>
            <w:pPr>
              <w:jc w:val="right"/>
            </w:pPr>
            <w:r>
              <w:t>13 865,68</w:t>
            </w:r>
          </w:p>
        </w:tc>
        <w:tc>
          <w:tcPr>
            <w:tcW w:w="1276" w:type="dxa"/>
            <w:tcBorders>
              <w:top w:val="single" w:sz="4" w:space="0" w:color="auto"/>
              <w:left w:val="nil"/>
              <w:bottom w:val="single" w:sz="4" w:space="0" w:color="auto"/>
              <w:right w:val="single" w:sz="4" w:space="0" w:color="auto"/>
            </w:tcBorders>
            <w:vAlign w:val="center"/>
          </w:tcPr>
          <w:p>
            <w:pPr>
              <w:jc w:val="right"/>
            </w:pPr>
            <w:r>
              <w:t>100,0</w:t>
            </w:r>
          </w:p>
        </w:tc>
      </w:tr>
    </w:tbl>
    <w:p>
      <w:pPr>
        <w:ind w:firstLine="709"/>
        <w:jc w:val="both"/>
        <w:rPr>
          <w:sz w:val="16"/>
          <w:szCs w:val="16"/>
          <w:highlight w:val="yellow"/>
        </w:rPr>
      </w:pPr>
    </w:p>
    <w:p>
      <w:pPr>
        <w:pStyle w:val="3"/>
        <w:spacing w:before="0" w:after="0" w:line="264" w:lineRule="auto"/>
        <w:ind w:right="28" w:firstLine="709"/>
        <w:jc w:val="center"/>
        <w:rPr>
          <w:rFonts w:ascii="Times New Roman" w:hAnsi="Times New Roman"/>
          <w:color w:val="000000"/>
          <w:sz w:val="24"/>
          <w:szCs w:val="24"/>
          <w:highlight w:val="yellow"/>
        </w:rPr>
      </w:pPr>
    </w:p>
    <w:p>
      <w:pPr>
        <w:pStyle w:val="3"/>
        <w:spacing w:before="0" w:after="0" w:line="264" w:lineRule="auto"/>
        <w:ind w:right="28" w:firstLine="709"/>
        <w:jc w:val="center"/>
        <w:rPr>
          <w:rFonts w:ascii="Times New Roman" w:hAnsi="Times New Roman"/>
          <w:color w:val="000000"/>
          <w:sz w:val="24"/>
          <w:szCs w:val="24"/>
        </w:rPr>
      </w:pPr>
      <w:r>
        <w:rPr>
          <w:rFonts w:ascii="Times New Roman" w:hAnsi="Times New Roman"/>
          <w:color w:val="000000"/>
          <w:sz w:val="24"/>
          <w:szCs w:val="24"/>
        </w:rPr>
        <w:t>4.2.12. Управление по внегородским территориям</w:t>
      </w:r>
    </w:p>
    <w:p>
      <w:pPr>
        <w:pStyle w:val="3"/>
        <w:spacing w:before="0" w:after="200" w:line="264" w:lineRule="auto"/>
        <w:ind w:right="28" w:firstLine="709"/>
        <w:jc w:val="center"/>
        <w:rPr>
          <w:rFonts w:ascii="Times New Roman" w:hAnsi="Times New Roman"/>
          <w:color w:val="000000"/>
          <w:sz w:val="24"/>
          <w:szCs w:val="24"/>
        </w:rPr>
      </w:pPr>
      <w:r>
        <w:rPr>
          <w:rFonts w:ascii="Times New Roman" w:hAnsi="Times New Roman"/>
          <w:color w:val="000000"/>
          <w:sz w:val="24"/>
          <w:szCs w:val="24"/>
        </w:rPr>
        <w:t>Администрации ЗАТО Северск</w:t>
      </w:r>
    </w:p>
    <w:p>
      <w:pPr>
        <w:ind w:firstLine="709"/>
        <w:jc w:val="both"/>
        <w:rPr>
          <w:sz w:val="24"/>
          <w:szCs w:val="24"/>
        </w:rPr>
      </w:pPr>
      <w:r>
        <w:rPr>
          <w:sz w:val="24"/>
          <w:szCs w:val="24"/>
        </w:rPr>
        <w:t xml:space="preserve">Кассовое исполнение расходов за 2021 год составило 80 509,16 тыс. руб. или 99 % к утвержденным годовым назначениям. </w:t>
      </w:r>
    </w:p>
    <w:p>
      <w:pPr>
        <w:ind w:firstLine="709"/>
        <w:jc w:val="both"/>
        <w:rPr>
          <w:sz w:val="24"/>
          <w:szCs w:val="24"/>
          <w:highlight w:val="yellow"/>
        </w:rPr>
      </w:pPr>
      <w:r>
        <w:rPr>
          <w:sz w:val="24"/>
          <w:szCs w:val="24"/>
        </w:rPr>
        <w:t xml:space="preserve">В общей структуре произведенных расходов удельный вес расходов, подведомственных </w:t>
      </w:r>
      <w:r>
        <w:rPr>
          <w:color w:val="000000"/>
          <w:sz w:val="24"/>
          <w:szCs w:val="24"/>
        </w:rPr>
        <w:t>Управлению по внегородским территориям Администрации ЗАТО Северск</w:t>
      </w:r>
      <w:r>
        <w:rPr>
          <w:sz w:val="24"/>
          <w:szCs w:val="24"/>
        </w:rPr>
        <w:t xml:space="preserve"> (далее - УВГТ) составил 1,6%. </w:t>
      </w:r>
    </w:p>
    <w:p>
      <w:pPr>
        <w:ind w:firstLine="709"/>
        <w:jc w:val="both"/>
        <w:rPr>
          <w:sz w:val="24"/>
          <w:szCs w:val="24"/>
        </w:rPr>
      </w:pPr>
      <w:r>
        <w:rPr>
          <w:sz w:val="24"/>
          <w:szCs w:val="24"/>
        </w:rPr>
        <w:t>УВГТ является ответственным исполнителем одной м</w:t>
      </w:r>
      <w:r>
        <w:rPr>
          <w:bCs/>
          <w:sz w:val="24"/>
          <w:szCs w:val="24"/>
        </w:rPr>
        <w:t xml:space="preserve">униципальной программы «Улучшение жизнедеятельности внегородских территорий ЗАТО Северск» </w:t>
      </w:r>
      <w:r>
        <w:rPr>
          <w:sz w:val="24"/>
          <w:szCs w:val="24"/>
        </w:rPr>
        <w:t>и участником трех муниципальных программ «Охрана окружающей среды на территории ЗАТО Северск»</w:t>
      </w:r>
      <w:r>
        <w:rPr>
          <w:spacing w:val="-4"/>
          <w:sz w:val="24"/>
          <w:szCs w:val="24"/>
        </w:rPr>
        <w:t xml:space="preserve"> и «Обеспечение безопасности населения на территории ЗАТО Северск», МП «Дорожная деятельность и транспортное обслуживание на территории ЗАТО Северск».</w:t>
      </w:r>
    </w:p>
    <w:p>
      <w:pPr>
        <w:ind w:firstLine="709"/>
        <w:jc w:val="both"/>
        <w:rPr>
          <w:sz w:val="24"/>
          <w:szCs w:val="24"/>
        </w:rPr>
      </w:pPr>
      <w:r>
        <w:rPr>
          <w:sz w:val="24"/>
          <w:szCs w:val="24"/>
        </w:rPr>
        <w:t>Кассовое исполнение по программам составило 79 199,16 </w:t>
      </w:r>
      <w:r>
        <w:rPr>
          <w:spacing w:val="-4"/>
          <w:sz w:val="24"/>
          <w:szCs w:val="24"/>
        </w:rPr>
        <w:t xml:space="preserve">тыс. руб. </w:t>
      </w:r>
      <w:r>
        <w:rPr>
          <w:sz w:val="24"/>
          <w:szCs w:val="24"/>
        </w:rPr>
        <w:t xml:space="preserve">или 99 % к утвержденным годовым назначениям. </w:t>
      </w:r>
    </w:p>
    <w:p>
      <w:pPr>
        <w:spacing w:before="120" w:after="120"/>
        <w:ind w:right="57" w:firstLine="709"/>
        <w:jc w:val="both"/>
        <w:rPr>
          <w:spacing w:val="-4"/>
          <w:sz w:val="24"/>
          <w:szCs w:val="24"/>
        </w:rPr>
      </w:pPr>
    </w:p>
    <w:p>
      <w:pPr>
        <w:spacing w:before="120" w:after="120"/>
        <w:ind w:right="57" w:firstLine="709"/>
        <w:jc w:val="both"/>
        <w:rPr>
          <w:spacing w:val="-4"/>
          <w:sz w:val="24"/>
          <w:szCs w:val="24"/>
        </w:rPr>
      </w:pPr>
    </w:p>
    <w:p>
      <w:pPr>
        <w:spacing w:before="120" w:after="120"/>
        <w:ind w:right="57" w:firstLine="709"/>
        <w:jc w:val="both"/>
        <w:rPr>
          <w:spacing w:val="-4"/>
          <w:sz w:val="24"/>
          <w:szCs w:val="24"/>
        </w:rPr>
      </w:pPr>
    </w:p>
    <w:p>
      <w:pPr>
        <w:spacing w:before="120" w:after="120"/>
        <w:ind w:right="57" w:firstLine="709"/>
        <w:jc w:val="both"/>
        <w:rPr>
          <w:bCs/>
          <w:sz w:val="24"/>
          <w:szCs w:val="24"/>
        </w:rPr>
      </w:pPr>
      <w:r>
        <w:rPr>
          <w:spacing w:val="-4"/>
          <w:sz w:val="24"/>
          <w:szCs w:val="24"/>
        </w:rPr>
        <w:lastRenderedPageBreak/>
        <w:t>Таблица 59. Расходы УВГТ в разрезе МП</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4469"/>
        <w:gridCol w:w="1559"/>
        <w:gridCol w:w="1418"/>
        <w:gridCol w:w="1559"/>
      </w:tblGrid>
      <w:tr>
        <w:trPr>
          <w:cantSplit/>
          <w:trHeight w:val="952"/>
        </w:trPr>
        <w:tc>
          <w:tcPr>
            <w:tcW w:w="459" w:type="dxa"/>
            <w:textDirection w:val="btLr"/>
            <w:vAlign w:val="center"/>
          </w:tcPr>
          <w:p>
            <w:pPr>
              <w:ind w:left="113" w:right="55"/>
              <w:jc w:val="center"/>
              <w:rPr>
                <w:bCs/>
              </w:rPr>
            </w:pPr>
            <w:r>
              <w:rPr>
                <w:lang w:val="en-US"/>
              </w:rPr>
              <w:t xml:space="preserve">№ </w:t>
            </w:r>
            <w:r>
              <w:t>п/п</w:t>
            </w:r>
          </w:p>
        </w:tc>
        <w:tc>
          <w:tcPr>
            <w:tcW w:w="4469" w:type="dxa"/>
            <w:vAlign w:val="center"/>
          </w:tcPr>
          <w:p>
            <w:pPr>
              <w:ind w:right="55"/>
              <w:jc w:val="center"/>
              <w:rPr>
                <w:bCs/>
              </w:rPr>
            </w:pPr>
            <w:r>
              <w:t>Наименование программы</w:t>
            </w:r>
          </w:p>
        </w:tc>
        <w:tc>
          <w:tcPr>
            <w:tcW w:w="1559" w:type="dxa"/>
            <w:vAlign w:val="center"/>
          </w:tcPr>
          <w:p>
            <w:pPr>
              <w:jc w:val="center"/>
            </w:pPr>
            <w:r>
              <w:t xml:space="preserve">Уточненный план 2021 г., </w:t>
            </w:r>
          </w:p>
          <w:p>
            <w:pPr>
              <w:jc w:val="center"/>
            </w:pPr>
            <w:r>
              <w:t>тыс. руб.</w:t>
            </w:r>
          </w:p>
        </w:tc>
        <w:tc>
          <w:tcPr>
            <w:tcW w:w="1418" w:type="dxa"/>
            <w:vAlign w:val="center"/>
          </w:tcPr>
          <w:p>
            <w:pPr>
              <w:ind w:right="-42"/>
              <w:jc w:val="center"/>
            </w:pPr>
            <w:r>
              <w:t xml:space="preserve">Исполнено </w:t>
            </w:r>
          </w:p>
          <w:p>
            <w:pPr>
              <w:ind w:right="-42"/>
              <w:jc w:val="center"/>
            </w:pPr>
            <w:r>
              <w:t xml:space="preserve">за 2021 г., </w:t>
            </w:r>
          </w:p>
          <w:p>
            <w:pPr>
              <w:ind w:right="-42"/>
              <w:jc w:val="center"/>
            </w:pPr>
            <w:r>
              <w:t>тыс. руб.</w:t>
            </w:r>
          </w:p>
        </w:tc>
        <w:tc>
          <w:tcPr>
            <w:tcW w:w="1559" w:type="dxa"/>
            <w:vAlign w:val="center"/>
          </w:tcPr>
          <w:p>
            <w:pPr>
              <w:jc w:val="center"/>
            </w:pPr>
            <w:r>
              <w:t>% исполнения</w:t>
            </w:r>
          </w:p>
          <w:p>
            <w:pPr>
              <w:jc w:val="center"/>
            </w:pPr>
            <w:r>
              <w:t>к плану 2021 г.</w:t>
            </w:r>
          </w:p>
        </w:tc>
      </w:tr>
      <w:tr>
        <w:trPr>
          <w:trHeight w:val="566"/>
        </w:trPr>
        <w:tc>
          <w:tcPr>
            <w:tcW w:w="459" w:type="dxa"/>
            <w:vAlign w:val="center"/>
          </w:tcPr>
          <w:p>
            <w:pPr>
              <w:jc w:val="center"/>
            </w:pPr>
            <w:r>
              <w:t>1</w:t>
            </w:r>
          </w:p>
        </w:tc>
        <w:tc>
          <w:tcPr>
            <w:tcW w:w="4469" w:type="dxa"/>
            <w:vAlign w:val="center"/>
          </w:tcPr>
          <w:p>
            <w:r>
              <w:t xml:space="preserve">МП «Улучшение жизнедеятельности внегородских территорий ЗАТО Северск» </w:t>
            </w:r>
          </w:p>
        </w:tc>
        <w:tc>
          <w:tcPr>
            <w:tcW w:w="1559" w:type="dxa"/>
            <w:vAlign w:val="center"/>
          </w:tcPr>
          <w:p>
            <w:pPr>
              <w:jc w:val="right"/>
            </w:pPr>
            <w:r>
              <w:t>76 765,32</w:t>
            </w:r>
          </w:p>
        </w:tc>
        <w:tc>
          <w:tcPr>
            <w:tcW w:w="1418" w:type="dxa"/>
            <w:vAlign w:val="center"/>
          </w:tcPr>
          <w:p>
            <w:pPr>
              <w:jc w:val="right"/>
            </w:pPr>
            <w:r>
              <w:t>75 965,29</w:t>
            </w:r>
          </w:p>
        </w:tc>
        <w:tc>
          <w:tcPr>
            <w:tcW w:w="1559" w:type="dxa"/>
            <w:vAlign w:val="center"/>
          </w:tcPr>
          <w:p>
            <w:pPr>
              <w:jc w:val="right"/>
            </w:pPr>
            <w:r>
              <w:t>99,0</w:t>
            </w:r>
          </w:p>
        </w:tc>
      </w:tr>
      <w:tr>
        <w:trPr>
          <w:trHeight w:val="560"/>
        </w:trPr>
        <w:tc>
          <w:tcPr>
            <w:tcW w:w="459" w:type="dxa"/>
            <w:vAlign w:val="center"/>
          </w:tcPr>
          <w:p>
            <w:pPr>
              <w:jc w:val="center"/>
            </w:pPr>
            <w:r>
              <w:t>2</w:t>
            </w:r>
          </w:p>
        </w:tc>
        <w:tc>
          <w:tcPr>
            <w:tcW w:w="4469" w:type="dxa"/>
            <w:vAlign w:val="center"/>
          </w:tcPr>
          <w:p>
            <w:r>
              <w:t xml:space="preserve">МП «Охрана окружающей среды </w:t>
            </w:r>
          </w:p>
          <w:p>
            <w:r>
              <w:t xml:space="preserve">на территории ЗАТО Северск» </w:t>
            </w:r>
          </w:p>
        </w:tc>
        <w:tc>
          <w:tcPr>
            <w:tcW w:w="1559" w:type="dxa"/>
            <w:vAlign w:val="center"/>
          </w:tcPr>
          <w:p>
            <w:pPr>
              <w:jc w:val="right"/>
            </w:pPr>
            <w:r>
              <w:t>578,36</w:t>
            </w:r>
          </w:p>
        </w:tc>
        <w:tc>
          <w:tcPr>
            <w:tcW w:w="1418" w:type="dxa"/>
            <w:vAlign w:val="center"/>
          </w:tcPr>
          <w:p>
            <w:pPr>
              <w:jc w:val="right"/>
            </w:pPr>
            <w:r>
              <w:t>578,25</w:t>
            </w:r>
          </w:p>
        </w:tc>
        <w:tc>
          <w:tcPr>
            <w:tcW w:w="1559" w:type="dxa"/>
            <w:vAlign w:val="center"/>
          </w:tcPr>
          <w:p>
            <w:pPr>
              <w:jc w:val="right"/>
            </w:pPr>
            <w:r>
              <w:t>100,0</w:t>
            </w:r>
          </w:p>
        </w:tc>
      </w:tr>
      <w:tr>
        <w:trPr>
          <w:trHeight w:val="554"/>
        </w:trPr>
        <w:tc>
          <w:tcPr>
            <w:tcW w:w="459" w:type="dxa"/>
            <w:vAlign w:val="center"/>
          </w:tcPr>
          <w:p>
            <w:pPr>
              <w:jc w:val="center"/>
            </w:pPr>
            <w:r>
              <w:t>3</w:t>
            </w:r>
          </w:p>
        </w:tc>
        <w:tc>
          <w:tcPr>
            <w:tcW w:w="4469" w:type="dxa"/>
            <w:vAlign w:val="center"/>
          </w:tcPr>
          <w:p>
            <w:r>
              <w:t>МП «</w:t>
            </w:r>
            <w:r>
              <w:rPr>
                <w:spacing w:val="-4"/>
              </w:rPr>
              <w:t>Обеспечение безопасности населения на территории ЗАТО Северск</w:t>
            </w:r>
            <w:r>
              <w:t xml:space="preserve">» </w:t>
            </w:r>
          </w:p>
        </w:tc>
        <w:tc>
          <w:tcPr>
            <w:tcW w:w="1559" w:type="dxa"/>
            <w:vAlign w:val="center"/>
          </w:tcPr>
          <w:p>
            <w:pPr>
              <w:jc w:val="right"/>
            </w:pPr>
            <w:r>
              <w:t>86,90</w:t>
            </w:r>
          </w:p>
        </w:tc>
        <w:tc>
          <w:tcPr>
            <w:tcW w:w="1418" w:type="dxa"/>
            <w:vAlign w:val="center"/>
          </w:tcPr>
          <w:p>
            <w:pPr>
              <w:jc w:val="right"/>
            </w:pPr>
            <w:r>
              <w:t>86,78</w:t>
            </w:r>
          </w:p>
        </w:tc>
        <w:tc>
          <w:tcPr>
            <w:tcW w:w="1559" w:type="dxa"/>
            <w:vAlign w:val="center"/>
          </w:tcPr>
          <w:p>
            <w:pPr>
              <w:jc w:val="right"/>
            </w:pPr>
            <w:r>
              <w:t>99,9</w:t>
            </w:r>
          </w:p>
        </w:tc>
      </w:tr>
      <w:tr>
        <w:trPr>
          <w:trHeight w:val="322"/>
        </w:trPr>
        <w:tc>
          <w:tcPr>
            <w:tcW w:w="459" w:type="dxa"/>
            <w:vAlign w:val="center"/>
          </w:tcPr>
          <w:p>
            <w:pPr>
              <w:jc w:val="center"/>
            </w:pPr>
            <w:r>
              <w:t>4</w:t>
            </w:r>
          </w:p>
        </w:tc>
        <w:tc>
          <w:tcPr>
            <w:tcW w:w="4469" w:type="dxa"/>
            <w:vAlign w:val="center"/>
          </w:tcPr>
          <w:p>
            <w:r>
              <w:t>МП «</w:t>
            </w:r>
            <w:r>
              <w:rPr>
                <w:spacing w:val="-4"/>
              </w:rPr>
              <w:t>Дорожная деятельность и транспортное обслуживание на территории ЗАТО Северск</w:t>
            </w:r>
            <w:r>
              <w:t xml:space="preserve">» </w:t>
            </w:r>
          </w:p>
        </w:tc>
        <w:tc>
          <w:tcPr>
            <w:tcW w:w="1559" w:type="dxa"/>
            <w:vAlign w:val="center"/>
          </w:tcPr>
          <w:p>
            <w:pPr>
              <w:jc w:val="right"/>
            </w:pPr>
            <w:r>
              <w:t>2 568,87</w:t>
            </w:r>
          </w:p>
        </w:tc>
        <w:tc>
          <w:tcPr>
            <w:tcW w:w="1418" w:type="dxa"/>
            <w:vAlign w:val="center"/>
          </w:tcPr>
          <w:p>
            <w:pPr>
              <w:jc w:val="right"/>
            </w:pPr>
            <w:r>
              <w:t>2 568,84</w:t>
            </w:r>
          </w:p>
        </w:tc>
        <w:tc>
          <w:tcPr>
            <w:tcW w:w="1559" w:type="dxa"/>
            <w:vAlign w:val="center"/>
          </w:tcPr>
          <w:p>
            <w:pPr>
              <w:jc w:val="right"/>
            </w:pPr>
            <w:r>
              <w:t>100,0</w:t>
            </w:r>
          </w:p>
        </w:tc>
      </w:tr>
      <w:tr>
        <w:trPr>
          <w:trHeight w:val="322"/>
        </w:trPr>
        <w:tc>
          <w:tcPr>
            <w:tcW w:w="459" w:type="dxa"/>
            <w:vAlign w:val="center"/>
          </w:tcPr>
          <w:p>
            <w:pPr>
              <w:jc w:val="center"/>
            </w:pPr>
          </w:p>
        </w:tc>
        <w:tc>
          <w:tcPr>
            <w:tcW w:w="4469" w:type="dxa"/>
            <w:vAlign w:val="center"/>
          </w:tcPr>
          <w:p>
            <w:r>
              <w:t>Всего по программам</w:t>
            </w:r>
          </w:p>
        </w:tc>
        <w:tc>
          <w:tcPr>
            <w:tcW w:w="1559" w:type="dxa"/>
            <w:vAlign w:val="center"/>
          </w:tcPr>
          <w:p>
            <w:pPr>
              <w:jc w:val="right"/>
            </w:pPr>
            <w:r>
              <w:t>79 999,45</w:t>
            </w:r>
          </w:p>
        </w:tc>
        <w:tc>
          <w:tcPr>
            <w:tcW w:w="1418" w:type="dxa"/>
            <w:vAlign w:val="center"/>
          </w:tcPr>
          <w:p>
            <w:pPr>
              <w:jc w:val="right"/>
            </w:pPr>
            <w:r>
              <w:t>79 199,16</w:t>
            </w:r>
          </w:p>
        </w:tc>
        <w:tc>
          <w:tcPr>
            <w:tcW w:w="1559" w:type="dxa"/>
            <w:vAlign w:val="center"/>
          </w:tcPr>
          <w:p>
            <w:pPr>
              <w:jc w:val="right"/>
            </w:pPr>
            <w:r>
              <w:t>99,0</w:t>
            </w:r>
          </w:p>
        </w:tc>
      </w:tr>
    </w:tbl>
    <w:p>
      <w:pPr>
        <w:pStyle w:val="31"/>
        <w:ind w:right="-2" w:firstLine="709"/>
        <w:rPr>
          <w:sz w:val="24"/>
          <w:szCs w:val="24"/>
          <w:highlight w:val="yellow"/>
        </w:rPr>
      </w:pPr>
    </w:p>
    <w:p>
      <w:pPr>
        <w:pStyle w:val="31"/>
        <w:ind w:right="-2" w:firstLine="709"/>
        <w:rPr>
          <w:spacing w:val="-4"/>
          <w:sz w:val="24"/>
          <w:szCs w:val="24"/>
        </w:rPr>
      </w:pPr>
      <w:r>
        <w:rPr>
          <w:sz w:val="24"/>
          <w:szCs w:val="24"/>
        </w:rPr>
        <w:t xml:space="preserve">УВГТ за 2021 год </w:t>
      </w:r>
      <w:r>
        <w:rPr>
          <w:spacing w:val="-4"/>
          <w:sz w:val="24"/>
          <w:szCs w:val="24"/>
        </w:rPr>
        <w:t xml:space="preserve">исполнялись непрограммные мероприятия в сумме 1 310,00 тыс. руб. на исполнение судебных актов </w:t>
      </w:r>
      <w:r>
        <w:rPr>
          <w:sz w:val="24"/>
          <w:szCs w:val="24"/>
        </w:rPr>
        <w:t>(расходы на оплату административных штрафов в связи с несоблюдением УВГТ требований по обеспечению безопасности дорожного движения при содержании автомобильных дорог.</w:t>
      </w:r>
    </w:p>
    <w:p>
      <w:pPr>
        <w:spacing w:before="120" w:after="60"/>
        <w:ind w:firstLine="709"/>
        <w:jc w:val="both"/>
        <w:rPr>
          <w:sz w:val="24"/>
          <w:szCs w:val="24"/>
        </w:rPr>
      </w:pPr>
      <w:r>
        <w:rPr>
          <w:sz w:val="24"/>
          <w:szCs w:val="24"/>
        </w:rPr>
        <w:t>Таблица 60. Расходы УВГТ по разделам за 2021 год</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56"/>
        <w:gridCol w:w="4179"/>
        <w:gridCol w:w="1559"/>
        <w:gridCol w:w="1418"/>
        <w:gridCol w:w="1559"/>
      </w:tblGrid>
      <w:tr>
        <w:trPr>
          <w:trHeight w:val="935"/>
        </w:trPr>
        <w:tc>
          <w:tcPr>
            <w:tcW w:w="656" w:type="dxa"/>
            <w:shd w:val="clear" w:color="auto" w:fill="FFFFFF"/>
            <w:noWrap/>
            <w:textDirection w:val="btLr"/>
            <w:vAlign w:val="center"/>
          </w:tcPr>
          <w:p>
            <w:pPr>
              <w:jc w:val="center"/>
            </w:pPr>
            <w:r>
              <w:t>Раздел, подраздел</w:t>
            </w:r>
          </w:p>
        </w:tc>
        <w:tc>
          <w:tcPr>
            <w:tcW w:w="4179" w:type="dxa"/>
            <w:shd w:val="clear" w:color="auto" w:fill="FFFFFF"/>
            <w:vAlign w:val="center"/>
          </w:tcPr>
          <w:p>
            <w:pPr>
              <w:ind w:left="-57" w:right="-57"/>
              <w:jc w:val="center"/>
            </w:pPr>
            <w:r>
              <w:t>Наименование</w:t>
            </w:r>
          </w:p>
        </w:tc>
        <w:tc>
          <w:tcPr>
            <w:tcW w:w="1559" w:type="dxa"/>
            <w:shd w:val="clear" w:color="auto" w:fill="FFFFFF"/>
            <w:vAlign w:val="center"/>
          </w:tcPr>
          <w:p>
            <w:pPr>
              <w:ind w:left="-57" w:right="-57"/>
              <w:jc w:val="center"/>
            </w:pPr>
            <w:r>
              <w:t xml:space="preserve">Уточненный план 2021 г., </w:t>
            </w:r>
          </w:p>
          <w:p>
            <w:pPr>
              <w:ind w:left="-57" w:right="-57"/>
              <w:jc w:val="center"/>
            </w:pPr>
            <w:r>
              <w:t>тыс. руб.</w:t>
            </w:r>
          </w:p>
        </w:tc>
        <w:tc>
          <w:tcPr>
            <w:tcW w:w="1418" w:type="dxa"/>
            <w:shd w:val="clear" w:color="auto" w:fill="FFFFFF"/>
            <w:vAlign w:val="center"/>
          </w:tcPr>
          <w:p>
            <w:pPr>
              <w:ind w:left="-57" w:right="-57"/>
              <w:jc w:val="center"/>
            </w:pPr>
            <w:r>
              <w:t xml:space="preserve">Исполнено </w:t>
            </w:r>
          </w:p>
          <w:p>
            <w:pPr>
              <w:ind w:left="-57" w:right="-57"/>
              <w:jc w:val="center"/>
            </w:pPr>
            <w:r>
              <w:t xml:space="preserve">за 2021 г., </w:t>
            </w:r>
          </w:p>
          <w:p>
            <w:pPr>
              <w:ind w:left="-57" w:right="-57"/>
              <w:jc w:val="center"/>
            </w:pPr>
            <w:r>
              <w:t>тыс. руб.</w:t>
            </w:r>
          </w:p>
        </w:tc>
        <w:tc>
          <w:tcPr>
            <w:tcW w:w="1559" w:type="dxa"/>
            <w:shd w:val="clear" w:color="auto" w:fill="FFFFFF"/>
            <w:vAlign w:val="center"/>
          </w:tcPr>
          <w:p>
            <w:pPr>
              <w:ind w:left="-57" w:right="-57"/>
              <w:jc w:val="center"/>
            </w:pPr>
            <w:r>
              <w:t>% исполнения</w:t>
            </w:r>
          </w:p>
          <w:p>
            <w:pPr>
              <w:ind w:left="-57" w:right="-57"/>
              <w:jc w:val="center"/>
            </w:pPr>
            <w:r>
              <w:t>к плану 2021 г.</w:t>
            </w:r>
          </w:p>
        </w:tc>
      </w:tr>
      <w:tr>
        <w:trPr>
          <w:trHeight w:val="284"/>
        </w:trPr>
        <w:tc>
          <w:tcPr>
            <w:tcW w:w="656" w:type="dxa"/>
            <w:shd w:val="clear" w:color="auto" w:fill="FFFFFF"/>
            <w:noWrap/>
            <w:vAlign w:val="center"/>
          </w:tcPr>
          <w:p>
            <w:pPr>
              <w:jc w:val="center"/>
            </w:pPr>
          </w:p>
        </w:tc>
        <w:tc>
          <w:tcPr>
            <w:tcW w:w="4179" w:type="dxa"/>
            <w:shd w:val="clear" w:color="auto" w:fill="FFFFFF"/>
            <w:vAlign w:val="center"/>
          </w:tcPr>
          <w:p>
            <w:r>
              <w:t>УВГТ:</w:t>
            </w:r>
          </w:p>
        </w:tc>
        <w:tc>
          <w:tcPr>
            <w:tcW w:w="1559" w:type="dxa"/>
            <w:shd w:val="clear" w:color="auto" w:fill="FFFFFF"/>
          </w:tcPr>
          <w:p>
            <w:pPr>
              <w:jc w:val="right"/>
            </w:pPr>
            <w:r>
              <w:t>81 309,45</w:t>
            </w:r>
          </w:p>
        </w:tc>
        <w:tc>
          <w:tcPr>
            <w:tcW w:w="1418" w:type="dxa"/>
            <w:shd w:val="clear" w:color="auto" w:fill="FFFFFF"/>
          </w:tcPr>
          <w:p>
            <w:pPr>
              <w:jc w:val="right"/>
            </w:pPr>
            <w:r>
              <w:t>80 509,16</w:t>
            </w:r>
          </w:p>
        </w:tc>
        <w:tc>
          <w:tcPr>
            <w:tcW w:w="1559" w:type="dxa"/>
            <w:shd w:val="clear" w:color="auto" w:fill="FFFFFF"/>
          </w:tcPr>
          <w:p>
            <w:pPr>
              <w:jc w:val="right"/>
            </w:pPr>
            <w:r>
              <w:t>99,0</w:t>
            </w:r>
          </w:p>
        </w:tc>
      </w:tr>
      <w:tr>
        <w:trPr>
          <w:trHeight w:val="284"/>
        </w:trPr>
        <w:tc>
          <w:tcPr>
            <w:tcW w:w="656" w:type="dxa"/>
            <w:shd w:val="clear" w:color="auto" w:fill="FFFFFF"/>
            <w:noWrap/>
            <w:vAlign w:val="center"/>
          </w:tcPr>
          <w:p>
            <w:pPr>
              <w:jc w:val="center"/>
            </w:pPr>
            <w:r>
              <w:t>0100</w:t>
            </w:r>
          </w:p>
        </w:tc>
        <w:tc>
          <w:tcPr>
            <w:tcW w:w="4179" w:type="dxa"/>
            <w:shd w:val="clear" w:color="auto" w:fill="FFFFFF"/>
            <w:vAlign w:val="center"/>
          </w:tcPr>
          <w:p>
            <w:r>
              <w:t>Общегосударственные вопросы</w:t>
            </w:r>
          </w:p>
        </w:tc>
        <w:tc>
          <w:tcPr>
            <w:tcW w:w="1559" w:type="dxa"/>
            <w:shd w:val="clear" w:color="auto" w:fill="FFFFFF"/>
            <w:vAlign w:val="center"/>
          </w:tcPr>
          <w:p>
            <w:pPr>
              <w:jc w:val="right"/>
            </w:pPr>
            <w:r>
              <w:t>14 100,90</w:t>
            </w:r>
          </w:p>
        </w:tc>
        <w:tc>
          <w:tcPr>
            <w:tcW w:w="1418" w:type="dxa"/>
            <w:shd w:val="clear" w:color="auto" w:fill="FFFFFF"/>
            <w:vAlign w:val="center"/>
          </w:tcPr>
          <w:p>
            <w:pPr>
              <w:jc w:val="right"/>
            </w:pPr>
            <w:r>
              <w:t>13 456,42</w:t>
            </w:r>
          </w:p>
        </w:tc>
        <w:tc>
          <w:tcPr>
            <w:tcW w:w="1559" w:type="dxa"/>
            <w:shd w:val="clear" w:color="auto" w:fill="FFFFFF"/>
            <w:vAlign w:val="center"/>
          </w:tcPr>
          <w:p>
            <w:pPr>
              <w:jc w:val="right"/>
            </w:pPr>
            <w:r>
              <w:t>95,4</w:t>
            </w:r>
          </w:p>
        </w:tc>
      </w:tr>
      <w:tr>
        <w:trPr>
          <w:trHeight w:val="284"/>
        </w:trPr>
        <w:tc>
          <w:tcPr>
            <w:tcW w:w="656" w:type="dxa"/>
            <w:shd w:val="clear" w:color="auto" w:fill="FFFFFF"/>
            <w:noWrap/>
            <w:vAlign w:val="center"/>
          </w:tcPr>
          <w:p>
            <w:pPr>
              <w:jc w:val="center"/>
            </w:pPr>
            <w:r>
              <w:t>0300</w:t>
            </w:r>
          </w:p>
        </w:tc>
        <w:tc>
          <w:tcPr>
            <w:tcW w:w="4179" w:type="dxa"/>
            <w:shd w:val="clear" w:color="auto" w:fill="FFFFFF"/>
            <w:vAlign w:val="center"/>
          </w:tcPr>
          <w:p>
            <w:r>
              <w:t>Национальная безопасность и правоохранительная деятельность</w:t>
            </w:r>
          </w:p>
        </w:tc>
        <w:tc>
          <w:tcPr>
            <w:tcW w:w="1559" w:type="dxa"/>
            <w:shd w:val="clear" w:color="auto" w:fill="FFFFFF"/>
            <w:vAlign w:val="center"/>
          </w:tcPr>
          <w:p>
            <w:pPr>
              <w:jc w:val="right"/>
            </w:pPr>
            <w:r>
              <w:t>86,90</w:t>
            </w:r>
          </w:p>
        </w:tc>
        <w:tc>
          <w:tcPr>
            <w:tcW w:w="1418" w:type="dxa"/>
            <w:shd w:val="clear" w:color="auto" w:fill="FFFFFF"/>
            <w:vAlign w:val="center"/>
          </w:tcPr>
          <w:p>
            <w:pPr>
              <w:jc w:val="right"/>
            </w:pPr>
            <w:r>
              <w:t>86,78</w:t>
            </w:r>
          </w:p>
        </w:tc>
        <w:tc>
          <w:tcPr>
            <w:tcW w:w="1559" w:type="dxa"/>
            <w:shd w:val="clear" w:color="auto" w:fill="FFFFFF"/>
            <w:vAlign w:val="center"/>
          </w:tcPr>
          <w:p>
            <w:pPr>
              <w:jc w:val="right"/>
            </w:pPr>
            <w:r>
              <w:t>99,9</w:t>
            </w:r>
          </w:p>
        </w:tc>
      </w:tr>
      <w:tr>
        <w:trPr>
          <w:trHeight w:val="284"/>
        </w:trPr>
        <w:tc>
          <w:tcPr>
            <w:tcW w:w="656" w:type="dxa"/>
            <w:shd w:val="clear" w:color="auto" w:fill="FFFFFF"/>
            <w:noWrap/>
            <w:vAlign w:val="center"/>
          </w:tcPr>
          <w:p>
            <w:pPr>
              <w:jc w:val="center"/>
            </w:pPr>
            <w:r>
              <w:t>0400</w:t>
            </w:r>
          </w:p>
        </w:tc>
        <w:tc>
          <w:tcPr>
            <w:tcW w:w="4179" w:type="dxa"/>
            <w:shd w:val="clear" w:color="auto" w:fill="FFFFFF"/>
            <w:vAlign w:val="center"/>
          </w:tcPr>
          <w:p>
            <w:r>
              <w:t>Национальная экономика</w:t>
            </w:r>
          </w:p>
        </w:tc>
        <w:tc>
          <w:tcPr>
            <w:tcW w:w="1559" w:type="dxa"/>
            <w:shd w:val="clear" w:color="auto" w:fill="FFFFFF"/>
            <w:vAlign w:val="center"/>
          </w:tcPr>
          <w:p>
            <w:pPr>
              <w:jc w:val="right"/>
            </w:pPr>
            <w:r>
              <w:t>15 862,38</w:t>
            </w:r>
          </w:p>
        </w:tc>
        <w:tc>
          <w:tcPr>
            <w:tcW w:w="1418" w:type="dxa"/>
            <w:shd w:val="clear" w:color="auto" w:fill="FFFFFF"/>
            <w:vAlign w:val="center"/>
          </w:tcPr>
          <w:p>
            <w:pPr>
              <w:jc w:val="right"/>
            </w:pPr>
            <w:r>
              <w:t>15 859,76</w:t>
            </w:r>
          </w:p>
        </w:tc>
        <w:tc>
          <w:tcPr>
            <w:tcW w:w="1559" w:type="dxa"/>
            <w:shd w:val="clear" w:color="auto" w:fill="FFFFFF"/>
            <w:vAlign w:val="center"/>
          </w:tcPr>
          <w:p>
            <w:pPr>
              <w:jc w:val="right"/>
            </w:pPr>
            <w:r>
              <w:t>100,0</w:t>
            </w:r>
          </w:p>
        </w:tc>
      </w:tr>
      <w:tr>
        <w:trPr>
          <w:trHeight w:val="284"/>
        </w:trPr>
        <w:tc>
          <w:tcPr>
            <w:tcW w:w="656" w:type="dxa"/>
            <w:shd w:val="clear" w:color="auto" w:fill="FFFFFF"/>
            <w:noWrap/>
            <w:vAlign w:val="center"/>
          </w:tcPr>
          <w:p>
            <w:pPr>
              <w:jc w:val="center"/>
            </w:pPr>
            <w:r>
              <w:t>0500</w:t>
            </w:r>
          </w:p>
        </w:tc>
        <w:tc>
          <w:tcPr>
            <w:tcW w:w="4179" w:type="dxa"/>
            <w:shd w:val="clear" w:color="auto" w:fill="FFFFFF"/>
            <w:vAlign w:val="center"/>
          </w:tcPr>
          <w:p>
            <w:r>
              <w:t>Жилищно-коммунальное хозяйство</w:t>
            </w:r>
          </w:p>
        </w:tc>
        <w:tc>
          <w:tcPr>
            <w:tcW w:w="1559" w:type="dxa"/>
            <w:shd w:val="clear" w:color="auto" w:fill="FFFFFF"/>
            <w:vAlign w:val="center"/>
          </w:tcPr>
          <w:p>
            <w:pPr>
              <w:jc w:val="right"/>
            </w:pPr>
            <w:r>
              <w:t>51 259,27</w:t>
            </w:r>
          </w:p>
        </w:tc>
        <w:tc>
          <w:tcPr>
            <w:tcW w:w="1418" w:type="dxa"/>
            <w:shd w:val="clear" w:color="auto" w:fill="FFFFFF"/>
            <w:vAlign w:val="center"/>
          </w:tcPr>
          <w:p>
            <w:pPr>
              <w:jc w:val="right"/>
            </w:pPr>
            <w:r>
              <w:t>51 106,20</w:t>
            </w:r>
          </w:p>
        </w:tc>
        <w:tc>
          <w:tcPr>
            <w:tcW w:w="1559" w:type="dxa"/>
            <w:shd w:val="clear" w:color="auto" w:fill="FFFFFF"/>
            <w:vAlign w:val="center"/>
          </w:tcPr>
          <w:p>
            <w:pPr>
              <w:jc w:val="right"/>
            </w:pPr>
            <w:r>
              <w:t>99,7</w:t>
            </w:r>
          </w:p>
        </w:tc>
      </w:tr>
    </w:tbl>
    <w:p>
      <w:pPr>
        <w:rPr>
          <w:highlight w:val="yellow"/>
        </w:rPr>
      </w:pPr>
    </w:p>
    <w:p>
      <w:pPr>
        <w:spacing w:after="120"/>
        <w:rPr>
          <w:b/>
          <w:sz w:val="16"/>
          <w:szCs w:val="16"/>
          <w:highlight w:val="yellow"/>
        </w:rPr>
      </w:pPr>
    </w:p>
    <w:p>
      <w:pPr>
        <w:spacing w:after="120"/>
        <w:jc w:val="center"/>
        <w:rPr>
          <w:b/>
          <w:sz w:val="24"/>
          <w:szCs w:val="24"/>
        </w:rPr>
      </w:pPr>
      <w:r>
        <w:rPr>
          <w:b/>
          <w:sz w:val="24"/>
          <w:szCs w:val="24"/>
          <w:lang w:val="en-US"/>
        </w:rPr>
        <w:t>V</w:t>
      </w:r>
      <w:r>
        <w:rPr>
          <w:b/>
          <w:sz w:val="24"/>
          <w:szCs w:val="24"/>
        </w:rPr>
        <w:t>. БАЛАНС БЮДЖЕТА ЗАТО СЕВЕРСК</w:t>
      </w:r>
    </w:p>
    <w:p>
      <w:pPr>
        <w:spacing w:after="120"/>
        <w:jc w:val="center"/>
        <w:rPr>
          <w:b/>
          <w:sz w:val="24"/>
          <w:szCs w:val="24"/>
        </w:rPr>
      </w:pPr>
      <w:r>
        <w:rPr>
          <w:b/>
          <w:sz w:val="24"/>
          <w:szCs w:val="24"/>
        </w:rPr>
        <w:t>5.1. Дефицит бюджета ЗАТО Северск</w:t>
      </w:r>
    </w:p>
    <w:p>
      <w:pPr>
        <w:autoSpaceDE w:val="0"/>
        <w:autoSpaceDN w:val="0"/>
        <w:adjustRightInd w:val="0"/>
        <w:ind w:firstLine="709"/>
        <w:jc w:val="both"/>
        <w:rPr>
          <w:sz w:val="24"/>
          <w:szCs w:val="24"/>
        </w:rPr>
      </w:pPr>
      <w:r>
        <w:rPr>
          <w:sz w:val="24"/>
          <w:szCs w:val="24"/>
        </w:rPr>
        <w:t>При первоначально утвержденном</w:t>
      </w:r>
      <w:r>
        <w:rPr>
          <w:rFonts w:eastAsia="Calibri" w:cs="Times New Roman CYR"/>
          <w:sz w:val="24"/>
          <w:szCs w:val="24"/>
        </w:rPr>
        <w:t xml:space="preserve"> решением Думы ЗАТО Северск                  10.12.2020 № 5/1 бюджете ЗАТО Северск дефицит составлял 48 508,51 тыс.руб. или 5,5% от </w:t>
      </w:r>
      <w:r>
        <w:rPr>
          <w:sz w:val="24"/>
          <w:szCs w:val="24"/>
        </w:rPr>
        <w:t>утвержденного общего годового объема налоговых и неналоговых доходов без учета поступлений НДФЛ по дополнительным нормативам отчислений.</w:t>
      </w:r>
    </w:p>
    <w:p>
      <w:pPr>
        <w:ind w:firstLine="709"/>
        <w:jc w:val="both"/>
        <w:rPr>
          <w:sz w:val="24"/>
          <w:szCs w:val="24"/>
          <w:shd w:val="clear" w:color="auto" w:fill="FFFFFF"/>
        </w:rPr>
      </w:pPr>
      <w:r>
        <w:rPr>
          <w:rFonts w:eastAsia="Calibri" w:cs="Times New Roman CYR"/>
          <w:sz w:val="24"/>
          <w:szCs w:val="24"/>
        </w:rPr>
        <w:t xml:space="preserve">В течение года  в условиях пандемии, а также  </w:t>
      </w:r>
      <w:r>
        <w:rPr>
          <w:sz w:val="24"/>
          <w:szCs w:val="24"/>
        </w:rPr>
        <w:t>необходимостью обеспечения расходных обязательств по повышению на 5% оплаты труда работников муниципальной бюджетной сферы, исчисление заработной платы которых осуществляется от минимального размера оплаты труда в связи с его индексацией, согласно Федеральному закону от 29.12.2020 № 473-ФЗ (частичная компенсация из областного бюджета была предусмотрена областным законом лишь в августе 2021 года и составила всего 35 %), погашением задолженности в сумме 16,9 млн руб. за ремонт дворовых территорий ЗАТО Северск, выполненных в 2020 год по обязательствам областного бюджета</w:t>
      </w:r>
      <w:r>
        <w:rPr>
          <w:rFonts w:eastAsia="Calibri" w:cs="Times New Roman CYR"/>
          <w:sz w:val="24"/>
          <w:szCs w:val="24"/>
        </w:rPr>
        <w:t xml:space="preserve">,  объем дефицита был увеличен в пределах допустимого 10%-го размера.  Кроме того, в соответствии с нормами п.3 ст.92.1 Бюджетного кодекса Российской Федерации дефицит бюджета был увеличен на сумму остатков (47 426,40 тыс.руб.), сформированных на едином счете бюджета по состоянию на 01.01.2021. </w:t>
      </w:r>
    </w:p>
    <w:p>
      <w:pPr>
        <w:pStyle w:val="20"/>
        <w:ind w:firstLine="567"/>
        <w:rPr>
          <w:rFonts w:eastAsia="Calibri" w:cs="Times New Roman CYR"/>
          <w:szCs w:val="24"/>
          <w:highlight w:val="yellow"/>
          <w:lang w:val="ru-RU"/>
        </w:rPr>
      </w:pPr>
    </w:p>
    <w:p>
      <w:pPr>
        <w:pStyle w:val="20"/>
        <w:ind w:firstLine="567"/>
        <w:rPr>
          <w:rFonts w:eastAsia="Calibri" w:cs="Times New Roman CYR"/>
          <w:sz w:val="16"/>
          <w:szCs w:val="16"/>
          <w:highlight w:val="yellow"/>
        </w:rPr>
      </w:pPr>
    </w:p>
    <w:p>
      <w:pPr>
        <w:pStyle w:val="20"/>
        <w:ind w:firstLine="567"/>
        <w:rPr>
          <w:rFonts w:eastAsia="Calibri" w:cs="Times New Roman CYR"/>
          <w:sz w:val="16"/>
          <w:szCs w:val="16"/>
          <w:highlight w:val="yellow"/>
        </w:rPr>
      </w:pPr>
    </w:p>
    <w:p>
      <w:pPr>
        <w:pStyle w:val="20"/>
        <w:ind w:firstLine="567"/>
        <w:rPr>
          <w:rFonts w:eastAsia="Calibri" w:cs="Times New Roman CYR"/>
          <w:sz w:val="16"/>
          <w:szCs w:val="16"/>
          <w:highlight w:val="yellow"/>
        </w:rPr>
      </w:pPr>
    </w:p>
    <w:p>
      <w:pPr>
        <w:pStyle w:val="20"/>
        <w:ind w:firstLine="567"/>
        <w:rPr>
          <w:rFonts w:eastAsia="Calibri" w:cs="Times New Roman CYR"/>
          <w:sz w:val="16"/>
          <w:szCs w:val="16"/>
          <w:highlight w:val="yellow"/>
        </w:rPr>
      </w:pPr>
    </w:p>
    <w:p>
      <w:pPr>
        <w:pStyle w:val="20"/>
        <w:ind w:firstLine="567"/>
        <w:rPr>
          <w:rFonts w:eastAsia="Calibri" w:cs="Times New Roman CYR"/>
          <w:szCs w:val="24"/>
        </w:rPr>
      </w:pPr>
      <w:r>
        <w:rPr>
          <w:rFonts w:eastAsia="Calibri" w:cs="Times New Roman CYR"/>
          <w:szCs w:val="24"/>
        </w:rPr>
        <w:lastRenderedPageBreak/>
        <w:t>Таблица 61. Анализ дефицита бюджета ЗАТО Северск</w:t>
      </w:r>
    </w:p>
    <w:p>
      <w:pPr>
        <w:pStyle w:val="20"/>
        <w:ind w:firstLine="567"/>
        <w:rPr>
          <w:rFonts w:eastAsia="Calibri" w:cs="Times New Roman CYR"/>
          <w:sz w:val="16"/>
          <w:szCs w:val="16"/>
          <w:highlight w:val="yellow"/>
        </w:rPr>
      </w:pPr>
    </w:p>
    <w:tbl>
      <w:tblPr>
        <w:tblW w:w="94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701"/>
        <w:gridCol w:w="1417"/>
        <w:gridCol w:w="1418"/>
        <w:gridCol w:w="1559"/>
        <w:gridCol w:w="1417"/>
      </w:tblGrid>
      <w:tr>
        <w:tc>
          <w:tcPr>
            <w:tcW w:w="1985" w:type="dxa"/>
            <w:vAlign w:val="center"/>
          </w:tcPr>
          <w:p>
            <w:pPr>
              <w:jc w:val="center"/>
              <w:rPr>
                <w:spacing w:val="-4"/>
              </w:rPr>
            </w:pPr>
            <w:r>
              <w:rPr>
                <w:spacing w:val="-4"/>
              </w:rPr>
              <w:t>Наименование</w:t>
            </w:r>
          </w:p>
        </w:tc>
        <w:tc>
          <w:tcPr>
            <w:tcW w:w="1701" w:type="dxa"/>
            <w:vAlign w:val="center"/>
          </w:tcPr>
          <w:p>
            <w:pPr>
              <w:jc w:val="center"/>
              <w:rPr>
                <w:spacing w:val="-4"/>
              </w:rPr>
            </w:pPr>
            <w:r>
              <w:rPr>
                <w:spacing w:val="-4"/>
              </w:rPr>
              <w:t>Первоначальный план, тыс.руб.</w:t>
            </w:r>
          </w:p>
        </w:tc>
        <w:tc>
          <w:tcPr>
            <w:tcW w:w="1417" w:type="dxa"/>
            <w:vAlign w:val="center"/>
          </w:tcPr>
          <w:p>
            <w:pPr>
              <w:jc w:val="center"/>
              <w:rPr>
                <w:spacing w:val="-4"/>
              </w:rPr>
            </w:pPr>
            <w:r>
              <w:rPr>
                <w:spacing w:val="-4"/>
              </w:rPr>
              <w:t>Уточненный план, тыс.руб.</w:t>
            </w:r>
          </w:p>
        </w:tc>
        <w:tc>
          <w:tcPr>
            <w:tcW w:w="1418" w:type="dxa"/>
            <w:vAlign w:val="center"/>
          </w:tcPr>
          <w:p>
            <w:pPr>
              <w:jc w:val="center"/>
              <w:rPr>
                <w:spacing w:val="-4"/>
              </w:rPr>
            </w:pPr>
            <w:r>
              <w:rPr>
                <w:spacing w:val="-4"/>
              </w:rPr>
              <w:t>Отклонение, тыс.руб.</w:t>
            </w:r>
          </w:p>
        </w:tc>
        <w:tc>
          <w:tcPr>
            <w:tcW w:w="1559" w:type="dxa"/>
            <w:vAlign w:val="center"/>
          </w:tcPr>
          <w:p>
            <w:pPr>
              <w:jc w:val="center"/>
              <w:rPr>
                <w:spacing w:val="-4"/>
              </w:rPr>
            </w:pPr>
            <w:r>
              <w:rPr>
                <w:spacing w:val="-4"/>
              </w:rPr>
              <w:t>Исполнено, тыс.руб.</w:t>
            </w:r>
          </w:p>
        </w:tc>
        <w:tc>
          <w:tcPr>
            <w:tcW w:w="1417" w:type="dxa"/>
            <w:vAlign w:val="center"/>
          </w:tcPr>
          <w:p>
            <w:pPr>
              <w:jc w:val="center"/>
              <w:rPr>
                <w:spacing w:val="-4"/>
              </w:rPr>
            </w:pPr>
            <w:r>
              <w:rPr>
                <w:spacing w:val="-4"/>
              </w:rPr>
              <w:t>Отклонение, тыс.руб.</w:t>
            </w:r>
          </w:p>
        </w:tc>
      </w:tr>
      <w:tr>
        <w:tc>
          <w:tcPr>
            <w:tcW w:w="1985" w:type="dxa"/>
          </w:tcPr>
          <w:p>
            <w:pPr>
              <w:jc w:val="center"/>
              <w:rPr>
                <w:spacing w:val="-4"/>
              </w:rPr>
            </w:pPr>
            <w:r>
              <w:rPr>
                <w:spacing w:val="-4"/>
              </w:rPr>
              <w:t>1</w:t>
            </w:r>
          </w:p>
        </w:tc>
        <w:tc>
          <w:tcPr>
            <w:tcW w:w="1701" w:type="dxa"/>
            <w:vAlign w:val="center"/>
          </w:tcPr>
          <w:p>
            <w:pPr>
              <w:jc w:val="center"/>
            </w:pPr>
            <w:r>
              <w:t>2</w:t>
            </w:r>
          </w:p>
        </w:tc>
        <w:tc>
          <w:tcPr>
            <w:tcW w:w="1417" w:type="dxa"/>
            <w:vAlign w:val="center"/>
          </w:tcPr>
          <w:p>
            <w:pPr>
              <w:jc w:val="center"/>
            </w:pPr>
            <w:r>
              <w:t>3</w:t>
            </w:r>
          </w:p>
        </w:tc>
        <w:tc>
          <w:tcPr>
            <w:tcW w:w="1418" w:type="dxa"/>
            <w:vAlign w:val="center"/>
          </w:tcPr>
          <w:p>
            <w:pPr>
              <w:jc w:val="center"/>
              <w:rPr>
                <w:spacing w:val="-4"/>
              </w:rPr>
            </w:pPr>
            <w:r>
              <w:rPr>
                <w:spacing w:val="-4"/>
              </w:rPr>
              <w:t>4=3-2</w:t>
            </w:r>
          </w:p>
        </w:tc>
        <w:tc>
          <w:tcPr>
            <w:tcW w:w="1559" w:type="dxa"/>
            <w:vAlign w:val="center"/>
          </w:tcPr>
          <w:p>
            <w:pPr>
              <w:jc w:val="center"/>
              <w:rPr>
                <w:spacing w:val="-4"/>
              </w:rPr>
            </w:pPr>
            <w:r>
              <w:rPr>
                <w:spacing w:val="-4"/>
              </w:rPr>
              <w:t>5</w:t>
            </w:r>
          </w:p>
        </w:tc>
        <w:tc>
          <w:tcPr>
            <w:tcW w:w="1417" w:type="dxa"/>
            <w:vAlign w:val="center"/>
          </w:tcPr>
          <w:p>
            <w:pPr>
              <w:jc w:val="center"/>
              <w:rPr>
                <w:spacing w:val="-4"/>
              </w:rPr>
            </w:pPr>
            <w:r>
              <w:rPr>
                <w:spacing w:val="-4"/>
              </w:rPr>
              <w:t>6=5-3</w:t>
            </w:r>
          </w:p>
        </w:tc>
      </w:tr>
      <w:tr>
        <w:tc>
          <w:tcPr>
            <w:tcW w:w="1985" w:type="dxa"/>
          </w:tcPr>
          <w:p>
            <w:pPr>
              <w:jc w:val="both"/>
              <w:rPr>
                <w:spacing w:val="-4"/>
              </w:rPr>
            </w:pPr>
            <w:r>
              <w:rPr>
                <w:spacing w:val="-4"/>
              </w:rPr>
              <w:t>1.Доходы</w:t>
            </w:r>
          </w:p>
        </w:tc>
        <w:tc>
          <w:tcPr>
            <w:tcW w:w="1701" w:type="dxa"/>
            <w:vAlign w:val="center"/>
          </w:tcPr>
          <w:p>
            <w:pPr>
              <w:jc w:val="right"/>
              <w:rPr>
                <w:spacing w:val="-4"/>
              </w:rPr>
            </w:pPr>
            <w:r>
              <w:t>4 103 897,51</w:t>
            </w:r>
          </w:p>
        </w:tc>
        <w:tc>
          <w:tcPr>
            <w:tcW w:w="1417" w:type="dxa"/>
            <w:vAlign w:val="center"/>
          </w:tcPr>
          <w:p>
            <w:pPr>
              <w:jc w:val="right"/>
              <w:rPr>
                <w:spacing w:val="-4"/>
              </w:rPr>
            </w:pPr>
            <w:r>
              <w:t>4 955 271,19</w:t>
            </w:r>
          </w:p>
        </w:tc>
        <w:tc>
          <w:tcPr>
            <w:tcW w:w="1418" w:type="dxa"/>
            <w:vAlign w:val="center"/>
          </w:tcPr>
          <w:p>
            <w:pPr>
              <w:jc w:val="center"/>
              <w:rPr>
                <w:spacing w:val="-4"/>
              </w:rPr>
            </w:pPr>
            <w:r>
              <w:rPr>
                <w:spacing w:val="-4"/>
              </w:rPr>
              <w:t>+ 851 373,68</w:t>
            </w:r>
          </w:p>
        </w:tc>
        <w:tc>
          <w:tcPr>
            <w:tcW w:w="1559" w:type="dxa"/>
            <w:vAlign w:val="center"/>
          </w:tcPr>
          <w:p>
            <w:pPr>
              <w:jc w:val="right"/>
              <w:rPr>
                <w:spacing w:val="-4"/>
              </w:rPr>
            </w:pPr>
            <w:r>
              <w:rPr>
                <w:spacing w:val="-4"/>
              </w:rPr>
              <w:t>4 970 007,41</w:t>
            </w:r>
          </w:p>
        </w:tc>
        <w:tc>
          <w:tcPr>
            <w:tcW w:w="1417" w:type="dxa"/>
            <w:vAlign w:val="center"/>
          </w:tcPr>
          <w:p>
            <w:pPr>
              <w:jc w:val="right"/>
              <w:rPr>
                <w:spacing w:val="-4"/>
              </w:rPr>
            </w:pPr>
            <w:r>
              <w:rPr>
                <w:spacing w:val="-4"/>
              </w:rPr>
              <w:t>+14 736,22</w:t>
            </w:r>
          </w:p>
        </w:tc>
      </w:tr>
      <w:tr>
        <w:tc>
          <w:tcPr>
            <w:tcW w:w="1985" w:type="dxa"/>
            <w:shd w:val="clear" w:color="auto" w:fill="auto"/>
          </w:tcPr>
          <w:p>
            <w:pPr>
              <w:rPr>
                <w:spacing w:val="-4"/>
              </w:rPr>
            </w:pPr>
            <w:r>
              <w:rPr>
                <w:spacing w:val="-4"/>
              </w:rPr>
              <w:t xml:space="preserve">1.1.Налоговые и неналоговые </w:t>
            </w:r>
          </w:p>
        </w:tc>
        <w:tc>
          <w:tcPr>
            <w:tcW w:w="1701" w:type="dxa"/>
            <w:shd w:val="clear" w:color="auto" w:fill="auto"/>
            <w:vAlign w:val="center"/>
          </w:tcPr>
          <w:p>
            <w:pPr>
              <w:jc w:val="right"/>
              <w:rPr>
                <w:spacing w:val="-4"/>
              </w:rPr>
            </w:pPr>
            <w:r>
              <w:t>1 111 540,51</w:t>
            </w:r>
          </w:p>
        </w:tc>
        <w:tc>
          <w:tcPr>
            <w:tcW w:w="1417" w:type="dxa"/>
            <w:shd w:val="clear" w:color="auto" w:fill="auto"/>
            <w:vAlign w:val="center"/>
          </w:tcPr>
          <w:p>
            <w:pPr>
              <w:jc w:val="right"/>
              <w:rPr>
                <w:spacing w:val="-4"/>
              </w:rPr>
            </w:pPr>
            <w:r>
              <w:t>1 213 449,47</w:t>
            </w:r>
          </w:p>
        </w:tc>
        <w:tc>
          <w:tcPr>
            <w:tcW w:w="1418" w:type="dxa"/>
            <w:vAlign w:val="center"/>
          </w:tcPr>
          <w:p>
            <w:pPr>
              <w:jc w:val="center"/>
              <w:rPr>
                <w:spacing w:val="-4"/>
              </w:rPr>
            </w:pPr>
            <w:r>
              <w:rPr>
                <w:spacing w:val="-4"/>
              </w:rPr>
              <w:t>+ 101 908,96</w:t>
            </w:r>
          </w:p>
        </w:tc>
        <w:tc>
          <w:tcPr>
            <w:tcW w:w="1559" w:type="dxa"/>
            <w:shd w:val="clear" w:color="auto" w:fill="auto"/>
            <w:vAlign w:val="center"/>
          </w:tcPr>
          <w:p>
            <w:pPr>
              <w:jc w:val="right"/>
              <w:rPr>
                <w:spacing w:val="-4"/>
              </w:rPr>
            </w:pPr>
            <w:r>
              <w:rPr>
                <w:spacing w:val="-4"/>
              </w:rPr>
              <w:t>1 236 571,40</w:t>
            </w:r>
          </w:p>
        </w:tc>
        <w:tc>
          <w:tcPr>
            <w:tcW w:w="1417" w:type="dxa"/>
            <w:shd w:val="clear" w:color="auto" w:fill="auto"/>
            <w:vAlign w:val="center"/>
          </w:tcPr>
          <w:p>
            <w:pPr>
              <w:jc w:val="right"/>
              <w:rPr>
                <w:spacing w:val="-4"/>
              </w:rPr>
            </w:pPr>
            <w:r>
              <w:rPr>
                <w:spacing w:val="-4"/>
              </w:rPr>
              <w:t>+23 121,93</w:t>
            </w:r>
          </w:p>
        </w:tc>
      </w:tr>
      <w:tr>
        <w:tc>
          <w:tcPr>
            <w:tcW w:w="1985" w:type="dxa"/>
            <w:shd w:val="clear" w:color="auto" w:fill="auto"/>
          </w:tcPr>
          <w:p>
            <w:pPr>
              <w:rPr>
                <w:spacing w:val="-4"/>
              </w:rPr>
            </w:pPr>
            <w:r>
              <w:rPr>
                <w:spacing w:val="-4"/>
              </w:rPr>
              <w:t>1.1.1.Доп. норма-тив НДФЛ</w:t>
            </w:r>
          </w:p>
        </w:tc>
        <w:tc>
          <w:tcPr>
            <w:tcW w:w="1701" w:type="dxa"/>
            <w:shd w:val="clear" w:color="auto" w:fill="auto"/>
            <w:vAlign w:val="center"/>
          </w:tcPr>
          <w:p>
            <w:pPr>
              <w:jc w:val="right"/>
            </w:pPr>
            <w:r>
              <w:t>233 959,15</w:t>
            </w:r>
          </w:p>
        </w:tc>
        <w:tc>
          <w:tcPr>
            <w:tcW w:w="1417" w:type="dxa"/>
            <w:shd w:val="clear" w:color="auto" w:fill="auto"/>
            <w:vAlign w:val="center"/>
          </w:tcPr>
          <w:p>
            <w:pPr>
              <w:jc w:val="right"/>
            </w:pPr>
            <w:r>
              <w:t>242 723,13</w:t>
            </w:r>
          </w:p>
        </w:tc>
        <w:tc>
          <w:tcPr>
            <w:tcW w:w="1418" w:type="dxa"/>
            <w:vAlign w:val="center"/>
          </w:tcPr>
          <w:p>
            <w:pPr>
              <w:jc w:val="center"/>
              <w:rPr>
                <w:spacing w:val="-4"/>
              </w:rPr>
            </w:pPr>
            <w:r>
              <w:rPr>
                <w:spacing w:val="-4"/>
              </w:rPr>
              <w:t>+ 8 763,98</w:t>
            </w:r>
          </w:p>
        </w:tc>
        <w:tc>
          <w:tcPr>
            <w:tcW w:w="1559" w:type="dxa"/>
            <w:shd w:val="clear" w:color="auto" w:fill="auto"/>
            <w:vAlign w:val="center"/>
          </w:tcPr>
          <w:p>
            <w:pPr>
              <w:jc w:val="center"/>
            </w:pPr>
            <w:r>
              <w:t>245 148,45</w:t>
            </w:r>
          </w:p>
        </w:tc>
        <w:tc>
          <w:tcPr>
            <w:tcW w:w="1417" w:type="dxa"/>
            <w:shd w:val="clear" w:color="auto" w:fill="auto"/>
            <w:vAlign w:val="center"/>
          </w:tcPr>
          <w:p>
            <w:pPr>
              <w:jc w:val="center"/>
              <w:rPr>
                <w:spacing w:val="-4"/>
              </w:rPr>
            </w:pPr>
            <w:r>
              <w:rPr>
                <w:spacing w:val="-4"/>
              </w:rPr>
              <w:t>+2 425,32</w:t>
            </w:r>
          </w:p>
        </w:tc>
      </w:tr>
      <w:tr>
        <w:tc>
          <w:tcPr>
            <w:tcW w:w="1985" w:type="dxa"/>
            <w:shd w:val="clear" w:color="auto" w:fill="auto"/>
          </w:tcPr>
          <w:p>
            <w:pPr>
              <w:rPr>
                <w:spacing w:val="-4"/>
              </w:rPr>
            </w:pPr>
            <w:r>
              <w:rPr>
                <w:spacing w:val="-4"/>
              </w:rPr>
              <w:t>2.Расходы</w:t>
            </w:r>
          </w:p>
        </w:tc>
        <w:tc>
          <w:tcPr>
            <w:tcW w:w="1701" w:type="dxa"/>
            <w:shd w:val="clear" w:color="auto" w:fill="auto"/>
            <w:vAlign w:val="center"/>
          </w:tcPr>
          <w:p>
            <w:pPr>
              <w:jc w:val="right"/>
              <w:rPr>
                <w:spacing w:val="-4"/>
              </w:rPr>
            </w:pPr>
            <w:r>
              <w:rPr>
                <w:color w:val="000000"/>
              </w:rPr>
              <w:t>4 152 406,02</w:t>
            </w:r>
          </w:p>
        </w:tc>
        <w:tc>
          <w:tcPr>
            <w:tcW w:w="1417" w:type="dxa"/>
            <w:shd w:val="clear" w:color="auto" w:fill="auto"/>
            <w:vAlign w:val="center"/>
          </w:tcPr>
          <w:p>
            <w:pPr>
              <w:jc w:val="right"/>
              <w:rPr>
                <w:spacing w:val="-4"/>
              </w:rPr>
            </w:pPr>
            <w:r>
              <w:t>5 073 350,10</w:t>
            </w:r>
          </w:p>
        </w:tc>
        <w:tc>
          <w:tcPr>
            <w:tcW w:w="1418" w:type="dxa"/>
            <w:vAlign w:val="center"/>
          </w:tcPr>
          <w:p>
            <w:pPr>
              <w:jc w:val="center"/>
              <w:rPr>
                <w:spacing w:val="-4"/>
              </w:rPr>
            </w:pPr>
            <w:r>
              <w:rPr>
                <w:spacing w:val="-4"/>
              </w:rPr>
              <w:t>+920 944,08</w:t>
            </w:r>
          </w:p>
        </w:tc>
        <w:tc>
          <w:tcPr>
            <w:tcW w:w="1559" w:type="dxa"/>
            <w:shd w:val="clear" w:color="auto" w:fill="auto"/>
            <w:vAlign w:val="center"/>
          </w:tcPr>
          <w:p>
            <w:pPr>
              <w:jc w:val="right"/>
              <w:rPr>
                <w:spacing w:val="-4"/>
              </w:rPr>
            </w:pPr>
            <w:r>
              <w:t>5 025 604,81</w:t>
            </w:r>
          </w:p>
        </w:tc>
        <w:tc>
          <w:tcPr>
            <w:tcW w:w="1417" w:type="dxa"/>
            <w:shd w:val="clear" w:color="auto" w:fill="auto"/>
            <w:vAlign w:val="center"/>
          </w:tcPr>
          <w:p>
            <w:pPr>
              <w:jc w:val="right"/>
              <w:rPr>
                <w:spacing w:val="-4"/>
              </w:rPr>
            </w:pPr>
            <w:r>
              <w:rPr>
                <w:spacing w:val="-4"/>
              </w:rPr>
              <w:t>-47 745,29</w:t>
            </w:r>
          </w:p>
        </w:tc>
      </w:tr>
      <w:tr>
        <w:tc>
          <w:tcPr>
            <w:tcW w:w="1985" w:type="dxa"/>
            <w:shd w:val="clear" w:color="auto" w:fill="auto"/>
          </w:tcPr>
          <w:p>
            <w:pPr>
              <w:rPr>
                <w:spacing w:val="-4"/>
              </w:rPr>
            </w:pPr>
            <w:r>
              <w:rPr>
                <w:spacing w:val="-4"/>
              </w:rPr>
              <w:t>3.Дефицит (-)</w:t>
            </w:r>
          </w:p>
        </w:tc>
        <w:tc>
          <w:tcPr>
            <w:tcW w:w="1701" w:type="dxa"/>
            <w:shd w:val="clear" w:color="auto" w:fill="auto"/>
            <w:vAlign w:val="center"/>
          </w:tcPr>
          <w:p>
            <w:pPr>
              <w:jc w:val="right"/>
              <w:rPr>
                <w:spacing w:val="-4"/>
              </w:rPr>
            </w:pPr>
            <w:r>
              <w:rPr>
                <w:rFonts w:eastAsia="Calibri" w:cs="Times New Roman CYR"/>
                <w:color w:val="000000"/>
              </w:rPr>
              <w:t>-48 508,51</w:t>
            </w:r>
          </w:p>
        </w:tc>
        <w:tc>
          <w:tcPr>
            <w:tcW w:w="1417" w:type="dxa"/>
            <w:shd w:val="clear" w:color="auto" w:fill="auto"/>
            <w:vAlign w:val="center"/>
          </w:tcPr>
          <w:p>
            <w:pPr>
              <w:jc w:val="right"/>
              <w:rPr>
                <w:spacing w:val="-4"/>
              </w:rPr>
            </w:pPr>
            <w:r>
              <w:t>-118 078,91</w:t>
            </w:r>
          </w:p>
        </w:tc>
        <w:tc>
          <w:tcPr>
            <w:tcW w:w="1418" w:type="dxa"/>
            <w:vAlign w:val="center"/>
          </w:tcPr>
          <w:p>
            <w:pPr>
              <w:jc w:val="center"/>
              <w:rPr>
                <w:spacing w:val="-4"/>
              </w:rPr>
            </w:pPr>
            <w:r>
              <w:rPr>
                <w:spacing w:val="-4"/>
              </w:rPr>
              <w:t>- 69 570,40</w:t>
            </w:r>
          </w:p>
        </w:tc>
        <w:tc>
          <w:tcPr>
            <w:tcW w:w="1559" w:type="dxa"/>
            <w:shd w:val="clear" w:color="auto" w:fill="auto"/>
            <w:vAlign w:val="center"/>
          </w:tcPr>
          <w:p>
            <w:pPr>
              <w:jc w:val="right"/>
              <w:rPr>
                <w:spacing w:val="-4"/>
              </w:rPr>
            </w:pPr>
            <w:r>
              <w:t>-55 597,40</w:t>
            </w:r>
          </w:p>
        </w:tc>
        <w:tc>
          <w:tcPr>
            <w:tcW w:w="1417" w:type="dxa"/>
            <w:shd w:val="clear" w:color="auto" w:fill="auto"/>
            <w:vAlign w:val="center"/>
          </w:tcPr>
          <w:p>
            <w:pPr>
              <w:jc w:val="right"/>
              <w:rPr>
                <w:spacing w:val="-4"/>
              </w:rPr>
            </w:pPr>
            <w:r>
              <w:rPr>
                <w:spacing w:val="-4"/>
              </w:rPr>
              <w:t>+62 481,51</w:t>
            </w:r>
          </w:p>
        </w:tc>
      </w:tr>
      <w:tr>
        <w:tc>
          <w:tcPr>
            <w:tcW w:w="1985" w:type="dxa"/>
            <w:shd w:val="clear" w:color="auto" w:fill="auto"/>
          </w:tcPr>
          <w:p>
            <w:pPr>
              <w:rPr>
                <w:spacing w:val="-4"/>
              </w:rPr>
            </w:pPr>
            <w:r>
              <w:rPr>
                <w:spacing w:val="-4"/>
              </w:rPr>
              <w:t>4. Размер дефицита (стр.3/(стр.1.1-стр.1.1.1))</w:t>
            </w:r>
          </w:p>
        </w:tc>
        <w:tc>
          <w:tcPr>
            <w:tcW w:w="1701" w:type="dxa"/>
            <w:shd w:val="clear" w:color="auto" w:fill="auto"/>
            <w:vAlign w:val="center"/>
          </w:tcPr>
          <w:p>
            <w:pPr>
              <w:jc w:val="center"/>
              <w:rPr>
                <w:spacing w:val="-4"/>
              </w:rPr>
            </w:pPr>
            <w:r>
              <w:rPr>
                <w:spacing w:val="-4"/>
              </w:rPr>
              <w:t>5,5%</w:t>
            </w:r>
          </w:p>
        </w:tc>
        <w:tc>
          <w:tcPr>
            <w:tcW w:w="1417" w:type="dxa"/>
            <w:shd w:val="clear" w:color="auto" w:fill="auto"/>
            <w:vAlign w:val="center"/>
          </w:tcPr>
          <w:p>
            <w:pPr>
              <w:jc w:val="center"/>
              <w:rPr>
                <w:vertAlign w:val="superscript"/>
              </w:rPr>
            </w:pPr>
            <w:r>
              <w:t>12,2%</w:t>
            </w:r>
            <w:r>
              <w:rPr>
                <w:vertAlign w:val="superscript"/>
              </w:rPr>
              <w:t>1</w:t>
            </w:r>
          </w:p>
        </w:tc>
        <w:tc>
          <w:tcPr>
            <w:tcW w:w="1418" w:type="dxa"/>
            <w:vAlign w:val="center"/>
          </w:tcPr>
          <w:p>
            <w:pPr>
              <w:jc w:val="center"/>
              <w:rPr>
                <w:spacing w:val="-4"/>
              </w:rPr>
            </w:pPr>
          </w:p>
        </w:tc>
        <w:tc>
          <w:tcPr>
            <w:tcW w:w="1559" w:type="dxa"/>
            <w:shd w:val="clear" w:color="auto" w:fill="auto"/>
            <w:vAlign w:val="center"/>
          </w:tcPr>
          <w:p>
            <w:pPr>
              <w:jc w:val="center"/>
            </w:pPr>
            <w:r>
              <w:rPr>
                <w:spacing w:val="-4"/>
              </w:rPr>
              <w:t>5,6%</w:t>
            </w:r>
          </w:p>
        </w:tc>
        <w:tc>
          <w:tcPr>
            <w:tcW w:w="1417" w:type="dxa"/>
            <w:shd w:val="clear" w:color="auto" w:fill="auto"/>
            <w:vAlign w:val="center"/>
          </w:tcPr>
          <w:p>
            <w:pPr>
              <w:jc w:val="center"/>
              <w:rPr>
                <w:spacing w:val="-4"/>
              </w:rPr>
            </w:pPr>
          </w:p>
        </w:tc>
      </w:tr>
    </w:tbl>
    <w:p>
      <w:pPr>
        <w:ind w:firstLine="709"/>
        <w:jc w:val="both"/>
        <w:rPr>
          <w:sz w:val="24"/>
          <w:szCs w:val="24"/>
        </w:rPr>
      </w:pPr>
      <w:r>
        <w:rPr>
          <w:sz w:val="24"/>
          <w:szCs w:val="24"/>
        </w:rPr>
        <w:t>При плановом дефиците в 118 078,91 тыс.руб. бюджет ЗАТО Северск в 2021 году исполнен с дефицитом в 55 597,40 тыс.руб.</w:t>
      </w:r>
    </w:p>
    <w:p>
      <w:pPr>
        <w:ind w:firstLine="709"/>
        <w:jc w:val="both"/>
        <w:rPr>
          <w:b/>
          <w:color w:val="000000"/>
          <w:sz w:val="16"/>
          <w:szCs w:val="16"/>
        </w:rPr>
      </w:pPr>
      <w:r>
        <w:rPr>
          <w:sz w:val="24"/>
          <w:szCs w:val="24"/>
        </w:rPr>
        <w:t xml:space="preserve">По состоянию на 01.01.2022 остатки средств на едином счете бюджета ЗАТО Северск составили 25 481,51 тыс.руб., в т.ч. целевые межбюджетные трансферты – 16 310,04 тыс.руб. (возвращены в областной бюджет до 27.01.2022); законтрактованные – 5 332,86 тыс.руб.; свободные к распределению – 3 838,61 тыс.руб. </w:t>
      </w:r>
    </w:p>
    <w:p>
      <w:pPr>
        <w:pStyle w:val="a5"/>
        <w:tabs>
          <w:tab w:val="left" w:pos="6946"/>
        </w:tabs>
        <w:spacing w:after="0"/>
        <w:ind w:firstLine="567"/>
        <w:jc w:val="center"/>
        <w:rPr>
          <w:b/>
          <w:color w:val="000000"/>
          <w:sz w:val="16"/>
          <w:szCs w:val="16"/>
          <w:highlight w:val="yellow"/>
        </w:rPr>
      </w:pPr>
    </w:p>
    <w:p>
      <w:pPr>
        <w:pStyle w:val="a5"/>
        <w:tabs>
          <w:tab w:val="left" w:pos="6946"/>
        </w:tabs>
        <w:spacing w:after="0"/>
        <w:ind w:firstLine="567"/>
        <w:jc w:val="center"/>
        <w:rPr>
          <w:b/>
          <w:color w:val="000000"/>
          <w:sz w:val="24"/>
          <w:szCs w:val="24"/>
        </w:rPr>
      </w:pPr>
      <w:r>
        <w:rPr>
          <w:b/>
          <w:color w:val="000000"/>
          <w:sz w:val="24"/>
          <w:szCs w:val="24"/>
        </w:rPr>
        <w:t>5.2. Муниципальный долг</w:t>
      </w:r>
    </w:p>
    <w:p>
      <w:pPr>
        <w:pStyle w:val="20"/>
        <w:ind w:firstLine="709"/>
        <w:rPr>
          <w:spacing w:val="-4"/>
          <w:sz w:val="16"/>
          <w:szCs w:val="16"/>
        </w:rPr>
      </w:pPr>
    </w:p>
    <w:p>
      <w:pPr>
        <w:pStyle w:val="20"/>
        <w:ind w:firstLine="709"/>
        <w:rPr>
          <w:spacing w:val="-4"/>
          <w:szCs w:val="24"/>
        </w:rPr>
      </w:pPr>
      <w:r>
        <w:rPr>
          <w:spacing w:val="-4"/>
          <w:szCs w:val="24"/>
        </w:rPr>
        <w:t>Муниципальный долг на 01.01.202</w:t>
      </w:r>
      <w:r>
        <w:rPr>
          <w:spacing w:val="-4"/>
          <w:szCs w:val="24"/>
          <w:lang w:val="ru-RU"/>
        </w:rPr>
        <w:t>2</w:t>
      </w:r>
      <w:r>
        <w:rPr>
          <w:spacing w:val="-4"/>
          <w:szCs w:val="24"/>
        </w:rPr>
        <w:t xml:space="preserve"> составил </w:t>
      </w:r>
      <w:r>
        <w:rPr>
          <w:spacing w:val="-4"/>
          <w:szCs w:val="24"/>
          <w:lang w:val="ru-RU"/>
        </w:rPr>
        <w:t>283 226,09 т</w:t>
      </w:r>
      <w:r>
        <w:rPr>
          <w:spacing w:val="-4"/>
          <w:szCs w:val="24"/>
        </w:rPr>
        <w:t>ыс. руб.;  к уровню начала 202</w:t>
      </w:r>
      <w:r>
        <w:rPr>
          <w:spacing w:val="-4"/>
          <w:szCs w:val="24"/>
          <w:lang w:val="ru-RU"/>
        </w:rPr>
        <w:t>1</w:t>
      </w:r>
      <w:r>
        <w:rPr>
          <w:spacing w:val="-4"/>
          <w:szCs w:val="24"/>
        </w:rPr>
        <w:t xml:space="preserve"> года увеличен на </w:t>
      </w:r>
      <w:r>
        <w:rPr>
          <w:spacing w:val="-4"/>
          <w:szCs w:val="24"/>
          <w:lang w:val="ru-RU"/>
        </w:rPr>
        <w:t>13,5</w:t>
      </w:r>
      <w:r>
        <w:rPr>
          <w:spacing w:val="-4"/>
          <w:szCs w:val="24"/>
        </w:rPr>
        <w:t xml:space="preserve">% или </w:t>
      </w:r>
      <w:r>
        <w:rPr>
          <w:spacing w:val="-4"/>
          <w:szCs w:val="24"/>
          <w:lang w:val="ru-RU"/>
        </w:rPr>
        <w:t>на 33 652,51</w:t>
      </w:r>
      <w:r>
        <w:rPr>
          <w:spacing w:val="-4"/>
          <w:szCs w:val="24"/>
        </w:rPr>
        <w:t xml:space="preserve"> тыс.руб. </w:t>
      </w:r>
    </w:p>
    <w:p>
      <w:pPr>
        <w:pStyle w:val="20"/>
        <w:ind w:firstLine="709"/>
        <w:rPr>
          <w:spacing w:val="-4"/>
          <w:szCs w:val="24"/>
        </w:rPr>
      </w:pPr>
      <w:r>
        <w:rPr>
          <w:rFonts w:eastAsia="Calibri" w:cs="Times New Roman CYR"/>
          <w:szCs w:val="24"/>
        </w:rPr>
        <w:t>По состоянию на 1 января 202</w:t>
      </w:r>
      <w:r>
        <w:rPr>
          <w:rFonts w:eastAsia="Calibri" w:cs="Times New Roman CYR"/>
          <w:szCs w:val="24"/>
          <w:lang w:val="ru-RU"/>
        </w:rPr>
        <w:t>2</w:t>
      </w:r>
      <w:r>
        <w:rPr>
          <w:rFonts w:eastAsia="Calibri" w:cs="Times New Roman CYR"/>
          <w:szCs w:val="24"/>
        </w:rPr>
        <w:t xml:space="preserve"> года </w:t>
      </w:r>
      <w:r>
        <w:rPr>
          <w:szCs w:val="24"/>
        </w:rPr>
        <w:t>в</w:t>
      </w:r>
      <w:r>
        <w:rPr>
          <w:rFonts w:eastAsia="Calibri" w:cs="Times New Roman CYR"/>
          <w:szCs w:val="24"/>
        </w:rPr>
        <w:t>ерхний предел муниципального внутреннего долга ЗАТО Северск (320 226,</w:t>
      </w:r>
      <w:r>
        <w:rPr>
          <w:rFonts w:eastAsia="Calibri" w:cs="Times New Roman CYR"/>
          <w:szCs w:val="24"/>
          <w:lang w:val="ru-RU"/>
        </w:rPr>
        <w:t>09</w:t>
      </w:r>
      <w:r>
        <w:rPr>
          <w:rFonts w:eastAsia="Calibri" w:cs="Times New Roman CYR"/>
          <w:szCs w:val="24"/>
        </w:rPr>
        <w:t xml:space="preserve"> тыс. руб.)</w:t>
      </w:r>
      <w:r>
        <w:rPr>
          <w:szCs w:val="24"/>
        </w:rPr>
        <w:t>,</w:t>
      </w:r>
      <w:r>
        <w:rPr>
          <w:rFonts w:eastAsia="Calibri" w:cs="Times New Roman CYR"/>
          <w:szCs w:val="24"/>
        </w:rPr>
        <w:t xml:space="preserve"> установленный пунктом 3 Решения Думы ЗАТО Северск от</w:t>
      </w:r>
      <w:r>
        <w:rPr>
          <w:szCs w:val="24"/>
        </w:rPr>
        <w:t xml:space="preserve"> 10.12.20</w:t>
      </w:r>
      <w:r>
        <w:rPr>
          <w:szCs w:val="24"/>
          <w:lang w:val="ru-RU"/>
        </w:rPr>
        <w:t>20</w:t>
      </w:r>
      <w:r>
        <w:rPr>
          <w:szCs w:val="24"/>
        </w:rPr>
        <w:t xml:space="preserve"> № 5/1 «О бюджете ЗАТО Северск на 2021 год и на плановый период 202</w:t>
      </w:r>
      <w:r>
        <w:rPr>
          <w:szCs w:val="24"/>
          <w:lang w:val="ru-RU"/>
        </w:rPr>
        <w:t>2</w:t>
      </w:r>
      <w:r>
        <w:rPr>
          <w:szCs w:val="24"/>
        </w:rPr>
        <w:t xml:space="preserve"> и 202</w:t>
      </w:r>
      <w:r>
        <w:rPr>
          <w:szCs w:val="24"/>
          <w:lang w:val="ru-RU"/>
        </w:rPr>
        <w:t>3</w:t>
      </w:r>
      <w:r>
        <w:rPr>
          <w:szCs w:val="24"/>
        </w:rPr>
        <w:t xml:space="preserve"> годов», </w:t>
      </w:r>
      <w:r>
        <w:rPr>
          <w:rFonts w:eastAsia="Calibri" w:cs="Times New Roman CYR"/>
          <w:szCs w:val="24"/>
        </w:rPr>
        <w:t>не превышен.</w:t>
      </w:r>
      <w:r>
        <w:rPr>
          <w:szCs w:val="24"/>
        </w:rPr>
        <w:t xml:space="preserve">  </w:t>
      </w:r>
    </w:p>
    <w:p>
      <w:pPr>
        <w:pStyle w:val="a5"/>
        <w:tabs>
          <w:tab w:val="left" w:pos="6946"/>
        </w:tabs>
        <w:spacing w:after="0"/>
        <w:ind w:firstLine="709"/>
        <w:jc w:val="both"/>
        <w:rPr>
          <w:spacing w:val="-4"/>
          <w:sz w:val="24"/>
          <w:szCs w:val="24"/>
        </w:rPr>
      </w:pPr>
      <w:r>
        <w:rPr>
          <w:spacing w:val="-4"/>
          <w:sz w:val="24"/>
          <w:szCs w:val="24"/>
        </w:rPr>
        <w:t>В отчетном году на погашение долговых обязательств бюджета ЗАТО Северск было направлено 160 065,29 тыс.руб., при плановой сумме погашения 123 065,29 тыс.руб.</w:t>
      </w:r>
    </w:p>
    <w:p>
      <w:pPr>
        <w:pStyle w:val="a5"/>
        <w:tabs>
          <w:tab w:val="left" w:pos="6946"/>
        </w:tabs>
        <w:spacing w:after="0"/>
        <w:ind w:firstLine="709"/>
        <w:jc w:val="both"/>
        <w:rPr>
          <w:spacing w:val="-4"/>
          <w:sz w:val="24"/>
          <w:szCs w:val="24"/>
        </w:rPr>
      </w:pPr>
      <w:r>
        <w:rPr>
          <w:spacing w:val="-4"/>
          <w:sz w:val="24"/>
          <w:szCs w:val="24"/>
        </w:rPr>
        <w:t>Погашение долговых обязательств осуществлялось:</w:t>
      </w:r>
    </w:p>
    <w:p>
      <w:pPr>
        <w:pStyle w:val="a5"/>
        <w:tabs>
          <w:tab w:val="left" w:pos="6946"/>
        </w:tabs>
        <w:spacing w:after="0"/>
        <w:ind w:firstLine="709"/>
        <w:jc w:val="both"/>
        <w:rPr>
          <w:spacing w:val="-4"/>
          <w:sz w:val="24"/>
          <w:szCs w:val="24"/>
        </w:rPr>
      </w:pPr>
      <w:r>
        <w:rPr>
          <w:spacing w:val="-4"/>
          <w:sz w:val="24"/>
          <w:szCs w:val="24"/>
        </w:rPr>
        <w:t>1. По кредитам  коммерческого банка</w:t>
      </w:r>
      <w:r>
        <w:rPr>
          <w:spacing w:val="-1"/>
          <w:sz w:val="24"/>
          <w:szCs w:val="24"/>
        </w:rPr>
        <w:t xml:space="preserve"> НСКБ «Левобережный», </w:t>
      </w:r>
      <w:r>
        <w:rPr>
          <w:spacing w:val="-4"/>
          <w:sz w:val="24"/>
          <w:szCs w:val="24"/>
        </w:rPr>
        <w:t>привлеченным в 2019-2020 гг.:</w:t>
      </w:r>
    </w:p>
    <w:p>
      <w:pPr>
        <w:pStyle w:val="a5"/>
        <w:tabs>
          <w:tab w:val="left" w:pos="6946"/>
        </w:tabs>
        <w:spacing w:after="0"/>
        <w:ind w:firstLine="709"/>
        <w:jc w:val="both"/>
        <w:rPr>
          <w:spacing w:val="-4"/>
          <w:sz w:val="24"/>
          <w:szCs w:val="24"/>
        </w:rPr>
      </w:pPr>
      <w:r>
        <w:rPr>
          <w:spacing w:val="-4"/>
          <w:sz w:val="24"/>
          <w:szCs w:val="24"/>
        </w:rPr>
        <w:t xml:space="preserve"> - полностью погашен основной долг по кредиту согласно </w:t>
      </w:r>
      <w:r>
        <w:rPr>
          <w:spacing w:val="-1"/>
          <w:sz w:val="24"/>
          <w:szCs w:val="24"/>
        </w:rPr>
        <w:t>муниципальному контракту от 23.09.2019</w:t>
      </w:r>
      <w:r>
        <w:rPr>
          <w:spacing w:val="-4"/>
          <w:sz w:val="24"/>
          <w:szCs w:val="24"/>
        </w:rPr>
        <w:t xml:space="preserve"> № 4 в общей сумме 82 441,93 тыс.руб.;</w:t>
      </w:r>
    </w:p>
    <w:p>
      <w:pPr>
        <w:pStyle w:val="a5"/>
        <w:tabs>
          <w:tab w:val="left" w:pos="6946"/>
        </w:tabs>
        <w:spacing w:after="0"/>
        <w:ind w:firstLine="709"/>
        <w:jc w:val="both"/>
        <w:rPr>
          <w:spacing w:val="-4"/>
          <w:sz w:val="24"/>
          <w:szCs w:val="24"/>
        </w:rPr>
      </w:pPr>
      <w:r>
        <w:rPr>
          <w:spacing w:val="-4"/>
          <w:sz w:val="24"/>
          <w:szCs w:val="24"/>
        </w:rPr>
        <w:t xml:space="preserve">- частично погашен основной долг по кредиту согласно </w:t>
      </w:r>
      <w:r>
        <w:rPr>
          <w:spacing w:val="-1"/>
          <w:sz w:val="24"/>
          <w:szCs w:val="24"/>
        </w:rPr>
        <w:t>муниципальному контракту от 18.07.2020</w:t>
      </w:r>
      <w:r>
        <w:rPr>
          <w:spacing w:val="-4"/>
          <w:sz w:val="24"/>
          <w:szCs w:val="24"/>
        </w:rPr>
        <w:t xml:space="preserve"> № 2 в общей сумме 37 000,00 тыс.руб. (29.12.2021 – 11 000,00 тыс.руб., 30.12.2021  - 26 000,00 тыс.руб.);</w:t>
      </w:r>
    </w:p>
    <w:p>
      <w:pPr>
        <w:pStyle w:val="a5"/>
        <w:tabs>
          <w:tab w:val="left" w:pos="6946"/>
        </w:tabs>
        <w:spacing w:after="0"/>
        <w:ind w:firstLine="709"/>
        <w:jc w:val="both"/>
        <w:rPr>
          <w:spacing w:val="-4"/>
          <w:sz w:val="24"/>
          <w:szCs w:val="24"/>
        </w:rPr>
      </w:pPr>
      <w:r>
        <w:rPr>
          <w:spacing w:val="-4"/>
          <w:sz w:val="24"/>
          <w:szCs w:val="24"/>
        </w:rPr>
        <w:t>2. По бюджетному кредиту из областного бюджета согласно Договору от 22.12.2020 № 121-БК на сумму 40 623,36 тыс.руб.</w:t>
      </w:r>
    </w:p>
    <w:p>
      <w:pPr>
        <w:pStyle w:val="20"/>
        <w:spacing w:before="60" w:after="60"/>
        <w:ind w:right="45" w:firstLine="709"/>
        <w:rPr>
          <w:spacing w:val="-4"/>
          <w:szCs w:val="24"/>
        </w:rPr>
      </w:pPr>
      <w:r>
        <w:rPr>
          <w:spacing w:val="-4"/>
          <w:szCs w:val="24"/>
        </w:rPr>
        <w:t>Источники сверхпланового погашения основного долга (37 000,00 тыс.руб.) - сверхплановые поступления от налоговых и неналоговых доходов и незаконтрактованные остатки по средствам местного бюджета.</w:t>
      </w:r>
    </w:p>
    <w:p>
      <w:pPr>
        <w:pStyle w:val="20"/>
        <w:spacing w:before="60" w:after="60"/>
        <w:ind w:right="45" w:firstLine="709"/>
        <w:rPr>
          <w:spacing w:val="-4"/>
          <w:szCs w:val="24"/>
        </w:rPr>
      </w:pPr>
      <w:r>
        <w:rPr>
          <w:spacing w:val="-4"/>
          <w:szCs w:val="24"/>
        </w:rPr>
        <w:t>Таблица 62. Динамика долговых обязательств 202</w:t>
      </w:r>
      <w:r>
        <w:rPr>
          <w:spacing w:val="-4"/>
          <w:szCs w:val="24"/>
          <w:lang w:val="ru-RU"/>
        </w:rPr>
        <w:t>1</w:t>
      </w:r>
      <w:r>
        <w:rPr>
          <w:spacing w:val="-4"/>
          <w:szCs w:val="24"/>
        </w:rPr>
        <w:t xml:space="preserve"> года</w:t>
      </w:r>
    </w:p>
    <w:tbl>
      <w:tblPr>
        <w:tblW w:w="95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7"/>
        <w:gridCol w:w="1559"/>
        <w:gridCol w:w="1135"/>
        <w:gridCol w:w="1559"/>
        <w:gridCol w:w="1177"/>
      </w:tblGrid>
      <w:tr>
        <w:trPr>
          <w:trHeight w:val="368"/>
        </w:trPr>
        <w:tc>
          <w:tcPr>
            <w:tcW w:w="40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Виды долговых обязательств</w:t>
            </w:r>
          </w:p>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Погашено</w:t>
            </w:r>
          </w:p>
        </w:tc>
        <w:tc>
          <w:tcPr>
            <w:tcW w:w="273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Получено</w:t>
            </w:r>
          </w:p>
        </w:tc>
      </w:tr>
      <w:tr>
        <w:trPr>
          <w:trHeight w:val="415"/>
        </w:trPr>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pPr>
              <w:rPr>
                <w:spacing w:val="-1"/>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tabs>
                <w:tab w:val="left" w:pos="1452"/>
              </w:tabs>
              <w:ind w:right="-109"/>
              <w:rPr>
                <w:spacing w:val="-1"/>
                <w:sz w:val="20"/>
                <w:lang w:val="ru-RU" w:eastAsia="ru-RU"/>
              </w:rPr>
            </w:pPr>
            <w:r>
              <w:rPr>
                <w:spacing w:val="-1"/>
                <w:sz w:val="20"/>
                <w:lang w:val="ru-RU" w:eastAsia="ru-RU"/>
              </w:rPr>
              <w:t>Сумма, тыс.руб.</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Доля,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ind w:right="-183"/>
              <w:rPr>
                <w:spacing w:val="-1"/>
                <w:sz w:val="20"/>
                <w:lang w:val="ru-RU" w:eastAsia="ru-RU"/>
              </w:rPr>
            </w:pPr>
            <w:r>
              <w:rPr>
                <w:spacing w:val="-1"/>
                <w:sz w:val="20"/>
                <w:lang w:val="ru-RU" w:eastAsia="ru-RU"/>
              </w:rPr>
              <w:t>Сумма, тыс.руб.</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Доля, %</w:t>
            </w:r>
          </w:p>
        </w:tc>
      </w:tr>
      <w:tr>
        <w:trPr>
          <w:trHeight w:val="304"/>
        </w:trPr>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left"/>
              <w:rPr>
                <w:spacing w:val="-1"/>
                <w:sz w:val="20"/>
                <w:lang w:val="ru-RU" w:eastAsia="ru-RU"/>
              </w:rPr>
            </w:pPr>
            <w:r>
              <w:rPr>
                <w:spacing w:val="-1"/>
                <w:sz w:val="20"/>
                <w:lang w:val="ru-RU" w:eastAsia="ru-RU"/>
              </w:rPr>
              <w:t>Кредиты от кредитных организаций</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119 441,93</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74,6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113 406,12</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pPr>
              <w:pStyle w:val="20"/>
              <w:jc w:val="center"/>
              <w:rPr>
                <w:spacing w:val="-1"/>
                <w:sz w:val="20"/>
                <w:lang w:val="ru-RU" w:eastAsia="ru-RU"/>
              </w:rPr>
            </w:pPr>
            <w:r>
              <w:rPr>
                <w:spacing w:val="-1"/>
                <w:sz w:val="20"/>
                <w:lang w:val="ru-RU" w:eastAsia="ru-RU"/>
              </w:rPr>
              <w:t>58,5</w:t>
            </w:r>
          </w:p>
        </w:tc>
      </w:tr>
      <w:tr>
        <w:trPr>
          <w:trHeight w:val="335"/>
        </w:trPr>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left"/>
              <w:rPr>
                <w:spacing w:val="-1"/>
                <w:sz w:val="20"/>
                <w:lang w:val="ru-RU" w:eastAsia="ru-RU"/>
              </w:rPr>
            </w:pPr>
            <w:r>
              <w:rPr>
                <w:spacing w:val="-1"/>
                <w:sz w:val="20"/>
                <w:lang w:val="ru-RU" w:eastAsia="ru-RU"/>
              </w:rPr>
              <w:t xml:space="preserve">Бюджетные кредиты от других бюджетов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40 623,36</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25,4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80 311,68</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41,5</w:t>
            </w:r>
          </w:p>
        </w:tc>
      </w:tr>
      <w:tr>
        <w:trPr>
          <w:trHeight w:val="378"/>
        </w:trPr>
        <w:tc>
          <w:tcPr>
            <w:tcW w:w="40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left"/>
              <w:rPr>
                <w:spacing w:val="-1"/>
                <w:sz w:val="20"/>
                <w:lang w:val="ru-RU" w:eastAsia="ru-RU"/>
              </w:rPr>
            </w:pPr>
            <w:r>
              <w:rPr>
                <w:spacing w:val="-1"/>
                <w:sz w:val="20"/>
                <w:lang w:val="ru-RU" w:eastAsia="ru-RU"/>
              </w:rPr>
              <w:t>Всего</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160 065,29</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pPr>
              <w:pStyle w:val="20"/>
              <w:jc w:val="center"/>
              <w:rPr>
                <w:spacing w:val="-1"/>
                <w:sz w:val="20"/>
                <w:lang w:val="ru-RU" w:eastAsia="ru-RU"/>
              </w:rPr>
            </w:pPr>
            <w:r>
              <w:rPr>
                <w:spacing w:val="-1"/>
                <w:sz w:val="20"/>
                <w:lang w:val="ru-RU" w:eastAsia="ru-RU"/>
              </w:rPr>
              <w:t>100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0"/>
                <w:lang w:val="ru-RU" w:eastAsia="ru-RU"/>
              </w:rPr>
            </w:pPr>
            <w:r>
              <w:rPr>
                <w:spacing w:val="-1"/>
                <w:sz w:val="20"/>
                <w:lang w:val="ru-RU" w:eastAsia="ru-RU"/>
              </w:rPr>
              <w:t>193 717,80</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tcPr>
          <w:p>
            <w:pPr>
              <w:pStyle w:val="20"/>
              <w:jc w:val="center"/>
              <w:rPr>
                <w:spacing w:val="-1"/>
                <w:sz w:val="20"/>
                <w:lang w:val="ru-RU" w:eastAsia="ru-RU"/>
              </w:rPr>
            </w:pPr>
            <w:r>
              <w:rPr>
                <w:spacing w:val="-1"/>
                <w:sz w:val="20"/>
                <w:lang w:val="ru-RU" w:eastAsia="ru-RU"/>
              </w:rPr>
              <w:t>100</w:t>
            </w:r>
          </w:p>
        </w:tc>
      </w:tr>
    </w:tbl>
    <w:p>
      <w:pPr>
        <w:pStyle w:val="31"/>
        <w:spacing w:before="120" w:after="60"/>
        <w:ind w:right="0"/>
        <w:rPr>
          <w:spacing w:val="-4"/>
          <w:sz w:val="16"/>
          <w:szCs w:val="16"/>
        </w:rPr>
      </w:pPr>
      <w:r>
        <w:rPr>
          <w:spacing w:val="-4"/>
          <w:sz w:val="24"/>
          <w:szCs w:val="24"/>
        </w:rPr>
        <w:t>____________________________________________________________________________</w:t>
      </w:r>
    </w:p>
    <w:p>
      <w:pPr>
        <w:pStyle w:val="31"/>
        <w:spacing w:before="120" w:after="60"/>
        <w:ind w:right="0" w:firstLine="567"/>
        <w:rPr>
          <w:spacing w:val="-4"/>
          <w:sz w:val="24"/>
          <w:szCs w:val="24"/>
        </w:rPr>
      </w:pPr>
      <w:r>
        <w:rPr>
          <w:spacing w:val="-4"/>
          <w:sz w:val="24"/>
          <w:szCs w:val="24"/>
          <w:vertAlign w:val="superscript"/>
        </w:rPr>
        <w:t xml:space="preserve">1 </w:t>
      </w:r>
      <w:r>
        <w:rPr>
          <w:sz w:val="20"/>
        </w:rPr>
        <w:t xml:space="preserve">В соответствии с п.3 ст.92.1 БК РФ допустимо превышение дефицита при направлении в качестве источников покрытия дефицита остатков средств. За вычетом остатков размер дефицита – 9%.   </w:t>
      </w:r>
    </w:p>
    <w:p>
      <w:pPr>
        <w:pStyle w:val="20"/>
        <w:ind w:firstLine="709"/>
        <w:rPr>
          <w:szCs w:val="24"/>
        </w:rPr>
      </w:pPr>
      <w:r>
        <w:rPr>
          <w:spacing w:val="-4"/>
          <w:szCs w:val="24"/>
        </w:rPr>
        <w:lastRenderedPageBreak/>
        <w:t>Для покрытия дефицита и погашения долговых обязательств в 2021 году в результате электронного аукциона осуществлены заимствования</w:t>
      </w:r>
      <w:r>
        <w:rPr>
          <w:spacing w:val="-1"/>
          <w:szCs w:val="24"/>
        </w:rPr>
        <w:t xml:space="preserve"> у коммерческого банка на сумму 113 406,12  тыс.руб. и у Департамента финансов Томской области в сумме 80 311,68 </w:t>
      </w:r>
      <w:r>
        <w:rPr>
          <w:szCs w:val="24"/>
        </w:rPr>
        <w:t>тыс.руб.</w:t>
      </w:r>
    </w:p>
    <w:p>
      <w:pPr>
        <w:pStyle w:val="20"/>
        <w:rPr>
          <w:szCs w:val="24"/>
        </w:rPr>
      </w:pPr>
      <w:r>
        <w:rPr>
          <w:noProof/>
          <w:lang w:val="ru-RU" w:eastAsia="ru-RU"/>
        </w:rPr>
        <mc:AlternateContent>
          <mc:Choice Requires="wps">
            <w:drawing>
              <wp:anchor distT="0" distB="0" distL="114300" distR="114300" simplePos="0" relativeHeight="251656192" behindDoc="0" locked="0" layoutInCell="1" allowOverlap="1">
                <wp:simplePos x="0" y="0"/>
                <wp:positionH relativeFrom="column">
                  <wp:posOffset>4554855</wp:posOffset>
                </wp:positionH>
                <wp:positionV relativeFrom="paragraph">
                  <wp:posOffset>1633855</wp:posOffset>
                </wp:positionV>
                <wp:extent cx="570865" cy="301625"/>
                <wp:effectExtent l="0" t="0" r="19685" b="22225"/>
                <wp:wrapNone/>
                <wp:docPr id="19"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865" cy="301625"/>
                        </a:xfrm>
                        <a:prstGeom prst="rect">
                          <a:avLst/>
                        </a:prstGeom>
                        <a:noFill/>
                        <a:ln w="9525" cmpd="sng">
                          <a:solidFill>
                            <a:sysClr val="window" lastClr="FFFFFF">
                              <a:shade val="50000"/>
                            </a:sysClr>
                          </a:solidFill>
                        </a:ln>
                        <a:effectLst/>
                      </wps:spPr>
                      <wps:txbx>
                        <w:txbxContent>
                          <w:p>
                            <w:pPr>
                              <w:pStyle w:val="afc"/>
                              <w:spacing w:before="0" w:beforeAutospacing="0" w:after="0" w:afterAutospacing="0"/>
                            </w:pPr>
                            <w:r>
                              <w:rPr>
                                <w:b/>
                                <w:bCs/>
                                <w:color w:val="000000"/>
                                <w:sz w:val="22"/>
                                <w:szCs w:val="22"/>
                              </w:rPr>
                              <w:t>72%</w:t>
                            </w:r>
                          </w:p>
                        </w:txbxContent>
                      </wps:txbx>
                      <wps:bodyPr wrap="square" rtlCol="0" anchor="t"/>
                    </wps:wsp>
                  </a:graphicData>
                </a:graphic>
                <wp14:sizeRelH relativeFrom="page">
                  <wp14:pctWidth>0</wp14:pctWidth>
                </wp14:sizeRelH>
                <wp14:sizeRelV relativeFrom="page">
                  <wp14:pctHeight>0</wp14:pctHeight>
                </wp14:sizeRelV>
              </wp:anchor>
            </w:drawing>
          </mc:Choice>
          <mc:Fallback>
            <w:pict>
              <v:shape id="TextBox 18" o:spid="_x0000_s1036" type="#_x0000_t202" style="position:absolute;left:0;text-align:left;margin-left:358.65pt;margin-top:128.65pt;width:44.95pt;height:2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" filled="f" strokecolor="#bcbcbc">
                <v:path arrowok="t"/>
                <v:textbox>
                  <w:txbxContent>
                    <w:p>
                      <w:pPr>
                        <w:pStyle w:val="afc"/>
                        <w:spacing w:before="0" w:beforeAutospacing="0" w:after="0" w:afterAutospacing="0"/>
                      </w:pPr>
                      <w:r>
                        <w:rPr>
                          <w:b/>
                          <w:bCs/>
                          <w:color w:val="000000"/>
                          <w:sz w:val="22"/>
                          <w:szCs w:val="22"/>
                        </w:rPr>
                        <w:t>72%</w:t>
                      </w:r>
                    </w:p>
                  </w:txbxContent>
                </v:textbox>
              </v:shape>
            </w:pict>
          </mc:Fallback>
        </mc:AlternateContent>
      </w:r>
      <w:r>
        <w:rPr>
          <w:noProof/>
          <w:lang w:val="ru-RU" w:eastAsia="ru-RU"/>
        </w:rPr>
        <mc:AlternateContent>
          <mc:Choice Requires="wps">
            <w:drawing>
              <wp:anchor distT="0" distB="0" distL="114300" distR="114300" simplePos="0" relativeHeight="251655168" behindDoc="0" locked="0" layoutInCell="1" allowOverlap="1">
                <wp:simplePos x="0" y="0"/>
                <wp:positionH relativeFrom="column">
                  <wp:posOffset>4589145</wp:posOffset>
                </wp:positionH>
                <wp:positionV relativeFrom="paragraph">
                  <wp:posOffset>600075</wp:posOffset>
                </wp:positionV>
                <wp:extent cx="563880" cy="323215"/>
                <wp:effectExtent l="0" t="0" r="26670" b="19685"/>
                <wp:wrapNone/>
                <wp:docPr id="18"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880" cy="323215"/>
                        </a:xfrm>
                        <a:prstGeom prst="rect">
                          <a:avLst/>
                        </a:prstGeom>
                        <a:noFill/>
                        <a:ln w="9525" cmpd="sng">
                          <a:solidFill>
                            <a:sysClr val="window" lastClr="FFFFFF">
                              <a:shade val="50000"/>
                            </a:sysClr>
                          </a:solidFill>
                        </a:ln>
                        <a:effectLst/>
                      </wps:spPr>
                      <wps:txbx>
                        <w:txbxContent>
                          <w:p>
                            <w:pPr>
                              <w:pStyle w:val="afc"/>
                              <w:spacing w:before="0" w:beforeAutospacing="0" w:after="0" w:afterAutospacing="0"/>
                            </w:pPr>
                            <w:r>
                              <w:rPr>
                                <w:b/>
                                <w:bCs/>
                                <w:color w:val="000000"/>
                                <w:sz w:val="22"/>
                                <w:szCs w:val="22"/>
                              </w:rPr>
                              <w:t>28%</w:t>
                            </w:r>
                          </w:p>
                        </w:txbxContent>
                      </wps:txbx>
                      <wps:bodyPr wrap="square" rtlCol="0" anchor="t"/>
                    </wps:wsp>
                  </a:graphicData>
                </a:graphic>
                <wp14:sizeRelH relativeFrom="page">
                  <wp14:pctWidth>0</wp14:pctWidth>
                </wp14:sizeRelH>
                <wp14:sizeRelV relativeFrom="page">
                  <wp14:pctHeight>0</wp14:pctHeight>
                </wp14:sizeRelV>
              </wp:anchor>
            </w:drawing>
          </mc:Choice>
          <mc:Fallback>
            <w:pict>
              <v:shape id="TextBox 17" o:spid="_x0000_s1037" type="#_x0000_t202" style="position:absolute;left:0;text-align:left;margin-left:361.35pt;margin-top:47.25pt;width:44.4pt;height:25.4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" filled="f" strokecolor="#bcbcbc">
                <v:path arrowok="t"/>
                <v:textbox>
                  <w:txbxContent>
                    <w:p>
                      <w:pPr>
                        <w:pStyle w:val="afc"/>
                        <w:spacing w:before="0" w:beforeAutospacing="0" w:after="0" w:afterAutospacing="0"/>
                      </w:pPr>
                      <w:r>
                        <w:rPr>
                          <w:b/>
                          <w:bCs/>
                          <w:color w:val="000000"/>
                          <w:sz w:val="22"/>
                          <w:szCs w:val="22"/>
                        </w:rPr>
                        <w:t>28%</w:t>
                      </w:r>
                    </w:p>
                  </w:txbxContent>
                </v:textbox>
              </v:shape>
            </w:pict>
          </mc:Fallback>
        </mc:AlternateContent>
      </w:r>
      <w:r>
        <w:rPr>
          <w:noProof/>
          <w:lang w:val="ru-RU" w:eastAsia="ru-RU"/>
        </w:rPr>
        <mc:AlternateContent>
          <mc:Choice Requires="wps">
            <w:drawing>
              <wp:anchor distT="0" distB="0" distL="114300" distR="114300" simplePos="0" relativeHeight="251654144" behindDoc="0" locked="0" layoutInCell="1" allowOverlap="1">
                <wp:simplePos x="0" y="0"/>
                <wp:positionH relativeFrom="column">
                  <wp:posOffset>3386455</wp:posOffset>
                </wp:positionH>
                <wp:positionV relativeFrom="paragraph">
                  <wp:posOffset>226695</wp:posOffset>
                </wp:positionV>
                <wp:extent cx="702945" cy="266700"/>
                <wp:effectExtent l="0" t="0" r="20955" b="19050"/>
                <wp:wrapNone/>
                <wp:docPr id="15"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945" cy="266700"/>
                        </a:xfrm>
                        <a:prstGeom prst="rect">
                          <a:avLst/>
                        </a:prstGeom>
                        <a:solidFill>
                          <a:sysClr val="window" lastClr="FFFFFF"/>
                        </a:solidFill>
                        <a:ln w="9525" cmpd="sng">
                          <a:solidFill>
                            <a:sysClr val="window" lastClr="FFFFFF">
                              <a:shade val="50000"/>
                            </a:sysClr>
                          </a:solidFill>
                        </a:ln>
                        <a:effectLst/>
                      </wps:spPr>
                      <wps:txbx>
                        <w:txbxContent>
                          <w:p>
                            <w:pPr>
                              <w:pStyle w:val="afc"/>
                              <w:spacing w:before="0" w:beforeAutospacing="0" w:after="0" w:afterAutospacing="0"/>
                            </w:pPr>
                            <w:r>
                              <w:rPr>
                                <w:b/>
                                <w:bCs/>
                                <w:color w:val="000000"/>
                                <w:sz w:val="22"/>
                                <w:szCs w:val="22"/>
                              </w:rPr>
                              <w:t>249 574</w:t>
                            </w:r>
                          </w:p>
                        </w:txbxContent>
                      </wps:txbx>
                      <wps:bodyPr wrap="square" rtlCol="0" anchor="t"/>
                    </wps:wsp>
                  </a:graphicData>
                </a:graphic>
                <wp14:sizeRelH relativeFrom="page">
                  <wp14:pctWidth>0</wp14:pctWidth>
                </wp14:sizeRelH>
                <wp14:sizeRelV relativeFrom="page">
                  <wp14:pctHeight>0</wp14:pctHeight>
                </wp14:sizeRelV>
              </wp:anchor>
            </w:drawing>
          </mc:Choice>
          <mc:Fallback>
            <w:pict>
              <v:shape id="TextBox 14" o:spid="_x0000_s1038" type="#_x0000_t202" style="position:absolute;left:0;text-align:left;margin-left:266.65pt;margin-top:17.85pt;width:55.35pt;height:2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" fillcolor="window" strokecolor="#bcbcbc">
                <v:path arrowok="t"/>
                <v:textbox>
                  <w:txbxContent>
                    <w:p>
                      <w:pPr>
                        <w:pStyle w:val="afc"/>
                        <w:spacing w:before="0" w:beforeAutospacing="0" w:after="0" w:afterAutospacing="0"/>
                      </w:pPr>
                      <w:r>
                        <w:rPr>
                          <w:b/>
                          <w:bCs/>
                          <w:color w:val="000000"/>
                          <w:sz w:val="22"/>
                          <w:szCs w:val="22"/>
                        </w:rPr>
                        <w:t>249 574</w:t>
                      </w:r>
                    </w:p>
                  </w:txbxContent>
                </v:textbox>
              </v:shape>
            </w:pict>
          </mc:Fallback>
        </mc:AlternateContent>
      </w:r>
      <w:r>
        <w:rPr>
          <w:noProof/>
          <w:lang w:val="ru-RU" w:eastAsia="ru-RU"/>
        </w:rPr>
        <mc:AlternateContent>
          <mc:Choice Requires="wps">
            <w:drawing>
              <wp:anchor distT="0" distB="0" distL="114300" distR="114300" simplePos="0" relativeHeight="251653120" behindDoc="0" locked="0" layoutInCell="1" allowOverlap="1">
                <wp:simplePos x="0" y="0"/>
                <wp:positionH relativeFrom="column">
                  <wp:posOffset>4614545</wp:posOffset>
                </wp:positionH>
                <wp:positionV relativeFrom="paragraph">
                  <wp:posOffset>48895</wp:posOffset>
                </wp:positionV>
                <wp:extent cx="693420" cy="266700"/>
                <wp:effectExtent l="0" t="0" r="11430" b="19050"/>
                <wp:wrapNone/>
                <wp:docPr id="17"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3420" cy="266700"/>
                        </a:xfrm>
                        <a:prstGeom prst="rect">
                          <a:avLst/>
                        </a:prstGeom>
                        <a:solidFill>
                          <a:sysClr val="window" lastClr="FFFFFF"/>
                        </a:solidFill>
                        <a:ln w="9525" cmpd="sng">
                          <a:solidFill>
                            <a:sysClr val="window" lastClr="FFFFFF">
                              <a:shade val="50000"/>
                            </a:sysClr>
                          </a:solidFill>
                        </a:ln>
                        <a:effectLst/>
                      </wps:spPr>
                      <wps:txbx>
                        <w:txbxContent>
                          <w:p>
                            <w:pPr>
                              <w:pStyle w:val="afc"/>
                              <w:spacing w:before="0" w:beforeAutospacing="0" w:after="0" w:afterAutospacing="0"/>
                            </w:pPr>
                            <w:r>
                              <w:rPr>
                                <w:b/>
                                <w:bCs/>
                                <w:color w:val="000000"/>
                                <w:sz w:val="22"/>
                                <w:szCs w:val="22"/>
                              </w:rPr>
                              <w:t>283 226</w:t>
                            </w:r>
                          </w:p>
                        </w:txbxContent>
                      </wps:txbx>
                      <wps:bodyPr wrap="square" rtlCol="0" anchor="t"/>
                    </wps:wsp>
                  </a:graphicData>
                </a:graphic>
                <wp14:sizeRelH relativeFrom="page">
                  <wp14:pctWidth>0</wp14:pctWidth>
                </wp14:sizeRelH>
                <wp14:sizeRelV relativeFrom="page">
                  <wp14:pctHeight>0</wp14:pctHeight>
                </wp14:sizeRelV>
              </wp:anchor>
            </w:drawing>
          </mc:Choice>
          <mc:Fallback>
            <w:pict>
              <v:shape id="TextBox 16" o:spid="_x0000_s1039" type="#_x0000_t202" style="position:absolute;left:0;text-align:left;margin-left:363.35pt;margin-top:3.85pt;width:54.6pt;height:2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" fillcolor="window" strokecolor="#bcbcbc">
                <v:path arrowok="t"/>
                <v:textbox>
                  <w:txbxContent>
                    <w:p>
                      <w:pPr>
                        <w:pStyle w:val="afc"/>
                        <w:spacing w:before="0" w:beforeAutospacing="0" w:after="0" w:afterAutospacing="0"/>
                      </w:pPr>
                      <w:r>
                        <w:rPr>
                          <w:b/>
                          <w:bCs/>
                          <w:color w:val="000000"/>
                          <w:sz w:val="22"/>
                          <w:szCs w:val="22"/>
                        </w:rPr>
                        <w:t>283 226</w:t>
                      </w:r>
                    </w:p>
                  </w:txbxContent>
                </v:textbox>
              </v:shape>
            </w:pict>
          </mc:Fallback>
        </mc:AlternateContent>
      </w:r>
      <w:r>
        <w:rPr>
          <w:noProof/>
          <w:lang w:val="ru-RU" w:eastAsia="ru-RU"/>
        </w:rPr>
        <w:drawing>
          <wp:inline distT="0" distB="0" distL="0" distR="0">
            <wp:extent cx="5935345" cy="3124200"/>
            <wp:effectExtent l="0" t="0" r="8255"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5345" cy="3124200"/>
                    </a:xfrm>
                    <a:prstGeom prst="rect">
                      <a:avLst/>
                    </a:prstGeom>
                    <a:noFill/>
                    <a:ln>
                      <a:noFill/>
                    </a:ln>
                  </pic:spPr>
                </pic:pic>
              </a:graphicData>
            </a:graphic>
          </wp:inline>
        </w:drawing>
      </w:r>
    </w:p>
    <w:p>
      <w:pPr>
        <w:pStyle w:val="a5"/>
        <w:tabs>
          <w:tab w:val="left" w:pos="6946"/>
        </w:tabs>
        <w:spacing w:after="0"/>
        <w:ind w:firstLine="567"/>
        <w:jc w:val="center"/>
        <w:rPr>
          <w:color w:val="FF0000"/>
          <w:spacing w:val="-4"/>
          <w:sz w:val="16"/>
          <w:szCs w:val="16"/>
        </w:rPr>
      </w:pPr>
      <w:r>
        <w:rPr>
          <w:sz w:val="24"/>
          <w:szCs w:val="24"/>
        </w:rPr>
        <w:t>Рисунок 11. Структура муниципального долга ЗАТО Северск</w:t>
      </w:r>
    </w:p>
    <w:p>
      <w:pPr>
        <w:pStyle w:val="a5"/>
        <w:tabs>
          <w:tab w:val="left" w:pos="6946"/>
        </w:tabs>
        <w:spacing w:after="0"/>
        <w:jc w:val="both"/>
        <w:rPr>
          <w:spacing w:val="-4"/>
          <w:sz w:val="16"/>
          <w:szCs w:val="16"/>
        </w:rPr>
      </w:pPr>
    </w:p>
    <w:p>
      <w:pPr>
        <w:pStyle w:val="20"/>
        <w:ind w:firstLine="567"/>
        <w:rPr>
          <w:spacing w:val="-4"/>
          <w:szCs w:val="24"/>
        </w:rPr>
      </w:pPr>
      <w:r>
        <w:rPr>
          <w:spacing w:val="-1"/>
          <w:szCs w:val="24"/>
        </w:rPr>
        <w:t>В отчетном году по привлечению</w:t>
      </w:r>
      <w:r>
        <w:rPr>
          <w:spacing w:val="-4"/>
          <w:szCs w:val="24"/>
        </w:rPr>
        <w:t xml:space="preserve"> кредитных ресурсов были</w:t>
      </w:r>
      <w:r>
        <w:rPr>
          <w:spacing w:val="-1"/>
          <w:szCs w:val="24"/>
        </w:rPr>
        <w:t xml:space="preserve"> </w:t>
      </w:r>
      <w:r>
        <w:rPr>
          <w:spacing w:val="-4"/>
          <w:szCs w:val="24"/>
        </w:rPr>
        <w:t>заключены:</w:t>
      </w:r>
    </w:p>
    <w:p>
      <w:pPr>
        <w:pStyle w:val="20"/>
        <w:ind w:firstLine="567"/>
        <w:rPr>
          <w:spacing w:val="-1"/>
          <w:szCs w:val="24"/>
        </w:rPr>
      </w:pPr>
      <w:r>
        <w:rPr>
          <w:spacing w:val="-4"/>
          <w:szCs w:val="24"/>
        </w:rPr>
        <w:t xml:space="preserve">- муниципальный контракт </w:t>
      </w:r>
      <w:r>
        <w:rPr>
          <w:spacing w:val="-1"/>
          <w:szCs w:val="24"/>
        </w:rPr>
        <w:t xml:space="preserve">с </w:t>
      </w:r>
      <w:r>
        <w:rPr>
          <w:spacing w:val="-1"/>
          <w:szCs w:val="24"/>
          <w:lang w:val="ru-RU"/>
        </w:rPr>
        <w:t>ПАО «Совкомбанк»</w:t>
      </w:r>
      <w:r>
        <w:rPr>
          <w:spacing w:val="-4"/>
          <w:szCs w:val="24"/>
        </w:rPr>
        <w:t xml:space="preserve"> </w:t>
      </w:r>
      <w:r>
        <w:rPr>
          <w:spacing w:val="-1"/>
          <w:szCs w:val="24"/>
        </w:rPr>
        <w:t xml:space="preserve">на сумму </w:t>
      </w:r>
      <w:r>
        <w:rPr>
          <w:spacing w:val="-1"/>
          <w:szCs w:val="24"/>
          <w:lang w:val="ru-RU"/>
        </w:rPr>
        <w:t>113 406,12</w:t>
      </w:r>
      <w:r>
        <w:rPr>
          <w:spacing w:val="-1"/>
          <w:szCs w:val="24"/>
        </w:rPr>
        <w:t> тыс.руб.;</w:t>
      </w:r>
    </w:p>
    <w:p>
      <w:pPr>
        <w:pStyle w:val="20"/>
        <w:ind w:firstLine="567"/>
        <w:rPr>
          <w:spacing w:val="-1"/>
          <w:szCs w:val="24"/>
        </w:rPr>
      </w:pPr>
      <w:r>
        <w:rPr>
          <w:spacing w:val="-1"/>
          <w:szCs w:val="24"/>
        </w:rPr>
        <w:t xml:space="preserve">- договор с Департаментом финансов Томской области от </w:t>
      </w:r>
      <w:r>
        <w:rPr>
          <w:spacing w:val="-1"/>
          <w:szCs w:val="24"/>
          <w:lang w:val="ru-RU"/>
        </w:rPr>
        <w:t>17</w:t>
      </w:r>
      <w:r>
        <w:rPr>
          <w:spacing w:val="-1"/>
          <w:szCs w:val="24"/>
        </w:rPr>
        <w:t>.12.202</w:t>
      </w:r>
      <w:r>
        <w:rPr>
          <w:spacing w:val="-1"/>
          <w:szCs w:val="24"/>
          <w:lang w:val="ru-RU"/>
        </w:rPr>
        <w:t>1</w:t>
      </w:r>
      <w:r>
        <w:rPr>
          <w:spacing w:val="-1"/>
          <w:szCs w:val="24"/>
        </w:rPr>
        <w:t xml:space="preserve"> № 1</w:t>
      </w:r>
      <w:r>
        <w:rPr>
          <w:spacing w:val="-1"/>
          <w:szCs w:val="24"/>
          <w:lang w:val="ru-RU"/>
        </w:rPr>
        <w:t>18</w:t>
      </w:r>
      <w:r>
        <w:rPr>
          <w:spacing w:val="-1"/>
          <w:szCs w:val="24"/>
        </w:rPr>
        <w:t xml:space="preserve">-БК на сумму </w:t>
      </w:r>
      <w:r>
        <w:rPr>
          <w:spacing w:val="-1"/>
          <w:szCs w:val="24"/>
          <w:lang w:val="ru-RU"/>
        </w:rPr>
        <w:t>80 311,68</w:t>
      </w:r>
      <w:r>
        <w:rPr>
          <w:spacing w:val="-1"/>
          <w:szCs w:val="24"/>
        </w:rPr>
        <w:t xml:space="preserve"> тыс.руб.</w:t>
      </w:r>
    </w:p>
    <w:p>
      <w:pPr>
        <w:pStyle w:val="20"/>
        <w:spacing w:before="60" w:after="60"/>
        <w:ind w:right="45" w:firstLine="709"/>
        <w:rPr>
          <w:szCs w:val="24"/>
        </w:rPr>
      </w:pPr>
      <w:r>
        <w:rPr>
          <w:spacing w:val="-1"/>
          <w:szCs w:val="24"/>
        </w:rPr>
        <w:t>Таблица 63. Муниципальные заимствования 202</w:t>
      </w:r>
      <w:r>
        <w:rPr>
          <w:spacing w:val="-1"/>
          <w:szCs w:val="24"/>
          <w:lang w:val="ru-RU"/>
        </w:rPr>
        <w:t>1</w:t>
      </w:r>
      <w:r>
        <w:rPr>
          <w:spacing w:val="-1"/>
          <w:szCs w:val="24"/>
        </w:rPr>
        <w:t xml:space="preserve">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
        <w:gridCol w:w="4996"/>
        <w:gridCol w:w="1457"/>
        <w:gridCol w:w="1374"/>
        <w:gridCol w:w="1275"/>
      </w:tblGrid>
      <w:tr>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rPr>
                <w:spacing w:val="-1"/>
                <w:sz w:val="22"/>
                <w:szCs w:val="22"/>
                <w:lang w:val="ru-RU" w:eastAsia="ru-RU"/>
              </w:rPr>
            </w:pPr>
            <w:r>
              <w:rPr>
                <w:spacing w:val="-1"/>
                <w:sz w:val="22"/>
                <w:szCs w:val="22"/>
                <w:lang w:val="ru-RU" w:eastAsia="ru-RU"/>
              </w:rPr>
              <w:t>№</w:t>
            </w:r>
          </w:p>
        </w:tc>
        <w:tc>
          <w:tcPr>
            <w:tcW w:w="510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left"/>
              <w:rPr>
                <w:spacing w:val="-1"/>
                <w:sz w:val="22"/>
                <w:szCs w:val="22"/>
                <w:lang w:val="ru-RU" w:eastAsia="ru-RU"/>
              </w:rPr>
            </w:pPr>
            <w:r>
              <w:rPr>
                <w:spacing w:val="-1"/>
                <w:sz w:val="22"/>
                <w:szCs w:val="22"/>
                <w:lang w:val="ru-RU" w:eastAsia="ru-RU"/>
              </w:rPr>
              <w:t xml:space="preserve">Наименование </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Объем обязательств по кредиту</w:t>
            </w:r>
          </w:p>
          <w:p>
            <w:pPr>
              <w:pStyle w:val="20"/>
              <w:jc w:val="center"/>
              <w:rPr>
                <w:spacing w:val="-1"/>
                <w:sz w:val="22"/>
                <w:szCs w:val="22"/>
                <w:lang w:val="ru-RU" w:eastAsia="ru-RU"/>
              </w:rPr>
            </w:pPr>
            <w:r>
              <w:rPr>
                <w:spacing w:val="-1"/>
                <w:sz w:val="22"/>
                <w:szCs w:val="22"/>
                <w:lang w:val="ru-RU" w:eastAsia="ru-RU"/>
              </w:rPr>
              <w:t>(тыс.руб.)</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Процентная ставка</w:t>
            </w:r>
          </w:p>
          <w:p>
            <w:pPr>
              <w:pStyle w:val="20"/>
              <w:jc w:val="center"/>
              <w:rPr>
                <w:spacing w:val="-1"/>
                <w:sz w:val="22"/>
                <w:szCs w:val="22"/>
                <w:lang w:val="ru-RU" w:eastAsia="ru-RU"/>
              </w:rPr>
            </w:pPr>
            <w:r>
              <w:rPr>
                <w:spacing w:val="-1"/>
                <w:sz w:val="22"/>
                <w:szCs w:val="22"/>
                <w:lang w:val="ru-RU" w:eastAsia="ru-RU"/>
              </w:rPr>
              <w:t>(%)</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Дата погашения</w:t>
            </w:r>
          </w:p>
        </w:tc>
      </w:tr>
      <w:tr>
        <w:trPr>
          <w:trHeight w:val="422"/>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left"/>
              <w:rPr>
                <w:spacing w:val="-1"/>
                <w:sz w:val="22"/>
                <w:szCs w:val="22"/>
                <w:lang w:val="ru-RU" w:eastAsia="ru-RU"/>
              </w:rPr>
            </w:pPr>
            <w:r>
              <w:rPr>
                <w:spacing w:val="-1"/>
                <w:sz w:val="22"/>
                <w:szCs w:val="22"/>
                <w:lang w:val="ru-RU" w:eastAsia="ru-RU"/>
              </w:rPr>
              <w:t>1.</w:t>
            </w:r>
          </w:p>
        </w:tc>
        <w:tc>
          <w:tcPr>
            <w:tcW w:w="510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rPr>
                <w:spacing w:val="-1"/>
                <w:sz w:val="22"/>
                <w:szCs w:val="22"/>
                <w:lang w:val="ru-RU" w:eastAsia="ru-RU"/>
              </w:rPr>
            </w:pPr>
            <w:r>
              <w:rPr>
                <w:spacing w:val="-1"/>
                <w:sz w:val="22"/>
                <w:szCs w:val="22"/>
                <w:lang w:val="ru-RU"/>
              </w:rPr>
              <w:t>ПАО «Совкомбанк»</w:t>
            </w:r>
            <w:r>
              <w:rPr>
                <w:spacing w:val="-1"/>
                <w:sz w:val="22"/>
                <w:szCs w:val="22"/>
                <w:lang w:val="ru-RU" w:eastAsia="ru-RU"/>
              </w:rPr>
              <w:t xml:space="preserve">, МК №1 от 21.06.2021 </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113 406,12</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8,74</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03.07.2023</w:t>
            </w:r>
          </w:p>
        </w:tc>
      </w:tr>
      <w:tr>
        <w:trPr>
          <w:trHeight w:val="272"/>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2.</w:t>
            </w:r>
          </w:p>
        </w:tc>
        <w:tc>
          <w:tcPr>
            <w:tcW w:w="5109"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rPr>
                <w:spacing w:val="-1"/>
                <w:sz w:val="22"/>
                <w:szCs w:val="22"/>
                <w:lang w:val="ru-RU" w:eastAsia="ru-RU"/>
              </w:rPr>
            </w:pPr>
            <w:r>
              <w:rPr>
                <w:spacing w:val="-1"/>
                <w:sz w:val="22"/>
                <w:szCs w:val="22"/>
                <w:lang w:val="ru-RU" w:eastAsia="ru-RU"/>
              </w:rPr>
              <w:t>Департамент финансов Томской области, договор № 118-БК от 17.12.2021</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80 311,68</w:t>
            </w:r>
          </w:p>
        </w:tc>
        <w:tc>
          <w:tcPr>
            <w:tcW w:w="1272"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7,5</w:t>
            </w:r>
          </w:p>
        </w:tc>
        <w:tc>
          <w:tcPr>
            <w:tcW w:w="1177" w:type="dxa"/>
            <w:tcBorders>
              <w:top w:val="single" w:sz="4" w:space="0" w:color="auto"/>
              <w:left w:val="single" w:sz="4" w:space="0" w:color="auto"/>
              <w:bottom w:val="single" w:sz="4" w:space="0" w:color="auto"/>
              <w:right w:val="single" w:sz="4" w:space="0" w:color="auto"/>
            </w:tcBorders>
            <w:shd w:val="clear" w:color="auto" w:fill="auto"/>
            <w:vAlign w:val="center"/>
            <w:hideMark/>
          </w:tcPr>
          <w:p>
            <w:pPr>
              <w:pStyle w:val="20"/>
              <w:jc w:val="center"/>
              <w:rPr>
                <w:spacing w:val="-1"/>
                <w:sz w:val="22"/>
                <w:szCs w:val="22"/>
                <w:lang w:val="ru-RU" w:eastAsia="ru-RU"/>
              </w:rPr>
            </w:pPr>
            <w:r>
              <w:rPr>
                <w:spacing w:val="-1"/>
                <w:sz w:val="22"/>
                <w:szCs w:val="22"/>
                <w:lang w:val="ru-RU" w:eastAsia="ru-RU"/>
              </w:rPr>
              <w:t>23.12.2022</w:t>
            </w:r>
          </w:p>
          <w:p>
            <w:pPr>
              <w:pStyle w:val="20"/>
              <w:jc w:val="center"/>
              <w:rPr>
                <w:spacing w:val="-1"/>
                <w:sz w:val="22"/>
                <w:szCs w:val="22"/>
                <w:lang w:val="ru-RU" w:eastAsia="ru-RU"/>
              </w:rPr>
            </w:pPr>
            <w:r>
              <w:rPr>
                <w:spacing w:val="-1"/>
                <w:sz w:val="22"/>
                <w:szCs w:val="22"/>
                <w:lang w:val="ru-RU" w:eastAsia="ru-RU"/>
              </w:rPr>
              <w:t>(60 000,00)</w:t>
            </w:r>
          </w:p>
          <w:p>
            <w:pPr>
              <w:pStyle w:val="20"/>
              <w:jc w:val="center"/>
              <w:rPr>
                <w:spacing w:val="-1"/>
                <w:sz w:val="22"/>
                <w:szCs w:val="22"/>
                <w:lang w:val="ru-RU" w:eastAsia="ru-RU"/>
              </w:rPr>
            </w:pPr>
            <w:r>
              <w:rPr>
                <w:spacing w:val="-1"/>
                <w:sz w:val="22"/>
                <w:szCs w:val="22"/>
                <w:lang w:val="ru-RU" w:eastAsia="ru-RU"/>
              </w:rPr>
              <w:t>17.06.2023</w:t>
            </w:r>
          </w:p>
          <w:p>
            <w:pPr>
              <w:pStyle w:val="20"/>
              <w:jc w:val="center"/>
              <w:rPr>
                <w:spacing w:val="-1"/>
                <w:sz w:val="22"/>
                <w:szCs w:val="22"/>
                <w:lang w:val="ru-RU" w:eastAsia="ru-RU"/>
              </w:rPr>
            </w:pPr>
            <w:r>
              <w:rPr>
                <w:spacing w:val="-1"/>
                <w:sz w:val="22"/>
                <w:szCs w:val="22"/>
                <w:lang w:val="ru-RU" w:eastAsia="ru-RU"/>
              </w:rPr>
              <w:t>(20 311,68)</w:t>
            </w:r>
          </w:p>
        </w:tc>
      </w:tr>
    </w:tbl>
    <w:p>
      <w:pPr>
        <w:pStyle w:val="20"/>
        <w:ind w:firstLine="567"/>
        <w:rPr>
          <w:spacing w:val="-4"/>
          <w:sz w:val="10"/>
          <w:szCs w:val="10"/>
          <w:highlight w:val="yellow"/>
        </w:rPr>
      </w:pPr>
    </w:p>
    <w:p>
      <w:pPr>
        <w:ind w:firstLine="567"/>
        <w:jc w:val="both"/>
        <w:rPr>
          <w:b/>
          <w:sz w:val="24"/>
          <w:szCs w:val="24"/>
        </w:rPr>
      </w:pPr>
      <w:r>
        <w:rPr>
          <w:sz w:val="24"/>
          <w:szCs w:val="24"/>
        </w:rPr>
        <w:t xml:space="preserve">В соответствии с нормами ст.107.1 Бюджетного кодекса Российской Федерации муниципального образования  ЗАТО Северск по установленному перечню показателей относится к группе муниципальных образований с высокой долговой устойчивостью. </w:t>
      </w:r>
    </w:p>
    <w:p>
      <w:pPr>
        <w:spacing w:line="264" w:lineRule="auto"/>
        <w:jc w:val="both"/>
        <w:rPr>
          <w:b/>
          <w:sz w:val="24"/>
          <w:szCs w:val="24"/>
          <w:highlight w:val="yellow"/>
        </w:rPr>
      </w:pPr>
    </w:p>
    <w:p>
      <w:pPr>
        <w:spacing w:line="264" w:lineRule="auto"/>
        <w:jc w:val="both"/>
        <w:rPr>
          <w:sz w:val="24"/>
          <w:szCs w:val="24"/>
        </w:rPr>
      </w:pPr>
      <w:r>
        <w:rPr>
          <w:sz w:val="24"/>
          <w:szCs w:val="24"/>
        </w:rPr>
        <w:t xml:space="preserve">Заместитель Мэра ЗАТО Северск </w:t>
      </w:r>
    </w:p>
    <w:p>
      <w:pPr>
        <w:spacing w:line="264" w:lineRule="auto"/>
        <w:jc w:val="both"/>
        <w:rPr>
          <w:sz w:val="24"/>
          <w:szCs w:val="24"/>
        </w:rPr>
      </w:pPr>
      <w:r>
        <w:rPr>
          <w:sz w:val="24"/>
          <w:szCs w:val="24"/>
        </w:rPr>
        <w:t>по экономике и финансам                                                                                 Л.В.Смольникова</w:t>
      </w:r>
    </w:p>
    <w:p>
      <w:pPr>
        <w:spacing w:before="120"/>
        <w:ind w:right="57"/>
        <w:jc w:val="both"/>
        <w:rPr>
          <w:sz w:val="16"/>
          <w:szCs w:val="16"/>
        </w:rPr>
      </w:pPr>
    </w:p>
    <w:p>
      <w:pPr>
        <w:spacing w:before="120"/>
        <w:ind w:right="57"/>
        <w:jc w:val="both"/>
        <w:rPr>
          <w:sz w:val="24"/>
          <w:szCs w:val="24"/>
        </w:rPr>
      </w:pPr>
      <w:r>
        <w:rPr>
          <w:sz w:val="24"/>
          <w:szCs w:val="24"/>
        </w:rPr>
        <w:t xml:space="preserve">Начальник Финансового управления                                                       </w:t>
      </w:r>
      <w:r>
        <w:rPr>
          <w:sz w:val="24"/>
          <w:szCs w:val="24"/>
        </w:rPr>
        <w:tab/>
        <w:t xml:space="preserve">          Л.И.Овчаренко                                        </w:t>
      </w:r>
    </w:p>
    <w:p>
      <w:pPr>
        <w:spacing w:line="264" w:lineRule="auto"/>
        <w:ind w:right="55"/>
        <w:jc w:val="right"/>
        <w:rPr>
          <w:i/>
          <w:sz w:val="24"/>
          <w:szCs w:val="24"/>
          <w:highlight w:val="yellow"/>
        </w:rPr>
      </w:pPr>
    </w:p>
    <w:p>
      <w:pPr>
        <w:spacing w:line="264" w:lineRule="auto"/>
        <w:ind w:right="55"/>
        <w:rPr>
          <w:i/>
          <w:sz w:val="16"/>
          <w:szCs w:val="16"/>
          <w:highlight w:val="yellow"/>
        </w:rPr>
      </w:pPr>
    </w:p>
    <w:p>
      <w:pPr>
        <w:spacing w:line="264" w:lineRule="auto"/>
        <w:ind w:right="55"/>
        <w:rPr>
          <w:i/>
          <w:sz w:val="16"/>
          <w:szCs w:val="16"/>
          <w:highlight w:val="yellow"/>
        </w:rPr>
      </w:pPr>
    </w:p>
    <w:p>
      <w:pPr>
        <w:spacing w:line="264" w:lineRule="auto"/>
        <w:ind w:right="55"/>
        <w:jc w:val="both"/>
      </w:pPr>
      <w:r>
        <w:t>О.Н.Кириллова 77 38 60</w:t>
      </w:r>
    </w:p>
    <w:p>
      <w:pPr>
        <w:spacing w:line="264" w:lineRule="auto"/>
        <w:ind w:right="55"/>
        <w:jc w:val="both"/>
      </w:pPr>
      <w:r>
        <w:t>С.В.Шурыгина 77 39 09</w:t>
      </w:r>
    </w:p>
    <w:p>
      <w:pPr>
        <w:spacing w:line="264" w:lineRule="auto"/>
        <w:ind w:right="55"/>
        <w:jc w:val="both"/>
      </w:pPr>
      <w:r>
        <w:t>Е.В.Чеснокова 77 23 83</w:t>
      </w:r>
    </w:p>
    <w:p>
      <w:pPr>
        <w:spacing w:line="264" w:lineRule="auto"/>
        <w:ind w:right="55"/>
        <w:jc w:val="both"/>
      </w:pPr>
      <w:r>
        <w:t>О.Ю.Шаперова 77 38 14</w:t>
      </w:r>
    </w:p>
    <w:p>
      <w:pPr>
        <w:spacing w:line="264" w:lineRule="auto"/>
        <w:ind w:right="55"/>
        <w:jc w:val="both"/>
      </w:pPr>
      <w:r>
        <w:t>И.О.Купцова 77 38 16</w:t>
      </w:r>
    </w:p>
    <w:sectPr>
      <w:headerReference w:type="even" r:id="rId25"/>
      <w:headerReference w:type="default" r:id="rId26"/>
      <w:footerReference w:type="even" r:id="rId27"/>
      <w:footerReference w:type="default" r:id="rId28"/>
      <w:headerReference w:type="first" r:id="rId29"/>
      <w:footerReference w:type="first" r:id="rId30"/>
      <w:pgSz w:w="11906" w:h="16838"/>
      <w:pgMar w:top="568" w:right="851" w:bottom="426" w:left="1701" w:header="709" w:footer="49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pPr>
      <w:pStyle w:val="ad"/>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d"/>
      <w:jc w:val="right"/>
    </w:pPr>
    <w:r>
      <w:fldChar w:fldCharType="begin"/>
    </w:r>
    <w:r>
      <w:instrText xml:space="preserve"> PAGE   \* MERGEFORMAT </w:instrText>
    </w:r>
    <w:r>
      <w:fldChar w:fldCharType="separate"/>
    </w:r>
    <w:r>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d"/>
      <w:jc w:val="right"/>
      <w:rPr>
        <w:color w:val="FFFFFF"/>
      </w:rPr>
    </w:pPr>
    <w:r>
      <w:rPr>
        <w:color w:val="FFFFFF"/>
      </w:rPr>
      <w:fldChar w:fldCharType="begin"/>
    </w:r>
    <w:r>
      <w:rPr>
        <w:color w:val="FFFFFF"/>
      </w:rPr>
      <w:instrText xml:space="preserve"> PAGE   \* MERGEFORMAT </w:instrText>
    </w:r>
    <w:r>
      <w:rPr>
        <w:color w:val="FFFFFF"/>
      </w:rPr>
      <w:fldChar w:fldCharType="separate"/>
    </w:r>
    <w:r>
      <w:rPr>
        <w:noProof/>
        <w:color w:val="FFFFFF"/>
      </w:rPr>
      <w:t>1</w:t>
    </w:r>
    <w:r>
      <w:rPr>
        <w:color w:val="FFFFFF"/>
      </w:rPr>
      <w:fldChar w:fldCharType="end"/>
    </w:r>
  </w:p>
  <w:p>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0C0F2F"/>
    <w:multiLevelType w:val="hybridMultilevel"/>
    <w:tmpl w:val="45F2B97A"/>
    <w:lvl w:ilvl="0" w:tplc="04190001">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1">
    <w:nsid w:val="0BF60F40"/>
    <w:multiLevelType w:val="hybridMultilevel"/>
    <w:tmpl w:val="936050C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D1C27F5"/>
    <w:multiLevelType w:val="hybridMultilevel"/>
    <w:tmpl w:val="244E14C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D9239AA"/>
    <w:multiLevelType w:val="multilevel"/>
    <w:tmpl w:val="DBE43A74"/>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
    <w:nsid w:val="0FBF3F0C"/>
    <w:multiLevelType w:val="hybridMultilevel"/>
    <w:tmpl w:val="DFE4C4C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2A03DAE"/>
    <w:multiLevelType w:val="hybridMultilevel"/>
    <w:tmpl w:val="E46CA1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57A19F8"/>
    <w:multiLevelType w:val="hybridMultilevel"/>
    <w:tmpl w:val="C50A931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7572373"/>
    <w:multiLevelType w:val="hybridMultilevel"/>
    <w:tmpl w:val="3D64728A"/>
    <w:lvl w:ilvl="0" w:tplc="04190001">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8">
    <w:nsid w:val="20EF1C8C"/>
    <w:multiLevelType w:val="hybridMultilevel"/>
    <w:tmpl w:val="D8249CB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48110D5"/>
    <w:multiLevelType w:val="hybridMultilevel"/>
    <w:tmpl w:val="5E462AB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5C942AA"/>
    <w:multiLevelType w:val="hybridMultilevel"/>
    <w:tmpl w:val="A03A709E"/>
    <w:lvl w:ilvl="0" w:tplc="6A98A22A">
      <w:start w:val="1"/>
      <w:numFmt w:val="bullet"/>
      <w:suff w:val="space"/>
      <w:lvlText w:val=""/>
      <w:lvlJc w:val="left"/>
      <w:pPr>
        <w:ind w:left="3479"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2AA3783A"/>
    <w:multiLevelType w:val="hybridMultilevel"/>
    <w:tmpl w:val="A152334E"/>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D8B79A9"/>
    <w:multiLevelType w:val="hybridMultilevel"/>
    <w:tmpl w:val="2FE6E6A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DC21675"/>
    <w:multiLevelType w:val="multilevel"/>
    <w:tmpl w:val="9800AEDE"/>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nsid w:val="2E292262"/>
    <w:multiLevelType w:val="hybridMultilevel"/>
    <w:tmpl w:val="7DF6C99C"/>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36CA2DBD"/>
    <w:multiLevelType w:val="hybridMultilevel"/>
    <w:tmpl w:val="F32A1E1A"/>
    <w:lvl w:ilvl="0" w:tplc="0AF8439A">
      <w:start w:val="1"/>
      <w:numFmt w:val="decimal"/>
      <w:suff w:val="space"/>
      <w:lvlText w:val="%1."/>
      <w:lvlJc w:val="left"/>
      <w:pPr>
        <w:ind w:left="1429" w:hanging="360"/>
      </w:pPr>
      <w:rPr>
        <w:rFonts w:ascii="Times New Roman" w:eastAsia="Times New Roman" w:hAnsi="Times New Roman" w:cs="Times New Roman"/>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7BC5F4E"/>
    <w:multiLevelType w:val="hybridMultilevel"/>
    <w:tmpl w:val="E2A8DC1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7">
    <w:nsid w:val="3A7F68E9"/>
    <w:multiLevelType w:val="hybridMultilevel"/>
    <w:tmpl w:val="06509ECE"/>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3A935DA4"/>
    <w:multiLevelType w:val="hybridMultilevel"/>
    <w:tmpl w:val="29DC281E"/>
    <w:lvl w:ilvl="0" w:tplc="04190003">
      <w:start w:val="1"/>
      <w:numFmt w:val="bullet"/>
      <w:lvlText w:val="o"/>
      <w:lvlJc w:val="left"/>
      <w:pPr>
        <w:ind w:left="1353" w:hanging="360"/>
      </w:pPr>
      <w:rPr>
        <w:rFonts w:ascii="Courier New" w:hAnsi="Courier New" w:cs="Courier New" w:hint="default"/>
      </w:rPr>
    </w:lvl>
    <w:lvl w:ilvl="1" w:tplc="04190003" w:tentative="1">
      <w:start w:val="1"/>
      <w:numFmt w:val="bullet"/>
      <w:lvlText w:val="o"/>
      <w:lvlJc w:val="left"/>
      <w:pPr>
        <w:ind w:left="2855" w:hanging="360"/>
      </w:pPr>
      <w:rPr>
        <w:rFonts w:ascii="Courier New" w:hAnsi="Courier New" w:cs="Courier New" w:hint="default"/>
      </w:rPr>
    </w:lvl>
    <w:lvl w:ilvl="2" w:tplc="04190005" w:tentative="1">
      <w:start w:val="1"/>
      <w:numFmt w:val="bullet"/>
      <w:lvlText w:val=""/>
      <w:lvlJc w:val="left"/>
      <w:pPr>
        <w:ind w:left="3575" w:hanging="360"/>
      </w:pPr>
      <w:rPr>
        <w:rFonts w:ascii="Wingdings" w:hAnsi="Wingdings" w:hint="default"/>
      </w:rPr>
    </w:lvl>
    <w:lvl w:ilvl="3" w:tplc="04190001" w:tentative="1">
      <w:start w:val="1"/>
      <w:numFmt w:val="bullet"/>
      <w:lvlText w:val=""/>
      <w:lvlJc w:val="left"/>
      <w:pPr>
        <w:ind w:left="4295" w:hanging="360"/>
      </w:pPr>
      <w:rPr>
        <w:rFonts w:ascii="Symbol" w:hAnsi="Symbol" w:hint="default"/>
      </w:rPr>
    </w:lvl>
    <w:lvl w:ilvl="4" w:tplc="04190003" w:tentative="1">
      <w:start w:val="1"/>
      <w:numFmt w:val="bullet"/>
      <w:lvlText w:val="o"/>
      <w:lvlJc w:val="left"/>
      <w:pPr>
        <w:ind w:left="5015" w:hanging="360"/>
      </w:pPr>
      <w:rPr>
        <w:rFonts w:ascii="Courier New" w:hAnsi="Courier New" w:cs="Courier New" w:hint="default"/>
      </w:rPr>
    </w:lvl>
    <w:lvl w:ilvl="5" w:tplc="04190005" w:tentative="1">
      <w:start w:val="1"/>
      <w:numFmt w:val="bullet"/>
      <w:lvlText w:val=""/>
      <w:lvlJc w:val="left"/>
      <w:pPr>
        <w:ind w:left="5735" w:hanging="360"/>
      </w:pPr>
      <w:rPr>
        <w:rFonts w:ascii="Wingdings" w:hAnsi="Wingdings" w:hint="default"/>
      </w:rPr>
    </w:lvl>
    <w:lvl w:ilvl="6" w:tplc="04190001" w:tentative="1">
      <w:start w:val="1"/>
      <w:numFmt w:val="bullet"/>
      <w:lvlText w:val=""/>
      <w:lvlJc w:val="left"/>
      <w:pPr>
        <w:ind w:left="6455" w:hanging="360"/>
      </w:pPr>
      <w:rPr>
        <w:rFonts w:ascii="Symbol" w:hAnsi="Symbol" w:hint="default"/>
      </w:rPr>
    </w:lvl>
    <w:lvl w:ilvl="7" w:tplc="04190003" w:tentative="1">
      <w:start w:val="1"/>
      <w:numFmt w:val="bullet"/>
      <w:lvlText w:val="o"/>
      <w:lvlJc w:val="left"/>
      <w:pPr>
        <w:ind w:left="7175" w:hanging="360"/>
      </w:pPr>
      <w:rPr>
        <w:rFonts w:ascii="Courier New" w:hAnsi="Courier New" w:cs="Courier New" w:hint="default"/>
      </w:rPr>
    </w:lvl>
    <w:lvl w:ilvl="8" w:tplc="04190005" w:tentative="1">
      <w:start w:val="1"/>
      <w:numFmt w:val="bullet"/>
      <w:lvlText w:val=""/>
      <w:lvlJc w:val="left"/>
      <w:pPr>
        <w:ind w:left="7895" w:hanging="360"/>
      </w:pPr>
      <w:rPr>
        <w:rFonts w:ascii="Wingdings" w:hAnsi="Wingdings" w:hint="default"/>
      </w:rPr>
    </w:lvl>
  </w:abstractNum>
  <w:abstractNum w:abstractNumId="19">
    <w:nsid w:val="3ADB1BE4"/>
    <w:multiLevelType w:val="hybridMultilevel"/>
    <w:tmpl w:val="3EC217CE"/>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0">
    <w:nsid w:val="3BC12B12"/>
    <w:multiLevelType w:val="multilevel"/>
    <w:tmpl w:val="1820ED58"/>
    <w:lvl w:ilvl="0">
      <w:start w:val="1"/>
      <w:numFmt w:val="decimal"/>
      <w:lvlText w:val="%1."/>
      <w:lvlJc w:val="left"/>
      <w:pPr>
        <w:ind w:left="1428" w:hanging="360"/>
      </w:pPr>
      <w:rPr>
        <w:rFonts w:ascii="Times New Roman" w:eastAsia="Times New Roman" w:hAnsi="Times New Roman" w:cs="Times New Roman"/>
      </w:rPr>
    </w:lvl>
    <w:lvl w:ilvl="1">
      <w:start w:val="1"/>
      <w:numFmt w:val="decimal"/>
      <w:isLgl/>
      <w:lvlText w:val="%1.%2."/>
      <w:lvlJc w:val="left"/>
      <w:pPr>
        <w:ind w:left="1490" w:hanging="360"/>
      </w:pPr>
      <w:rPr>
        <w:rFonts w:hint="default"/>
      </w:rPr>
    </w:lvl>
    <w:lvl w:ilvl="2">
      <w:start w:val="1"/>
      <w:numFmt w:val="decimal"/>
      <w:isLgl/>
      <w:lvlText w:val="%1.%2.%3."/>
      <w:lvlJc w:val="left"/>
      <w:pPr>
        <w:ind w:left="1912" w:hanging="720"/>
      </w:pPr>
      <w:rPr>
        <w:rFonts w:hint="default"/>
      </w:rPr>
    </w:lvl>
    <w:lvl w:ilvl="3">
      <w:start w:val="1"/>
      <w:numFmt w:val="decimal"/>
      <w:isLgl/>
      <w:lvlText w:val="%1.%2.%3.%4."/>
      <w:lvlJc w:val="left"/>
      <w:pPr>
        <w:ind w:left="1974" w:hanging="720"/>
      </w:pPr>
      <w:rPr>
        <w:rFonts w:hint="default"/>
      </w:rPr>
    </w:lvl>
    <w:lvl w:ilvl="4">
      <w:start w:val="1"/>
      <w:numFmt w:val="decimal"/>
      <w:isLgl/>
      <w:lvlText w:val="%1.%2.%3.%4.%5."/>
      <w:lvlJc w:val="left"/>
      <w:pPr>
        <w:ind w:left="2396" w:hanging="1080"/>
      </w:pPr>
      <w:rPr>
        <w:rFonts w:hint="default"/>
      </w:rPr>
    </w:lvl>
    <w:lvl w:ilvl="5">
      <w:start w:val="1"/>
      <w:numFmt w:val="decimal"/>
      <w:isLgl/>
      <w:lvlText w:val="%1.%2.%3.%4.%5.%6."/>
      <w:lvlJc w:val="left"/>
      <w:pPr>
        <w:ind w:left="2458"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942" w:hanging="1440"/>
      </w:pPr>
      <w:rPr>
        <w:rFonts w:hint="default"/>
      </w:rPr>
    </w:lvl>
    <w:lvl w:ilvl="8">
      <w:start w:val="1"/>
      <w:numFmt w:val="decimal"/>
      <w:isLgl/>
      <w:lvlText w:val="%1.%2.%3.%4.%5.%6.%7.%8.%9."/>
      <w:lvlJc w:val="left"/>
      <w:pPr>
        <w:ind w:left="3364" w:hanging="1800"/>
      </w:pPr>
      <w:rPr>
        <w:rFonts w:hint="default"/>
      </w:rPr>
    </w:lvl>
  </w:abstractNum>
  <w:abstractNum w:abstractNumId="21">
    <w:nsid w:val="3EDC5200"/>
    <w:multiLevelType w:val="multilevel"/>
    <w:tmpl w:val="32EE4030"/>
    <w:lvl w:ilvl="0">
      <w:start w:val="8"/>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44D02367"/>
    <w:multiLevelType w:val="multilevel"/>
    <w:tmpl w:val="52D65596"/>
    <w:lvl w:ilvl="0">
      <w:start w:val="1"/>
      <w:numFmt w:val="decimal"/>
      <w:suff w:val="space"/>
      <w:lvlText w:val="%1."/>
      <w:lvlJc w:val="left"/>
      <w:pPr>
        <w:ind w:left="1360" w:hanging="360"/>
      </w:pPr>
      <w:rPr>
        <w:rFonts w:ascii="Times New Roman" w:eastAsia="Times New Roman" w:hAnsi="Times New Roman" w:cs="Times New Roman"/>
      </w:rPr>
    </w:lvl>
    <w:lvl w:ilvl="1">
      <w:start w:val="3"/>
      <w:numFmt w:val="decimal"/>
      <w:isLgl/>
      <w:lvlText w:val="%1.%2."/>
      <w:lvlJc w:val="left"/>
      <w:pPr>
        <w:ind w:left="1360" w:hanging="360"/>
      </w:pPr>
      <w:rPr>
        <w:rFonts w:hint="default"/>
      </w:rPr>
    </w:lvl>
    <w:lvl w:ilvl="2">
      <w:start w:val="1"/>
      <w:numFmt w:val="decimal"/>
      <w:isLgl/>
      <w:lvlText w:val="%1.%2.%3."/>
      <w:lvlJc w:val="left"/>
      <w:pPr>
        <w:ind w:left="1720" w:hanging="720"/>
      </w:pPr>
      <w:rPr>
        <w:rFonts w:hint="default"/>
      </w:rPr>
    </w:lvl>
    <w:lvl w:ilvl="3">
      <w:start w:val="1"/>
      <w:numFmt w:val="decimal"/>
      <w:isLgl/>
      <w:lvlText w:val="%1.%2.%3.%4."/>
      <w:lvlJc w:val="left"/>
      <w:pPr>
        <w:ind w:left="1720" w:hanging="720"/>
      </w:pPr>
      <w:rPr>
        <w:rFonts w:hint="default"/>
      </w:rPr>
    </w:lvl>
    <w:lvl w:ilvl="4">
      <w:start w:val="1"/>
      <w:numFmt w:val="decimal"/>
      <w:isLgl/>
      <w:lvlText w:val="%1.%2.%3.%4.%5."/>
      <w:lvlJc w:val="left"/>
      <w:pPr>
        <w:ind w:left="2080" w:hanging="1080"/>
      </w:pPr>
      <w:rPr>
        <w:rFonts w:hint="default"/>
      </w:rPr>
    </w:lvl>
    <w:lvl w:ilvl="5">
      <w:start w:val="1"/>
      <w:numFmt w:val="decimal"/>
      <w:isLgl/>
      <w:lvlText w:val="%1.%2.%3.%4.%5.%6."/>
      <w:lvlJc w:val="left"/>
      <w:pPr>
        <w:ind w:left="2080" w:hanging="1080"/>
      </w:pPr>
      <w:rPr>
        <w:rFonts w:hint="default"/>
      </w:rPr>
    </w:lvl>
    <w:lvl w:ilvl="6">
      <w:start w:val="1"/>
      <w:numFmt w:val="decimal"/>
      <w:isLgl/>
      <w:lvlText w:val="%1.%2.%3.%4.%5.%6.%7."/>
      <w:lvlJc w:val="left"/>
      <w:pPr>
        <w:ind w:left="2440" w:hanging="1440"/>
      </w:pPr>
      <w:rPr>
        <w:rFonts w:hint="default"/>
      </w:rPr>
    </w:lvl>
    <w:lvl w:ilvl="7">
      <w:start w:val="1"/>
      <w:numFmt w:val="decimal"/>
      <w:isLgl/>
      <w:lvlText w:val="%1.%2.%3.%4.%5.%6.%7.%8."/>
      <w:lvlJc w:val="left"/>
      <w:pPr>
        <w:ind w:left="2440" w:hanging="1440"/>
      </w:pPr>
      <w:rPr>
        <w:rFonts w:hint="default"/>
      </w:rPr>
    </w:lvl>
    <w:lvl w:ilvl="8">
      <w:start w:val="1"/>
      <w:numFmt w:val="decimal"/>
      <w:isLgl/>
      <w:lvlText w:val="%1.%2.%3.%4.%5.%6.%7.%8.%9."/>
      <w:lvlJc w:val="left"/>
      <w:pPr>
        <w:ind w:left="2800" w:hanging="1800"/>
      </w:pPr>
      <w:rPr>
        <w:rFonts w:hint="default"/>
      </w:rPr>
    </w:lvl>
  </w:abstractNum>
  <w:abstractNum w:abstractNumId="23">
    <w:nsid w:val="460905E4"/>
    <w:multiLevelType w:val="hybridMultilevel"/>
    <w:tmpl w:val="62F85A46"/>
    <w:lvl w:ilvl="0" w:tplc="04190001">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24">
    <w:nsid w:val="4D7A1116"/>
    <w:multiLevelType w:val="hybridMultilevel"/>
    <w:tmpl w:val="6AB04C6C"/>
    <w:lvl w:ilvl="0" w:tplc="04190001">
      <w:start w:val="1"/>
      <w:numFmt w:val="bullet"/>
      <w:lvlText w:val=""/>
      <w:lvlJc w:val="left"/>
      <w:pPr>
        <w:ind w:left="1490" w:hanging="360"/>
      </w:pPr>
      <w:rPr>
        <w:rFonts w:ascii="Symbol" w:hAnsi="Symbol" w:hint="default"/>
      </w:rPr>
    </w:lvl>
    <w:lvl w:ilvl="1" w:tplc="04190003" w:tentative="1">
      <w:start w:val="1"/>
      <w:numFmt w:val="bullet"/>
      <w:lvlText w:val="o"/>
      <w:lvlJc w:val="left"/>
      <w:pPr>
        <w:ind w:left="2210" w:hanging="360"/>
      </w:pPr>
      <w:rPr>
        <w:rFonts w:ascii="Courier New" w:hAnsi="Courier New" w:cs="Courier New" w:hint="default"/>
      </w:rPr>
    </w:lvl>
    <w:lvl w:ilvl="2" w:tplc="04190005" w:tentative="1">
      <w:start w:val="1"/>
      <w:numFmt w:val="bullet"/>
      <w:lvlText w:val=""/>
      <w:lvlJc w:val="left"/>
      <w:pPr>
        <w:ind w:left="2930" w:hanging="360"/>
      </w:pPr>
      <w:rPr>
        <w:rFonts w:ascii="Wingdings" w:hAnsi="Wingdings" w:hint="default"/>
      </w:rPr>
    </w:lvl>
    <w:lvl w:ilvl="3" w:tplc="04190001" w:tentative="1">
      <w:start w:val="1"/>
      <w:numFmt w:val="bullet"/>
      <w:lvlText w:val=""/>
      <w:lvlJc w:val="left"/>
      <w:pPr>
        <w:ind w:left="3650" w:hanging="360"/>
      </w:pPr>
      <w:rPr>
        <w:rFonts w:ascii="Symbol" w:hAnsi="Symbol" w:hint="default"/>
      </w:rPr>
    </w:lvl>
    <w:lvl w:ilvl="4" w:tplc="04190003" w:tentative="1">
      <w:start w:val="1"/>
      <w:numFmt w:val="bullet"/>
      <w:lvlText w:val="o"/>
      <w:lvlJc w:val="left"/>
      <w:pPr>
        <w:ind w:left="4370" w:hanging="360"/>
      </w:pPr>
      <w:rPr>
        <w:rFonts w:ascii="Courier New" w:hAnsi="Courier New" w:cs="Courier New" w:hint="default"/>
      </w:rPr>
    </w:lvl>
    <w:lvl w:ilvl="5" w:tplc="04190005" w:tentative="1">
      <w:start w:val="1"/>
      <w:numFmt w:val="bullet"/>
      <w:lvlText w:val=""/>
      <w:lvlJc w:val="left"/>
      <w:pPr>
        <w:ind w:left="5090" w:hanging="360"/>
      </w:pPr>
      <w:rPr>
        <w:rFonts w:ascii="Wingdings" w:hAnsi="Wingdings" w:hint="default"/>
      </w:rPr>
    </w:lvl>
    <w:lvl w:ilvl="6" w:tplc="04190001" w:tentative="1">
      <w:start w:val="1"/>
      <w:numFmt w:val="bullet"/>
      <w:lvlText w:val=""/>
      <w:lvlJc w:val="left"/>
      <w:pPr>
        <w:ind w:left="5810" w:hanging="360"/>
      </w:pPr>
      <w:rPr>
        <w:rFonts w:ascii="Symbol" w:hAnsi="Symbol" w:hint="default"/>
      </w:rPr>
    </w:lvl>
    <w:lvl w:ilvl="7" w:tplc="04190003" w:tentative="1">
      <w:start w:val="1"/>
      <w:numFmt w:val="bullet"/>
      <w:lvlText w:val="o"/>
      <w:lvlJc w:val="left"/>
      <w:pPr>
        <w:ind w:left="6530" w:hanging="360"/>
      </w:pPr>
      <w:rPr>
        <w:rFonts w:ascii="Courier New" w:hAnsi="Courier New" w:cs="Courier New" w:hint="default"/>
      </w:rPr>
    </w:lvl>
    <w:lvl w:ilvl="8" w:tplc="04190005" w:tentative="1">
      <w:start w:val="1"/>
      <w:numFmt w:val="bullet"/>
      <w:lvlText w:val=""/>
      <w:lvlJc w:val="left"/>
      <w:pPr>
        <w:ind w:left="7250" w:hanging="360"/>
      </w:pPr>
      <w:rPr>
        <w:rFonts w:ascii="Wingdings" w:hAnsi="Wingdings" w:hint="default"/>
      </w:rPr>
    </w:lvl>
  </w:abstractNum>
  <w:abstractNum w:abstractNumId="25">
    <w:nsid w:val="56664DA2"/>
    <w:multiLevelType w:val="hybridMultilevel"/>
    <w:tmpl w:val="FAD426D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6">
    <w:nsid w:val="57B46405"/>
    <w:multiLevelType w:val="hybridMultilevel"/>
    <w:tmpl w:val="AEC6661C"/>
    <w:lvl w:ilvl="0" w:tplc="0419000D">
      <w:start w:val="1"/>
      <w:numFmt w:val="bullet"/>
      <w:lvlText w:val=""/>
      <w:lvlJc w:val="left"/>
      <w:pPr>
        <w:ind w:left="1070" w:hanging="360"/>
      </w:pPr>
      <w:rPr>
        <w:rFonts w:ascii="Wingdings" w:hAnsi="Wingdings"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7">
    <w:nsid w:val="5A9F4B92"/>
    <w:multiLevelType w:val="hybridMultilevel"/>
    <w:tmpl w:val="B352CCAE"/>
    <w:lvl w:ilvl="0" w:tplc="4FC6EF30">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600861C3"/>
    <w:multiLevelType w:val="hybridMultilevel"/>
    <w:tmpl w:val="8D28DAC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29">
    <w:nsid w:val="62E115C7"/>
    <w:multiLevelType w:val="multilevel"/>
    <w:tmpl w:val="2DC8AEAE"/>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0">
    <w:nsid w:val="64DD2CFC"/>
    <w:multiLevelType w:val="hybridMultilevel"/>
    <w:tmpl w:val="002AC75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693717D"/>
    <w:multiLevelType w:val="hybridMultilevel"/>
    <w:tmpl w:val="239C6EE4"/>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67F86D09"/>
    <w:multiLevelType w:val="hybridMultilevel"/>
    <w:tmpl w:val="AB6AA696"/>
    <w:lvl w:ilvl="0" w:tplc="9EF243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3">
    <w:nsid w:val="6988501B"/>
    <w:multiLevelType w:val="multilevel"/>
    <w:tmpl w:val="C672A36A"/>
    <w:lvl w:ilvl="0">
      <w:start w:val="1"/>
      <w:numFmt w:val="decimal"/>
      <w:lvlText w:val="%1."/>
      <w:lvlJc w:val="left"/>
      <w:pPr>
        <w:ind w:left="1428" w:hanging="360"/>
      </w:pPr>
      <w:rPr>
        <w:rFonts w:ascii="Times New Roman" w:eastAsia="Times New Roman" w:hAnsi="Times New Roman" w:cs="Times New Roman"/>
      </w:r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34">
    <w:nsid w:val="6FAF6D7C"/>
    <w:multiLevelType w:val="hybridMultilevel"/>
    <w:tmpl w:val="030AF310"/>
    <w:lvl w:ilvl="0" w:tplc="04190001">
      <w:start w:val="1"/>
      <w:numFmt w:val="bullet"/>
      <w:lvlText w:val=""/>
      <w:lvlJc w:val="left"/>
      <w:pPr>
        <w:ind w:left="1488" w:hanging="360"/>
      </w:pPr>
      <w:rPr>
        <w:rFonts w:ascii="Symbol" w:hAnsi="Symbol" w:hint="default"/>
      </w:rPr>
    </w:lvl>
    <w:lvl w:ilvl="1" w:tplc="04190003" w:tentative="1">
      <w:start w:val="1"/>
      <w:numFmt w:val="bullet"/>
      <w:lvlText w:val="o"/>
      <w:lvlJc w:val="left"/>
      <w:pPr>
        <w:ind w:left="2208" w:hanging="360"/>
      </w:pPr>
      <w:rPr>
        <w:rFonts w:ascii="Courier New" w:hAnsi="Courier New" w:cs="Courier New" w:hint="default"/>
      </w:rPr>
    </w:lvl>
    <w:lvl w:ilvl="2" w:tplc="04190005" w:tentative="1">
      <w:start w:val="1"/>
      <w:numFmt w:val="bullet"/>
      <w:lvlText w:val=""/>
      <w:lvlJc w:val="left"/>
      <w:pPr>
        <w:ind w:left="2928" w:hanging="360"/>
      </w:pPr>
      <w:rPr>
        <w:rFonts w:ascii="Wingdings" w:hAnsi="Wingdings" w:hint="default"/>
      </w:rPr>
    </w:lvl>
    <w:lvl w:ilvl="3" w:tplc="04190001" w:tentative="1">
      <w:start w:val="1"/>
      <w:numFmt w:val="bullet"/>
      <w:lvlText w:val=""/>
      <w:lvlJc w:val="left"/>
      <w:pPr>
        <w:ind w:left="3648" w:hanging="360"/>
      </w:pPr>
      <w:rPr>
        <w:rFonts w:ascii="Symbol" w:hAnsi="Symbol" w:hint="default"/>
      </w:rPr>
    </w:lvl>
    <w:lvl w:ilvl="4" w:tplc="04190003" w:tentative="1">
      <w:start w:val="1"/>
      <w:numFmt w:val="bullet"/>
      <w:lvlText w:val="o"/>
      <w:lvlJc w:val="left"/>
      <w:pPr>
        <w:ind w:left="4368" w:hanging="360"/>
      </w:pPr>
      <w:rPr>
        <w:rFonts w:ascii="Courier New" w:hAnsi="Courier New" w:cs="Courier New" w:hint="default"/>
      </w:rPr>
    </w:lvl>
    <w:lvl w:ilvl="5" w:tplc="04190005" w:tentative="1">
      <w:start w:val="1"/>
      <w:numFmt w:val="bullet"/>
      <w:lvlText w:val=""/>
      <w:lvlJc w:val="left"/>
      <w:pPr>
        <w:ind w:left="5088" w:hanging="360"/>
      </w:pPr>
      <w:rPr>
        <w:rFonts w:ascii="Wingdings" w:hAnsi="Wingdings" w:hint="default"/>
      </w:rPr>
    </w:lvl>
    <w:lvl w:ilvl="6" w:tplc="04190001" w:tentative="1">
      <w:start w:val="1"/>
      <w:numFmt w:val="bullet"/>
      <w:lvlText w:val=""/>
      <w:lvlJc w:val="left"/>
      <w:pPr>
        <w:ind w:left="5808" w:hanging="360"/>
      </w:pPr>
      <w:rPr>
        <w:rFonts w:ascii="Symbol" w:hAnsi="Symbol" w:hint="default"/>
      </w:rPr>
    </w:lvl>
    <w:lvl w:ilvl="7" w:tplc="04190003" w:tentative="1">
      <w:start w:val="1"/>
      <w:numFmt w:val="bullet"/>
      <w:lvlText w:val="o"/>
      <w:lvlJc w:val="left"/>
      <w:pPr>
        <w:ind w:left="6528" w:hanging="360"/>
      </w:pPr>
      <w:rPr>
        <w:rFonts w:ascii="Courier New" w:hAnsi="Courier New" w:cs="Courier New" w:hint="default"/>
      </w:rPr>
    </w:lvl>
    <w:lvl w:ilvl="8" w:tplc="04190005" w:tentative="1">
      <w:start w:val="1"/>
      <w:numFmt w:val="bullet"/>
      <w:lvlText w:val=""/>
      <w:lvlJc w:val="left"/>
      <w:pPr>
        <w:ind w:left="7248" w:hanging="360"/>
      </w:pPr>
      <w:rPr>
        <w:rFonts w:ascii="Wingdings" w:hAnsi="Wingdings" w:hint="default"/>
      </w:rPr>
    </w:lvl>
  </w:abstractNum>
  <w:abstractNum w:abstractNumId="35">
    <w:nsid w:val="70AD74F5"/>
    <w:multiLevelType w:val="multilevel"/>
    <w:tmpl w:val="777C4EA4"/>
    <w:lvl w:ilvl="0">
      <w:start w:val="7"/>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nsid w:val="74187D0E"/>
    <w:multiLevelType w:val="multilevel"/>
    <w:tmpl w:val="93EC4556"/>
    <w:lvl w:ilvl="0">
      <w:start w:val="4"/>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nsid w:val="75616CF8"/>
    <w:multiLevelType w:val="multilevel"/>
    <w:tmpl w:val="79227748"/>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8">
    <w:nsid w:val="77E5508C"/>
    <w:multiLevelType w:val="hybridMultilevel"/>
    <w:tmpl w:val="81D665F6"/>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4"/>
  </w:num>
  <w:num w:numId="2">
    <w:abstractNumId w:val="11"/>
  </w:num>
  <w:num w:numId="3">
    <w:abstractNumId w:val="28"/>
  </w:num>
  <w:num w:numId="4">
    <w:abstractNumId w:val="23"/>
  </w:num>
  <w:num w:numId="5">
    <w:abstractNumId w:val="34"/>
  </w:num>
  <w:num w:numId="6">
    <w:abstractNumId w:val="30"/>
  </w:num>
  <w:num w:numId="7">
    <w:abstractNumId w:val="12"/>
  </w:num>
  <w:num w:numId="8">
    <w:abstractNumId w:val="7"/>
  </w:num>
  <w:num w:numId="9">
    <w:abstractNumId w:val="5"/>
  </w:num>
  <w:num w:numId="10">
    <w:abstractNumId w:val="10"/>
  </w:num>
  <w:num w:numId="11">
    <w:abstractNumId w:val="1"/>
  </w:num>
  <w:num w:numId="12">
    <w:abstractNumId w:val="19"/>
  </w:num>
  <w:num w:numId="13">
    <w:abstractNumId w:val="9"/>
  </w:num>
  <w:num w:numId="14">
    <w:abstractNumId w:val="16"/>
  </w:num>
  <w:num w:numId="15">
    <w:abstractNumId w:val="18"/>
  </w:num>
  <w:num w:numId="16">
    <w:abstractNumId w:val="0"/>
  </w:num>
  <w:num w:numId="17">
    <w:abstractNumId w:val="3"/>
  </w:num>
  <w:num w:numId="18">
    <w:abstractNumId w:val="26"/>
  </w:num>
  <w:num w:numId="19">
    <w:abstractNumId w:val="22"/>
  </w:num>
  <w:num w:numId="20">
    <w:abstractNumId w:val="17"/>
  </w:num>
  <w:num w:numId="21">
    <w:abstractNumId w:val="15"/>
  </w:num>
  <w:num w:numId="22">
    <w:abstractNumId w:val="27"/>
  </w:num>
  <w:num w:numId="23">
    <w:abstractNumId w:val="31"/>
  </w:num>
  <w:num w:numId="24">
    <w:abstractNumId w:val="8"/>
  </w:num>
  <w:num w:numId="25">
    <w:abstractNumId w:val="38"/>
  </w:num>
  <w:num w:numId="26">
    <w:abstractNumId w:val="6"/>
  </w:num>
  <w:num w:numId="27">
    <w:abstractNumId w:val="4"/>
  </w:num>
  <w:num w:numId="28">
    <w:abstractNumId w:val="24"/>
  </w:num>
  <w:num w:numId="29">
    <w:abstractNumId w:val="2"/>
  </w:num>
  <w:num w:numId="30">
    <w:abstractNumId w:val="25"/>
  </w:num>
  <w:num w:numId="31">
    <w:abstractNumId w:val="29"/>
  </w:num>
  <w:num w:numId="32">
    <w:abstractNumId w:val="32"/>
  </w:num>
  <w:num w:numId="33">
    <w:abstractNumId w:val="20"/>
  </w:num>
  <w:num w:numId="34">
    <w:abstractNumId w:val="33"/>
  </w:num>
  <w:num w:numId="35">
    <w:abstractNumId w:val="35"/>
  </w:num>
  <w:num w:numId="36">
    <w:abstractNumId w:val="21"/>
  </w:num>
  <w:num w:numId="37">
    <w:abstractNumId w:val="37"/>
  </w:num>
  <w:num w:numId="38">
    <w:abstractNumId w:val="36"/>
  </w:num>
  <w:num w:numId="39">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3074"/>
    <o:shapelayout v:ext="edit">
      <o:idmap v:ext="edit" data="1"/>
      <o:rules v:ext="edit">
        <o:r id="V:Rule1" type="connector" idref="#AutoShape 59"/>
        <o:r id="V:Rule2" type="connector" idref="#AutoShape 67"/>
        <o:r id="V:Rule3" type="connector" idref="#AutoShape 59"/>
        <o:r id="V:Rule4" type="connector" idref="#AutoShape 60"/>
        <o:r id="V:Rule5" type="connector" idref="#AutoShape 65"/>
        <o:r id="V:Rule6" type="connector" idref="#AutoShape 62"/>
        <o:r id="V:Rule7" type="connector" idref="#AutoShape 61"/>
        <o:r id="V:Rule8" type="connector" idref="#AutoShape 62"/>
        <o:r id="V:Rule9" type="connector" idref="#Прямая со стрелкой 5"/>
        <o:r id="V:Rule10" type="connector" idref="#Прямая со стрелкой 5"/>
        <o:r id="V:Rule11" type="connector" idref="#Прямая со стрелкой 5"/>
        <o:r id="V:Rule12" type="connector" idref="#Прямая со стрелкой 5"/>
      </o:rules>
    </o:shapelayout>
  </w:shapeDefaults>
  <w:decimalSymbol w:val=","/>
  <w:listSeparator w:val=";"/>
  <w15:chartTrackingRefBased/>
  <w15:docId w15:val="{290EF307-72E1-4AE1-8511-09177F69B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pPr>
      <w:keepNext/>
      <w:outlineLvl w:val="0"/>
    </w:pPr>
    <w:rPr>
      <w:b/>
      <w:lang w:val="x-none" w:eastAsia="x-none"/>
    </w:rPr>
  </w:style>
  <w:style w:type="paragraph" w:styleId="2">
    <w:name w:val="heading 2"/>
    <w:basedOn w:val="a"/>
    <w:next w:val="a"/>
    <w:qFormat/>
    <w:pPr>
      <w:keepNext/>
      <w:outlineLvl w:val="1"/>
    </w:pPr>
    <w:rPr>
      <w:sz w:val="28"/>
    </w:rPr>
  </w:style>
  <w:style w:type="paragraph" w:styleId="3">
    <w:name w:val="heading 3"/>
    <w:basedOn w:val="a"/>
    <w:next w:val="a"/>
    <w:link w:val="30"/>
    <w:qFormat/>
    <w:pPr>
      <w:keepNext/>
      <w:spacing w:before="240" w:after="60"/>
      <w:outlineLvl w:val="2"/>
    </w:pPr>
    <w:rPr>
      <w:rFonts w:ascii="Arial" w:hAnsi="Arial"/>
      <w:b/>
      <w:bCs/>
      <w:sz w:val="26"/>
      <w:szCs w:val="26"/>
      <w:lang w:val="x-none" w:eastAsia="x-none"/>
    </w:rPr>
  </w:style>
  <w:style w:type="paragraph" w:styleId="4">
    <w:name w:val="heading 4"/>
    <w:basedOn w:val="a"/>
    <w:next w:val="a"/>
    <w:qFormat/>
    <w:pPr>
      <w:keepNext/>
      <w:tabs>
        <w:tab w:val="left" w:pos="5529"/>
      </w:tabs>
      <w:ind w:right="-87" w:firstLine="993"/>
      <w:jc w:val="both"/>
      <w:outlineLvl w:val="3"/>
    </w:pPr>
    <w:rPr>
      <w:sz w:val="24"/>
    </w:rPr>
  </w:style>
  <w:style w:type="paragraph" w:styleId="5">
    <w:name w:val="heading 5"/>
    <w:basedOn w:val="a"/>
    <w:next w:val="a"/>
    <w:qFormat/>
    <w:pPr>
      <w:keepNext/>
      <w:outlineLvl w:val="4"/>
    </w:pPr>
    <w:rPr>
      <w:sz w:val="24"/>
    </w:rPr>
  </w:style>
  <w:style w:type="paragraph" w:styleId="6">
    <w:name w:val="heading 6"/>
    <w:basedOn w:val="a"/>
    <w:next w:val="a"/>
    <w:qFormat/>
    <w:pPr>
      <w:keepNext/>
      <w:tabs>
        <w:tab w:val="left" w:pos="5529"/>
      </w:tabs>
      <w:outlineLvl w:val="5"/>
    </w:pPr>
    <w:rPr>
      <w:b/>
      <w:sz w:val="28"/>
    </w:rPr>
  </w:style>
  <w:style w:type="paragraph" w:styleId="7">
    <w:name w:val="heading 7"/>
    <w:basedOn w:val="a"/>
    <w:next w:val="a"/>
    <w:qFormat/>
    <w:pPr>
      <w:keepNext/>
      <w:jc w:val="both"/>
      <w:outlineLvl w:val="6"/>
    </w:pPr>
    <w:rPr>
      <w:sz w:val="24"/>
    </w:rPr>
  </w:style>
  <w:style w:type="paragraph" w:styleId="8">
    <w:name w:val="heading 8"/>
    <w:basedOn w:val="a"/>
    <w:next w:val="a"/>
    <w:qFormat/>
    <w:pPr>
      <w:keepNext/>
      <w:ind w:firstLine="708"/>
      <w:jc w:val="both"/>
      <w:outlineLvl w:val="7"/>
    </w:pPr>
    <w:rPr>
      <w:sz w:val="24"/>
      <w:szCs w:val="24"/>
    </w:rPr>
  </w:style>
  <w:style w:type="paragraph" w:styleId="9">
    <w:name w:val="heading 9"/>
    <w:basedOn w:val="a"/>
    <w:next w:val="a"/>
    <w:qFormat/>
    <w:pPr>
      <w:keepNext/>
      <w:jc w:val="both"/>
      <w:outlineLvl w:val="8"/>
    </w:pPr>
    <w:rPr>
      <w:sz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b/>
    </w:rPr>
  </w:style>
  <w:style w:type="character" w:customStyle="1" w:styleId="30">
    <w:name w:val="Заголовок 3 Знак"/>
    <w:link w:val="3"/>
    <w:rPr>
      <w:rFonts w:ascii="Arial" w:hAnsi="Arial" w:cs="Arial"/>
      <w:b/>
      <w:bCs/>
      <w:sz w:val="26"/>
      <w:szCs w:val="26"/>
    </w:rPr>
  </w:style>
  <w:style w:type="paragraph" w:customStyle="1" w:styleId="a3">
    <w:name w:val="Знак Знак"/>
    <w:basedOn w:val="a"/>
    <w:pPr>
      <w:spacing w:before="100" w:beforeAutospacing="1" w:after="100" w:afterAutospacing="1"/>
    </w:pPr>
    <w:rPr>
      <w:rFonts w:ascii="Tahoma" w:hAnsi="Tahoma"/>
      <w:lang w:val="en-US" w:eastAsia="en-US"/>
    </w:rPr>
  </w:style>
  <w:style w:type="paragraph" w:styleId="20">
    <w:name w:val="Body Text 2"/>
    <w:basedOn w:val="a"/>
    <w:link w:val="21"/>
    <w:pPr>
      <w:ind w:right="43"/>
      <w:jc w:val="both"/>
    </w:pPr>
    <w:rPr>
      <w:sz w:val="24"/>
      <w:lang w:val="x-none" w:eastAsia="x-none"/>
    </w:rPr>
  </w:style>
  <w:style w:type="character" w:customStyle="1" w:styleId="21">
    <w:name w:val="Основной текст 2 Знак"/>
    <w:link w:val="20"/>
    <w:rPr>
      <w:sz w:val="24"/>
    </w:rPr>
  </w:style>
  <w:style w:type="paragraph" w:styleId="31">
    <w:name w:val="Body Text 3"/>
    <w:basedOn w:val="a"/>
    <w:link w:val="32"/>
    <w:pPr>
      <w:tabs>
        <w:tab w:val="left" w:pos="5529"/>
      </w:tabs>
      <w:ind w:right="-1050"/>
      <w:jc w:val="both"/>
    </w:pPr>
    <w:rPr>
      <w:sz w:val="28"/>
    </w:rPr>
  </w:style>
  <w:style w:type="character" w:customStyle="1" w:styleId="32">
    <w:name w:val="Основной текст 3 Знак"/>
    <w:link w:val="31"/>
    <w:rPr>
      <w:sz w:val="28"/>
      <w:lang w:val="ru-RU" w:eastAsia="ru-RU" w:bidi="ar-SA"/>
    </w:rPr>
  </w:style>
  <w:style w:type="paragraph" w:styleId="a4">
    <w:name w:val="Title"/>
    <w:basedOn w:val="a"/>
    <w:qFormat/>
    <w:pPr>
      <w:jc w:val="center"/>
    </w:pPr>
    <w:rPr>
      <w:b/>
      <w:sz w:val="28"/>
    </w:rPr>
  </w:style>
  <w:style w:type="paragraph" w:styleId="a5">
    <w:name w:val="Body Text"/>
    <w:basedOn w:val="a"/>
    <w:link w:val="a6"/>
    <w:pPr>
      <w:spacing w:after="120"/>
    </w:pPr>
  </w:style>
  <w:style w:type="character" w:customStyle="1" w:styleId="a6">
    <w:name w:val="Основной текст Знак"/>
    <w:basedOn w:val="a0"/>
    <w:link w:val="a5"/>
  </w:style>
  <w:style w:type="paragraph" w:customStyle="1" w:styleId="11">
    <w:name w:val="Знак Знак1"/>
    <w:basedOn w:val="a"/>
    <w:pPr>
      <w:spacing w:after="160" w:line="240" w:lineRule="exact"/>
    </w:pPr>
    <w:rPr>
      <w:rFonts w:ascii="Verdana" w:hAnsi="Verdana"/>
      <w:lang w:val="en-US" w:eastAsia="en-US"/>
    </w:rPr>
  </w:style>
  <w:style w:type="paragraph" w:styleId="a7">
    <w:name w:val="Block Text"/>
    <w:basedOn w:val="a"/>
    <w:pPr>
      <w:ind w:left="720" w:right="43"/>
      <w:jc w:val="center"/>
    </w:pPr>
    <w:rPr>
      <w:sz w:val="24"/>
    </w:rPr>
  </w:style>
  <w:style w:type="paragraph" w:styleId="a8">
    <w:name w:val="Body Text Indent"/>
    <w:basedOn w:val="a"/>
    <w:link w:val="a9"/>
    <w:pPr>
      <w:spacing w:after="120"/>
      <w:ind w:left="283"/>
    </w:pPr>
  </w:style>
  <w:style w:type="character" w:customStyle="1" w:styleId="a9">
    <w:name w:val="Основной текст с отступом Знак"/>
    <w:basedOn w:val="a0"/>
    <w:link w:val="a8"/>
  </w:style>
  <w:style w:type="paragraph" w:customStyle="1" w:styleId="aa">
    <w:name w:val="Знак Знак Знак Знак Знак Знак"/>
    <w:basedOn w:val="a"/>
    <w:pPr>
      <w:spacing w:before="100" w:beforeAutospacing="1" w:after="100" w:afterAutospacing="1"/>
    </w:pPr>
    <w:rPr>
      <w:rFonts w:ascii="Tahoma" w:hAnsi="Tahoma"/>
      <w:lang w:val="en-US" w:eastAsia="en-US"/>
    </w:rPr>
  </w:style>
  <w:style w:type="paragraph" w:styleId="22">
    <w:name w:val="Body Text Indent 2"/>
    <w:basedOn w:val="a"/>
    <w:link w:val="23"/>
    <w:pPr>
      <w:ind w:right="43" w:firstLine="720"/>
      <w:jc w:val="both"/>
    </w:pPr>
    <w:rPr>
      <w:sz w:val="24"/>
      <w:lang w:val="x-none" w:eastAsia="x-none"/>
    </w:rPr>
  </w:style>
  <w:style w:type="paragraph" w:styleId="33">
    <w:name w:val="Body Text Indent 3"/>
    <w:basedOn w:val="a"/>
    <w:link w:val="34"/>
    <w:pPr>
      <w:ind w:firstLine="720"/>
      <w:jc w:val="both"/>
    </w:pPr>
    <w:rPr>
      <w:sz w:val="28"/>
      <w:lang w:val="x-none" w:eastAsia="x-none"/>
    </w:rPr>
  </w:style>
  <w:style w:type="character" w:customStyle="1" w:styleId="34">
    <w:name w:val="Основной текст с отступом 3 Знак"/>
    <w:link w:val="33"/>
    <w:rPr>
      <w:sz w:val="28"/>
    </w:rPr>
  </w:style>
  <w:style w:type="paragraph" w:styleId="ab">
    <w:name w:val="header"/>
    <w:basedOn w:val="a"/>
    <w:link w:val="ac"/>
    <w:uiPriority w:val="99"/>
    <w:pPr>
      <w:tabs>
        <w:tab w:val="center" w:pos="4153"/>
        <w:tab w:val="right" w:pos="8306"/>
      </w:tabs>
    </w:pPr>
  </w:style>
  <w:style w:type="character" w:customStyle="1" w:styleId="ac">
    <w:name w:val="Верхний колонтитул Знак"/>
    <w:link w:val="ab"/>
    <w:uiPriority w:val="99"/>
  </w:style>
  <w:style w:type="paragraph" w:styleId="ad">
    <w:name w:val="footer"/>
    <w:basedOn w:val="a"/>
    <w:link w:val="ae"/>
    <w:uiPriority w:val="99"/>
    <w:pPr>
      <w:tabs>
        <w:tab w:val="center" w:pos="4153"/>
        <w:tab w:val="right" w:pos="8306"/>
      </w:tabs>
    </w:pPr>
  </w:style>
  <w:style w:type="character" w:customStyle="1" w:styleId="ae">
    <w:name w:val="Нижний колонтитул Знак"/>
    <w:basedOn w:val="a0"/>
    <w:link w:val="ad"/>
    <w:uiPriority w:val="99"/>
  </w:style>
  <w:style w:type="character" w:styleId="af">
    <w:name w:val="page number"/>
    <w:basedOn w:val="a0"/>
  </w:style>
  <w:style w:type="paragraph" w:styleId="af0">
    <w:name w:val="Plain Text"/>
    <w:basedOn w:val="a"/>
    <w:rPr>
      <w:rFonts w:ascii="Courier New" w:hAnsi="Courier New" w:cs="Courier New"/>
    </w:rPr>
  </w:style>
  <w:style w:type="character" w:styleId="af1">
    <w:name w:val="Hyperlink"/>
    <w:rPr>
      <w:color w:val="0000FF"/>
      <w:u w:val="single"/>
    </w:rPr>
  </w:style>
  <w:style w:type="paragraph" w:customStyle="1" w:styleId="12">
    <w:name w:val="Обычный1"/>
    <w:pPr>
      <w:widowControl w:val="0"/>
      <w:snapToGrid w:val="0"/>
    </w:pPr>
    <w:rPr>
      <w:sz w:val="28"/>
    </w:rPr>
  </w:style>
  <w:style w:type="character" w:customStyle="1" w:styleId="af2">
    <w:name w:val="Знак"/>
    <w:basedOn w:val="a0"/>
  </w:style>
  <w:style w:type="paragraph" w:customStyle="1" w:styleId="af3">
    <w:name w:val="Знак Знак Знак Знак"/>
    <w:basedOn w:val="a"/>
    <w:rPr>
      <w:rFonts w:ascii="Verdana" w:hAnsi="Verdana" w:cs="Verdana"/>
      <w:lang w:val="en-US" w:eastAsia="en-US"/>
    </w:rPr>
  </w:style>
  <w:style w:type="paragraph" w:customStyle="1" w:styleId="13">
    <w:name w:val="Знак Знак1 Знак Знак Знак Знак Знак Знак Знак Знак Знак Знак"/>
    <w:basedOn w:val="a"/>
    <w:pPr>
      <w:spacing w:after="160" w:line="240" w:lineRule="exact"/>
    </w:pPr>
    <w:rPr>
      <w:rFonts w:ascii="Verdana" w:hAnsi="Verdana"/>
      <w:lang w:val="en-US" w:eastAsia="en-US"/>
    </w:rPr>
  </w:style>
  <w:style w:type="paragraph" w:customStyle="1" w:styleId="af4">
    <w:name w:val="Знак Знак Знак Знак Знак Знак Знак Знак"/>
    <w:basedOn w:val="a"/>
    <w:pPr>
      <w:spacing w:after="160" w:line="240" w:lineRule="exact"/>
    </w:pPr>
    <w:rPr>
      <w:rFonts w:ascii="Verdana" w:hAnsi="Verdana"/>
      <w:lang w:val="en-US" w:eastAsia="en-US"/>
    </w:rPr>
  </w:style>
  <w:style w:type="paragraph" w:customStyle="1" w:styleId="14">
    <w:name w:val="Знак Знак Знак Знак Знак Знак1 Знак Знак Знак Знак Знак Знак Знак Знак Знак Знак"/>
    <w:basedOn w:val="a"/>
    <w:pPr>
      <w:tabs>
        <w:tab w:val="num" w:pos="360"/>
      </w:tabs>
      <w:spacing w:after="160" w:line="240" w:lineRule="exact"/>
    </w:pPr>
    <w:rPr>
      <w:rFonts w:ascii="Verdana" w:hAnsi="Verdana" w:cs="Verdana"/>
      <w:lang w:val="en-US" w:eastAsia="en-US"/>
    </w:rPr>
  </w:style>
  <w:style w:type="character" w:customStyle="1" w:styleId="af5">
    <w:name w:val="Знак Знак"/>
    <w:rPr>
      <w:sz w:val="28"/>
      <w:lang w:val="ru-RU" w:eastAsia="ru-RU" w:bidi="ar-SA"/>
    </w:rPr>
  </w:style>
  <w:style w:type="paragraph" w:customStyle="1" w:styleId="ConsPlusCell">
    <w:name w:val="ConsPlusCell"/>
    <w:pPr>
      <w:autoSpaceDE w:val="0"/>
      <w:autoSpaceDN w:val="0"/>
      <w:adjustRightInd w:val="0"/>
    </w:pPr>
  </w:style>
  <w:style w:type="paragraph" w:styleId="af6">
    <w:name w:val="Balloon Text"/>
    <w:basedOn w:val="a"/>
    <w:semiHidden/>
    <w:rPr>
      <w:rFonts w:ascii="Tahoma" w:hAnsi="Tahoma" w:cs="Tahoma"/>
      <w:sz w:val="16"/>
      <w:szCs w:val="16"/>
    </w:rPr>
  </w:style>
  <w:style w:type="paragraph" w:customStyle="1" w:styleId="24">
    <w:name w:val="Знак2"/>
    <w:basedOn w:val="a"/>
    <w:rPr>
      <w:rFonts w:ascii="Verdana" w:hAnsi="Verdana" w:cs="Verdana"/>
      <w:lang w:val="en-US" w:eastAsia="en-US"/>
    </w:rPr>
  </w:style>
  <w:style w:type="table" w:styleId="af7">
    <w:name w:val="Table Grid"/>
    <w:basedOn w:val="a1"/>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0">
    <w:name w:val="Основной текст с отступом 21"/>
    <w:basedOn w:val="a"/>
    <w:uiPriority w:val="99"/>
    <w:pPr>
      <w:suppressAutoHyphens/>
      <w:ind w:firstLine="360"/>
      <w:jc w:val="both"/>
    </w:pPr>
    <w:rPr>
      <w:sz w:val="24"/>
      <w:lang w:eastAsia="ar-SA"/>
    </w:rPr>
  </w:style>
  <w:style w:type="paragraph" w:styleId="af8">
    <w:name w:val="List Paragraph"/>
    <w:basedOn w:val="a"/>
    <w:uiPriority w:val="34"/>
    <w:qFormat/>
    <w:pPr>
      <w:ind w:left="720"/>
      <w:contextualSpacing/>
    </w:pPr>
  </w:style>
  <w:style w:type="paragraph" w:customStyle="1" w:styleId="15">
    <w:name w:val="Знак Знак Знак Знак Знак Знак Знак1"/>
    <w:basedOn w:val="a"/>
    <w:autoRedefine/>
    <w:pPr>
      <w:spacing w:after="160" w:line="240" w:lineRule="exact"/>
      <w:ind w:left="540"/>
    </w:pPr>
    <w:rPr>
      <w:rFonts w:eastAsia="SimSun"/>
      <w:b/>
      <w:sz w:val="32"/>
      <w:szCs w:val="32"/>
      <w:lang w:eastAsia="en-US"/>
    </w:rPr>
  </w:style>
  <w:style w:type="character" w:customStyle="1" w:styleId="25">
    <w:name w:val="Основной текст (2)_"/>
    <w:link w:val="26"/>
    <w:rPr>
      <w:b/>
      <w:bCs/>
      <w:spacing w:val="6"/>
      <w:sz w:val="13"/>
      <w:szCs w:val="13"/>
      <w:shd w:val="clear" w:color="auto" w:fill="FFFFFF"/>
    </w:rPr>
  </w:style>
  <w:style w:type="paragraph" w:customStyle="1" w:styleId="26">
    <w:name w:val="Основной текст (2)"/>
    <w:basedOn w:val="a"/>
    <w:link w:val="25"/>
    <w:pPr>
      <w:widowControl w:val="0"/>
      <w:shd w:val="clear" w:color="auto" w:fill="FFFFFF"/>
      <w:spacing w:line="178" w:lineRule="exact"/>
      <w:ind w:hanging="1160"/>
    </w:pPr>
    <w:rPr>
      <w:b/>
      <w:bCs/>
      <w:spacing w:val="6"/>
      <w:sz w:val="13"/>
      <w:szCs w:val="13"/>
      <w:lang w:val="x-none" w:eastAsia="x-none"/>
    </w:rPr>
  </w:style>
  <w:style w:type="character" w:customStyle="1" w:styleId="af9">
    <w:name w:val="Основной текст_"/>
    <w:link w:val="27"/>
    <w:rPr>
      <w:spacing w:val="2"/>
      <w:sz w:val="14"/>
      <w:szCs w:val="14"/>
      <w:shd w:val="clear" w:color="auto" w:fill="FFFFFF"/>
    </w:rPr>
  </w:style>
  <w:style w:type="paragraph" w:customStyle="1" w:styleId="27">
    <w:name w:val="Основной текст2"/>
    <w:basedOn w:val="a"/>
    <w:link w:val="af9"/>
    <w:pPr>
      <w:widowControl w:val="0"/>
      <w:shd w:val="clear" w:color="auto" w:fill="FFFFFF"/>
      <w:spacing w:line="182" w:lineRule="exact"/>
      <w:ind w:firstLine="480"/>
      <w:jc w:val="both"/>
    </w:pPr>
    <w:rPr>
      <w:spacing w:val="2"/>
      <w:sz w:val="14"/>
      <w:szCs w:val="14"/>
      <w:lang w:val="x-none" w:eastAsia="x-none"/>
    </w:rPr>
  </w:style>
  <w:style w:type="character" w:customStyle="1" w:styleId="16">
    <w:name w:val="Основной текст1"/>
    <w:rPr>
      <w:color w:val="000000"/>
      <w:spacing w:val="2"/>
      <w:w w:val="100"/>
      <w:position w:val="0"/>
      <w:sz w:val="14"/>
      <w:szCs w:val="14"/>
      <w:u w:val="single"/>
      <w:shd w:val="clear" w:color="auto" w:fill="FFFFFF"/>
      <w:lang w:val="ru-RU"/>
    </w:rPr>
  </w:style>
  <w:style w:type="character" w:customStyle="1" w:styleId="afa">
    <w:name w:val="Подпись к таблице_"/>
    <w:link w:val="afb"/>
    <w:rPr>
      <w:spacing w:val="2"/>
      <w:sz w:val="14"/>
      <w:szCs w:val="14"/>
      <w:shd w:val="clear" w:color="auto" w:fill="FFFFFF"/>
    </w:rPr>
  </w:style>
  <w:style w:type="paragraph" w:customStyle="1" w:styleId="afb">
    <w:name w:val="Подпись к таблице"/>
    <w:basedOn w:val="a"/>
    <w:link w:val="afa"/>
    <w:pPr>
      <w:widowControl w:val="0"/>
      <w:shd w:val="clear" w:color="auto" w:fill="FFFFFF"/>
      <w:spacing w:line="0" w:lineRule="atLeast"/>
    </w:pPr>
    <w:rPr>
      <w:spacing w:val="2"/>
      <w:sz w:val="14"/>
      <w:szCs w:val="14"/>
      <w:lang w:val="x-none" w:eastAsia="x-none"/>
    </w:rPr>
  </w:style>
  <w:style w:type="character" w:customStyle="1" w:styleId="55pt">
    <w:name w:val="Основной текст + 5;5 pt"/>
    <w:rPr>
      <w:rFonts w:ascii="Times New Roman" w:eastAsia="Times New Roman" w:hAnsi="Times New Roman" w:cs="Times New Roman"/>
      <w:b w:val="0"/>
      <w:bCs w:val="0"/>
      <w:i w:val="0"/>
      <w:iCs w:val="0"/>
      <w:smallCaps w:val="0"/>
      <w:strike w:val="0"/>
      <w:color w:val="000000"/>
      <w:spacing w:val="2"/>
      <w:w w:val="100"/>
      <w:position w:val="0"/>
      <w:sz w:val="11"/>
      <w:szCs w:val="11"/>
      <w:u w:val="none"/>
      <w:shd w:val="clear" w:color="auto" w:fill="FFFFFF"/>
      <w:lang w:val="ru-RU"/>
    </w:rPr>
  </w:style>
  <w:style w:type="character" w:customStyle="1" w:styleId="28">
    <w:name w:val="Подпись к таблице (2)_"/>
    <w:link w:val="29"/>
    <w:rPr>
      <w:sz w:val="15"/>
      <w:szCs w:val="15"/>
      <w:shd w:val="clear" w:color="auto" w:fill="FFFFFF"/>
    </w:rPr>
  </w:style>
  <w:style w:type="paragraph" w:customStyle="1" w:styleId="29">
    <w:name w:val="Подпись к таблице (2)"/>
    <w:basedOn w:val="a"/>
    <w:link w:val="28"/>
    <w:pPr>
      <w:widowControl w:val="0"/>
      <w:shd w:val="clear" w:color="auto" w:fill="FFFFFF"/>
      <w:spacing w:line="0" w:lineRule="atLeast"/>
    </w:pPr>
    <w:rPr>
      <w:sz w:val="15"/>
      <w:szCs w:val="15"/>
      <w:lang w:val="x-none" w:eastAsia="x-none"/>
    </w:rPr>
  </w:style>
  <w:style w:type="character" w:customStyle="1" w:styleId="55pt0pt">
    <w:name w:val="Основной текст + 5;5 pt;Интервал 0 pt"/>
    <w:rPr>
      <w:rFonts w:ascii="Times New Roman" w:eastAsia="Times New Roman" w:hAnsi="Times New Roman" w:cs="Times New Roman"/>
      <w:b w:val="0"/>
      <w:bCs w:val="0"/>
      <w:i w:val="0"/>
      <w:iCs w:val="0"/>
      <w:smallCaps w:val="0"/>
      <w:strike w:val="0"/>
      <w:color w:val="000000"/>
      <w:spacing w:val="3"/>
      <w:w w:val="100"/>
      <w:position w:val="0"/>
      <w:sz w:val="11"/>
      <w:szCs w:val="11"/>
      <w:u w:val="none"/>
      <w:shd w:val="clear" w:color="auto" w:fill="FFFFFF"/>
      <w:lang w:val="ru-RU"/>
    </w:rPr>
  </w:style>
  <w:style w:type="character" w:customStyle="1" w:styleId="0pt">
    <w:name w:val="Основной текст + Интервал 0 pt"/>
    <w:rPr>
      <w:rFonts w:ascii="Times New Roman" w:eastAsia="Times New Roman" w:hAnsi="Times New Roman" w:cs="Times New Roman"/>
      <w:b w:val="0"/>
      <w:bCs w:val="0"/>
      <w:i w:val="0"/>
      <w:iCs w:val="0"/>
      <w:smallCaps w:val="0"/>
      <w:strike w:val="0"/>
      <w:color w:val="000000"/>
      <w:spacing w:val="3"/>
      <w:w w:val="100"/>
      <w:position w:val="0"/>
      <w:sz w:val="14"/>
      <w:szCs w:val="14"/>
      <w:u w:val="none"/>
      <w:shd w:val="clear" w:color="auto" w:fill="FFFFFF"/>
      <w:lang w:val="ru-RU"/>
    </w:rPr>
  </w:style>
  <w:style w:type="character" w:customStyle="1" w:styleId="65pt0pt">
    <w:name w:val="Основной текст + 6;5 pt;Полужирный;Интервал 0 pt"/>
    <w:rPr>
      <w:rFonts w:ascii="Times New Roman" w:eastAsia="Times New Roman" w:hAnsi="Times New Roman" w:cs="Times New Roman"/>
      <w:b/>
      <w:bCs/>
      <w:i w:val="0"/>
      <w:iCs w:val="0"/>
      <w:smallCaps w:val="0"/>
      <w:strike w:val="0"/>
      <w:color w:val="000000"/>
      <w:spacing w:val="0"/>
      <w:w w:val="100"/>
      <w:position w:val="0"/>
      <w:sz w:val="13"/>
      <w:szCs w:val="13"/>
      <w:u w:val="none"/>
      <w:shd w:val="clear" w:color="auto" w:fill="FFFFFF"/>
      <w:lang w:val="ru-RU"/>
    </w:rPr>
  </w:style>
  <w:style w:type="character" w:customStyle="1" w:styleId="0pt0">
    <w:name w:val="Подпись к таблице + Интервал 0 pt"/>
    <w:rPr>
      <w:rFonts w:ascii="Times New Roman" w:eastAsia="Times New Roman" w:hAnsi="Times New Roman" w:cs="Times New Roman"/>
      <w:b w:val="0"/>
      <w:bCs w:val="0"/>
      <w:i w:val="0"/>
      <w:iCs w:val="0"/>
      <w:smallCaps w:val="0"/>
      <w:strike w:val="0"/>
      <w:color w:val="000000"/>
      <w:spacing w:val="3"/>
      <w:w w:val="100"/>
      <w:position w:val="0"/>
      <w:sz w:val="14"/>
      <w:szCs w:val="14"/>
      <w:u w:val="none"/>
      <w:shd w:val="clear" w:color="auto" w:fill="FFFFFF"/>
      <w:lang w:val="ru-RU"/>
    </w:rPr>
  </w:style>
  <w:style w:type="paragraph" w:customStyle="1" w:styleId="ConsPlusNormal">
    <w:name w:val="ConsPlusNormal"/>
    <w:link w:val="ConsPlusNormal0"/>
    <w:pPr>
      <w:autoSpaceDE w:val="0"/>
      <w:autoSpaceDN w:val="0"/>
      <w:adjustRightInd w:val="0"/>
    </w:pPr>
    <w:rPr>
      <w:sz w:val="24"/>
      <w:szCs w:val="24"/>
    </w:rPr>
  </w:style>
  <w:style w:type="character" w:customStyle="1" w:styleId="ConsPlusNormal0">
    <w:name w:val="ConsPlusNormal Знак"/>
    <w:link w:val="ConsPlusNormal"/>
    <w:locked/>
    <w:rPr>
      <w:sz w:val="24"/>
      <w:szCs w:val="24"/>
      <w:lang w:bidi="ar-SA"/>
    </w:rPr>
  </w:style>
  <w:style w:type="paragraph" w:styleId="afc">
    <w:name w:val="Normal (Web)"/>
    <w:basedOn w:val="a"/>
    <w:uiPriority w:val="99"/>
    <w:unhideWhenUsed/>
    <w:pPr>
      <w:spacing w:before="100" w:beforeAutospacing="1" w:after="100" w:afterAutospacing="1"/>
    </w:pPr>
    <w:rPr>
      <w:sz w:val="24"/>
      <w:szCs w:val="24"/>
    </w:rPr>
  </w:style>
  <w:style w:type="paragraph" w:customStyle="1" w:styleId="211">
    <w:name w:val="Основной текст 21"/>
    <w:basedOn w:val="a"/>
    <w:pPr>
      <w:widowControl w:val="0"/>
      <w:spacing w:line="360" w:lineRule="auto"/>
      <w:ind w:firstLine="709"/>
      <w:jc w:val="both"/>
    </w:pPr>
    <w:rPr>
      <w:snapToGrid w:val="0"/>
      <w:sz w:val="26"/>
    </w:rPr>
  </w:style>
  <w:style w:type="paragraph" w:customStyle="1" w:styleId="ConsPlusNonformat">
    <w:name w:val="ConsPlusNonformat"/>
    <w:uiPriority w:val="99"/>
    <w:pPr>
      <w:autoSpaceDE w:val="0"/>
      <w:autoSpaceDN w:val="0"/>
      <w:adjustRightInd w:val="0"/>
    </w:pPr>
    <w:rPr>
      <w:rFonts w:ascii="Courier New" w:hAnsi="Courier New" w:cs="Courier New"/>
    </w:rPr>
  </w:style>
  <w:style w:type="paragraph" w:customStyle="1" w:styleId="17">
    <w:name w:val="Знак1"/>
    <w:basedOn w:val="a"/>
    <w:pPr>
      <w:tabs>
        <w:tab w:val="num" w:pos="360"/>
      </w:tabs>
      <w:spacing w:after="160" w:line="240" w:lineRule="exact"/>
    </w:pPr>
    <w:rPr>
      <w:rFonts w:ascii="Verdana" w:hAnsi="Verdana" w:cs="Verdana"/>
      <w:lang w:val="en-US" w:eastAsia="en-US"/>
    </w:rPr>
  </w:style>
  <w:style w:type="paragraph" w:customStyle="1" w:styleId="afd">
    <w:name w:val="Знак Знак Знак Знак Знак Знак Знак"/>
    <w:basedOn w:val="a"/>
    <w:rPr>
      <w:rFonts w:ascii="Verdana" w:hAnsi="Verdana" w:cs="Verdana"/>
      <w:lang w:val="en-US" w:eastAsia="en-US"/>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customStyle="1" w:styleId="HTML0">
    <w:name w:val="Стандартный HTML Знак"/>
    <w:link w:val="HTML"/>
    <w:uiPriority w:val="99"/>
    <w:semiHidden/>
    <w:rPr>
      <w:rFonts w:ascii="Courier New" w:hAnsi="Courier New" w:cs="Courier New"/>
    </w:rPr>
  </w:style>
  <w:style w:type="paragraph" w:styleId="afe">
    <w:name w:val="annotation text"/>
    <w:basedOn w:val="a"/>
    <w:link w:val="aff"/>
    <w:semiHidden/>
    <w:unhideWhenUsed/>
  </w:style>
  <w:style w:type="character" w:customStyle="1" w:styleId="aff">
    <w:name w:val="Текст примечания Знак"/>
    <w:basedOn w:val="a0"/>
    <w:link w:val="afe"/>
    <w:semiHidden/>
  </w:style>
  <w:style w:type="paragraph" w:styleId="aff0">
    <w:name w:val="annotation subject"/>
    <w:basedOn w:val="afe"/>
    <w:next w:val="afe"/>
    <w:link w:val="aff1"/>
    <w:semiHidden/>
    <w:unhideWhenUsed/>
    <w:rPr>
      <w:b/>
      <w:bCs/>
      <w:lang w:val="x-none" w:eastAsia="x-none"/>
    </w:rPr>
  </w:style>
  <w:style w:type="character" w:customStyle="1" w:styleId="aff1">
    <w:name w:val="Тема примечания Знак"/>
    <w:link w:val="aff0"/>
    <w:semiHidden/>
    <w:rPr>
      <w:b/>
      <w:bCs/>
    </w:rPr>
  </w:style>
  <w:style w:type="character" w:customStyle="1" w:styleId="wmi-callto">
    <w:name w:val="wmi-callto"/>
    <w:basedOn w:val="a0"/>
  </w:style>
  <w:style w:type="character" w:customStyle="1" w:styleId="23">
    <w:name w:val="Основной текст с отступом 2 Знак"/>
    <w:link w:val="22"/>
    <w:rPr>
      <w:sz w:val="24"/>
    </w:rPr>
  </w:style>
  <w:style w:type="character" w:customStyle="1" w:styleId="highlightcolor">
    <w:name w:val="highlightcolo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635410">
      <w:bodyDiv w:val="1"/>
      <w:marLeft w:val="0"/>
      <w:marRight w:val="0"/>
      <w:marTop w:val="0"/>
      <w:marBottom w:val="0"/>
      <w:divBdr>
        <w:top w:val="none" w:sz="0" w:space="0" w:color="auto"/>
        <w:left w:val="none" w:sz="0" w:space="0" w:color="auto"/>
        <w:bottom w:val="none" w:sz="0" w:space="0" w:color="auto"/>
        <w:right w:val="none" w:sz="0" w:space="0" w:color="auto"/>
      </w:divBdr>
    </w:div>
    <w:div w:id="135725978">
      <w:bodyDiv w:val="1"/>
      <w:marLeft w:val="0"/>
      <w:marRight w:val="0"/>
      <w:marTop w:val="0"/>
      <w:marBottom w:val="0"/>
      <w:divBdr>
        <w:top w:val="none" w:sz="0" w:space="0" w:color="auto"/>
        <w:left w:val="none" w:sz="0" w:space="0" w:color="auto"/>
        <w:bottom w:val="none" w:sz="0" w:space="0" w:color="auto"/>
        <w:right w:val="none" w:sz="0" w:space="0" w:color="auto"/>
      </w:divBdr>
    </w:div>
    <w:div w:id="139226490">
      <w:bodyDiv w:val="1"/>
      <w:marLeft w:val="0"/>
      <w:marRight w:val="0"/>
      <w:marTop w:val="0"/>
      <w:marBottom w:val="0"/>
      <w:divBdr>
        <w:top w:val="none" w:sz="0" w:space="0" w:color="auto"/>
        <w:left w:val="none" w:sz="0" w:space="0" w:color="auto"/>
        <w:bottom w:val="none" w:sz="0" w:space="0" w:color="auto"/>
        <w:right w:val="none" w:sz="0" w:space="0" w:color="auto"/>
      </w:divBdr>
    </w:div>
    <w:div w:id="209853486">
      <w:bodyDiv w:val="1"/>
      <w:marLeft w:val="0"/>
      <w:marRight w:val="0"/>
      <w:marTop w:val="0"/>
      <w:marBottom w:val="0"/>
      <w:divBdr>
        <w:top w:val="none" w:sz="0" w:space="0" w:color="auto"/>
        <w:left w:val="none" w:sz="0" w:space="0" w:color="auto"/>
        <w:bottom w:val="none" w:sz="0" w:space="0" w:color="auto"/>
        <w:right w:val="none" w:sz="0" w:space="0" w:color="auto"/>
      </w:divBdr>
    </w:div>
    <w:div w:id="225535725">
      <w:bodyDiv w:val="1"/>
      <w:marLeft w:val="0"/>
      <w:marRight w:val="0"/>
      <w:marTop w:val="0"/>
      <w:marBottom w:val="0"/>
      <w:divBdr>
        <w:top w:val="none" w:sz="0" w:space="0" w:color="auto"/>
        <w:left w:val="none" w:sz="0" w:space="0" w:color="auto"/>
        <w:bottom w:val="none" w:sz="0" w:space="0" w:color="auto"/>
        <w:right w:val="none" w:sz="0" w:space="0" w:color="auto"/>
      </w:divBdr>
    </w:div>
    <w:div w:id="245463019">
      <w:bodyDiv w:val="1"/>
      <w:marLeft w:val="0"/>
      <w:marRight w:val="0"/>
      <w:marTop w:val="0"/>
      <w:marBottom w:val="0"/>
      <w:divBdr>
        <w:top w:val="none" w:sz="0" w:space="0" w:color="auto"/>
        <w:left w:val="none" w:sz="0" w:space="0" w:color="auto"/>
        <w:bottom w:val="none" w:sz="0" w:space="0" w:color="auto"/>
        <w:right w:val="none" w:sz="0" w:space="0" w:color="auto"/>
      </w:divBdr>
    </w:div>
    <w:div w:id="258218494">
      <w:bodyDiv w:val="1"/>
      <w:marLeft w:val="0"/>
      <w:marRight w:val="0"/>
      <w:marTop w:val="0"/>
      <w:marBottom w:val="0"/>
      <w:divBdr>
        <w:top w:val="none" w:sz="0" w:space="0" w:color="auto"/>
        <w:left w:val="none" w:sz="0" w:space="0" w:color="auto"/>
        <w:bottom w:val="none" w:sz="0" w:space="0" w:color="auto"/>
        <w:right w:val="none" w:sz="0" w:space="0" w:color="auto"/>
      </w:divBdr>
    </w:div>
    <w:div w:id="314535557">
      <w:bodyDiv w:val="1"/>
      <w:marLeft w:val="0"/>
      <w:marRight w:val="0"/>
      <w:marTop w:val="0"/>
      <w:marBottom w:val="0"/>
      <w:divBdr>
        <w:top w:val="none" w:sz="0" w:space="0" w:color="auto"/>
        <w:left w:val="none" w:sz="0" w:space="0" w:color="auto"/>
        <w:bottom w:val="none" w:sz="0" w:space="0" w:color="auto"/>
        <w:right w:val="none" w:sz="0" w:space="0" w:color="auto"/>
      </w:divBdr>
    </w:div>
    <w:div w:id="354888214">
      <w:bodyDiv w:val="1"/>
      <w:marLeft w:val="0"/>
      <w:marRight w:val="0"/>
      <w:marTop w:val="0"/>
      <w:marBottom w:val="0"/>
      <w:divBdr>
        <w:top w:val="none" w:sz="0" w:space="0" w:color="auto"/>
        <w:left w:val="none" w:sz="0" w:space="0" w:color="auto"/>
        <w:bottom w:val="none" w:sz="0" w:space="0" w:color="auto"/>
        <w:right w:val="none" w:sz="0" w:space="0" w:color="auto"/>
      </w:divBdr>
    </w:div>
    <w:div w:id="355471847">
      <w:bodyDiv w:val="1"/>
      <w:marLeft w:val="0"/>
      <w:marRight w:val="0"/>
      <w:marTop w:val="0"/>
      <w:marBottom w:val="0"/>
      <w:divBdr>
        <w:top w:val="none" w:sz="0" w:space="0" w:color="auto"/>
        <w:left w:val="none" w:sz="0" w:space="0" w:color="auto"/>
        <w:bottom w:val="none" w:sz="0" w:space="0" w:color="auto"/>
        <w:right w:val="none" w:sz="0" w:space="0" w:color="auto"/>
      </w:divBdr>
    </w:div>
    <w:div w:id="384908972">
      <w:bodyDiv w:val="1"/>
      <w:marLeft w:val="0"/>
      <w:marRight w:val="0"/>
      <w:marTop w:val="0"/>
      <w:marBottom w:val="0"/>
      <w:divBdr>
        <w:top w:val="none" w:sz="0" w:space="0" w:color="auto"/>
        <w:left w:val="none" w:sz="0" w:space="0" w:color="auto"/>
        <w:bottom w:val="none" w:sz="0" w:space="0" w:color="auto"/>
        <w:right w:val="none" w:sz="0" w:space="0" w:color="auto"/>
      </w:divBdr>
    </w:div>
    <w:div w:id="473104924">
      <w:bodyDiv w:val="1"/>
      <w:marLeft w:val="0"/>
      <w:marRight w:val="0"/>
      <w:marTop w:val="0"/>
      <w:marBottom w:val="0"/>
      <w:divBdr>
        <w:top w:val="none" w:sz="0" w:space="0" w:color="auto"/>
        <w:left w:val="none" w:sz="0" w:space="0" w:color="auto"/>
        <w:bottom w:val="none" w:sz="0" w:space="0" w:color="auto"/>
        <w:right w:val="none" w:sz="0" w:space="0" w:color="auto"/>
      </w:divBdr>
    </w:div>
    <w:div w:id="573205501">
      <w:bodyDiv w:val="1"/>
      <w:marLeft w:val="0"/>
      <w:marRight w:val="0"/>
      <w:marTop w:val="0"/>
      <w:marBottom w:val="0"/>
      <w:divBdr>
        <w:top w:val="none" w:sz="0" w:space="0" w:color="auto"/>
        <w:left w:val="none" w:sz="0" w:space="0" w:color="auto"/>
        <w:bottom w:val="none" w:sz="0" w:space="0" w:color="auto"/>
        <w:right w:val="none" w:sz="0" w:space="0" w:color="auto"/>
      </w:divBdr>
    </w:div>
    <w:div w:id="574323200">
      <w:bodyDiv w:val="1"/>
      <w:marLeft w:val="0"/>
      <w:marRight w:val="0"/>
      <w:marTop w:val="0"/>
      <w:marBottom w:val="0"/>
      <w:divBdr>
        <w:top w:val="none" w:sz="0" w:space="0" w:color="auto"/>
        <w:left w:val="none" w:sz="0" w:space="0" w:color="auto"/>
        <w:bottom w:val="none" w:sz="0" w:space="0" w:color="auto"/>
        <w:right w:val="none" w:sz="0" w:space="0" w:color="auto"/>
      </w:divBdr>
    </w:div>
    <w:div w:id="598027396">
      <w:bodyDiv w:val="1"/>
      <w:marLeft w:val="0"/>
      <w:marRight w:val="0"/>
      <w:marTop w:val="0"/>
      <w:marBottom w:val="0"/>
      <w:divBdr>
        <w:top w:val="none" w:sz="0" w:space="0" w:color="auto"/>
        <w:left w:val="none" w:sz="0" w:space="0" w:color="auto"/>
        <w:bottom w:val="none" w:sz="0" w:space="0" w:color="auto"/>
        <w:right w:val="none" w:sz="0" w:space="0" w:color="auto"/>
      </w:divBdr>
    </w:div>
    <w:div w:id="644042776">
      <w:bodyDiv w:val="1"/>
      <w:marLeft w:val="0"/>
      <w:marRight w:val="0"/>
      <w:marTop w:val="0"/>
      <w:marBottom w:val="0"/>
      <w:divBdr>
        <w:top w:val="none" w:sz="0" w:space="0" w:color="auto"/>
        <w:left w:val="none" w:sz="0" w:space="0" w:color="auto"/>
        <w:bottom w:val="none" w:sz="0" w:space="0" w:color="auto"/>
        <w:right w:val="none" w:sz="0" w:space="0" w:color="auto"/>
      </w:divBdr>
    </w:div>
    <w:div w:id="681976968">
      <w:bodyDiv w:val="1"/>
      <w:marLeft w:val="0"/>
      <w:marRight w:val="0"/>
      <w:marTop w:val="0"/>
      <w:marBottom w:val="0"/>
      <w:divBdr>
        <w:top w:val="none" w:sz="0" w:space="0" w:color="auto"/>
        <w:left w:val="none" w:sz="0" w:space="0" w:color="auto"/>
        <w:bottom w:val="none" w:sz="0" w:space="0" w:color="auto"/>
        <w:right w:val="none" w:sz="0" w:space="0" w:color="auto"/>
      </w:divBdr>
    </w:div>
    <w:div w:id="694506828">
      <w:bodyDiv w:val="1"/>
      <w:marLeft w:val="0"/>
      <w:marRight w:val="0"/>
      <w:marTop w:val="0"/>
      <w:marBottom w:val="0"/>
      <w:divBdr>
        <w:top w:val="none" w:sz="0" w:space="0" w:color="auto"/>
        <w:left w:val="none" w:sz="0" w:space="0" w:color="auto"/>
        <w:bottom w:val="none" w:sz="0" w:space="0" w:color="auto"/>
        <w:right w:val="none" w:sz="0" w:space="0" w:color="auto"/>
      </w:divBdr>
    </w:div>
    <w:div w:id="766585639">
      <w:bodyDiv w:val="1"/>
      <w:marLeft w:val="0"/>
      <w:marRight w:val="0"/>
      <w:marTop w:val="0"/>
      <w:marBottom w:val="0"/>
      <w:divBdr>
        <w:top w:val="none" w:sz="0" w:space="0" w:color="auto"/>
        <w:left w:val="none" w:sz="0" w:space="0" w:color="auto"/>
        <w:bottom w:val="none" w:sz="0" w:space="0" w:color="auto"/>
        <w:right w:val="none" w:sz="0" w:space="0" w:color="auto"/>
      </w:divBdr>
    </w:div>
    <w:div w:id="793645104">
      <w:bodyDiv w:val="1"/>
      <w:marLeft w:val="0"/>
      <w:marRight w:val="0"/>
      <w:marTop w:val="0"/>
      <w:marBottom w:val="0"/>
      <w:divBdr>
        <w:top w:val="none" w:sz="0" w:space="0" w:color="auto"/>
        <w:left w:val="none" w:sz="0" w:space="0" w:color="auto"/>
        <w:bottom w:val="none" w:sz="0" w:space="0" w:color="auto"/>
        <w:right w:val="none" w:sz="0" w:space="0" w:color="auto"/>
      </w:divBdr>
    </w:div>
    <w:div w:id="898708466">
      <w:bodyDiv w:val="1"/>
      <w:marLeft w:val="0"/>
      <w:marRight w:val="0"/>
      <w:marTop w:val="0"/>
      <w:marBottom w:val="0"/>
      <w:divBdr>
        <w:top w:val="none" w:sz="0" w:space="0" w:color="auto"/>
        <w:left w:val="none" w:sz="0" w:space="0" w:color="auto"/>
        <w:bottom w:val="none" w:sz="0" w:space="0" w:color="auto"/>
        <w:right w:val="none" w:sz="0" w:space="0" w:color="auto"/>
      </w:divBdr>
    </w:div>
    <w:div w:id="955793729">
      <w:bodyDiv w:val="1"/>
      <w:marLeft w:val="0"/>
      <w:marRight w:val="0"/>
      <w:marTop w:val="0"/>
      <w:marBottom w:val="0"/>
      <w:divBdr>
        <w:top w:val="none" w:sz="0" w:space="0" w:color="auto"/>
        <w:left w:val="none" w:sz="0" w:space="0" w:color="auto"/>
        <w:bottom w:val="none" w:sz="0" w:space="0" w:color="auto"/>
        <w:right w:val="none" w:sz="0" w:space="0" w:color="auto"/>
      </w:divBdr>
    </w:div>
    <w:div w:id="1002126867">
      <w:bodyDiv w:val="1"/>
      <w:marLeft w:val="0"/>
      <w:marRight w:val="0"/>
      <w:marTop w:val="0"/>
      <w:marBottom w:val="0"/>
      <w:divBdr>
        <w:top w:val="none" w:sz="0" w:space="0" w:color="auto"/>
        <w:left w:val="none" w:sz="0" w:space="0" w:color="auto"/>
        <w:bottom w:val="none" w:sz="0" w:space="0" w:color="auto"/>
        <w:right w:val="none" w:sz="0" w:space="0" w:color="auto"/>
      </w:divBdr>
    </w:div>
    <w:div w:id="1016737256">
      <w:bodyDiv w:val="1"/>
      <w:marLeft w:val="0"/>
      <w:marRight w:val="0"/>
      <w:marTop w:val="0"/>
      <w:marBottom w:val="0"/>
      <w:divBdr>
        <w:top w:val="none" w:sz="0" w:space="0" w:color="auto"/>
        <w:left w:val="none" w:sz="0" w:space="0" w:color="auto"/>
        <w:bottom w:val="none" w:sz="0" w:space="0" w:color="auto"/>
        <w:right w:val="none" w:sz="0" w:space="0" w:color="auto"/>
      </w:divBdr>
    </w:div>
    <w:div w:id="1118645062">
      <w:bodyDiv w:val="1"/>
      <w:marLeft w:val="0"/>
      <w:marRight w:val="0"/>
      <w:marTop w:val="0"/>
      <w:marBottom w:val="0"/>
      <w:divBdr>
        <w:top w:val="none" w:sz="0" w:space="0" w:color="auto"/>
        <w:left w:val="none" w:sz="0" w:space="0" w:color="auto"/>
        <w:bottom w:val="none" w:sz="0" w:space="0" w:color="auto"/>
        <w:right w:val="none" w:sz="0" w:space="0" w:color="auto"/>
      </w:divBdr>
    </w:div>
    <w:div w:id="1120763790">
      <w:bodyDiv w:val="1"/>
      <w:marLeft w:val="0"/>
      <w:marRight w:val="0"/>
      <w:marTop w:val="0"/>
      <w:marBottom w:val="0"/>
      <w:divBdr>
        <w:top w:val="none" w:sz="0" w:space="0" w:color="auto"/>
        <w:left w:val="none" w:sz="0" w:space="0" w:color="auto"/>
        <w:bottom w:val="none" w:sz="0" w:space="0" w:color="auto"/>
        <w:right w:val="none" w:sz="0" w:space="0" w:color="auto"/>
      </w:divBdr>
    </w:div>
    <w:div w:id="1156533079">
      <w:bodyDiv w:val="1"/>
      <w:marLeft w:val="0"/>
      <w:marRight w:val="0"/>
      <w:marTop w:val="0"/>
      <w:marBottom w:val="0"/>
      <w:divBdr>
        <w:top w:val="none" w:sz="0" w:space="0" w:color="auto"/>
        <w:left w:val="none" w:sz="0" w:space="0" w:color="auto"/>
        <w:bottom w:val="none" w:sz="0" w:space="0" w:color="auto"/>
        <w:right w:val="none" w:sz="0" w:space="0" w:color="auto"/>
      </w:divBdr>
    </w:div>
    <w:div w:id="1176119165">
      <w:bodyDiv w:val="1"/>
      <w:marLeft w:val="0"/>
      <w:marRight w:val="0"/>
      <w:marTop w:val="0"/>
      <w:marBottom w:val="0"/>
      <w:divBdr>
        <w:top w:val="none" w:sz="0" w:space="0" w:color="auto"/>
        <w:left w:val="none" w:sz="0" w:space="0" w:color="auto"/>
        <w:bottom w:val="none" w:sz="0" w:space="0" w:color="auto"/>
        <w:right w:val="none" w:sz="0" w:space="0" w:color="auto"/>
      </w:divBdr>
    </w:div>
    <w:div w:id="1217620930">
      <w:bodyDiv w:val="1"/>
      <w:marLeft w:val="0"/>
      <w:marRight w:val="0"/>
      <w:marTop w:val="0"/>
      <w:marBottom w:val="0"/>
      <w:divBdr>
        <w:top w:val="none" w:sz="0" w:space="0" w:color="auto"/>
        <w:left w:val="none" w:sz="0" w:space="0" w:color="auto"/>
        <w:bottom w:val="none" w:sz="0" w:space="0" w:color="auto"/>
        <w:right w:val="none" w:sz="0" w:space="0" w:color="auto"/>
      </w:divBdr>
    </w:div>
    <w:div w:id="1226604499">
      <w:bodyDiv w:val="1"/>
      <w:marLeft w:val="0"/>
      <w:marRight w:val="0"/>
      <w:marTop w:val="0"/>
      <w:marBottom w:val="0"/>
      <w:divBdr>
        <w:top w:val="none" w:sz="0" w:space="0" w:color="auto"/>
        <w:left w:val="none" w:sz="0" w:space="0" w:color="auto"/>
        <w:bottom w:val="none" w:sz="0" w:space="0" w:color="auto"/>
        <w:right w:val="none" w:sz="0" w:space="0" w:color="auto"/>
      </w:divBdr>
    </w:div>
    <w:div w:id="1232227575">
      <w:bodyDiv w:val="1"/>
      <w:marLeft w:val="0"/>
      <w:marRight w:val="0"/>
      <w:marTop w:val="0"/>
      <w:marBottom w:val="0"/>
      <w:divBdr>
        <w:top w:val="none" w:sz="0" w:space="0" w:color="auto"/>
        <w:left w:val="none" w:sz="0" w:space="0" w:color="auto"/>
        <w:bottom w:val="none" w:sz="0" w:space="0" w:color="auto"/>
        <w:right w:val="none" w:sz="0" w:space="0" w:color="auto"/>
      </w:divBdr>
    </w:div>
    <w:div w:id="1244029085">
      <w:bodyDiv w:val="1"/>
      <w:marLeft w:val="0"/>
      <w:marRight w:val="0"/>
      <w:marTop w:val="0"/>
      <w:marBottom w:val="0"/>
      <w:divBdr>
        <w:top w:val="none" w:sz="0" w:space="0" w:color="auto"/>
        <w:left w:val="none" w:sz="0" w:space="0" w:color="auto"/>
        <w:bottom w:val="none" w:sz="0" w:space="0" w:color="auto"/>
        <w:right w:val="none" w:sz="0" w:space="0" w:color="auto"/>
      </w:divBdr>
    </w:div>
    <w:div w:id="1319266950">
      <w:bodyDiv w:val="1"/>
      <w:marLeft w:val="0"/>
      <w:marRight w:val="0"/>
      <w:marTop w:val="0"/>
      <w:marBottom w:val="0"/>
      <w:divBdr>
        <w:top w:val="none" w:sz="0" w:space="0" w:color="auto"/>
        <w:left w:val="none" w:sz="0" w:space="0" w:color="auto"/>
        <w:bottom w:val="none" w:sz="0" w:space="0" w:color="auto"/>
        <w:right w:val="none" w:sz="0" w:space="0" w:color="auto"/>
      </w:divBdr>
    </w:div>
    <w:div w:id="1330408170">
      <w:bodyDiv w:val="1"/>
      <w:marLeft w:val="0"/>
      <w:marRight w:val="0"/>
      <w:marTop w:val="0"/>
      <w:marBottom w:val="0"/>
      <w:divBdr>
        <w:top w:val="none" w:sz="0" w:space="0" w:color="auto"/>
        <w:left w:val="none" w:sz="0" w:space="0" w:color="auto"/>
        <w:bottom w:val="none" w:sz="0" w:space="0" w:color="auto"/>
        <w:right w:val="none" w:sz="0" w:space="0" w:color="auto"/>
      </w:divBdr>
    </w:div>
    <w:div w:id="1364866755">
      <w:bodyDiv w:val="1"/>
      <w:marLeft w:val="0"/>
      <w:marRight w:val="0"/>
      <w:marTop w:val="0"/>
      <w:marBottom w:val="0"/>
      <w:divBdr>
        <w:top w:val="none" w:sz="0" w:space="0" w:color="auto"/>
        <w:left w:val="none" w:sz="0" w:space="0" w:color="auto"/>
        <w:bottom w:val="none" w:sz="0" w:space="0" w:color="auto"/>
        <w:right w:val="none" w:sz="0" w:space="0" w:color="auto"/>
      </w:divBdr>
    </w:div>
    <w:div w:id="1389573177">
      <w:bodyDiv w:val="1"/>
      <w:marLeft w:val="0"/>
      <w:marRight w:val="0"/>
      <w:marTop w:val="0"/>
      <w:marBottom w:val="0"/>
      <w:divBdr>
        <w:top w:val="none" w:sz="0" w:space="0" w:color="auto"/>
        <w:left w:val="none" w:sz="0" w:space="0" w:color="auto"/>
        <w:bottom w:val="none" w:sz="0" w:space="0" w:color="auto"/>
        <w:right w:val="none" w:sz="0" w:space="0" w:color="auto"/>
      </w:divBdr>
    </w:div>
    <w:div w:id="1447887670">
      <w:bodyDiv w:val="1"/>
      <w:marLeft w:val="0"/>
      <w:marRight w:val="0"/>
      <w:marTop w:val="0"/>
      <w:marBottom w:val="0"/>
      <w:divBdr>
        <w:top w:val="none" w:sz="0" w:space="0" w:color="auto"/>
        <w:left w:val="none" w:sz="0" w:space="0" w:color="auto"/>
        <w:bottom w:val="none" w:sz="0" w:space="0" w:color="auto"/>
        <w:right w:val="none" w:sz="0" w:space="0" w:color="auto"/>
      </w:divBdr>
    </w:div>
    <w:div w:id="1454057508">
      <w:bodyDiv w:val="1"/>
      <w:marLeft w:val="0"/>
      <w:marRight w:val="0"/>
      <w:marTop w:val="0"/>
      <w:marBottom w:val="0"/>
      <w:divBdr>
        <w:top w:val="none" w:sz="0" w:space="0" w:color="auto"/>
        <w:left w:val="none" w:sz="0" w:space="0" w:color="auto"/>
        <w:bottom w:val="none" w:sz="0" w:space="0" w:color="auto"/>
        <w:right w:val="none" w:sz="0" w:space="0" w:color="auto"/>
      </w:divBdr>
    </w:div>
    <w:div w:id="1479110214">
      <w:bodyDiv w:val="1"/>
      <w:marLeft w:val="0"/>
      <w:marRight w:val="0"/>
      <w:marTop w:val="0"/>
      <w:marBottom w:val="0"/>
      <w:divBdr>
        <w:top w:val="none" w:sz="0" w:space="0" w:color="auto"/>
        <w:left w:val="none" w:sz="0" w:space="0" w:color="auto"/>
        <w:bottom w:val="none" w:sz="0" w:space="0" w:color="auto"/>
        <w:right w:val="none" w:sz="0" w:space="0" w:color="auto"/>
      </w:divBdr>
    </w:div>
    <w:div w:id="1503862195">
      <w:bodyDiv w:val="1"/>
      <w:marLeft w:val="0"/>
      <w:marRight w:val="0"/>
      <w:marTop w:val="0"/>
      <w:marBottom w:val="0"/>
      <w:divBdr>
        <w:top w:val="none" w:sz="0" w:space="0" w:color="auto"/>
        <w:left w:val="none" w:sz="0" w:space="0" w:color="auto"/>
        <w:bottom w:val="none" w:sz="0" w:space="0" w:color="auto"/>
        <w:right w:val="none" w:sz="0" w:space="0" w:color="auto"/>
      </w:divBdr>
    </w:div>
    <w:div w:id="1521972932">
      <w:bodyDiv w:val="1"/>
      <w:marLeft w:val="0"/>
      <w:marRight w:val="0"/>
      <w:marTop w:val="0"/>
      <w:marBottom w:val="0"/>
      <w:divBdr>
        <w:top w:val="none" w:sz="0" w:space="0" w:color="auto"/>
        <w:left w:val="none" w:sz="0" w:space="0" w:color="auto"/>
        <w:bottom w:val="none" w:sz="0" w:space="0" w:color="auto"/>
        <w:right w:val="none" w:sz="0" w:space="0" w:color="auto"/>
      </w:divBdr>
    </w:div>
    <w:div w:id="1525679512">
      <w:bodyDiv w:val="1"/>
      <w:marLeft w:val="0"/>
      <w:marRight w:val="0"/>
      <w:marTop w:val="0"/>
      <w:marBottom w:val="0"/>
      <w:divBdr>
        <w:top w:val="none" w:sz="0" w:space="0" w:color="auto"/>
        <w:left w:val="none" w:sz="0" w:space="0" w:color="auto"/>
        <w:bottom w:val="none" w:sz="0" w:space="0" w:color="auto"/>
        <w:right w:val="none" w:sz="0" w:space="0" w:color="auto"/>
      </w:divBdr>
    </w:div>
    <w:div w:id="1569414295">
      <w:bodyDiv w:val="1"/>
      <w:marLeft w:val="0"/>
      <w:marRight w:val="0"/>
      <w:marTop w:val="0"/>
      <w:marBottom w:val="0"/>
      <w:divBdr>
        <w:top w:val="none" w:sz="0" w:space="0" w:color="auto"/>
        <w:left w:val="none" w:sz="0" w:space="0" w:color="auto"/>
        <w:bottom w:val="none" w:sz="0" w:space="0" w:color="auto"/>
        <w:right w:val="none" w:sz="0" w:space="0" w:color="auto"/>
      </w:divBdr>
    </w:div>
    <w:div w:id="1667897684">
      <w:bodyDiv w:val="1"/>
      <w:marLeft w:val="0"/>
      <w:marRight w:val="0"/>
      <w:marTop w:val="0"/>
      <w:marBottom w:val="0"/>
      <w:divBdr>
        <w:top w:val="none" w:sz="0" w:space="0" w:color="auto"/>
        <w:left w:val="none" w:sz="0" w:space="0" w:color="auto"/>
        <w:bottom w:val="none" w:sz="0" w:space="0" w:color="auto"/>
        <w:right w:val="none" w:sz="0" w:space="0" w:color="auto"/>
      </w:divBdr>
    </w:div>
    <w:div w:id="1716151491">
      <w:bodyDiv w:val="1"/>
      <w:marLeft w:val="0"/>
      <w:marRight w:val="0"/>
      <w:marTop w:val="0"/>
      <w:marBottom w:val="0"/>
      <w:divBdr>
        <w:top w:val="none" w:sz="0" w:space="0" w:color="auto"/>
        <w:left w:val="none" w:sz="0" w:space="0" w:color="auto"/>
        <w:bottom w:val="none" w:sz="0" w:space="0" w:color="auto"/>
        <w:right w:val="none" w:sz="0" w:space="0" w:color="auto"/>
      </w:divBdr>
    </w:div>
    <w:div w:id="1734280923">
      <w:bodyDiv w:val="1"/>
      <w:marLeft w:val="0"/>
      <w:marRight w:val="0"/>
      <w:marTop w:val="0"/>
      <w:marBottom w:val="0"/>
      <w:divBdr>
        <w:top w:val="none" w:sz="0" w:space="0" w:color="auto"/>
        <w:left w:val="none" w:sz="0" w:space="0" w:color="auto"/>
        <w:bottom w:val="none" w:sz="0" w:space="0" w:color="auto"/>
        <w:right w:val="none" w:sz="0" w:space="0" w:color="auto"/>
      </w:divBdr>
    </w:div>
    <w:div w:id="1769695455">
      <w:bodyDiv w:val="1"/>
      <w:marLeft w:val="0"/>
      <w:marRight w:val="0"/>
      <w:marTop w:val="0"/>
      <w:marBottom w:val="0"/>
      <w:divBdr>
        <w:top w:val="none" w:sz="0" w:space="0" w:color="auto"/>
        <w:left w:val="none" w:sz="0" w:space="0" w:color="auto"/>
        <w:bottom w:val="none" w:sz="0" w:space="0" w:color="auto"/>
        <w:right w:val="none" w:sz="0" w:space="0" w:color="auto"/>
      </w:divBdr>
    </w:div>
    <w:div w:id="1780876559">
      <w:bodyDiv w:val="1"/>
      <w:marLeft w:val="0"/>
      <w:marRight w:val="0"/>
      <w:marTop w:val="0"/>
      <w:marBottom w:val="0"/>
      <w:divBdr>
        <w:top w:val="none" w:sz="0" w:space="0" w:color="auto"/>
        <w:left w:val="none" w:sz="0" w:space="0" w:color="auto"/>
        <w:bottom w:val="none" w:sz="0" w:space="0" w:color="auto"/>
        <w:right w:val="none" w:sz="0" w:space="0" w:color="auto"/>
      </w:divBdr>
    </w:div>
    <w:div w:id="1790050471">
      <w:bodyDiv w:val="1"/>
      <w:marLeft w:val="0"/>
      <w:marRight w:val="0"/>
      <w:marTop w:val="0"/>
      <w:marBottom w:val="0"/>
      <w:divBdr>
        <w:top w:val="none" w:sz="0" w:space="0" w:color="auto"/>
        <w:left w:val="none" w:sz="0" w:space="0" w:color="auto"/>
        <w:bottom w:val="none" w:sz="0" w:space="0" w:color="auto"/>
        <w:right w:val="none" w:sz="0" w:space="0" w:color="auto"/>
      </w:divBdr>
    </w:div>
    <w:div w:id="1857187333">
      <w:bodyDiv w:val="1"/>
      <w:marLeft w:val="0"/>
      <w:marRight w:val="0"/>
      <w:marTop w:val="0"/>
      <w:marBottom w:val="0"/>
      <w:divBdr>
        <w:top w:val="none" w:sz="0" w:space="0" w:color="auto"/>
        <w:left w:val="none" w:sz="0" w:space="0" w:color="auto"/>
        <w:bottom w:val="none" w:sz="0" w:space="0" w:color="auto"/>
        <w:right w:val="none" w:sz="0" w:space="0" w:color="auto"/>
      </w:divBdr>
    </w:div>
    <w:div w:id="1914124450">
      <w:bodyDiv w:val="1"/>
      <w:marLeft w:val="0"/>
      <w:marRight w:val="0"/>
      <w:marTop w:val="0"/>
      <w:marBottom w:val="0"/>
      <w:divBdr>
        <w:top w:val="none" w:sz="0" w:space="0" w:color="auto"/>
        <w:left w:val="none" w:sz="0" w:space="0" w:color="auto"/>
        <w:bottom w:val="none" w:sz="0" w:space="0" w:color="auto"/>
        <w:right w:val="none" w:sz="0" w:space="0" w:color="auto"/>
      </w:divBdr>
    </w:div>
    <w:div w:id="1969236129">
      <w:bodyDiv w:val="1"/>
      <w:marLeft w:val="0"/>
      <w:marRight w:val="0"/>
      <w:marTop w:val="0"/>
      <w:marBottom w:val="0"/>
      <w:divBdr>
        <w:top w:val="none" w:sz="0" w:space="0" w:color="auto"/>
        <w:left w:val="none" w:sz="0" w:space="0" w:color="auto"/>
        <w:bottom w:val="none" w:sz="0" w:space="0" w:color="auto"/>
        <w:right w:val="none" w:sz="0" w:space="0" w:color="auto"/>
      </w:divBdr>
    </w:div>
    <w:div w:id="2007173116">
      <w:bodyDiv w:val="1"/>
      <w:marLeft w:val="0"/>
      <w:marRight w:val="0"/>
      <w:marTop w:val="0"/>
      <w:marBottom w:val="0"/>
      <w:divBdr>
        <w:top w:val="none" w:sz="0" w:space="0" w:color="auto"/>
        <w:left w:val="none" w:sz="0" w:space="0" w:color="auto"/>
        <w:bottom w:val="none" w:sz="0" w:space="0" w:color="auto"/>
        <w:right w:val="none" w:sz="0" w:space="0" w:color="auto"/>
      </w:divBdr>
    </w:div>
    <w:div w:id="2031449120">
      <w:bodyDiv w:val="1"/>
      <w:marLeft w:val="0"/>
      <w:marRight w:val="0"/>
      <w:marTop w:val="0"/>
      <w:marBottom w:val="0"/>
      <w:divBdr>
        <w:top w:val="none" w:sz="0" w:space="0" w:color="auto"/>
        <w:left w:val="none" w:sz="0" w:space="0" w:color="auto"/>
        <w:bottom w:val="none" w:sz="0" w:space="0" w:color="auto"/>
        <w:right w:val="none" w:sz="0" w:space="0" w:color="auto"/>
      </w:divBdr>
    </w:div>
    <w:div w:id="2031488225">
      <w:bodyDiv w:val="1"/>
      <w:marLeft w:val="0"/>
      <w:marRight w:val="0"/>
      <w:marTop w:val="0"/>
      <w:marBottom w:val="0"/>
      <w:divBdr>
        <w:top w:val="none" w:sz="0" w:space="0" w:color="auto"/>
        <w:left w:val="none" w:sz="0" w:space="0" w:color="auto"/>
        <w:bottom w:val="none" w:sz="0" w:space="0" w:color="auto"/>
        <w:right w:val="none" w:sz="0" w:space="0" w:color="auto"/>
      </w:divBdr>
    </w:div>
    <w:div w:id="2047411445">
      <w:bodyDiv w:val="1"/>
      <w:marLeft w:val="0"/>
      <w:marRight w:val="0"/>
      <w:marTop w:val="0"/>
      <w:marBottom w:val="0"/>
      <w:divBdr>
        <w:top w:val="none" w:sz="0" w:space="0" w:color="auto"/>
        <w:left w:val="none" w:sz="0" w:space="0" w:color="auto"/>
        <w:bottom w:val="none" w:sz="0" w:space="0" w:color="auto"/>
        <w:right w:val="none" w:sz="0" w:space="0" w:color="auto"/>
      </w:divBdr>
    </w:div>
    <w:div w:id="2115712364">
      <w:bodyDiv w:val="1"/>
      <w:marLeft w:val="0"/>
      <w:marRight w:val="0"/>
      <w:marTop w:val="0"/>
      <w:marBottom w:val="0"/>
      <w:divBdr>
        <w:top w:val="none" w:sz="0" w:space="0" w:color="auto"/>
        <w:left w:val="none" w:sz="0" w:space="0" w:color="auto"/>
        <w:bottom w:val="none" w:sz="0" w:space="0" w:color="auto"/>
        <w:right w:val="none" w:sz="0" w:space="0" w:color="auto"/>
      </w:divBdr>
    </w:div>
    <w:div w:id="2138912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package" Target="embeddings/_____Microsoft_Excel3.xlsx"/><Relationship Id="rId18" Type="http://schemas.openxmlformats.org/officeDocument/2006/relationships/image" Target="media/image5.emf"/><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package" Target="embeddings/_____Microsoft_Excel8.xlsx"/><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hart" Target="charts/chart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6.emf"/><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_____Microsoft_Excel2.xlsx"/><Relationship Id="rId24" Type="http://schemas.openxmlformats.org/officeDocument/2006/relationships/image" Target="media/image8.emf"/><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package" Target="embeddings/_____Microsoft_Excel4.xlsx"/><Relationship Id="rId23" Type="http://schemas.openxmlformats.org/officeDocument/2006/relationships/chart" Target="charts/chart3.xml"/><Relationship Id="rId28"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package" Target="embeddings/_____Microsoft_Excel7.xlsx"/><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package" Target="embeddings/_____Microsoft_Excel1.xlsx"/><Relationship Id="rId14" Type="http://schemas.openxmlformats.org/officeDocument/2006/relationships/image" Target="media/image4.emf"/><Relationship Id="rId22" Type="http://schemas.openxmlformats.org/officeDocument/2006/relationships/image" Target="media/image7.png"/><Relationship Id="rId27" Type="http://schemas.openxmlformats.org/officeDocument/2006/relationships/footer" Target="footer1.xml"/><Relationship Id="rId30" Type="http://schemas.openxmlformats.org/officeDocument/2006/relationships/footer" Target="footer3.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6.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20"/>
    </mc:Choice>
    <mc:Fallback>
      <c:style val="20"/>
    </mc:Fallback>
  </mc:AlternateContent>
  <c:clrMapOvr bg1="lt1" tx1="dk1" bg2="lt2" tx2="dk2" accent1="accent1" accent2="accent2" accent3="accent3" accent4="accent4" accent5="accent5" accent6="accent6" hlink="hlink" folHlink="folHlink"/>
  <c:chart>
    <c:autoTitleDeleted val="0"/>
    <c:view3D>
      <c:rotX val="0"/>
      <c:hPercent val="192"/>
      <c:rotY val="0"/>
      <c:depthPercent val="100"/>
      <c:rAngAx val="0"/>
      <c:perspective val="90"/>
    </c:view3D>
    <c:floor>
      <c:thickness val="0"/>
    </c:floor>
    <c:sideWall>
      <c:thickness val="0"/>
    </c:sideWall>
    <c:backWall>
      <c:thickness val="0"/>
    </c:backWall>
    <c:plotArea>
      <c:layout>
        <c:manualLayout>
          <c:layoutTarget val="inner"/>
          <c:xMode val="edge"/>
          <c:yMode val="edge"/>
          <c:x val="0.13774405580411081"/>
          <c:y val="2.6092585647799E-2"/>
          <c:w val="0.78721283132858433"/>
          <c:h val="0.8854597629594968"/>
        </c:manualLayout>
      </c:layout>
      <c:bar3DChart>
        <c:barDir val="bar"/>
        <c:grouping val="clustered"/>
        <c:varyColors val="0"/>
        <c:ser>
          <c:idx val="0"/>
          <c:order val="0"/>
          <c:tx>
            <c:strRef>
              <c:f>налоговые!$C$2</c:f>
              <c:strCache>
                <c:ptCount val="1"/>
                <c:pt idx="0">
                  <c:v>2020 год,         тыс.руб.</c:v>
                </c:pt>
              </c:strCache>
            </c:strRef>
          </c:tx>
          <c:spPr>
            <a:solidFill>
              <a:srgbClr val="0070C0"/>
            </a:solidFill>
            <a:ln>
              <a:solidFill>
                <a:schemeClr val="tx2">
                  <a:lumMod val="50000"/>
                </a:schemeClr>
              </a:solidFill>
            </a:ln>
          </c:spPr>
          <c:invertIfNegative val="0"/>
          <c:dLbls>
            <c:dLbl>
              <c:idx val="0"/>
              <c:layout>
                <c:manualLayout>
                  <c:x val="2.0582577041630013E-3"/>
                  <c:y val="-6.3251106894370674E-3"/>
                </c:manualLayout>
              </c:layout>
              <c:spPr/>
              <c:txPr>
                <a:bodyPr/>
                <a:lstStyle/>
                <a:p>
                  <a:pPr>
                    <a:defRPr sz="999" b="0" i="0" u="none" strike="noStrike" baseline="0">
                      <a:solidFill>
                        <a:srgbClr val="0066CC"/>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4.3290043290043302E-2"/>
                  <c:y val="0"/>
                </c:manualLayout>
              </c:layout>
              <c:spPr/>
              <c:txPr>
                <a:bodyPr/>
                <a:lstStyle/>
                <a:p>
                  <a:pPr>
                    <a:defRPr sz="999" b="0" i="0" u="none" strike="noStrike" baseline="0">
                      <a:solidFill>
                        <a:srgbClr val="0066CC"/>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2.5974025974026042E-2"/>
                  <c:y val="-5.7979511535579601E-17"/>
                </c:manualLayout>
              </c:layout>
              <c:spPr/>
              <c:txPr>
                <a:bodyPr/>
                <a:lstStyle/>
                <a:p>
                  <a:pPr>
                    <a:defRPr sz="999" b="0" i="0" u="none" strike="noStrike" baseline="0">
                      <a:solidFill>
                        <a:srgbClr val="0066CC"/>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3"/>
              <c:layout>
                <c:manualLayout>
                  <c:x val="3.0303030303030311E-2"/>
                  <c:y val="-3.1625553447185402E-3"/>
                </c:manualLayout>
              </c:layout>
              <c:spPr/>
              <c:txPr>
                <a:bodyPr/>
                <a:lstStyle/>
                <a:p>
                  <a:pPr>
                    <a:defRPr sz="999" b="0" i="0" u="none" strike="noStrike" baseline="0">
                      <a:solidFill>
                        <a:srgbClr val="0066CC"/>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4"/>
              <c:layout>
                <c:manualLayout>
                  <c:x val="2.3809523809523812E-2"/>
                  <c:y val="0"/>
                </c:manualLayout>
              </c:layout>
              <c:spPr/>
              <c:txPr>
                <a:bodyPr/>
                <a:lstStyle/>
                <a:p>
                  <a:pPr>
                    <a:defRPr sz="999" b="0" i="0" u="none" strike="noStrike" baseline="0">
                      <a:solidFill>
                        <a:srgbClr val="0066CC"/>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5"/>
              <c:layout>
                <c:manualLayout>
                  <c:x val="2.1645021645021651E-2"/>
                  <c:y val="1.8975332068311201E-2"/>
                </c:manualLayout>
              </c:layout>
              <c:spPr/>
              <c:txPr>
                <a:bodyPr/>
                <a:lstStyle/>
                <a:p>
                  <a:pPr>
                    <a:defRPr sz="999" b="0" i="0" u="none" strike="noStrike" baseline="0">
                      <a:solidFill>
                        <a:srgbClr val="0066CC"/>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w="25379">
                <a:noFill/>
              </a:ln>
            </c:spPr>
            <c:txPr>
              <a:bodyPr wrap="square" lIns="38100" tIns="19050" rIns="38100" bIns="19050" anchor="ctr">
                <a:spAutoFit/>
              </a:bodyPr>
              <a:lstStyle/>
              <a:p>
                <a:pPr>
                  <a:defRPr sz="999" b="0" i="0" u="none" strike="noStrike" baseline="0">
                    <a:solidFill>
                      <a:srgbClr val="3366FF"/>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налоговые!$B$4:$B$7</c:f>
              <c:strCache>
                <c:ptCount val="4"/>
                <c:pt idx="0">
                  <c:v>НДФЛ</c:v>
                </c:pt>
                <c:pt idx="1">
                  <c:v>налоги на имущество</c:v>
                </c:pt>
                <c:pt idx="2">
                  <c:v>налоги на совокупный доход</c:v>
                </c:pt>
                <c:pt idx="3">
                  <c:v>госпошлина</c:v>
                </c:pt>
              </c:strCache>
            </c:strRef>
          </c:cat>
          <c:val>
            <c:numRef>
              <c:f>налоговые!$C$4:$C$7</c:f>
              <c:numCache>
                <c:formatCode>#,##0.00</c:formatCode>
                <c:ptCount val="4"/>
                <c:pt idx="0">
                  <c:v>747716.04</c:v>
                </c:pt>
                <c:pt idx="1">
                  <c:v>138430.29</c:v>
                </c:pt>
                <c:pt idx="2">
                  <c:v>96538.39</c:v>
                </c:pt>
                <c:pt idx="3">
                  <c:v>13866.14</c:v>
                </c:pt>
              </c:numCache>
            </c:numRef>
          </c:val>
        </c:ser>
        <c:ser>
          <c:idx val="1"/>
          <c:order val="1"/>
          <c:tx>
            <c:strRef>
              <c:f>налоговые!$D$2</c:f>
              <c:strCache>
                <c:ptCount val="1"/>
                <c:pt idx="0">
                  <c:v>2021 год</c:v>
                </c:pt>
              </c:strCache>
            </c:strRef>
          </c:tx>
          <c:spPr>
            <a:solidFill>
              <a:srgbClr val="FF0000"/>
            </a:solidFill>
            <a:ln>
              <a:solidFill>
                <a:srgbClr val="C00000"/>
              </a:solidFill>
            </a:ln>
          </c:spPr>
          <c:invertIfNegative val="0"/>
          <c:dLbls>
            <c:dLbl>
              <c:idx val="0"/>
              <c:layout>
                <c:manualLayout>
                  <c:x val="-8.4944252540642383E-4"/>
                  <c:y val="-1.5812776723592662E-2"/>
                </c:manualLayout>
              </c:layout>
              <c:spPr>
                <a:noFill/>
                <a:ln w="25379">
                  <a:noFill/>
                </a:ln>
              </c:spPr>
              <c:txPr>
                <a:bodyPr/>
                <a:lstStyle/>
                <a:p>
                  <a:pPr>
                    <a:defRPr sz="999" b="0" i="0" u="none" strike="noStrike" baseline="0">
                      <a:solidFill>
                        <a:srgbClr val="993366"/>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1"/>
              <c:layout>
                <c:manualLayout>
                  <c:x val="3.6796536796536793E-2"/>
                  <c:y val="0"/>
                </c:manualLayout>
              </c:layout>
              <c:spPr>
                <a:noFill/>
                <a:ln w="25379">
                  <a:noFill/>
                </a:ln>
              </c:spPr>
              <c:txPr>
                <a:bodyPr/>
                <a:lstStyle/>
                <a:p>
                  <a:pPr>
                    <a:defRPr sz="999" b="0" i="0" u="none" strike="noStrike" baseline="0">
                      <a:solidFill>
                        <a:srgbClr val="993366"/>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2"/>
              <c:layout>
                <c:manualLayout>
                  <c:x val="2.5974025974026042E-2"/>
                  <c:y val="0"/>
                </c:manualLayout>
              </c:layout>
              <c:spPr>
                <a:noFill/>
                <a:ln w="25379">
                  <a:noFill/>
                </a:ln>
              </c:spPr>
              <c:txPr>
                <a:bodyPr/>
                <a:lstStyle/>
                <a:p>
                  <a:pPr>
                    <a:defRPr sz="999" b="0" i="0" u="none" strike="noStrike" baseline="0">
                      <a:solidFill>
                        <a:srgbClr val="993366"/>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3"/>
              <c:layout>
                <c:manualLayout>
                  <c:x val="2.8138528138528133E-2"/>
                  <c:y val="0"/>
                </c:manualLayout>
              </c:layout>
              <c:spPr>
                <a:noFill/>
                <a:ln w="25379">
                  <a:noFill/>
                </a:ln>
              </c:spPr>
              <c:txPr>
                <a:bodyPr/>
                <a:lstStyle/>
                <a:p>
                  <a:pPr>
                    <a:defRPr sz="999" b="0" i="0" u="none" strike="noStrike" baseline="0">
                      <a:solidFill>
                        <a:srgbClr val="993366"/>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4"/>
              <c:layout>
                <c:manualLayout>
                  <c:x val="1.5151515151515181E-2"/>
                  <c:y val="2.8989755767789714E-17"/>
                </c:manualLayout>
              </c:layout>
              <c:spPr>
                <a:noFill/>
                <a:ln w="25379">
                  <a:noFill/>
                </a:ln>
              </c:spPr>
              <c:txPr>
                <a:bodyPr/>
                <a:lstStyle/>
                <a:p>
                  <a:pPr>
                    <a:defRPr sz="999" b="0" i="0" u="none" strike="noStrike" baseline="0">
                      <a:solidFill>
                        <a:srgbClr val="993366"/>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dLbl>
              <c:idx val="5"/>
              <c:layout>
                <c:manualLayout>
                  <c:x val="2.1644961273574383E-2"/>
                  <c:y val="3.3521611751111311E-3"/>
                </c:manualLayout>
              </c:layout>
              <c:spPr>
                <a:noFill/>
                <a:ln w="25379">
                  <a:noFill/>
                </a:ln>
              </c:spPr>
              <c:txPr>
                <a:bodyPr/>
                <a:lstStyle/>
                <a:p>
                  <a:pPr>
                    <a:defRPr sz="999" b="0" i="0" u="none" strike="noStrike" baseline="0">
                      <a:solidFill>
                        <a:srgbClr val="993366"/>
                      </a:solidFill>
                      <a:latin typeface="Times New Roman"/>
                      <a:ea typeface="Times New Roman"/>
                      <a:cs typeface="Times New Roman"/>
                    </a:defRPr>
                  </a:pPr>
                  <a:endParaRPr lang="ru-RU"/>
                </a:p>
              </c:txPr>
              <c:showLegendKey val="0"/>
              <c:showVal val="1"/>
              <c:showCatName val="0"/>
              <c:showSerName val="0"/>
              <c:showPercent val="0"/>
              <c:showBubbleSize val="0"/>
              <c:extLst>
                <c:ext xmlns:c15="http://schemas.microsoft.com/office/drawing/2012/chart" uri="{CE6537A1-D6FC-4f65-9D91-7224C49458BB}"/>
              </c:extLst>
            </c:dLbl>
            <c:spPr>
              <a:noFill/>
              <a:ln w="25379">
                <a:noFill/>
              </a:ln>
            </c:spPr>
            <c:txPr>
              <a:bodyPr wrap="square" lIns="38100" tIns="19050" rIns="38100" bIns="19050" anchor="ctr">
                <a:spAutoFit/>
              </a:bodyPr>
              <a:lstStyle/>
              <a:p>
                <a:pPr>
                  <a:defRPr sz="999" b="0" i="0" u="none" strike="noStrike" baseline="0">
                    <a:solidFill>
                      <a:srgbClr val="993366"/>
                    </a:solidFill>
                    <a:latin typeface="Times New Roman"/>
                    <a:ea typeface="Times New Roman"/>
                    <a:cs typeface="Times New Roman"/>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налоговые!$B$4:$B$7</c:f>
              <c:strCache>
                <c:ptCount val="4"/>
                <c:pt idx="0">
                  <c:v>НДФЛ</c:v>
                </c:pt>
                <c:pt idx="1">
                  <c:v>налоги на имущество</c:v>
                </c:pt>
                <c:pt idx="2">
                  <c:v>налоги на совокупный доход</c:v>
                </c:pt>
                <c:pt idx="3">
                  <c:v>госпошлина</c:v>
                </c:pt>
              </c:strCache>
            </c:strRef>
          </c:cat>
          <c:val>
            <c:numRef>
              <c:f>налоговые!$D$4:$D$7</c:f>
              <c:numCache>
                <c:formatCode>#,##0.00</c:formatCode>
                <c:ptCount val="4"/>
                <c:pt idx="0">
                  <c:v>773030.55</c:v>
                </c:pt>
                <c:pt idx="1">
                  <c:v>147153.70000000001</c:v>
                </c:pt>
                <c:pt idx="2">
                  <c:v>110760.35</c:v>
                </c:pt>
                <c:pt idx="3">
                  <c:v>14673.73</c:v>
                </c:pt>
              </c:numCache>
            </c:numRef>
          </c:val>
        </c:ser>
        <c:dLbls>
          <c:showLegendKey val="0"/>
          <c:showVal val="0"/>
          <c:showCatName val="0"/>
          <c:showSerName val="0"/>
          <c:showPercent val="0"/>
          <c:showBubbleSize val="0"/>
        </c:dLbls>
        <c:gapWidth val="150"/>
        <c:shape val="box"/>
        <c:axId val="366220624"/>
        <c:axId val="366222584"/>
        <c:axId val="0"/>
      </c:bar3DChart>
      <c:catAx>
        <c:axId val="366220624"/>
        <c:scaling>
          <c:orientation val="minMax"/>
        </c:scaling>
        <c:delete val="0"/>
        <c:axPos val="l"/>
        <c:majorGridlines>
          <c:spPr>
            <a:ln>
              <a:solidFill>
                <a:schemeClr val="bg1"/>
              </a:solidFill>
            </a:ln>
          </c:spPr>
        </c:majorGridlines>
        <c:numFmt formatCode="General" sourceLinked="1"/>
        <c:majorTickMark val="out"/>
        <c:minorTickMark val="none"/>
        <c:tickLblPos val="nextTo"/>
        <c:txPr>
          <a:bodyPr rot="0" vert="horz"/>
          <a:lstStyle/>
          <a:p>
            <a:pPr>
              <a:defRPr sz="999" b="0" i="0" u="none" strike="noStrike" baseline="0">
                <a:solidFill>
                  <a:srgbClr val="000000"/>
                </a:solidFill>
                <a:latin typeface="Times New Roman"/>
                <a:ea typeface="Times New Roman"/>
                <a:cs typeface="Times New Roman"/>
              </a:defRPr>
            </a:pPr>
            <a:endParaRPr lang="ru-RU"/>
          </a:p>
        </c:txPr>
        <c:crossAx val="366222584"/>
        <c:crosses val="autoZero"/>
        <c:auto val="1"/>
        <c:lblAlgn val="ctr"/>
        <c:lblOffset val="100"/>
        <c:noMultiLvlLbl val="0"/>
      </c:catAx>
      <c:valAx>
        <c:axId val="366222584"/>
        <c:scaling>
          <c:orientation val="minMax"/>
        </c:scaling>
        <c:delete val="0"/>
        <c:axPos val="b"/>
        <c:majorGridlines>
          <c:spPr>
            <a:ln>
              <a:solidFill>
                <a:schemeClr val="bg1"/>
              </a:solidFill>
            </a:ln>
          </c:spPr>
        </c:majorGridlines>
        <c:numFmt formatCode="#,##0.00" sourceLinked="1"/>
        <c:majorTickMark val="out"/>
        <c:minorTickMark val="none"/>
        <c:tickLblPos val="nextTo"/>
        <c:txPr>
          <a:bodyPr rot="0" vert="horz"/>
          <a:lstStyle/>
          <a:p>
            <a:pPr>
              <a:defRPr sz="999" b="0" i="0" u="none" strike="noStrike" baseline="0">
                <a:solidFill>
                  <a:srgbClr val="FFFFFF"/>
                </a:solidFill>
                <a:latin typeface="Times New Roman"/>
                <a:ea typeface="Times New Roman"/>
                <a:cs typeface="Times New Roman"/>
              </a:defRPr>
            </a:pPr>
            <a:endParaRPr lang="ru-RU"/>
          </a:p>
        </c:txPr>
        <c:crossAx val="366220624"/>
        <c:crosses val="autoZero"/>
        <c:crossBetween val="between"/>
      </c:valAx>
      <c:spPr>
        <a:noFill/>
        <a:ln w="25385">
          <a:noFill/>
        </a:ln>
      </c:spPr>
    </c:plotArea>
    <c:legend>
      <c:legendPos val="r"/>
      <c:layout>
        <c:manualLayout>
          <c:xMode val="edge"/>
          <c:yMode val="edge"/>
          <c:wMode val="edge"/>
          <c:hMode val="edge"/>
          <c:x val="0.26461987178253082"/>
          <c:y val="0.90491796402162061"/>
          <c:w val="0.6842105769786111"/>
          <c:h val="0.95081946092354896"/>
        </c:manualLayout>
      </c:layout>
      <c:overlay val="0"/>
      <c:spPr>
        <a:ln>
          <a:solidFill>
            <a:schemeClr val="bg1"/>
          </a:solidFill>
        </a:ln>
      </c:spPr>
      <c:txPr>
        <a:bodyPr/>
        <a:lstStyle/>
        <a:p>
          <a:pPr>
            <a:defRPr sz="919" b="0" i="0" u="none" strike="noStrike" baseline="0">
              <a:solidFill>
                <a:srgbClr val="000000"/>
              </a:solidFill>
              <a:latin typeface="Times New Roman"/>
              <a:ea typeface="Times New Roman"/>
              <a:cs typeface="Times New Roman"/>
            </a:defRPr>
          </a:pPr>
          <a:endParaRPr lang="ru-RU"/>
        </a:p>
      </c:txPr>
    </c:legend>
    <c:plotVisOnly val="1"/>
    <c:dispBlanksAs val="gap"/>
    <c:showDLblsOverMax val="0"/>
  </c:chart>
  <c:spPr>
    <a:ln>
      <a:noFill/>
    </a:ln>
  </c:spPr>
  <c:txPr>
    <a:bodyPr/>
    <a:lstStyle/>
    <a:p>
      <a:pPr>
        <a:defRPr sz="999" b="0" i="0" u="none" strike="noStrike" baseline="0">
          <a:solidFill>
            <a:srgbClr val="000000"/>
          </a:solidFill>
          <a:latin typeface="Calibri"/>
          <a:ea typeface="Calibri"/>
          <a:cs typeface="Calibri"/>
        </a:defRPr>
      </a:pPr>
      <a:endParaRPr lang="ru-RU"/>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797222222222373"/>
          <c:y val="2.6620370370370912E-2"/>
          <c:w val="0.8681388888888989"/>
          <c:h val="0.74252004957713624"/>
        </c:manualLayout>
      </c:layout>
      <c:lineChart>
        <c:grouping val="standard"/>
        <c:varyColors val="0"/>
        <c:ser>
          <c:idx val="0"/>
          <c:order val="0"/>
          <c:marker>
            <c:spPr>
              <a:solidFill>
                <a:srgbClr val="00B0F0"/>
              </a:solidFill>
            </c:spPr>
          </c:marker>
          <c:cat>
            <c:strRef>
              <c:f>НДФЛ!$C$10:$C$21</c:f>
              <c:strCache>
                <c:ptCount val="12"/>
                <c:pt idx="0">
                  <c:v>январь</c:v>
                </c:pt>
                <c:pt idx="1">
                  <c:v>февраль</c:v>
                </c:pt>
                <c:pt idx="2">
                  <c:v>март</c:v>
                </c:pt>
                <c:pt idx="3">
                  <c:v>апрель</c:v>
                </c:pt>
                <c:pt idx="4">
                  <c:v>май</c:v>
                </c:pt>
                <c:pt idx="5">
                  <c:v>июнь</c:v>
                </c:pt>
                <c:pt idx="6">
                  <c:v>июль</c:v>
                </c:pt>
                <c:pt idx="7">
                  <c:v>август</c:v>
                </c:pt>
                <c:pt idx="8">
                  <c:v>сентябрь</c:v>
                </c:pt>
                <c:pt idx="9">
                  <c:v>октябрь</c:v>
                </c:pt>
                <c:pt idx="10">
                  <c:v>ноябрь</c:v>
                </c:pt>
                <c:pt idx="11">
                  <c:v>декабрь</c:v>
                </c:pt>
              </c:strCache>
            </c:strRef>
          </c:cat>
          <c:val>
            <c:numRef>
              <c:f>НДФЛ!$D$10:$D$21</c:f>
              <c:numCache>
                <c:formatCode>#,##0.00</c:formatCode>
                <c:ptCount val="12"/>
                <c:pt idx="0">
                  <c:v>36941.660000000003</c:v>
                </c:pt>
                <c:pt idx="1">
                  <c:v>67568.95</c:v>
                </c:pt>
                <c:pt idx="2">
                  <c:v>64867.58</c:v>
                </c:pt>
                <c:pt idx="3">
                  <c:v>62146.400000000001</c:v>
                </c:pt>
                <c:pt idx="4">
                  <c:v>62658.64</c:v>
                </c:pt>
                <c:pt idx="5">
                  <c:v>61643.4</c:v>
                </c:pt>
                <c:pt idx="6">
                  <c:v>57311.37</c:v>
                </c:pt>
                <c:pt idx="7">
                  <c:v>57635.63</c:v>
                </c:pt>
                <c:pt idx="8">
                  <c:v>59519.35</c:v>
                </c:pt>
                <c:pt idx="9">
                  <c:v>61765.26</c:v>
                </c:pt>
                <c:pt idx="10">
                  <c:v>61259.33</c:v>
                </c:pt>
                <c:pt idx="11">
                  <c:v>119712.98</c:v>
                </c:pt>
              </c:numCache>
            </c:numRef>
          </c:val>
          <c:smooth val="0"/>
        </c:ser>
        <c:dLbls>
          <c:showLegendKey val="0"/>
          <c:showVal val="0"/>
          <c:showCatName val="0"/>
          <c:showSerName val="0"/>
          <c:showPercent val="0"/>
          <c:showBubbleSize val="0"/>
        </c:dLbls>
        <c:marker val="1"/>
        <c:smooth val="0"/>
        <c:axId val="366256112"/>
        <c:axId val="366223368"/>
      </c:lineChart>
      <c:catAx>
        <c:axId val="366256112"/>
        <c:scaling>
          <c:orientation val="minMax"/>
        </c:scaling>
        <c:delete val="0"/>
        <c:axPos val="b"/>
        <c:majorGridlines>
          <c:spPr>
            <a:ln>
              <a:solidFill>
                <a:schemeClr val="bg1"/>
              </a:solidFill>
            </a:ln>
          </c:spPr>
        </c:majorGridlines>
        <c:numFmt formatCode="General" sourceLinked="0"/>
        <c:majorTickMark val="out"/>
        <c:minorTickMark val="none"/>
        <c:tickLblPos val="nextTo"/>
        <c:txPr>
          <a:bodyPr/>
          <a:lstStyle/>
          <a:p>
            <a:pPr>
              <a:defRPr baseline="0">
                <a:latin typeface="Times New Roman" pitchFamily="18" charset="0"/>
                <a:cs typeface="Times New Roman" pitchFamily="18" charset="0"/>
              </a:defRPr>
            </a:pPr>
            <a:endParaRPr lang="ru-RU"/>
          </a:p>
        </c:txPr>
        <c:crossAx val="366223368"/>
        <c:crosses val="autoZero"/>
        <c:auto val="1"/>
        <c:lblAlgn val="ctr"/>
        <c:lblOffset val="100"/>
        <c:noMultiLvlLbl val="0"/>
      </c:catAx>
      <c:valAx>
        <c:axId val="366223368"/>
        <c:scaling>
          <c:orientation val="minMax"/>
        </c:scaling>
        <c:delete val="0"/>
        <c:axPos val="l"/>
        <c:majorGridlines>
          <c:spPr>
            <a:ln>
              <a:solidFill>
                <a:schemeClr val="bg1">
                  <a:lumMod val="95000"/>
                </a:schemeClr>
              </a:solidFill>
            </a:ln>
          </c:spPr>
        </c:majorGridlines>
        <c:numFmt formatCode="#,##0" sourceLinked="0"/>
        <c:majorTickMark val="out"/>
        <c:minorTickMark val="none"/>
        <c:tickLblPos val="nextTo"/>
        <c:txPr>
          <a:bodyPr/>
          <a:lstStyle/>
          <a:p>
            <a:pPr>
              <a:defRPr>
                <a:latin typeface="Times New Roman" pitchFamily="18" charset="0"/>
                <a:cs typeface="Times New Roman" pitchFamily="18" charset="0"/>
              </a:defRPr>
            </a:pPr>
            <a:endParaRPr lang="ru-RU"/>
          </a:p>
        </c:txPr>
        <c:crossAx val="366256112"/>
        <c:crosses val="autoZero"/>
        <c:crossBetween val="between"/>
      </c:valAx>
    </c:plotArea>
    <c:plotVisOnly val="1"/>
    <c:dispBlanksAs val="gap"/>
    <c:showDLblsOverMax val="0"/>
  </c:chart>
  <c:spPr>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0"/>
    </c:view3D>
    <c:floor>
      <c:thickness val="0"/>
    </c:floor>
    <c:sideWall>
      <c:thickness val="0"/>
    </c:sideWall>
    <c:backWall>
      <c:thickness val="0"/>
    </c:backWall>
    <c:plotArea>
      <c:layout>
        <c:manualLayout>
          <c:layoutTarget val="inner"/>
          <c:xMode val="edge"/>
          <c:yMode val="edge"/>
          <c:x val="2.2916666666666672E-2"/>
          <c:y val="0"/>
          <c:w val="0.57475196850393762"/>
          <c:h val="0.62930899930989959"/>
        </c:manualLayout>
      </c:layout>
      <c:pie3DChart>
        <c:varyColors val="1"/>
        <c:ser>
          <c:idx val="0"/>
          <c:order val="0"/>
          <c:tx>
            <c:strRef>
              <c:f>Лист1!$B$1</c:f>
              <c:strCache>
                <c:ptCount val="1"/>
                <c:pt idx="0">
                  <c:v>Столбец1</c:v>
                </c:pt>
              </c:strCache>
            </c:strRef>
          </c:tx>
          <c:explosion val="37"/>
          <c:dPt>
            <c:idx val="0"/>
            <c:bubble3D val="0"/>
            <c:spPr>
              <a:solidFill>
                <a:srgbClr val="CC0000"/>
              </a:solidFill>
            </c:spPr>
          </c:dPt>
          <c:dPt>
            <c:idx val="1"/>
            <c:bubble3D val="0"/>
            <c:spPr>
              <a:solidFill>
                <a:srgbClr val="003366"/>
              </a:solidFill>
            </c:spPr>
          </c:dPt>
          <c:dPt>
            <c:idx val="2"/>
            <c:bubble3D val="0"/>
            <c:spPr>
              <a:solidFill>
                <a:srgbClr val="00CC99"/>
              </a:solidFill>
            </c:spPr>
          </c:dPt>
          <c:dPt>
            <c:idx val="3"/>
            <c:bubble3D val="0"/>
          </c:dPt>
          <c:dPt>
            <c:idx val="4"/>
            <c:bubble3D val="0"/>
            <c:spPr>
              <a:solidFill>
                <a:srgbClr val="FF6600"/>
              </a:solidFill>
            </c:spPr>
          </c:dPt>
          <c:dPt>
            <c:idx val="5"/>
            <c:bubble3D val="0"/>
            <c:spPr>
              <a:solidFill>
                <a:srgbClr val="9966FF"/>
              </a:solidFill>
            </c:spPr>
          </c:dPt>
          <c:dPt>
            <c:idx val="6"/>
            <c:bubble3D val="0"/>
            <c:spPr>
              <a:solidFill>
                <a:srgbClr val="00B0F0"/>
              </a:solidFill>
            </c:spPr>
          </c:dPt>
          <c:dPt>
            <c:idx val="7"/>
            <c:bubble3D val="0"/>
            <c:spPr>
              <a:solidFill>
                <a:srgbClr val="FFFF00"/>
              </a:solidFill>
            </c:spPr>
          </c:dPt>
          <c:dLbls>
            <c:dLbl>
              <c:idx val="0"/>
              <c:layout>
                <c:manualLayout>
                  <c:x val="-7.3558070866142104E-3"/>
                  <c:y val="-1.954389079465069E-3"/>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1"/>
              <c:layout>
                <c:manualLayout>
                  <c:x val="-1.3759924540682427E-2"/>
                  <c:y val="-7.4694552083830823E-3"/>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2"/>
              <c:layout>
                <c:manualLayout>
                  <c:x val="-1.2364501312336185E-2"/>
                  <c:y val="-1.2606571226716001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3"/>
              <c:layout>
                <c:manualLayout>
                  <c:x val="-1.5112073022544316E-3"/>
                  <c:y val="-1.3905989136671277E-2"/>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4"/>
              <c:layout>
                <c:manualLayout>
                  <c:x val="1.5055610236220473E-2"/>
                  <c:y val="-6.9058237253859771E-3"/>
                </c:manualLayout>
              </c:layout>
              <c:dLblPos val="bestFit"/>
              <c:showLegendKey val="0"/>
              <c:showVal val="0"/>
              <c:showCatName val="0"/>
              <c:showSerName val="0"/>
              <c:showPercent val="1"/>
              <c:showBubbleSize val="0"/>
              <c:extLst>
                <c:ext xmlns:c15="http://schemas.microsoft.com/office/drawing/2012/chart" uri="{CE6537A1-D6FC-4f65-9D91-7224C49458BB}"/>
              </c:extLst>
            </c:dLbl>
            <c:dLbl>
              <c:idx val="7"/>
              <c:layout>
                <c:manualLayout>
                  <c:x val="1.0299704724409444E-2"/>
                  <c:y val="-4.1685673961625323E-4"/>
                </c:manualLayout>
              </c:layout>
              <c:dLblPos val="bestFit"/>
              <c:showLegendKey val="0"/>
              <c:showVal val="0"/>
              <c:showCatName val="0"/>
              <c:showSerName val="0"/>
              <c:showPercent val="1"/>
              <c:showBubbleSize val="0"/>
              <c:extLst>
                <c:ext xmlns:c15="http://schemas.microsoft.com/office/drawing/2012/chart" uri="{CE6537A1-D6FC-4f65-9D91-7224C49458BB}"/>
              </c:extLst>
            </c:dLbl>
            <c:numFmt formatCode="0.0%" sourceLinked="0"/>
            <c:spPr>
              <a:noFill/>
              <a:ln w="25378">
                <a:noFill/>
              </a:ln>
            </c:spPr>
            <c:txPr>
              <a:bodyPr/>
              <a:lstStyle/>
              <a:p>
                <a:pPr>
                  <a:defRPr sz="999" b="1">
                    <a:latin typeface="Times New Roman" pitchFamily="18" charset="0"/>
                    <a:cs typeface="Times New Roman" pitchFamily="18" charset="0"/>
                  </a:defRPr>
                </a:pPr>
                <a:endParaRPr lang="ru-RU"/>
              </a:p>
            </c:txPr>
            <c:showLegendKey val="0"/>
            <c:showVal val="0"/>
            <c:showCatName val="0"/>
            <c:showSerName val="0"/>
            <c:showPercent val="1"/>
            <c:showBubbleSize val="0"/>
            <c:showLeaderLines val="1"/>
            <c:extLst>
              <c:ext xmlns:c15="http://schemas.microsoft.com/office/drawing/2012/chart" uri="{CE6537A1-D6FC-4f65-9D91-7224C49458BB}"/>
            </c:extLst>
          </c:dLbls>
          <c:cat>
            <c:strRef>
              <c:f>Лист1!$A$2:$A$9</c:f>
              <c:strCache>
                <c:ptCount val="8"/>
                <c:pt idx="0">
                  <c:v>Учреждения дошкольного образования</c:v>
                </c:pt>
                <c:pt idx="1">
                  <c:v>Общеобразовательные учреждения</c:v>
                </c:pt>
                <c:pt idx="2">
                  <c:v>Учреждения доп.образования спортивной направленности</c:v>
                </c:pt>
                <c:pt idx="3">
                  <c:v>Учреждения доп.образования эстетической и общей направленности</c:v>
                </c:pt>
                <c:pt idx="4">
                  <c:v>Учреждения культуры</c:v>
                </c:pt>
                <c:pt idx="5">
                  <c:v>МБЭУ</c:v>
                </c:pt>
                <c:pt idx="6">
                  <c:v>Оздоровительные лагеря</c:v>
                </c:pt>
                <c:pt idx="7">
                  <c:v>Прочие учреждения</c:v>
                </c:pt>
              </c:strCache>
            </c:strRef>
          </c:cat>
          <c:val>
            <c:numRef>
              <c:f>Лист1!$B$2:$B$9</c:f>
              <c:numCache>
                <c:formatCode>#\ ##0.0</c:formatCode>
                <c:ptCount val="8"/>
                <c:pt idx="0">
                  <c:v>33.200000000000003</c:v>
                </c:pt>
                <c:pt idx="1">
                  <c:v>33.6</c:v>
                </c:pt>
                <c:pt idx="2">
                  <c:v>10.8</c:v>
                </c:pt>
                <c:pt idx="3">
                  <c:v>3.9</c:v>
                </c:pt>
                <c:pt idx="4">
                  <c:v>8.4</c:v>
                </c:pt>
                <c:pt idx="5">
                  <c:v>6.4</c:v>
                </c:pt>
                <c:pt idx="6">
                  <c:v>2.7</c:v>
                </c:pt>
                <c:pt idx="7">
                  <c:v>1</c:v>
                </c:pt>
              </c:numCache>
            </c:numRef>
          </c:val>
        </c:ser>
        <c:dLbls>
          <c:showLegendKey val="0"/>
          <c:showVal val="0"/>
          <c:showCatName val="0"/>
          <c:showSerName val="0"/>
          <c:showPercent val="0"/>
          <c:showBubbleSize val="0"/>
          <c:showLeaderLines val="1"/>
        </c:dLbls>
      </c:pie3DChart>
      <c:spPr>
        <a:noFill/>
        <a:ln w="25378">
          <a:noFill/>
        </a:ln>
      </c:spPr>
    </c:plotArea>
    <c:legend>
      <c:legendPos val="r"/>
      <c:layout>
        <c:manualLayout>
          <c:xMode val="edge"/>
          <c:yMode val="edge"/>
          <c:wMode val="edge"/>
          <c:hMode val="edge"/>
          <c:x val="0"/>
          <c:y val="0.69214437367303605"/>
          <c:w val="0.76092896174863389"/>
          <c:h val="0.96602972399150744"/>
        </c:manualLayout>
      </c:layout>
      <c:overlay val="0"/>
      <c:txPr>
        <a:bodyPr/>
        <a:lstStyle/>
        <a:p>
          <a:pPr>
            <a:defRPr sz="999" baseline="0">
              <a:solidFill>
                <a:schemeClr val="bg1">
                  <a:lumMod val="10000"/>
                </a:schemeClr>
              </a:solidFill>
              <a:latin typeface="Times New Roman" pitchFamily="18" charset="0"/>
              <a:cs typeface="Times New Roman" pitchFamily="18" charset="0"/>
            </a:defRPr>
          </a:pPr>
          <a:endParaRPr lang="ru-RU"/>
        </a:p>
      </c:txPr>
    </c:legend>
    <c:plotVisOnly val="1"/>
    <c:dispBlanksAs val="zero"/>
    <c:showDLblsOverMax val="0"/>
  </c:chart>
  <c:spPr>
    <a:ln>
      <a:noFill/>
    </a:ln>
  </c:spPr>
  <c:txPr>
    <a:bodyPr/>
    <a:lstStyle/>
    <a:p>
      <a:pPr>
        <a:defRPr sz="1798"/>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3E2B67-6F3D-4181-8DFD-B72D07D91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24461</Words>
  <Characters>139434</Characters>
  <Application>Microsoft Office Word</Application>
  <DocSecurity>0</DocSecurity>
  <Lines>1161</Lines>
  <Paragraphs>327</Paragraphs>
  <ScaleCrop>false</ScaleCrop>
  <HeadingPairs>
    <vt:vector size="2" baseType="variant">
      <vt:variant>
        <vt:lpstr>Название</vt:lpstr>
      </vt:variant>
      <vt:variant>
        <vt:i4>1</vt:i4>
      </vt:variant>
    </vt:vector>
  </HeadingPairs>
  <TitlesOfParts>
    <vt:vector size="1" baseType="lpstr">
      <vt:lpstr>Пояснительная записка по исполнению бюджета</vt:lpstr>
    </vt:vector>
  </TitlesOfParts>
  <Company>Организация</Company>
  <LinksUpToDate>false</LinksUpToDate>
  <CharactersWithSpaces>163568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по исполнению бюджета</dc:title>
  <dc:subject/>
  <dc:creator>Bulankina</dc:creator>
  <cp:keywords/>
  <cp:lastModifiedBy>Кириллова О.Н.</cp:lastModifiedBy>
  <cp:revision>2</cp:revision>
  <cp:lastPrinted>2022-03-03T04:25:00Z</cp:lastPrinted>
  <dcterms:created xsi:type="dcterms:W3CDTF">2022-03-05T06:14:00Z</dcterms:created>
  <dcterms:modified xsi:type="dcterms:W3CDTF">2022-03-05T06:14:00Z</dcterms:modified>
</cp:coreProperties>
</file>