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ConsPlusNormal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</w:t>
      </w:r>
    </w:p>
    <w:p>
      <w:pPr>
        <w:pStyle w:val="ConsPlusNormal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приказом начальника </w:t>
      </w:r>
    </w:p>
    <w:p>
      <w:pPr>
        <w:pStyle w:val="ConsPlusNormal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Финансового управления </w:t>
      </w:r>
    </w:p>
    <w:p>
      <w:pPr>
        <w:pStyle w:val="ConsPlusNormal"/>
        <w:ind w:left="4956" w:firstLine="708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>
      <w:pPr>
        <w:pStyle w:val="ConsPlusNormal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от__25.12.2019__№</w:t>
      </w:r>
      <w:bookmarkStart w:id="0" w:name="P39"/>
      <w:bookmarkEnd w:id="0"/>
      <w:r>
        <w:rPr>
          <w:rFonts w:ascii="Times New Roman" w:hAnsi="Times New Roman" w:cs="Times New Roman"/>
          <w:sz w:val="24"/>
          <w:szCs w:val="24"/>
        </w:rPr>
        <w:t>__119___</w:t>
      </w: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ConsPlusTitle"/>
        <w:spacing w:line="271" w:lineRule="auto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>
      <w:pPr>
        <w:pStyle w:val="ConsPlusTitle"/>
        <w:spacing w:line="271" w:lineRule="auto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ПОРЯДОК</w:t>
      </w:r>
    </w:p>
    <w:p>
      <w:pPr>
        <w:pStyle w:val="ConsPlusTitle"/>
        <w:spacing w:line="271" w:lineRule="auto"/>
        <w:ind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проведения Финансовым управлением 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</w:p>
    <w:p>
      <w:pPr>
        <w:pStyle w:val="ConsPlusTitle"/>
        <w:spacing w:line="271" w:lineRule="auto"/>
        <w:ind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мониторинга качества финансового менеджмента в отношении главных администраторов средств 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</w:p>
    <w:p>
      <w:pPr>
        <w:spacing w:after="0" w:line="271" w:lineRule="auto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spacing w:line="271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 Настоящий Порядок определяет процедуру проведения мониторинга качества финансового менеджмента в отношении главных администраторов средств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 Северск (далее - мониторинг).</w:t>
      </w:r>
    </w:p>
    <w:p>
      <w:pPr>
        <w:pStyle w:val="ConsPlusNormal"/>
        <w:spacing w:line="271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целей настоящего Порядка под финансовым менеджментом понимается исполнение бюджетных полномочий (совокупность процессов и процедур, обеспечивающих эффективность и результативность использования бюджетных средств), а также управление активами, осуществление закупок товаров, работ и услуг для обеспечения муниципальных нужд. </w:t>
      </w:r>
    </w:p>
    <w:p>
      <w:pPr>
        <w:pStyle w:val="ConsPlusNormal"/>
        <w:spacing w:line="271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 В целях проведения мониторинга главные администраторы средств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 Северск (далее – ГАБС) подразделяются на две группы:</w:t>
      </w:r>
    </w:p>
    <w:p>
      <w:pPr>
        <w:pStyle w:val="ConsPlusNormal"/>
        <w:spacing w:line="271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группа I - органы местного самоуправления, осуществляющие функции и полномочия учредителя в отношении муниципальных бюджетных и автономных учреждений, ГАБС, в ведении которых находятся муниципальные казенные учреждения;</w:t>
      </w:r>
    </w:p>
    <w:p>
      <w:pPr>
        <w:pStyle w:val="ConsPlusNormal"/>
        <w:spacing w:line="271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группа II - прочие ГАБС.</w:t>
      </w:r>
    </w:p>
    <w:p>
      <w:pPr>
        <w:pStyle w:val="ConsPlusNormal"/>
        <w:spacing w:line="271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1" w:name="P52"/>
      <w:bookmarkEnd w:id="1"/>
      <w:r>
        <w:rPr>
          <w:rFonts w:ascii="Times New Roman" w:hAnsi="Times New Roman" w:cs="Times New Roman"/>
          <w:sz w:val="24"/>
          <w:szCs w:val="24"/>
        </w:rPr>
        <w:t>3. Мониторинг проводится по следующим направлениям:</w:t>
      </w:r>
    </w:p>
    <w:p>
      <w:pPr>
        <w:pStyle w:val="ConsPlusNormal"/>
        <w:spacing w:line="271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бюджетное планирование;</w:t>
      </w:r>
    </w:p>
    <w:p>
      <w:pPr>
        <w:pStyle w:val="ConsPlusNormal"/>
        <w:spacing w:line="271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исполнение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Северск;</w:t>
      </w:r>
    </w:p>
    <w:p>
      <w:pPr>
        <w:pStyle w:val="ConsPlusNormal"/>
        <w:spacing w:line="271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предоставление муниципальных услуг в соответствии с муниципальным заданием;</w:t>
      </w:r>
    </w:p>
    <w:p>
      <w:pPr>
        <w:pStyle w:val="ConsPlusNormal"/>
        <w:spacing w:line="271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контроль и финансовая дисциплина;</w:t>
      </w:r>
    </w:p>
    <w:p>
      <w:pPr>
        <w:pStyle w:val="ConsPlusNormal"/>
        <w:spacing w:line="271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управление активами;</w:t>
      </w:r>
    </w:p>
    <w:p>
      <w:pPr>
        <w:pStyle w:val="ConsPlusNormal"/>
        <w:spacing w:line="271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 осуществление закупок товаров, работ и услуг для обеспечения муниципальных нужд.</w:t>
      </w:r>
    </w:p>
    <w:p>
      <w:pPr>
        <w:pStyle w:val="ConsPlusNormal"/>
        <w:spacing w:line="271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Мониторинг проводится на основании информации, находящейся в распоряжении Финансового управления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(далее - Финансовое управление), бюджетной отчетности, сведений, представляемых ГАБС и Контрольно-ревизионным комитетом Администрации ЗАТО Северск. </w:t>
      </w:r>
    </w:p>
    <w:p>
      <w:pPr>
        <w:pStyle w:val="ConsPlusNormal"/>
        <w:spacing w:line="271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  ГАБС до 15 апреля года, следующего за отчетным финансовым годом, представляют в Финансовое управление (на бумажном носителе и в электронном виде) сведения о достижении соответствующих показателей или письменно информируют о причинах, по которым данные сведения не могут быть представлены.</w:t>
      </w:r>
    </w:p>
    <w:p>
      <w:pPr>
        <w:pStyle w:val="ConsPlusNormal"/>
        <w:spacing w:line="271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Мониторинг показателей, указанных в </w:t>
      </w:r>
      <w:hyperlink w:anchor="P335" w:history="1">
        <w:r>
          <w:rPr>
            <w:rFonts w:ascii="Times New Roman" w:hAnsi="Times New Roman" w:cs="Times New Roman"/>
            <w:sz w:val="24"/>
            <w:szCs w:val="24"/>
          </w:rPr>
          <w:t>пунктах 4.1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., 4.2. приложения 1 к настоящему порядку, осуществляется на основании сведений, предоставляемых в Финансовое управление Контрольно-ревизионным комитетом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в срок до 15 мая года, следующего за отчетным. </w:t>
      </w:r>
    </w:p>
    <w:p>
      <w:pPr>
        <w:pStyle w:val="ConsPlusNormal"/>
        <w:spacing w:line="271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показателям, указанным в пунктах 4.1, </w:t>
      </w:r>
      <w:hyperlink w:anchor="P351" w:history="1">
        <w:r>
          <w:rPr>
            <w:rFonts w:ascii="Times New Roman" w:hAnsi="Times New Roman" w:cs="Times New Roman"/>
            <w:sz w:val="24"/>
            <w:szCs w:val="24"/>
          </w:rPr>
          <w:t>4.2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приложения 1, для оценки качества финансового менеджмента ГАБС в отношении которых контрольные мероприятия органами государственного и муниципального финансового контроля в отчетном финансовом году не проводились, применяется оценка, равная нулю.</w:t>
      </w:r>
    </w:p>
    <w:p>
      <w:pPr>
        <w:pStyle w:val="ConsPlusNormal"/>
        <w:spacing w:line="271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6. Мониторинг проводится Финансовым управлением ежегодно, до 1 июня года, следующего за отчетным финансовым годом, по </w:t>
      </w:r>
      <w:hyperlink w:anchor="P99" w:history="1">
        <w:r>
          <w:rPr>
            <w:rFonts w:ascii="Times New Roman" w:hAnsi="Times New Roman" w:cs="Times New Roman"/>
            <w:sz w:val="24"/>
            <w:szCs w:val="24"/>
          </w:rPr>
          <w:t>показателям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согласно приложению 1 к настоящему Порядку.</w:t>
      </w:r>
    </w:p>
    <w:p>
      <w:pPr>
        <w:pStyle w:val="ConsPlusNormal"/>
        <w:spacing w:line="271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58"/>
      <w:bookmarkEnd w:id="2"/>
      <w:r>
        <w:rPr>
          <w:rFonts w:ascii="Times New Roman" w:hAnsi="Times New Roman" w:cs="Times New Roman"/>
          <w:sz w:val="24"/>
          <w:szCs w:val="24"/>
        </w:rPr>
        <w:t xml:space="preserve">7. Финансовое управление на основе материалов и сведений, указанных в </w:t>
      </w:r>
      <w:hyperlink w:anchor="P58" w:history="1">
        <w:r>
          <w:rPr>
            <w:rFonts w:ascii="Times New Roman" w:hAnsi="Times New Roman" w:cs="Times New Roman"/>
            <w:sz w:val="24"/>
            <w:szCs w:val="24"/>
          </w:rPr>
          <w:t>пунктах 4, 5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настоящего Порядка, осуществляет расчет </w:t>
      </w:r>
      <w:hyperlink w:anchor="P99" w:history="1">
        <w:r>
          <w:rPr>
            <w:rFonts w:ascii="Times New Roman" w:hAnsi="Times New Roman" w:cs="Times New Roman"/>
            <w:sz w:val="24"/>
            <w:szCs w:val="24"/>
          </w:rPr>
          <w:t>показателей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выводит оценку по каждому показателю в соответствии с приложением 1.</w:t>
      </w:r>
    </w:p>
    <w:p>
      <w:pPr>
        <w:pStyle w:val="ConsPlusNormal"/>
        <w:spacing w:line="271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На основании данных мониторинга показателей качества финансового менеджмента Финансовым управлением определяется итоговая оценка качества финансового менеджмента по каждому ГАБС и составляется рейтинг с указанием значений итоговых оценок и оценок показателей качества финансового менеджмента по ГАБС по направлениям, указанным в </w:t>
      </w:r>
      <w:hyperlink w:anchor="P52" w:history="1">
        <w:r>
          <w:rPr>
            <w:rFonts w:ascii="Times New Roman" w:hAnsi="Times New Roman" w:cs="Times New Roman"/>
            <w:sz w:val="24"/>
            <w:szCs w:val="24"/>
          </w:rPr>
          <w:t>пункте 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>
      <w:pPr>
        <w:pStyle w:val="ConsPlusNormal"/>
        <w:spacing w:line="271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Итоговая оценка качества финансового менеджмента рассчитывается по формуле:</w:t>
      </w:r>
    </w:p>
    <w:p>
      <w:pPr>
        <w:pStyle w:val="ConsPlusNormal"/>
        <w:spacing w:line="271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spacing w:line="271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 = SUM </w:t>
      </w:r>
      <w:proofErr w:type="spellStart"/>
      <w:r>
        <w:rPr>
          <w:rFonts w:ascii="Times New Roman" w:hAnsi="Times New Roman" w:cs="Times New Roman"/>
          <w:sz w:val="24"/>
          <w:szCs w:val="24"/>
        </w:rPr>
        <w:t>А</w:t>
      </w:r>
      <w:proofErr w:type="gramStart"/>
      <w:r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</w:t>
      </w:r>
      <w:proofErr w:type="spellEnd"/>
      <w:r>
        <w:rPr>
          <w:rFonts w:ascii="Times New Roman" w:hAnsi="Times New Roman" w:cs="Times New Roman"/>
          <w:sz w:val="24"/>
          <w:szCs w:val="24"/>
        </w:rPr>
        <w:t>, где:</w:t>
      </w:r>
    </w:p>
    <w:p>
      <w:pPr>
        <w:pStyle w:val="ConsPlusNormal"/>
        <w:spacing w:line="271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spacing w:line="271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 - итоговая оценка;</w:t>
      </w:r>
    </w:p>
    <w:p>
      <w:pPr>
        <w:pStyle w:val="ConsPlusNormal"/>
        <w:spacing w:line="271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</w:t>
      </w:r>
      <w:proofErr w:type="gramStart"/>
      <w:r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- оценка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i-му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показателю мониторинга;</w:t>
      </w:r>
    </w:p>
    <w:p>
      <w:pPr>
        <w:pStyle w:val="ConsPlusNormal"/>
        <w:spacing w:line="271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коэффициент сложности управления финансами.</w:t>
      </w:r>
    </w:p>
    <w:p>
      <w:pPr>
        <w:pStyle w:val="ConsPlusNormal"/>
        <w:spacing w:line="271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Коэффициент сложности управления финансами имеет следующие значения:</w:t>
      </w:r>
    </w:p>
    <w:p>
      <w:pPr>
        <w:pStyle w:val="ConsPlusNormal"/>
        <w:spacing w:line="271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ГАБС группы I, расходы которых составляют более 10% общих расходов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Северск, значение коэффициента составляет 1,15;</w:t>
      </w:r>
    </w:p>
    <w:p>
      <w:pPr>
        <w:pStyle w:val="ConsPlusNormal"/>
        <w:spacing w:line="271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ГАБС группы I, расходы которых составляют до 10% общих расходов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Северск, значение коэффициента составляет 1,05;</w:t>
      </w:r>
    </w:p>
    <w:p>
      <w:pPr>
        <w:pStyle w:val="ConsPlusNormal"/>
        <w:spacing w:line="271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прочих ГАБС значение коэффициента составляет 1,00.</w:t>
      </w:r>
    </w:p>
    <w:p>
      <w:pPr>
        <w:pStyle w:val="ConsPlusNormal"/>
        <w:spacing w:line="271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Рейтинг составляется Финансовым управлением до 15 июня года, следующего за отчетным, путем ранжирования ГАБС на основании данных итоговой оценки качества финансового менеджмента.</w:t>
      </w:r>
    </w:p>
    <w:p>
      <w:pPr>
        <w:pStyle w:val="ConsPlusNormal"/>
        <w:spacing w:line="271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w:anchor="P383" w:history="1">
        <w:r>
          <w:rPr>
            <w:rFonts w:ascii="Times New Roman" w:hAnsi="Times New Roman" w:cs="Times New Roman"/>
            <w:sz w:val="24"/>
            <w:szCs w:val="24"/>
          </w:rPr>
          <w:t>Рейтинг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составляется согласно приложению 2 к настоящему Порядку.</w:t>
      </w:r>
    </w:p>
    <w:p>
      <w:pPr>
        <w:pStyle w:val="ConsPlusNormal"/>
        <w:spacing w:line="271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 По итогам проведенных мониторинга и рейтинга Финансовое управление до 30 июня разрабатывает и вносит на рассмотрение Главы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проект распоряжения Администрации ЗАТО Северск об итогах мониторинга, о рейтинге и распределении расходов бюджета ЗАТО Северск на поощрение ГАБС, достигших наилучших результатов в организации финансового менеджмента.</w:t>
      </w:r>
    </w:p>
    <w:p>
      <w:pPr>
        <w:pStyle w:val="ConsPlusNormal"/>
        <w:spacing w:line="271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Расходы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на поощрение могут быть направлены:</w:t>
      </w:r>
    </w:p>
    <w:p>
      <w:pPr>
        <w:pStyle w:val="ConsPlusNormal"/>
        <w:spacing w:line="271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на автоматизацию бюджетного процесса (приобретение компьютеров, оргтехники и программного обеспечения);</w:t>
      </w:r>
    </w:p>
    <w:p>
      <w:pPr>
        <w:pStyle w:val="ConsPlusNormal"/>
        <w:spacing w:line="271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на повышение квалификации работников финансово-экономических служб ГАБС и муниципальных учреждений.</w:t>
      </w:r>
    </w:p>
    <w:p>
      <w:pPr>
        <w:pStyle w:val="ConsPlusNormal"/>
        <w:spacing w:line="271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Объем поощрения распределяется между двумя ГАБС, достигшими наилучших результатов по организации финансового менеджмента в своей группе.</w:t>
      </w:r>
    </w:p>
    <w:p>
      <w:pPr>
        <w:pStyle w:val="ConsPlusNormal"/>
        <w:spacing w:line="271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Распределение производится следующим образом:</w:t>
      </w:r>
    </w:p>
    <w:p>
      <w:pPr>
        <w:pStyle w:val="ConsPlusNormal"/>
        <w:spacing w:line="271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место в группе I - 70%;</w:t>
      </w:r>
    </w:p>
    <w:p>
      <w:pPr>
        <w:pStyle w:val="ConsPlusNormal"/>
        <w:spacing w:line="271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место в группе II - 30%.</w:t>
      </w:r>
    </w:p>
    <w:p>
      <w:pPr>
        <w:pStyle w:val="ConsPlusNormal"/>
        <w:spacing w:line="271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срок до 25 декабря текущего года ГАБС представляют в Финансовое управление отчет об использовании сумм поощрения с документами, подтверждающими фактическое осуществление расходов.</w:t>
      </w:r>
    </w:p>
    <w:p>
      <w:pPr>
        <w:pStyle w:val="ConsPlusNormal"/>
        <w:spacing w:line="271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 Результаты рейтинга могут использоваться при принятии Главой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>ЗАТО Северск решений о премировании руководителей соответствующих ГАБС.</w:t>
      </w:r>
    </w:p>
    <w:p>
      <w:pPr>
        <w:pStyle w:val="ConsPlusNormal"/>
        <w:spacing w:line="271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 Данные рейтинга за отчетный год и результаты ежегодного сравнительного анализа динамики показателей качества финансового менеджмента размещаются на официальном сайте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и доводятся до каждого ГАБС с направлением информации о необходимости разработки мероприятий, улучшающих качество финансового менеджмента по показателям, оценка которых не является максимальной.</w:t>
      </w:r>
    </w:p>
    <w:p>
      <w:pPr>
        <w:pStyle w:val="ConsPlusNormal"/>
        <w:spacing w:line="271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spacing w:line="271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left="5664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left="5664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left="5664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left="5664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left="5664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left="5664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left="5664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left="5664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left="5664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left="5664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left="5664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left="5664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left="5664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left="5664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left="5664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left="5664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left="5664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left="5664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left="5664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left="5664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left="5664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left="5664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left="5664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left="5664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left="5664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left="5664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left="5664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left="5664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left="5664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left="5664" w:hanging="5097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left="4111"/>
        <w:outlineLvl w:val="1"/>
        <w:rPr>
          <w:rFonts w:ascii="Times New Roman" w:hAnsi="Times New Roman" w:cs="Times New Roman"/>
          <w:szCs w:val="22"/>
        </w:rPr>
      </w:pPr>
    </w:p>
    <w:p>
      <w:pPr>
        <w:pStyle w:val="ConsPlusNormal"/>
        <w:ind w:left="4111"/>
        <w:outlineLvl w:val="1"/>
        <w:rPr>
          <w:rFonts w:ascii="Times New Roman" w:hAnsi="Times New Roman" w:cs="Times New Roman"/>
          <w:szCs w:val="22"/>
        </w:rPr>
      </w:pPr>
    </w:p>
    <w:p>
      <w:pPr>
        <w:pStyle w:val="ConsPlusNormal"/>
        <w:ind w:left="4111"/>
        <w:outlineLvl w:val="1"/>
        <w:rPr>
          <w:rFonts w:ascii="Times New Roman" w:hAnsi="Times New Roman" w:cs="Times New Roman"/>
          <w:szCs w:val="22"/>
        </w:rPr>
      </w:pPr>
    </w:p>
    <w:p>
      <w:pPr>
        <w:pStyle w:val="ConsPlusNormal"/>
        <w:ind w:left="4111"/>
        <w:outlineLvl w:val="1"/>
        <w:rPr>
          <w:rFonts w:ascii="Times New Roman" w:hAnsi="Times New Roman" w:cs="Times New Roman"/>
          <w:szCs w:val="22"/>
        </w:rPr>
      </w:pPr>
    </w:p>
    <w:p>
      <w:pPr>
        <w:pStyle w:val="ConsPlusNormal"/>
        <w:ind w:left="4111"/>
        <w:outlineLvl w:val="1"/>
        <w:rPr>
          <w:rFonts w:ascii="Times New Roman" w:hAnsi="Times New Roman" w:cs="Times New Roman"/>
          <w:szCs w:val="22"/>
        </w:rPr>
      </w:pPr>
    </w:p>
    <w:p>
      <w:pPr>
        <w:pStyle w:val="ConsPlusNormal"/>
        <w:ind w:left="4111"/>
        <w:outlineLvl w:val="1"/>
        <w:rPr>
          <w:rFonts w:ascii="Times New Roman" w:hAnsi="Times New Roman" w:cs="Times New Roman"/>
          <w:szCs w:val="22"/>
        </w:rPr>
      </w:pPr>
    </w:p>
    <w:p>
      <w:pPr>
        <w:pStyle w:val="ConsPlusNormal"/>
        <w:ind w:left="4111"/>
        <w:outlineLvl w:val="1"/>
        <w:rPr>
          <w:rFonts w:ascii="Times New Roman" w:hAnsi="Times New Roman" w:cs="Times New Roman"/>
          <w:szCs w:val="22"/>
        </w:rPr>
      </w:pPr>
    </w:p>
    <w:p>
      <w:pPr>
        <w:pStyle w:val="ConsPlusNormal"/>
        <w:ind w:left="4111"/>
        <w:outlineLvl w:val="1"/>
        <w:rPr>
          <w:rFonts w:ascii="Times New Roman" w:hAnsi="Times New Roman" w:cs="Times New Roman"/>
          <w:szCs w:val="22"/>
        </w:rPr>
      </w:pPr>
    </w:p>
    <w:p>
      <w:pPr>
        <w:pStyle w:val="ConsPlusNormal"/>
        <w:ind w:left="4111"/>
        <w:outlineLvl w:val="1"/>
        <w:rPr>
          <w:rFonts w:ascii="Times New Roman" w:hAnsi="Times New Roman" w:cs="Times New Roman"/>
          <w:szCs w:val="22"/>
        </w:rPr>
      </w:pPr>
    </w:p>
    <w:p>
      <w:pPr>
        <w:pStyle w:val="ConsPlusNormal"/>
        <w:ind w:left="4111"/>
        <w:outlineLvl w:val="1"/>
        <w:rPr>
          <w:rFonts w:ascii="Times New Roman" w:hAnsi="Times New Roman" w:cs="Times New Roman"/>
          <w:szCs w:val="22"/>
        </w:rPr>
      </w:pPr>
    </w:p>
    <w:p>
      <w:pPr>
        <w:pStyle w:val="ConsPlusNormal"/>
        <w:ind w:left="4111"/>
        <w:outlineLvl w:val="1"/>
        <w:rPr>
          <w:rFonts w:ascii="Times New Roman" w:hAnsi="Times New Roman" w:cs="Times New Roman"/>
          <w:szCs w:val="22"/>
        </w:rPr>
      </w:pPr>
    </w:p>
    <w:p>
      <w:pPr>
        <w:pStyle w:val="ConsPlusNormal"/>
        <w:ind w:left="4111"/>
        <w:outlineLvl w:val="1"/>
        <w:rPr>
          <w:rFonts w:ascii="Times New Roman" w:hAnsi="Times New Roman" w:cs="Times New Roman"/>
          <w:szCs w:val="22"/>
        </w:rPr>
      </w:pPr>
    </w:p>
    <w:p>
      <w:pPr>
        <w:pStyle w:val="ConsPlusNormal"/>
        <w:ind w:left="4111"/>
        <w:outlineLvl w:val="1"/>
        <w:rPr>
          <w:rFonts w:ascii="Times New Roman" w:hAnsi="Times New Roman" w:cs="Times New Roman"/>
          <w:szCs w:val="22"/>
        </w:rPr>
      </w:pPr>
    </w:p>
    <w:p>
      <w:pPr>
        <w:pStyle w:val="ConsPlusNormal"/>
        <w:ind w:left="4111"/>
        <w:outlineLvl w:val="1"/>
        <w:rPr>
          <w:rFonts w:ascii="Times New Roman" w:hAnsi="Times New Roman" w:cs="Times New Roman"/>
          <w:szCs w:val="22"/>
        </w:rPr>
      </w:pPr>
    </w:p>
    <w:p>
      <w:pPr>
        <w:pStyle w:val="ConsPlusNormal"/>
        <w:ind w:left="4111"/>
        <w:outlineLvl w:val="1"/>
        <w:rPr>
          <w:rFonts w:ascii="Times New Roman" w:hAnsi="Times New Roman" w:cs="Times New Roman"/>
          <w:szCs w:val="22"/>
        </w:rPr>
      </w:pPr>
    </w:p>
    <w:p>
      <w:pPr>
        <w:pStyle w:val="ConsPlusNormal"/>
        <w:ind w:left="4111"/>
        <w:outlineLvl w:val="1"/>
        <w:rPr>
          <w:rFonts w:ascii="Times New Roman" w:hAnsi="Times New Roman" w:cs="Times New Roman"/>
          <w:szCs w:val="22"/>
        </w:rPr>
      </w:pPr>
    </w:p>
    <w:p>
      <w:pPr>
        <w:pStyle w:val="ConsPlusNormal"/>
        <w:ind w:left="4111"/>
        <w:outlineLvl w:val="1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lastRenderedPageBreak/>
        <w:t xml:space="preserve">Приложение 1 к Порядку </w:t>
      </w:r>
    </w:p>
    <w:p>
      <w:pPr>
        <w:pStyle w:val="ConsPlusNormal"/>
        <w:ind w:left="4111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проведения Финансовым управлением </w:t>
      </w:r>
    </w:p>
    <w:p>
      <w:pPr>
        <w:pStyle w:val="ConsPlusNormal"/>
        <w:ind w:left="4111"/>
        <w:rPr>
          <w:rFonts w:ascii="Times New Roman" w:hAnsi="Times New Roman" w:cs="Times New Roman"/>
          <w:szCs w:val="22"/>
        </w:rPr>
      </w:pPr>
      <w:proofErr w:type="gramStart"/>
      <w:r>
        <w:rPr>
          <w:rFonts w:ascii="Times New Roman" w:hAnsi="Times New Roman" w:cs="Times New Roman"/>
          <w:szCs w:val="22"/>
        </w:rPr>
        <w:t>Администрации</w:t>
      </w:r>
      <w:proofErr w:type="gramEnd"/>
      <w:r>
        <w:rPr>
          <w:rFonts w:ascii="Times New Roman" w:hAnsi="Times New Roman" w:cs="Times New Roman"/>
          <w:szCs w:val="22"/>
        </w:rPr>
        <w:t xml:space="preserve"> ЗАТО Северск мониторинга</w:t>
      </w:r>
    </w:p>
    <w:p>
      <w:pPr>
        <w:pStyle w:val="ConsPlusNormal"/>
        <w:ind w:left="4111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качества финансового менеджмента в отношении главных администраторов средств </w:t>
      </w:r>
      <w:proofErr w:type="gramStart"/>
      <w:r>
        <w:rPr>
          <w:rFonts w:ascii="Times New Roman" w:hAnsi="Times New Roman" w:cs="Times New Roman"/>
          <w:szCs w:val="22"/>
        </w:rPr>
        <w:t>бюджета</w:t>
      </w:r>
      <w:proofErr w:type="gramEnd"/>
      <w:r>
        <w:rPr>
          <w:rFonts w:ascii="Times New Roman" w:hAnsi="Times New Roman" w:cs="Times New Roman"/>
          <w:szCs w:val="22"/>
        </w:rPr>
        <w:t xml:space="preserve"> ЗАТО Северск</w:t>
      </w:r>
    </w:p>
    <w:p>
      <w:pPr>
        <w:pStyle w:val="ConsPlusNormal"/>
        <w:ind w:left="4536"/>
        <w:rPr>
          <w:rFonts w:ascii="Times New Roman" w:hAnsi="Times New Roman" w:cs="Times New Roman"/>
          <w:sz w:val="24"/>
          <w:szCs w:val="24"/>
        </w:rPr>
      </w:pPr>
    </w:p>
    <w:p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3" w:name="P99"/>
      <w:bookmarkEnd w:id="3"/>
      <w:r>
        <w:rPr>
          <w:rFonts w:ascii="Times New Roman" w:hAnsi="Times New Roman" w:cs="Times New Roman"/>
          <w:b w:val="0"/>
          <w:sz w:val="24"/>
          <w:szCs w:val="24"/>
        </w:rPr>
        <w:t>ПОКАЗАТЕЛИ</w:t>
      </w:r>
    </w:p>
    <w:p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для мониторинга качества финансового менеджмента </w:t>
      </w:r>
    </w:p>
    <w:p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главных администраторов средств 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</w:p>
    <w:tbl>
      <w:tblPr>
        <w:tblW w:w="94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88"/>
        <w:gridCol w:w="2551"/>
        <w:gridCol w:w="1984"/>
        <w:gridCol w:w="1482"/>
        <w:gridCol w:w="2977"/>
      </w:tblGrid>
      <w:tr>
        <w:trPr>
          <w:trHeight w:val="510"/>
        </w:trPr>
        <w:tc>
          <w:tcPr>
            <w:tcW w:w="488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5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Расчет показателя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показателя</w:t>
            </w:r>
          </w:p>
        </w:tc>
        <w:tc>
          <w:tcPr>
            <w:tcW w:w="2977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Основания для расчета показателя</w:t>
            </w:r>
          </w:p>
        </w:tc>
      </w:tr>
      <w:tr>
        <w:trPr>
          <w:trHeight w:val="159"/>
        </w:trPr>
        <w:tc>
          <w:tcPr>
            <w:tcW w:w="488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>
        <w:trPr>
          <w:trHeight w:val="259"/>
        </w:trPr>
        <w:tc>
          <w:tcPr>
            <w:tcW w:w="9482" w:type="dxa"/>
            <w:gridSpan w:val="5"/>
          </w:tcPr>
          <w:p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Бюджетное планирование</w:t>
            </w:r>
          </w:p>
        </w:tc>
      </w:tr>
      <w:tr>
        <w:trPr>
          <w:trHeight w:val="3277"/>
        </w:trPr>
        <w:tc>
          <w:tcPr>
            <w:tcW w:w="488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551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бюджетных ассигнований главного администратора  бюджетных средств (далее - ГАБС), формируемых в рамках программ, в общем объеме расходов ГАБС (без учета расходов на исполнение судебных актов и резервных фондов), в процентах</w:t>
            </w:r>
          </w:p>
        </w:tc>
        <w:tc>
          <w:tcPr>
            <w:tcW w:w="3466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Р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ГАБС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100,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где: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сумма исполнения расходов ГАБС в рамках программ (без учета расходов на исполнение судебных актов и резервных фондов);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ГАБС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общая сумма исполнения расходов ГАБС (без учета расходов на исполнение судебных актов и резервных фондов)</w:t>
            </w:r>
          </w:p>
        </w:tc>
        <w:tc>
          <w:tcPr>
            <w:tcW w:w="2977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Информация, находящаяся в распоряжении Финансового управления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80% &lt;= 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&lt;= 100%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80% &lt;= 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&lt;= 50%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50% &lt;= 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&lt;= 30%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 30%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0%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880"/>
        </w:trPr>
        <w:tc>
          <w:tcPr>
            <w:tcW w:w="488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551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Соблюдение сроков утверждения муниципальных программ, по которым ГАБС является ответственным исполнителем, а также внесения изменений в них</w:t>
            </w:r>
          </w:p>
        </w:tc>
        <w:tc>
          <w:tcPr>
            <w:tcW w:w="3466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утверждение и внесение изменений в муниципальные программы</w:t>
            </w:r>
          </w:p>
        </w:tc>
        <w:tc>
          <w:tcPr>
            <w:tcW w:w="2977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Информация, находящаяся в распоряжении Финансового управления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утверждаются своевременно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допускается несоблюдение сроков утверждения 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 календарных дней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допускается несоблюдение сроков утверждения свыше 15 календарных дней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2551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на официальном сайте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муниципальных программ, разрабатываемых и реализуемых ГАБС, внесений изменений в них, а также отчетов об их реализации</w:t>
            </w:r>
          </w:p>
        </w:tc>
        <w:tc>
          <w:tcPr>
            <w:tcW w:w="3466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размещение на официальном сайте Администрации ЗАТО Северск информации по программам, разрабатываемым и реализуемым ГАБС, а также отчетов об их реализации</w:t>
            </w:r>
          </w:p>
        </w:tc>
        <w:tc>
          <w:tcPr>
            <w:tcW w:w="2977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Информация, размещаемая на официальном сайте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размещается в полном объеме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размещается частично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не размещается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9482" w:type="dxa"/>
            <w:gridSpan w:val="5"/>
          </w:tcPr>
          <w:p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Исполнение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551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Отклонение первоначального плана по налоговым и неналоговым доходам (без учета доходов от приватизации имущества)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по ГАБС, в процентах</w:t>
            </w:r>
          </w:p>
        </w:tc>
        <w:tc>
          <w:tcPr>
            <w:tcW w:w="3466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исп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первонач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 план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100) - 100, где: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процент отклонения фактического поступления налоговых и неналоговых доходов (без учета доходов от приватизации имущества) от плана;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первонач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 план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первоначальный план по налоговым и неналоговым доходам (без учета доходов от приватизации имущества);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исп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кассовое исполнение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в отчетном финансовом году</w:t>
            </w:r>
          </w:p>
        </w:tc>
        <w:tc>
          <w:tcPr>
            <w:tcW w:w="2977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Информация, находящаяся в распоряжении Финансового управления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 &lt;= 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 5%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5% &lt;= 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 10%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10% &lt;= 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.1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2551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Суммы невыясненных поступлений</w:t>
            </w:r>
          </w:p>
        </w:tc>
        <w:tc>
          <w:tcPr>
            <w:tcW w:w="3466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100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исп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дм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где: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сумма остатка невыясненных поступлений по ГАБС на отчетную дату;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исп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дм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исполнение по доходам, закрепленным за ГАД в отчетном финансовом году</w:t>
            </w:r>
          </w:p>
        </w:tc>
        <w:tc>
          <w:tcPr>
            <w:tcW w:w="2977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ГАБС; информация, находящаяся в распоряжении Финансового управления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&lt;= 1%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1% &lt; 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&lt;= 5%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&gt; 5%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2551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Эффективность управления дебиторской задолженностью по расчетам с дебиторами по доходам</w:t>
            </w:r>
          </w:p>
        </w:tc>
        <w:tc>
          <w:tcPr>
            <w:tcW w:w="3466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100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исп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дм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где: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объем дебиторской задолженности по расчетам с дебиторами по доходам в отчетном финансовом году по состоянию на 1 января года, следующего за отчетным финансовым годом;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исп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дм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исполнение по доходам, закрепленным за ГАБС в отчетном финансовом году</w:t>
            </w:r>
          </w:p>
        </w:tc>
        <w:tc>
          <w:tcPr>
            <w:tcW w:w="2977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Счет 020500000, </w:t>
            </w:r>
            <w:hyperlink r:id="rId6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>строка 230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баланса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ГАД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отчетный год по форме </w:t>
            </w:r>
            <w:hyperlink r:id="rId7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>0503130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об исполнении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&lt;= 5%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5% &lt; 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&lt;= 30%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30% &lt; 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&lt;= 50%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&gt; 50%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2551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Эффективность управления просроченной кредиторской задолженностью по расчетам с поставщиками, подрядчиками и исполнителями</w:t>
            </w:r>
          </w:p>
        </w:tc>
        <w:tc>
          <w:tcPr>
            <w:tcW w:w="3466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100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где: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исполнение расходов ГАБС за отчетный финансовый год (без учета расходов на финансовое обеспечение казенных, бюджетных, автономных учреждений);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объем просроченной кредиторской задолженности по расчетам с поставщиками и исполнителями по состоянию на 1 января года, следующего за отчетным финансовым годом (без учета задолженности казенных, бюджетных, автономных учреждений)</w:t>
            </w:r>
          </w:p>
        </w:tc>
        <w:tc>
          <w:tcPr>
            <w:tcW w:w="2977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Информация, находящаяся в распоряжении Финансового управления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0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 &lt; 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&lt;= 0,2%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&gt; 0,2%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2551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Соблюдение установленных сроков представления ГАБС годовой бюджетной/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бухгалтерской отчетности в АИС «БАРС.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Web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–бюджетный учет»</w:t>
            </w:r>
          </w:p>
        </w:tc>
        <w:tc>
          <w:tcPr>
            <w:tcW w:w="3466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О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общ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где: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количество форм отчетов в составе годовой бюджетной отчетности, представленных ГАБС с нарушением установленных законодательством сроков, единиц;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общ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общее количество форм отчетов, представленных ГАБС в составе годовой бюджетной отчетности, единиц</w:t>
            </w:r>
          </w:p>
        </w:tc>
        <w:tc>
          <w:tcPr>
            <w:tcW w:w="2977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Информация, находящаяся в распоряжении Финансового управления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0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&lt; 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.5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2551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Качество формирования годовой бюджетной/ бухгалтерской отчетности в АИС «БАРС.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Web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–бюджетный учет»</w:t>
            </w:r>
          </w:p>
        </w:tc>
        <w:tc>
          <w:tcPr>
            <w:tcW w:w="1984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общ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5, где: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количество форм отчетов, представленных ГАБС в составе годовой бюджетной отчетности с ошибками, единиц;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общ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общее количество отчетов, представленных ГАБС в составе годовой бюджетной отчетности, единиц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5 - 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.6</w:t>
            </w:r>
          </w:p>
        </w:tc>
        <w:tc>
          <w:tcPr>
            <w:tcW w:w="2977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Информация, находящаяся в распоряжении Финансового управления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2551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Качество управления средствами бюджета в части межбюджетных трансфертов</w:t>
            </w:r>
          </w:p>
        </w:tc>
        <w:tc>
          <w:tcPr>
            <w:tcW w:w="3466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ба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100, где: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кассовый расход ГАБС по средствам, полученным в виде межбюджетных трансфертов, за отчетный год;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ба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сумма бюджетных ассигнований ГАБС по средствам, полученным в виде межбюджетных трансфертов, за отчетный год</w:t>
            </w:r>
          </w:p>
        </w:tc>
        <w:tc>
          <w:tcPr>
            <w:tcW w:w="2977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Информация, находящаяся в распоряжении Финансового управления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100%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80% &lt; 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 100%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50% &lt; 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&lt;= 80%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&lt;= 50%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2.8</w:t>
            </w:r>
          </w:p>
        </w:tc>
        <w:tc>
          <w:tcPr>
            <w:tcW w:w="2551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Качество, полнота и своевременность представления реестра расходных обязательств, расчетов и обоснований к проекту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на очередной финансовый год</w:t>
            </w:r>
          </w:p>
        </w:tc>
        <w:tc>
          <w:tcPr>
            <w:tcW w:w="3466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качество, полнота и своевременность представления реестра расходных обязательств, расчетов и обоснований к проекту бюджета ЗАТО Северск на очередной финансовый год</w:t>
            </w:r>
          </w:p>
        </w:tc>
        <w:tc>
          <w:tcPr>
            <w:tcW w:w="2977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Информация, находящаяся в распоряжении Финансового управления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реестр расходных обязательств, расчеты и обоснования представлены своевременно, в полном объеме, без ошибок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реестр расходных обязательств, расчеты и обоснования представлены несвоевременно/ не в полном объеме/ содержат ошибки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2.9</w:t>
            </w:r>
          </w:p>
        </w:tc>
        <w:tc>
          <w:tcPr>
            <w:tcW w:w="2551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Качество информации, представляемой участниками процесса ведения реестра источников доходов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3466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количество отрицательных уведомлений о результатах проверки информации, представленной участниками процесса ведения реестра источников доходов бюджета ЗАТО Северск</w:t>
            </w:r>
          </w:p>
        </w:tc>
        <w:tc>
          <w:tcPr>
            <w:tcW w:w="2977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Информация, находящаяся в распоряжении Финансового управления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0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&lt; 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 5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&gt; 5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9482" w:type="dxa"/>
            <w:gridSpan w:val="5"/>
          </w:tcPr>
          <w:p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Предоставление муниципальных услуг в соответствии с муниципальными заданиями</w:t>
            </w: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551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результатов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исполнением муниципальных заданий, оформленных по форме, утвержденной соответствующим приказом учредителя</w:t>
            </w:r>
          </w:p>
        </w:tc>
        <w:tc>
          <w:tcPr>
            <w:tcW w:w="3466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У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100, где: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количество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муниципальных учреждений, до которых доведены муниципальные задания;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количество муниципальных учреждений, в отношении которых сформированы отчеты о результатах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исполнением муниципальных заданий муниципальными учреждениями</w:t>
            </w:r>
          </w:p>
        </w:tc>
        <w:tc>
          <w:tcPr>
            <w:tcW w:w="2977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Сведения ГАБС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100%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50% &lt;= 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 100%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 50%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0%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2551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Актуализация (усовершенствование) правовых актов ГАБС по вопросам, касающимся муниципальных заданий</w:t>
            </w:r>
          </w:p>
        </w:tc>
        <w:tc>
          <w:tcPr>
            <w:tcW w:w="3466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актуализация правовых актов по определению Порядков определения нормативов затрат на оказание муниципальных услуг (выполнение работ) и содержание имущества; составления и ведения плана финансово-хозяйственной деятельности, а также ведомственного перечня муниципальных услуг (работ)</w:t>
            </w:r>
          </w:p>
        </w:tc>
        <w:tc>
          <w:tcPr>
            <w:tcW w:w="2977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ГАБС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актуализируются своевременно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актуализируются несвоевременно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77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2551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результатов мониторинга выполнения муниципальных заданий при планировании бюджетных ассигнований и (или) определении объема субсидий на выполнение муниципального задания, проводимое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соответствии с Порядком, определенным соответствующим приказом учредителя</w:t>
            </w:r>
          </w:p>
        </w:tc>
        <w:tc>
          <w:tcPr>
            <w:tcW w:w="3466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наличие сведений об использовании результатов мониторинга выполнения муниципальных заданий при планировании бюджетных ассигнований и (или) определении объема субсидий на выполнение муниципального задания</w:t>
            </w:r>
          </w:p>
        </w:tc>
        <w:tc>
          <w:tcPr>
            <w:tcW w:w="2977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ГАБС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результаты используются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результаты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используются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2977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3.4</w:t>
            </w:r>
          </w:p>
        </w:tc>
        <w:tc>
          <w:tcPr>
            <w:tcW w:w="2551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Качество формирования годовых отчетов, формируемых учреждениями в АИС «БАРС.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Web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Управление муниципальными заданиями»</w:t>
            </w:r>
          </w:p>
        </w:tc>
        <w:tc>
          <w:tcPr>
            <w:tcW w:w="3466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общ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100, где: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количество учреждений, сформировавших отчеты в сроки и по форме, определенные в АИС;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общ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общее количество учреждений, до которых доведены муниципальные задания</w:t>
            </w:r>
          </w:p>
        </w:tc>
        <w:tc>
          <w:tcPr>
            <w:tcW w:w="2977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Информация, находящаяся в распоряжении Финансового управления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100%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80% &lt;= 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 100%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 80%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2551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и своевременное обновление информации о муниципальных учреждениях на Официальном сайте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bus.gov.ru</w:t>
            </w:r>
            <w:proofErr w:type="spellEnd"/>
          </w:p>
        </w:tc>
        <w:tc>
          <w:tcPr>
            <w:tcW w:w="3466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У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общ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100, где: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количество учреждений, разместивших и своевременно обновляющих сведения на Официальном сайте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bus.gov.ru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общ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общее количество учреждений, сведения о которых подлежат размещению</w:t>
            </w:r>
          </w:p>
        </w:tc>
        <w:tc>
          <w:tcPr>
            <w:tcW w:w="2977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Информация, размещенная на Официальном сайте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100%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 100%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2551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оценки потребности в предоставлении муниципальных услуг, проводимой в соответствии с Порядком, определенным соответствующим приказом учредителя</w:t>
            </w:r>
          </w:p>
        </w:tc>
        <w:tc>
          <w:tcPr>
            <w:tcW w:w="3466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общ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100, где: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количество услуг, по которым проведена оценка потребности в предоставлении услуг;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общ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общее количество услуг, по которым формируются муниципальные задания</w:t>
            </w:r>
          </w:p>
        </w:tc>
        <w:tc>
          <w:tcPr>
            <w:tcW w:w="2977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ГАБС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 приложением соответствующего Порядка)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100%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 100%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2551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Своевременность подписания Соглашений о предоставлении субсидии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выполнение муниципального задания</w:t>
            </w:r>
          </w:p>
        </w:tc>
        <w:tc>
          <w:tcPr>
            <w:tcW w:w="3466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Дата утверждения Соглашений о предоставлении субсидии на выполнение муниципального задания в ИС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АЦК-Финансы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2977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Информация, находящаяся в распоряжении Финансового управления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до 14 января отчетного года включительно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15 января отчетного года и позднее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9482" w:type="dxa"/>
            <w:gridSpan w:val="5"/>
          </w:tcPr>
          <w:p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Контроль и финансовая дисциплина</w:t>
            </w: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P335"/>
            <w:bookmarkStart w:id="5" w:name="P343"/>
            <w:bookmarkEnd w:id="4"/>
            <w:bookmarkEnd w:id="5"/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2551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Нарушения, выявленные в ходе проведения контрольных мероприятий уполномоченным органом внутреннего муниципального финансового контроля в отчетном финансовом году</w:t>
            </w:r>
          </w:p>
        </w:tc>
        <w:tc>
          <w:tcPr>
            <w:tcW w:w="3466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наличие нарушений, выявленных в ходе проведения контрольных мероприятий уполномоченным органом внутреннего муниципального финансового контроля в отчетном финансовом году</w:t>
            </w:r>
          </w:p>
        </w:tc>
        <w:tc>
          <w:tcPr>
            <w:tcW w:w="2977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Контрольно-ревизионного комитета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нарушения отсутствуют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нарушения установлены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" w:name="P351"/>
            <w:bookmarkEnd w:id="6"/>
            <w:r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2551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Полнота и своевременность исполнения представлений и предписаний уполномоченного органа внутреннего муниципального финансового контроля в отчетном финансовом году</w:t>
            </w:r>
          </w:p>
        </w:tc>
        <w:tc>
          <w:tcPr>
            <w:tcW w:w="3466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исполнение представлений и предписаний уполномоченного органа внутреннего муниципального финансового контроля в отчетном финансовом году в сроки, установленные соответствующим представлением (предписанием)</w:t>
            </w:r>
          </w:p>
        </w:tc>
        <w:tc>
          <w:tcPr>
            <w:tcW w:w="2977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Контрольно-ревизионного комитета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исполнены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исполнены частично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не исполнены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2551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Судебные иски (в денежном выражении), подлежащие взысканию по исполнительным документам в отчетном финансовом году</w:t>
            </w:r>
          </w:p>
        </w:tc>
        <w:tc>
          <w:tcPr>
            <w:tcW w:w="3466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си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Р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ГАБС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100, где: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си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сумма, подлежащая взысканию по исполнительным документам за счет средств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на конец отчетного финансового года;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ГАБС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общий объем бюджетных ассигнований ГАБС (без учета межбюджетных трансфертов и публичных обязательств)</w:t>
            </w:r>
          </w:p>
        </w:tc>
        <w:tc>
          <w:tcPr>
            <w:tcW w:w="2977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Информация, находящаяся в распоряжении Финансового управления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0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&lt; 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&lt;= 2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&gt; 2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9482" w:type="dxa"/>
            <w:gridSpan w:val="5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Управление активами</w:t>
            </w: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2551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инвентаризации активов и обязательств </w:t>
            </w:r>
          </w:p>
        </w:tc>
        <w:tc>
          <w:tcPr>
            <w:tcW w:w="3466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Наличие в годовой бюджетной отчетности за отчетный финансовый год сведений о проведении инвентаризации активов </w:t>
            </w:r>
          </w:p>
        </w:tc>
        <w:tc>
          <w:tcPr>
            <w:tcW w:w="2977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ГАБС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инвентаризация проводилась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инвентаризация не проводилась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2551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Недостачи и хищения муниципальной собственности </w:t>
            </w:r>
          </w:p>
        </w:tc>
        <w:tc>
          <w:tcPr>
            <w:tcW w:w="3466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5.2.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Наличие в годовой бюджетной отчетности сведений о недостачах и хищениях муниципальной собственности </w:t>
            </w:r>
          </w:p>
        </w:tc>
        <w:tc>
          <w:tcPr>
            <w:tcW w:w="2977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Информация, находящаяся в распоряжении Финансового управления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5.2.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отсутствуют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5.2.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присутствуют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7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9482" w:type="dxa"/>
            <w:gridSpan w:val="5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Осуществление закупок товаров, работ и услуг для обеспечения муниципальных нужд</w:t>
            </w:r>
          </w:p>
        </w:tc>
      </w:tr>
      <w:tr>
        <w:tc>
          <w:tcPr>
            <w:tcW w:w="488" w:type="dxa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2551" w:type="dxa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закупок, проведенных конкурентными способами в общем количестве осуществленных закупок, в процентах</w:t>
            </w:r>
          </w:p>
        </w:tc>
        <w:tc>
          <w:tcPr>
            <w:tcW w:w="3466" w:type="dxa"/>
            <w:gridSpan w:val="2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.2..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Доля закупок, проведенных конкурентными способами в общем количестве осуществленных закупок</w:t>
            </w:r>
          </w:p>
        </w:tc>
        <w:tc>
          <w:tcPr>
            <w:tcW w:w="2977" w:type="dxa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ГАБС</w:t>
            </w:r>
          </w:p>
        </w:tc>
      </w:tr>
      <w:tr>
        <w:trPr>
          <w:trHeight w:val="298"/>
        </w:trPr>
        <w:tc>
          <w:tcPr>
            <w:tcW w:w="488" w:type="dxa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&gt;= 50 %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50% &lt;= 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 30%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  30%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77" w:type="dxa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6.2.</w:t>
            </w:r>
          </w:p>
        </w:tc>
        <w:tc>
          <w:tcPr>
            <w:tcW w:w="2551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контрактов, заключенных с субъектами малого предпринимательства, социально ориентированными некоммерческими организациями в общем объеме заключенных контрактов, в процентах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6" w:type="dxa"/>
            <w:gridSpan w:val="2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.1..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Доля контрактов, заключенных с субъектами малого предпринимательства, социально ориентированными некоммерческими организациями в общем объеме заключенных контрактов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ё</w:t>
            </w:r>
          </w:p>
        </w:tc>
        <w:tc>
          <w:tcPr>
            <w:tcW w:w="2977" w:type="dxa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ГАБС</w:t>
            </w:r>
          </w:p>
        </w:tc>
      </w:tr>
      <w:tr>
        <w:tc>
          <w:tcPr>
            <w:tcW w:w="488" w:type="dxa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&gt; = 15%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 15%</w:t>
            </w:r>
          </w:p>
        </w:tc>
        <w:tc>
          <w:tcPr>
            <w:tcW w:w="1482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77" w:type="dxa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7" w:name="P383"/>
      <w:bookmarkEnd w:id="7"/>
    </w:p>
    <w:p>
      <w:pPr>
        <w:rPr>
          <w:rFonts w:ascii="Times New Roman" w:hAnsi="Times New Roman" w:cs="Times New Roman"/>
          <w:sz w:val="24"/>
          <w:szCs w:val="24"/>
        </w:rPr>
        <w:sectPr>
          <w:headerReference w:type="default" r:id="rId8"/>
          <w:pgSz w:w="11906" w:h="16838"/>
          <w:pgMar w:top="680" w:right="567" w:bottom="680" w:left="1701" w:header="709" w:footer="709" w:gutter="0"/>
          <w:cols w:space="708"/>
          <w:titlePg/>
          <w:docGrid w:linePitch="360"/>
        </w:sectPr>
      </w:pPr>
    </w:p>
    <w:p>
      <w:pPr>
        <w:pStyle w:val="ConsPlusNormal"/>
        <w:ind w:left="8931"/>
        <w:outlineLvl w:val="1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lastRenderedPageBreak/>
        <w:t>Приложение 2</w:t>
      </w:r>
    </w:p>
    <w:p>
      <w:pPr>
        <w:pStyle w:val="ConsPlusNormal"/>
        <w:ind w:left="8931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к Порядку проведения Финансовым управлением </w:t>
      </w:r>
    </w:p>
    <w:p>
      <w:pPr>
        <w:pStyle w:val="ConsPlusNormal"/>
        <w:ind w:left="8931"/>
        <w:rPr>
          <w:rFonts w:ascii="Times New Roman" w:hAnsi="Times New Roman" w:cs="Times New Roman"/>
          <w:szCs w:val="22"/>
        </w:rPr>
      </w:pPr>
      <w:proofErr w:type="gramStart"/>
      <w:r>
        <w:rPr>
          <w:rFonts w:ascii="Times New Roman" w:hAnsi="Times New Roman" w:cs="Times New Roman"/>
          <w:szCs w:val="22"/>
        </w:rPr>
        <w:t>Администрации</w:t>
      </w:r>
      <w:proofErr w:type="gramEnd"/>
      <w:r>
        <w:rPr>
          <w:rFonts w:ascii="Times New Roman" w:hAnsi="Times New Roman" w:cs="Times New Roman"/>
          <w:szCs w:val="22"/>
        </w:rPr>
        <w:t xml:space="preserve"> ЗАТО Северск мониторинга</w:t>
      </w:r>
    </w:p>
    <w:p>
      <w:pPr>
        <w:pStyle w:val="ConsPlusNormal"/>
        <w:ind w:left="8931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качества финансового менеджмента в отношении главных администраторов средств </w:t>
      </w:r>
      <w:proofErr w:type="gramStart"/>
      <w:r>
        <w:rPr>
          <w:rFonts w:ascii="Times New Roman" w:hAnsi="Times New Roman" w:cs="Times New Roman"/>
          <w:szCs w:val="22"/>
        </w:rPr>
        <w:t>бюджета</w:t>
      </w:r>
      <w:proofErr w:type="gramEnd"/>
      <w:r>
        <w:rPr>
          <w:rFonts w:ascii="Times New Roman" w:hAnsi="Times New Roman" w:cs="Times New Roman"/>
          <w:szCs w:val="22"/>
        </w:rPr>
        <w:t xml:space="preserve"> ЗАТО Северск</w:t>
      </w:r>
    </w:p>
    <w:p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РЕЙТИНГ</w:t>
      </w:r>
    </w:p>
    <w:p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главных администраторов средств 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 xml:space="preserve"> ЗАТО Северск 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6018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441"/>
        <w:gridCol w:w="794"/>
        <w:gridCol w:w="34"/>
        <w:gridCol w:w="1559"/>
        <w:gridCol w:w="1417"/>
        <w:gridCol w:w="1843"/>
        <w:gridCol w:w="1418"/>
        <w:gridCol w:w="1417"/>
        <w:gridCol w:w="1843"/>
        <w:gridCol w:w="1417"/>
        <w:gridCol w:w="1560"/>
        <w:gridCol w:w="1275"/>
      </w:tblGrid>
      <w:tr>
        <w:trPr>
          <w:trHeight w:val="730"/>
        </w:trPr>
        <w:tc>
          <w:tcPr>
            <w:tcW w:w="1441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Наименова-ние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ГАБС</w:t>
            </w:r>
          </w:p>
        </w:tc>
        <w:tc>
          <w:tcPr>
            <w:tcW w:w="828" w:type="dxa"/>
            <w:gridSpan w:val="2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9497" w:type="dxa"/>
            <w:gridSpan w:val="6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Оценка качества финансового менеджмента ГАБС </w:t>
            </w:r>
          </w:p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направлениям</w:t>
            </w:r>
          </w:p>
        </w:tc>
        <w:tc>
          <w:tcPr>
            <w:tcW w:w="1417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Суммарная оценка</w:t>
            </w:r>
          </w:p>
        </w:tc>
        <w:tc>
          <w:tcPr>
            <w:tcW w:w="1560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Коэффициент сложности управления финансами</w:t>
            </w:r>
          </w:p>
        </w:tc>
        <w:tc>
          <w:tcPr>
            <w:tcW w:w="1275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Итоговая оценка </w:t>
            </w:r>
          </w:p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 баллах)</w:t>
            </w:r>
          </w:p>
        </w:tc>
      </w:tr>
      <w:tr>
        <w:tc>
          <w:tcPr>
            <w:tcW w:w="1441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  <w:gridSpan w:val="2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бюджетное планирование</w:t>
            </w:r>
          </w:p>
        </w:tc>
        <w:tc>
          <w:tcPr>
            <w:tcW w:w="1417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бюджета</w:t>
            </w:r>
          </w:p>
        </w:tc>
        <w:tc>
          <w:tcPr>
            <w:tcW w:w="1843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услуг в соответствии с муниципальными заданиями</w:t>
            </w:r>
          </w:p>
        </w:tc>
        <w:tc>
          <w:tcPr>
            <w:tcW w:w="1418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и финансовая дисциплина</w:t>
            </w:r>
          </w:p>
        </w:tc>
        <w:tc>
          <w:tcPr>
            <w:tcW w:w="1417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активами</w:t>
            </w:r>
          </w:p>
        </w:tc>
        <w:tc>
          <w:tcPr>
            <w:tcW w:w="1843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закупок товаров, работ и услуг для обеспечения муниципальных нужд</w:t>
            </w:r>
          </w:p>
        </w:tc>
        <w:tc>
          <w:tcPr>
            <w:tcW w:w="1417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16018" w:type="dxa"/>
            <w:gridSpan w:val="12"/>
          </w:tcPr>
          <w:p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I</w:t>
            </w:r>
          </w:p>
        </w:tc>
      </w:tr>
      <w:tr>
        <w:tc>
          <w:tcPr>
            <w:tcW w:w="1441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94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3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1441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94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3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1441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  <w:tc>
          <w:tcPr>
            <w:tcW w:w="794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3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16018" w:type="dxa"/>
            <w:gridSpan w:val="12"/>
          </w:tcPr>
          <w:p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II</w:t>
            </w:r>
          </w:p>
        </w:tc>
      </w:tr>
      <w:tr>
        <w:tc>
          <w:tcPr>
            <w:tcW w:w="1441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94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3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1441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94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3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1441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  <w:tc>
          <w:tcPr>
            <w:tcW w:w="794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3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rPr>
          <w:rFonts w:ascii="Times New Roman" w:hAnsi="Times New Roman" w:cs="Times New Roman"/>
          <w:sz w:val="24"/>
          <w:szCs w:val="24"/>
        </w:rPr>
      </w:pPr>
    </w:p>
    <w:sectPr>
      <w:pgSz w:w="16838" w:h="11905" w:orient="landscape"/>
      <w:pgMar w:top="426" w:right="1134" w:bottom="851" w:left="1134" w:header="284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>
      <w:pPr>
        <w:spacing w:after="0" w:line="240" w:lineRule="auto"/>
      </w:pPr>
      <w:r>
        <w:separator/>
      </w:r>
    </w:p>
  </w:endnote>
  <w:endnote w:type="continuationSeparator" w:id="1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>
      <w:pPr>
        <w:spacing w:after="0" w:line="240" w:lineRule="auto"/>
      </w:pPr>
      <w:r>
        <w:separator/>
      </w:r>
    </w:p>
  </w:footnote>
  <w:footnote w:type="continuationSeparator" w:id="1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a3"/>
      <w:jc w:val="center"/>
    </w:pPr>
  </w:p>
  <w:p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6625"/>
  </w:hdrShapeDefaults>
  <w:footnotePr>
    <w:footnote w:id="0"/>
    <w:footnote w:id="1"/>
  </w:footnotePr>
  <w:endnotePr>
    <w:endnote w:id="0"/>
    <w:endnote w:id="1"/>
  </w:endnotePr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</w:style>
  <w:style w:type="paragraph" w:styleId="a7">
    <w:name w:val="Balloon Text"/>
    <w:basedOn w:val="a"/>
    <w:link w:val="a8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A21D91CCC2D656F1061D7FD341174CC618EF0338CE03D78F2BB725D5FD6D71796B14F7EB693BE035F20CB2D21D981A4437FBABCA0F367147B0IB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21D91CCC2D656F1061D7FD341174CC618EF053ECE02D78F2BB725D5FD6D71796B14F7EB603EE63CA456A2D654CD165A37E4B4C91135B7I8H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14</Pages>
  <Words>3089</Words>
  <Characters>17613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Мананкова М.А.</dc:creator>
  <cp:keywords/>
  <dc:description/>
  <cp:lastModifiedBy>Мананкова М.А.</cp:lastModifiedBy>
  <cp:revision>9</cp:revision>
  <cp:lastPrinted>2019-12-25T04:58:00Z</cp:lastPrinted>
  <dcterms:created xsi:type="dcterms:W3CDTF">2019-12-19T06:47:00Z</dcterms:created>
  <dcterms:modified xsi:type="dcterms:W3CDTF">2019-12-25T06:29:00Z</dcterms:modified>
</cp:coreProperties>
</file>