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00" w:type="dxa"/>
        <w:tblInd w:w="93" w:type="dxa"/>
        <w:tblLook w:val="0000"/>
      </w:tblPr>
      <w:tblGrid>
        <w:gridCol w:w="3541"/>
        <w:gridCol w:w="878"/>
        <w:gridCol w:w="2117"/>
        <w:gridCol w:w="1417"/>
        <w:gridCol w:w="1447"/>
      </w:tblGrid>
      <w:tr>
        <w:trPr>
          <w:trHeight w:val="420"/>
        </w:trPr>
        <w:tc>
          <w:tcPr>
            <w:tcW w:w="7953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noWrap/>
            <w:vAlign w:val="bottom"/>
          </w:tcPr>
          <w:p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ПОЯСНИТЕЛЬНАЯ ЗАПИСКА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>
            <w:pPr>
              <w:ind w:right="52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КОДЫ</w:t>
            </w:r>
          </w:p>
        </w:tc>
      </w:tr>
      <w:tr>
        <w:trPr>
          <w:trHeight w:val="420"/>
        </w:trPr>
        <w:tc>
          <w:tcPr>
            <w:tcW w:w="7953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на 01 января 20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2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  <w:proofErr w:type="spellEnd"/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0503160</w:t>
            </w:r>
          </w:p>
        </w:tc>
      </w:tr>
      <w:tr>
        <w:trPr>
          <w:trHeight w:val="260"/>
        </w:trPr>
        <w:tc>
          <w:tcPr>
            <w:tcW w:w="4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5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01.01.20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2</w:t>
            </w:r>
            <w:proofErr w:type="spellEnd"/>
          </w:p>
        </w:tc>
      </w:tr>
      <w:tr>
        <w:trPr>
          <w:trHeight w:val="1455"/>
        </w:trPr>
        <w:tc>
          <w:tcPr>
            <w:tcW w:w="35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Главный распорядитель, распорядитель, получатель бюджетных средств,    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главный администратор, администратор доходов бюджета,    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главный администратор, администратор источников    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финансирования дефицита бюджета </w:t>
            </w:r>
          </w:p>
        </w:tc>
        <w:tc>
          <w:tcPr>
            <w:tcW w:w="299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Финансовое управление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         ЗАТО Северск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ОКПО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28842383</w:t>
            </w:r>
          </w:p>
        </w:tc>
      </w:tr>
      <w:tr>
        <w:trPr>
          <w:trHeight w:val="420"/>
        </w:trPr>
        <w:tc>
          <w:tcPr>
            <w:tcW w:w="35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бюджета</w:t>
            </w:r>
          </w:p>
        </w:tc>
        <w:tc>
          <w:tcPr>
            <w:tcW w:w="2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rPr>
          <w:trHeight w:val="420"/>
        </w:trPr>
        <w:tc>
          <w:tcPr>
            <w:tcW w:w="35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(публично-правового образования)</w:t>
            </w:r>
          </w:p>
        </w:tc>
        <w:tc>
          <w:tcPr>
            <w:tcW w:w="299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Бюджет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ОКТМО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69741000</w:t>
            </w:r>
          </w:p>
        </w:tc>
      </w:tr>
      <w:tr>
        <w:trPr>
          <w:trHeight w:val="420"/>
        </w:trPr>
        <w:tc>
          <w:tcPr>
            <w:tcW w:w="35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Периодичность:  квартальная, годовая</w:t>
            </w:r>
          </w:p>
        </w:tc>
        <w:tc>
          <w:tcPr>
            <w:tcW w:w="2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rPr>
          <w:trHeight w:val="486"/>
        </w:trPr>
        <w:tc>
          <w:tcPr>
            <w:tcW w:w="35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Единица измерения: руб.</w:t>
            </w:r>
          </w:p>
        </w:tc>
        <w:tc>
          <w:tcPr>
            <w:tcW w:w="2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</w:t>
            </w:r>
          </w:p>
        </w:tc>
      </w:tr>
    </w:tbl>
    <w:p>
      <w:pPr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>
      <w:pPr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Раздел 1 «Организационная структура субъекта бюджетной отчётности».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Полное наименование: Финансовое управление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Томской области (далее - Управление).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Юридический и фактический адрес: 636035, Томская область, </w:t>
      </w:r>
      <w:proofErr w:type="gramStart"/>
      <w:r>
        <w:rPr>
          <w:rFonts w:ascii="Times New Roman" w:hAnsi="Times New Roman"/>
          <w:sz w:val="24"/>
          <w:szCs w:val="24"/>
        </w:rPr>
        <w:t>г</w:t>
      </w:r>
      <w:proofErr w:type="gramEnd"/>
      <w:r>
        <w:rPr>
          <w:rFonts w:ascii="Times New Roman" w:hAnsi="Times New Roman"/>
          <w:sz w:val="24"/>
          <w:szCs w:val="24"/>
        </w:rPr>
        <w:t>. Северск,                           пр. Коммунистический 51.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ИНН 70240039105, КПП 702401001, ОКПО 28842383, ОКТМО 69741000001, ОГРН 1027001686920.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соответствии с Бюджетным кодексом Российской Федерации и Положением                     о бюджетном </w:t>
      </w:r>
      <w:proofErr w:type="gramStart"/>
      <w:r>
        <w:rPr>
          <w:rFonts w:ascii="Times New Roman" w:hAnsi="Times New Roman"/>
          <w:sz w:val="24"/>
          <w:szCs w:val="24"/>
        </w:rPr>
        <w:t>процессе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Северск, Управление является участником бюджетного процесса в ЗАТО Северск, обладающее бюджетными полномочиями финансового органа, главного распорядителя бюджетных средств, главного администратора доходов, главного администратора источников финансирования дефицита. Управление, как структурное подразделение 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Северск, создано на основании Постановления Главы Администрации г. </w:t>
      </w:r>
      <w:proofErr w:type="spellStart"/>
      <w:r>
        <w:rPr>
          <w:rFonts w:ascii="Times New Roman" w:hAnsi="Times New Roman"/>
          <w:sz w:val="24"/>
          <w:szCs w:val="24"/>
        </w:rPr>
        <w:t>Северска</w:t>
      </w:r>
      <w:proofErr w:type="spellEnd"/>
      <w:r>
        <w:rPr>
          <w:rFonts w:ascii="Times New Roman" w:hAnsi="Times New Roman"/>
          <w:sz w:val="24"/>
          <w:szCs w:val="24"/>
        </w:rPr>
        <w:t xml:space="preserve"> Томской области от 17.08.1998 № 1782, наделено правами юридического лица. Правовая форма Управления - казённое учреждение; от своего имени приобретает и осуществляет имущественные и личные неимущественные права, обладает обособленным имуществом, имеет самостоятельный баланс, лицевые счета в органах казначейства по Томской области, круглую печать со своим наименованием.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Код главы Управления - 903.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Подведомственных учреждений, предприятий и обособленных подразделений не имеет.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Бюджетные полномочия в отчётном периоде у Управления не изменялись.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Банковских счетов в кредитных организациях Управление не имеет.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Бюджетный учёт, составление и представление отчётности осуществляется отделом по бюджетному учёту и отчётности (далее - отдел), которую возглавляет начальник отдела.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Касса для выдачи наличных денежных средств в Управлении отсутствует. Все расчёты осуществляются в безналичном порядке.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своей деятельности Управление руководствуется Конституцией РФ, нормативными актами Президента РФ, законодательными актами Минфина РФ, а также других министерств и ведомств Российской Федерации, решениями </w:t>
      </w:r>
      <w:proofErr w:type="gramStart"/>
      <w:r>
        <w:rPr>
          <w:rFonts w:ascii="Times New Roman" w:hAnsi="Times New Roman"/>
          <w:sz w:val="24"/>
          <w:szCs w:val="24"/>
        </w:rPr>
        <w:t>Думы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Северск, постановлениями                   и распоряжениями Администрации ЗАТО Северск Томской области, положением                           по Управлению и приказами начальника Управления.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lastRenderedPageBreak/>
        <w:t>Бухгалтерский учёт в Управлении осуществляется отделом по бюджетному учёту               и отчётности в соответствии с Федеральным законом от 06.12.2011 № 402-ФЗ                              «О бухгалтерском учёте», федеральными стандартами бухгалтерского учета для организаций государственного сектора, утвержденными приказами Минфина России, приказом Минфина России от 01.12.2010 № 157н «Об утверждении Единого плана счетов бухгалтерского учёта для органов государственной власти (государственных органов), органов местного самоуправления, органов управления государственными внебюджетными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фондами, государственных академий наук, государственных (муниципальных) учреждений и Инструкции по его применению», приказом Минфина России от 06.12.2010 № 162н «Об утверждении Плана счетов бюджетного учёта и Инструкции по его применению», приказом Минфина России от 30.03.2015 № 52н «Об утверждении форм первичных учетных документов и регистров бухгалтерского учета, применяемых органами государственной власти (государственными органами), органами местного самоуправления, органами управления государственными внебюджетными фондами, государственными</w:t>
      </w:r>
      <w:proofErr w:type="gramEnd"/>
      <w:r>
        <w:rPr>
          <w:rFonts w:ascii="Times New Roman" w:hAnsi="Times New Roman"/>
          <w:sz w:val="24"/>
          <w:szCs w:val="24"/>
        </w:rPr>
        <w:t xml:space="preserve"> (муниципальными) учреждениями, и Методических указаний по их применению», приказом Минфина России от 29.11.2017 № 209н «Об утверждении </w:t>
      </w:r>
      <w:proofErr w:type="gramStart"/>
      <w:r>
        <w:rPr>
          <w:rFonts w:ascii="Times New Roman" w:hAnsi="Times New Roman"/>
          <w:sz w:val="24"/>
          <w:szCs w:val="24"/>
        </w:rPr>
        <w:t>Порядка применения классификации операций сектора государственного</w:t>
      </w:r>
      <w:proofErr w:type="gramEnd"/>
      <w:r>
        <w:rPr>
          <w:rFonts w:ascii="Times New Roman" w:hAnsi="Times New Roman"/>
          <w:sz w:val="24"/>
          <w:szCs w:val="24"/>
        </w:rPr>
        <w:t xml:space="preserve"> управления», иными законами и нормативными актами, предназначенными для формирования полной и достоверной информации о финансовом, имущественном положении и финансовых результатах деятельности Управления.</w:t>
      </w:r>
    </w:p>
    <w:p>
      <w:pPr>
        <w:pStyle w:val="21"/>
        <w:shd w:val="clear" w:color="auto" w:fill="auto"/>
        <w:ind w:firstLine="760"/>
      </w:pPr>
      <w:r>
        <w:rPr>
          <w:color w:val="000000"/>
          <w:sz w:val="24"/>
          <w:szCs w:val="24"/>
          <w:lang w:bidi="ru-RU"/>
        </w:rPr>
        <w:t xml:space="preserve">Бухгалтерский учёт ведется автоматизировано с применением типовых конфигураций программ </w:t>
      </w:r>
      <w:r>
        <w:rPr>
          <w:color w:val="000000"/>
          <w:sz w:val="24"/>
          <w:szCs w:val="24"/>
          <w:lang w:eastAsia="en-US" w:bidi="en-US"/>
        </w:rPr>
        <w:t>1</w:t>
      </w:r>
      <w:r>
        <w:rPr>
          <w:color w:val="000000"/>
          <w:sz w:val="24"/>
          <w:szCs w:val="24"/>
          <w:lang w:val="en-US" w:eastAsia="en-US" w:bidi="en-US"/>
        </w:rPr>
        <w:t>C</w:t>
      </w:r>
      <w:r>
        <w:rPr>
          <w:color w:val="000000"/>
          <w:sz w:val="24"/>
          <w:szCs w:val="24"/>
          <w:lang w:eastAsia="en-US" w:bidi="en-US"/>
        </w:rPr>
        <w:t xml:space="preserve">: </w:t>
      </w:r>
      <w:r>
        <w:rPr>
          <w:color w:val="000000"/>
          <w:sz w:val="24"/>
          <w:szCs w:val="24"/>
          <w:lang w:bidi="ru-RU"/>
        </w:rPr>
        <w:t xml:space="preserve">Предприятие: "Бухгалтерия для бюджетных учреждений", </w:t>
      </w:r>
      <w:r>
        <w:rPr>
          <w:color w:val="000000"/>
          <w:sz w:val="24"/>
          <w:szCs w:val="24"/>
          <w:lang w:eastAsia="en-US" w:bidi="en-US"/>
        </w:rPr>
        <w:t>1</w:t>
      </w:r>
      <w:r>
        <w:rPr>
          <w:color w:val="000000"/>
          <w:sz w:val="24"/>
          <w:szCs w:val="24"/>
          <w:lang w:val="en-US" w:eastAsia="en-US" w:bidi="en-US"/>
        </w:rPr>
        <w:t>C</w:t>
      </w:r>
      <w:r>
        <w:rPr>
          <w:color w:val="000000"/>
          <w:sz w:val="24"/>
          <w:szCs w:val="24"/>
          <w:lang w:eastAsia="en-US" w:bidi="en-US"/>
        </w:rPr>
        <w:t xml:space="preserve">: </w:t>
      </w:r>
      <w:r>
        <w:rPr>
          <w:color w:val="000000"/>
          <w:sz w:val="24"/>
          <w:szCs w:val="24"/>
          <w:lang w:bidi="ru-RU"/>
        </w:rPr>
        <w:t xml:space="preserve">Предприятие: "Зарплата и кадры государственного учреждения". Бухгалтерский учёт осуществляется по журнально-ордерной форме. Оценка активов и обязательств осуществляется по методу балансовой стоимости. В бухгалтерском учёте объектов аренды у Управления нет. По итогам 2021 года реализованы рекомендации Письма Минфина РФ от 20.05.2016 № 02-07-10/29243. Деятельность Управления финансируется за счёт средств </w:t>
      </w:r>
      <w:proofErr w:type="gramStart"/>
      <w:r>
        <w:rPr>
          <w:color w:val="000000"/>
          <w:sz w:val="24"/>
          <w:szCs w:val="24"/>
          <w:lang w:bidi="ru-RU"/>
        </w:rPr>
        <w:t>бюджета</w:t>
      </w:r>
      <w:proofErr w:type="gramEnd"/>
      <w:r>
        <w:rPr>
          <w:color w:val="000000"/>
          <w:sz w:val="24"/>
          <w:szCs w:val="24"/>
          <w:lang w:bidi="ru-RU"/>
        </w:rPr>
        <w:t xml:space="preserve"> ЗАТО Северск,                            в соответствии с бюджетной росписью и бюджетной сметой.</w:t>
      </w:r>
    </w:p>
    <w:p>
      <w:pPr>
        <w:pStyle w:val="21"/>
        <w:shd w:val="clear" w:color="auto" w:fill="auto"/>
        <w:ind w:firstLine="760"/>
        <w:rPr>
          <w:b/>
        </w:rPr>
      </w:pPr>
      <w:r>
        <w:rPr>
          <w:b/>
          <w:color w:val="000000"/>
          <w:sz w:val="24"/>
          <w:szCs w:val="24"/>
          <w:lang w:bidi="ru-RU"/>
        </w:rPr>
        <w:t>Раздел 2. «Результаты деятельности учреждения».</w:t>
      </w:r>
    </w:p>
    <w:p>
      <w:pPr>
        <w:pStyle w:val="21"/>
        <w:shd w:val="clear" w:color="auto" w:fill="auto"/>
        <w:ind w:firstLine="760"/>
      </w:pPr>
      <w:r>
        <w:rPr>
          <w:color w:val="000000"/>
          <w:sz w:val="24"/>
          <w:szCs w:val="24"/>
          <w:lang w:bidi="ru-RU"/>
        </w:rPr>
        <w:t xml:space="preserve">Всего на расходы, подведомственные Управлению, в 2021 году предусмотрено                42 152,08 тыс. руб., кассовые расходы составили 41 593,65 тыс. рублей. Расходование средств осуществлялось в пределах выделенных бюджетных ассигнований в соответствии                               с утвержденными назначениями на 2021 год по кодам классификации расходов </w:t>
      </w:r>
      <w:proofErr w:type="gramStart"/>
      <w:r>
        <w:rPr>
          <w:color w:val="000000"/>
          <w:sz w:val="24"/>
          <w:szCs w:val="24"/>
          <w:lang w:bidi="ru-RU"/>
        </w:rPr>
        <w:t>бюджета</w:t>
      </w:r>
      <w:proofErr w:type="gramEnd"/>
      <w:r>
        <w:rPr>
          <w:color w:val="000000"/>
          <w:sz w:val="24"/>
          <w:szCs w:val="24"/>
          <w:lang w:bidi="ru-RU"/>
        </w:rPr>
        <w:t xml:space="preserve"> ЗАТО Северск. Утверждённые лимиты бюджетных обязательств использованы в объёме               98,6 %. По состоянию на 01.01.2022 экономия по расходам на обслуживание муниципального долга по оплате процентов составила 521,81 тыс.</w:t>
      </w:r>
      <w:r>
        <w:t> </w:t>
      </w:r>
      <w:r>
        <w:rPr>
          <w:color w:val="000000"/>
          <w:sz w:val="24"/>
          <w:szCs w:val="24"/>
          <w:lang w:bidi="ru-RU"/>
        </w:rPr>
        <w:t>руб. Принятые меры по досрочному возврату кредита позволили сократить первоначальные расходы по обслуживанию муниципального долга на оплату процентов в общей сумме 13 764,64 тыс. руб.</w:t>
      </w:r>
      <w:r>
        <w:t xml:space="preserve"> </w:t>
      </w:r>
    </w:p>
    <w:p>
      <w:pPr>
        <w:pStyle w:val="21"/>
        <w:shd w:val="clear" w:color="auto" w:fill="auto"/>
        <w:ind w:firstLine="760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  <w:t>Балансовая стоимость имущества Управления на 01.01.2022 года составила                       6 452,44 тыс. руб. Амортизация основных средств на конец отчётного периода составляет 6 040,83 (94 % от стоимости). Техническое состояние и уровень обеспеченности основными фондами удовлетворительное. Материальные запасы на текущие нужды поступают своевременно. Недостачи и порчи имущества в 2021 г. не выявлено. Основные средства использовались для нужд Управления по своему целевому назначению.</w:t>
      </w:r>
    </w:p>
    <w:p>
      <w:pPr>
        <w:pStyle w:val="21"/>
        <w:shd w:val="clear" w:color="auto" w:fill="auto"/>
        <w:ind w:firstLine="760"/>
      </w:pPr>
      <w:r>
        <w:rPr>
          <w:color w:val="000000"/>
          <w:sz w:val="24"/>
          <w:szCs w:val="24"/>
          <w:lang w:bidi="ru-RU"/>
        </w:rPr>
        <w:t>Штатная численность Управления в 2021 году составила 26 шт. единиц, из них 24 шт. единицы, относимые к должностям муниципальной службы и 2 должности, не отнесённые             к должностям муниципальной службы. Среднесписочная численность Управления по итогам года составила 25 штатные единицы, из них 2 штатные единицы, не отнесённые                                к должностям муниципальной службы. Фонд оплаты труда по заработной плате утверждён             в сумме 19 342,92 тыс</w:t>
      </w:r>
      <w:proofErr w:type="gramStart"/>
      <w:r>
        <w:rPr>
          <w:color w:val="000000"/>
          <w:sz w:val="24"/>
          <w:szCs w:val="24"/>
          <w:lang w:bidi="ru-RU"/>
        </w:rPr>
        <w:t>.р</w:t>
      </w:r>
      <w:proofErr w:type="gramEnd"/>
      <w:r>
        <w:rPr>
          <w:color w:val="000000"/>
          <w:sz w:val="24"/>
          <w:szCs w:val="24"/>
          <w:lang w:bidi="ru-RU"/>
        </w:rPr>
        <w:t>уб. исполнен 19 332,58 тыс.руб.</w:t>
      </w:r>
    </w:p>
    <w:p>
      <w:pPr>
        <w:pStyle w:val="21"/>
        <w:shd w:val="clear" w:color="auto" w:fill="auto"/>
        <w:ind w:firstLine="760"/>
        <w:rPr>
          <w:b/>
        </w:rPr>
      </w:pPr>
      <w:r>
        <w:rPr>
          <w:b/>
          <w:color w:val="000000"/>
          <w:sz w:val="24"/>
          <w:szCs w:val="24"/>
          <w:lang w:bidi="ru-RU"/>
        </w:rPr>
        <w:t>Раздел 3 «Анализ отчёта об исполнении бюджета субъектом бюджетной отчётности».</w:t>
      </w:r>
    </w:p>
    <w:p>
      <w:pPr>
        <w:pStyle w:val="21"/>
        <w:shd w:val="clear" w:color="auto" w:fill="auto"/>
        <w:ind w:firstLine="760"/>
      </w:pPr>
      <w:r>
        <w:rPr>
          <w:color w:val="000000"/>
          <w:sz w:val="24"/>
          <w:szCs w:val="24"/>
          <w:lang w:bidi="ru-RU"/>
        </w:rPr>
        <w:t>Принятие бюджетных обязатель</w:t>
      </w:r>
      <w:proofErr w:type="gramStart"/>
      <w:r>
        <w:rPr>
          <w:color w:val="000000"/>
          <w:sz w:val="24"/>
          <w:szCs w:val="24"/>
          <w:lang w:bidi="ru-RU"/>
        </w:rPr>
        <w:t>ств св</w:t>
      </w:r>
      <w:proofErr w:type="gramEnd"/>
      <w:r>
        <w:rPr>
          <w:color w:val="000000"/>
          <w:sz w:val="24"/>
          <w:szCs w:val="24"/>
          <w:lang w:bidi="ru-RU"/>
        </w:rPr>
        <w:t xml:space="preserve">ерх доведенного объёма лимитов бюджетных </w:t>
      </w:r>
      <w:r>
        <w:rPr>
          <w:color w:val="000000"/>
          <w:sz w:val="24"/>
          <w:szCs w:val="24"/>
          <w:lang w:bidi="ru-RU"/>
        </w:rPr>
        <w:lastRenderedPageBreak/>
        <w:t>обязательств в 2021 году не допускалось.</w:t>
      </w:r>
    </w:p>
    <w:p>
      <w:pPr>
        <w:pStyle w:val="21"/>
        <w:shd w:val="clear" w:color="auto" w:fill="auto"/>
        <w:ind w:firstLine="760"/>
        <w:rPr>
          <w:color w:val="000000"/>
          <w:sz w:val="24"/>
          <w:szCs w:val="24"/>
          <w:lang w:bidi="ru-RU"/>
        </w:rPr>
      </w:pPr>
      <w:proofErr w:type="gramStart"/>
      <w:r>
        <w:rPr>
          <w:color w:val="000000"/>
          <w:sz w:val="24"/>
          <w:szCs w:val="24"/>
          <w:lang w:bidi="ru-RU"/>
        </w:rPr>
        <w:t>На 01 января 2022 года на балансе Управления числится дебиторская задолженность в сумме 99,19 тыс. руб., в т.ч.: 1,87 тыс. руб. - авансовые платежи за услуги связи,                   12,43 тыс. руб. - подотчёт (конверты, марки), 84,90 тыс. руб. - авансовые платежи за подписку.</w:t>
      </w:r>
      <w:proofErr w:type="gramEnd"/>
      <w:r>
        <w:rPr>
          <w:color w:val="000000"/>
          <w:sz w:val="24"/>
          <w:szCs w:val="24"/>
          <w:lang w:bidi="ru-RU"/>
        </w:rPr>
        <w:t xml:space="preserve"> Кредиторская задолженность в сумме 75,33 тыс</w:t>
      </w:r>
      <w:proofErr w:type="gramStart"/>
      <w:r>
        <w:rPr>
          <w:color w:val="000000"/>
          <w:sz w:val="24"/>
          <w:szCs w:val="24"/>
          <w:lang w:bidi="ru-RU"/>
        </w:rPr>
        <w:t>.р</w:t>
      </w:r>
      <w:proofErr w:type="gramEnd"/>
      <w:r>
        <w:rPr>
          <w:color w:val="000000"/>
          <w:sz w:val="24"/>
          <w:szCs w:val="24"/>
          <w:lang w:bidi="ru-RU"/>
        </w:rPr>
        <w:t>уб. - задолженность по страховым взносам на страховую часть пенсии за декабрь 2021 год.</w:t>
      </w:r>
    </w:p>
    <w:p>
      <w:pPr>
        <w:pStyle w:val="21"/>
        <w:shd w:val="clear" w:color="auto" w:fill="auto"/>
        <w:ind w:firstLine="760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  <w:t>Управление не является участником федеральных целевых программ, национальных проектов (программ), комплексного плана модернизации и расширения магистральной инфраструктуры.</w:t>
      </w:r>
    </w:p>
    <w:p>
      <w:pPr>
        <w:pStyle w:val="21"/>
        <w:shd w:val="clear" w:color="auto" w:fill="auto"/>
        <w:ind w:firstLine="760"/>
        <w:rPr>
          <w:b/>
        </w:rPr>
      </w:pPr>
      <w:r>
        <w:rPr>
          <w:b/>
          <w:color w:val="000000"/>
          <w:sz w:val="24"/>
          <w:szCs w:val="24"/>
          <w:lang w:bidi="ru-RU"/>
        </w:rPr>
        <w:t>Раздел 4 «Анализ показателей финансовой отчётности субъекта финансовой отчётности».</w:t>
      </w:r>
    </w:p>
    <w:p>
      <w:pPr>
        <w:pStyle w:val="21"/>
        <w:shd w:val="clear" w:color="auto" w:fill="auto"/>
        <w:ind w:firstLine="760"/>
      </w:pPr>
      <w:r>
        <w:rPr>
          <w:color w:val="000000"/>
          <w:sz w:val="24"/>
          <w:szCs w:val="24"/>
          <w:lang w:bidi="ru-RU"/>
        </w:rPr>
        <w:t>События после отчётной даты до предоставления бюджетной отчётности за 2021 год у Управления не возникали.</w:t>
      </w:r>
    </w:p>
    <w:p>
      <w:pPr>
        <w:pStyle w:val="21"/>
        <w:shd w:val="clear" w:color="auto" w:fill="auto"/>
        <w:ind w:firstLine="760"/>
        <w:rPr>
          <w:b/>
          <w:color w:val="000000"/>
          <w:sz w:val="24"/>
          <w:szCs w:val="24"/>
          <w:lang w:bidi="ru-RU"/>
        </w:rPr>
      </w:pPr>
      <w:r>
        <w:rPr>
          <w:b/>
          <w:color w:val="000000"/>
          <w:sz w:val="24"/>
          <w:szCs w:val="24"/>
          <w:lang w:bidi="ru-RU"/>
        </w:rPr>
        <w:t>Раздел 5 «Прочие вопросы деятельности субъекта бюджетной отчётности».</w:t>
      </w:r>
    </w:p>
    <w:p>
      <w:pPr>
        <w:pStyle w:val="21"/>
        <w:shd w:val="clear" w:color="auto" w:fill="auto"/>
        <w:ind w:firstLine="760"/>
      </w:pPr>
      <w:r>
        <w:rPr>
          <w:color w:val="000000"/>
          <w:sz w:val="24"/>
          <w:szCs w:val="24"/>
          <w:lang w:bidi="ru-RU"/>
        </w:rPr>
        <w:t>Перед составлением бюджетной отчётности за 2021 г. проведена годовая инвентаризация активов и обязательств на основании приказа начальника Управления от 29.10.2021 № 71. Расхождений по результатам проведения инвентаризации нет.</w:t>
      </w:r>
      <w:r>
        <w:t xml:space="preserve"> </w:t>
      </w:r>
    </w:p>
    <w:p>
      <w:pPr>
        <w:pStyle w:val="21"/>
        <w:shd w:val="clear" w:color="auto" w:fill="auto"/>
        <w:ind w:firstLine="760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  <w:t xml:space="preserve">Условные активы и условные обязательства, формирующие существенную информацию на отчётную дату, отсутствуют. </w:t>
      </w:r>
    </w:p>
    <w:p>
      <w:pPr>
        <w:pStyle w:val="21"/>
        <w:shd w:val="clear" w:color="auto" w:fill="auto"/>
        <w:ind w:firstLine="760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  <w:t xml:space="preserve">Методы начисления амортизации, периодичность и порядок расчёта, корректировки резерва для оплаты отпусков приведены в Таблице № 4 «Сведения об основных положениях учетной политики». </w:t>
      </w:r>
    </w:p>
    <w:p>
      <w:pPr>
        <w:pStyle w:val="21"/>
        <w:shd w:val="clear" w:color="auto" w:fill="auto"/>
        <w:ind w:firstLine="740"/>
      </w:pPr>
      <w:r>
        <w:rPr>
          <w:color w:val="000000"/>
          <w:sz w:val="24"/>
          <w:szCs w:val="24"/>
          <w:lang w:bidi="ru-RU"/>
        </w:rPr>
        <w:t>Судебные решения (исполнительные документы) по исполнению денежных обязательств в Управление не поступали, задолженности нет.</w:t>
      </w:r>
    </w:p>
    <w:p>
      <w:pPr>
        <w:pStyle w:val="21"/>
        <w:shd w:val="clear" w:color="auto" w:fill="auto"/>
        <w:ind w:firstLine="740"/>
      </w:pPr>
      <w:r>
        <w:rPr>
          <w:color w:val="000000"/>
          <w:sz w:val="24"/>
          <w:szCs w:val="24"/>
          <w:lang w:bidi="ru-RU"/>
        </w:rPr>
        <w:t>В отчётном периоде недостач и хищений имущества в Управлении не выявлено. Задолженность по расчётам по ущербу отсутствует.</w:t>
      </w:r>
    </w:p>
    <w:p>
      <w:pPr>
        <w:pStyle w:val="21"/>
        <w:shd w:val="clear" w:color="auto" w:fill="auto"/>
        <w:ind w:firstLine="740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  <w:t xml:space="preserve">В связи с отсутствием числовых показателей, </w:t>
      </w:r>
      <w:r>
        <w:rPr>
          <w:sz w:val="24"/>
          <w:szCs w:val="24"/>
        </w:rPr>
        <w:t>выявленных расхождений</w:t>
      </w:r>
      <w:r>
        <w:rPr>
          <w:color w:val="000000"/>
          <w:sz w:val="24"/>
          <w:szCs w:val="24"/>
          <w:lang w:bidi="ru-RU"/>
        </w:rPr>
        <w:t xml:space="preserve"> в составе бюджетной отчётности за 2021 год не представлены:</w:t>
      </w:r>
    </w:p>
    <w:p>
      <w:pPr>
        <w:pStyle w:val="21"/>
        <w:shd w:val="clear" w:color="auto" w:fill="auto"/>
        <w:ind w:firstLine="740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  <w:t>- Отчёт об исполнении бюджета по национальным проектам (ф.0503117-НП);</w:t>
      </w:r>
    </w:p>
    <w:p>
      <w:pPr>
        <w:pStyle w:val="21"/>
        <w:shd w:val="clear" w:color="auto" w:fill="auto"/>
        <w:ind w:firstLine="740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  <w:t>- Отчёт о бюджетных обязательствах по национальным проектам (ф.0503128-НП);</w:t>
      </w:r>
    </w:p>
    <w:p>
      <w:pPr>
        <w:autoSpaceDE w:val="0"/>
        <w:autoSpaceDN w:val="0"/>
        <w:adjustRightInd w:val="0"/>
        <w:ind w:firstLine="720"/>
        <w:jc w:val="both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  <w:t>- Сведения о проведении инвентаризаций (таблица № 6), приложение к Пояснительной записке;</w:t>
      </w:r>
    </w:p>
    <w:p>
      <w:pPr>
        <w:pStyle w:val="21"/>
        <w:shd w:val="clear" w:color="auto" w:fill="auto"/>
        <w:ind w:firstLine="740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  <w:t>- Сведения об исполнении мероприятий в рамках федеральных целевых программ         (ф. 0503166);</w:t>
      </w:r>
    </w:p>
    <w:p>
      <w:pPr>
        <w:pStyle w:val="21"/>
        <w:shd w:val="clear" w:color="auto" w:fill="auto"/>
        <w:ind w:firstLine="740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  <w:t>- Сведения о финансовых вложениях получателя средств бюджета (ф. 0503171);</w:t>
      </w:r>
    </w:p>
    <w:p>
      <w:pPr>
        <w:pStyle w:val="21"/>
        <w:shd w:val="clear" w:color="auto" w:fill="auto"/>
        <w:ind w:firstLine="740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  <w:t>- Сведения об изменении остатков валюты баланса (ф. 0503173);</w:t>
      </w:r>
    </w:p>
    <w:p>
      <w:pPr>
        <w:pStyle w:val="21"/>
        <w:shd w:val="clear" w:color="auto" w:fill="auto"/>
        <w:ind w:firstLine="740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  <w:t>- Сведения о доходах бюджета от перечисления части прибыли (дивидендов) государственных (муниципальных) унитарных предприятий, иных организаций                              с государственным участием в капитале (ф.0503174);</w:t>
      </w:r>
    </w:p>
    <w:p>
      <w:pPr>
        <w:pStyle w:val="21"/>
        <w:shd w:val="clear" w:color="auto" w:fill="auto"/>
        <w:ind w:firstLine="740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  <w:t>- Справка о суммах консолидируемых поступлений, подлежащих зачислению на счёт бюджета (ф. 0503184);</w:t>
      </w:r>
    </w:p>
    <w:p>
      <w:pPr>
        <w:pStyle w:val="21"/>
        <w:shd w:val="clear" w:color="auto" w:fill="auto"/>
        <w:ind w:firstLine="740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  <w:t>- Сведения об объектах незавершенного строительства, вложениях в объекты недвижимого имущества (ф. 0503190);</w:t>
      </w:r>
    </w:p>
    <w:p>
      <w:pPr>
        <w:pStyle w:val="21"/>
        <w:shd w:val="clear" w:color="auto" w:fill="auto"/>
        <w:ind w:firstLine="740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  <w:t>- Разделительный (ликвидационный баланс) (ф.0503230);</w:t>
      </w:r>
    </w:p>
    <w:p>
      <w:pPr>
        <w:pStyle w:val="21"/>
        <w:shd w:val="clear" w:color="auto" w:fill="auto"/>
        <w:ind w:firstLine="740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  <w:t>- Сведения об исполнении судебных решений по денежным обязательствам                      (ф. 0503296).</w:t>
      </w:r>
    </w:p>
    <w:p>
      <w:pPr>
        <w:pStyle w:val="21"/>
        <w:shd w:val="clear" w:color="auto" w:fill="auto"/>
        <w:spacing w:line="240" w:lineRule="auto"/>
        <w:ind w:firstLine="720"/>
        <w:rPr>
          <w:color w:val="000000"/>
          <w:sz w:val="24"/>
          <w:szCs w:val="24"/>
          <w:lang w:bidi="ru-RU"/>
        </w:rPr>
      </w:pPr>
      <w:proofErr w:type="gramStart"/>
      <w:r>
        <w:rPr>
          <w:color w:val="000000"/>
          <w:sz w:val="24"/>
          <w:szCs w:val="24"/>
          <w:lang w:bidi="ru-RU"/>
        </w:rPr>
        <w:t>Другие факторы, существенно повлиявшие на текущую деятельность Управления                             в отчётном периоде отсутствуют</w:t>
      </w:r>
      <w:proofErr w:type="gramEnd"/>
      <w:r>
        <w:rPr>
          <w:color w:val="000000"/>
          <w:sz w:val="24"/>
          <w:szCs w:val="24"/>
          <w:lang w:bidi="ru-RU"/>
        </w:rPr>
        <w:t>.</w:t>
      </w: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управления                                                                                           Л.И.Овчаренко</w:t>
      </w:r>
    </w:p>
    <w:p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Начальник отдела </w:t>
      </w:r>
    </w:p>
    <w:p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бюджетному учёту </w:t>
      </w:r>
    </w:p>
    <w:p>
      <w:pPr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 отчётности                                                                                                        </w:t>
      </w:r>
      <w:r>
        <w:rPr>
          <w:sz w:val="24"/>
          <w:szCs w:val="24"/>
        </w:rPr>
        <w:t>И.О.Купцова</w:t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>«26» января 2022 года</w:t>
      </w:r>
    </w:p>
    <w:sectPr>
      <w:headerReference w:type="default" r:id="rId8"/>
      <w:pgSz w:w="11907" w:h="16840" w:code="9"/>
      <w:pgMar w:top="851" w:right="567" w:bottom="568" w:left="1701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a5"/>
      <w:jc w:val="center"/>
    </w:pPr>
    <w:fldSimple w:instr="PAGE   \* MERGEFORMAT">
      <w:r>
        <w:rPr>
          <w:noProof/>
        </w:rPr>
        <w:t>3</w:t>
      </w:r>
    </w:fldSimple>
  </w:p>
  <w:p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517C2"/>
    <w:multiLevelType w:val="hybridMultilevel"/>
    <w:tmpl w:val="10C6C86C"/>
    <w:lvl w:ilvl="0" w:tplc="929C156C">
      <w:start w:val="1"/>
      <w:numFmt w:val="decimal"/>
      <w:lvlText w:val="%1)"/>
      <w:lvlJc w:val="left"/>
      <w:pPr>
        <w:ind w:left="1873" w:hanging="116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B42058E"/>
    <w:multiLevelType w:val="hybridMultilevel"/>
    <w:tmpl w:val="86804F64"/>
    <w:lvl w:ilvl="0" w:tplc="AA82C88C">
      <w:start w:val="1"/>
      <w:numFmt w:val="decimal"/>
      <w:lvlText w:val="%1."/>
      <w:lvlJc w:val="left"/>
      <w:pPr>
        <w:tabs>
          <w:tab w:val="num" w:pos="964"/>
        </w:tabs>
        <w:ind w:left="0" w:firstLine="85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D825D57"/>
    <w:multiLevelType w:val="hybridMultilevel"/>
    <w:tmpl w:val="54A6EAF6"/>
    <w:lvl w:ilvl="0" w:tplc="0419000F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">
    <w:nsid w:val="1ED208A1"/>
    <w:multiLevelType w:val="hybridMultilevel"/>
    <w:tmpl w:val="5C7ECD8C"/>
    <w:lvl w:ilvl="0" w:tplc="0419000F">
      <w:start w:val="1"/>
      <w:numFmt w:val="decimal"/>
      <w:lvlText w:val="%1."/>
      <w:lvlJc w:val="left"/>
      <w:pPr>
        <w:tabs>
          <w:tab w:val="num" w:pos="1485"/>
        </w:tabs>
        <w:ind w:left="148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05"/>
        </w:tabs>
        <w:ind w:left="22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25"/>
        </w:tabs>
        <w:ind w:left="29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45"/>
        </w:tabs>
        <w:ind w:left="36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65"/>
        </w:tabs>
        <w:ind w:left="43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85"/>
        </w:tabs>
        <w:ind w:left="50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05"/>
        </w:tabs>
        <w:ind w:left="58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25"/>
        </w:tabs>
        <w:ind w:left="65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45"/>
        </w:tabs>
        <w:ind w:left="7245" w:hanging="180"/>
      </w:pPr>
    </w:lvl>
  </w:abstractNum>
  <w:abstractNum w:abstractNumId="4">
    <w:nsid w:val="487607F8"/>
    <w:multiLevelType w:val="hybridMultilevel"/>
    <w:tmpl w:val="D1625080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5">
    <w:nsid w:val="4D910336"/>
    <w:multiLevelType w:val="hybridMultilevel"/>
    <w:tmpl w:val="AC20F7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0FC7DD6"/>
    <w:multiLevelType w:val="hybridMultilevel"/>
    <w:tmpl w:val="B9FEC9B4"/>
    <w:lvl w:ilvl="0" w:tplc="0419000F">
      <w:start w:val="1"/>
      <w:numFmt w:val="decimal"/>
      <w:lvlText w:val="%1."/>
      <w:lvlJc w:val="left"/>
      <w:pPr>
        <w:tabs>
          <w:tab w:val="num" w:pos="1485"/>
        </w:tabs>
        <w:ind w:left="148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05"/>
        </w:tabs>
        <w:ind w:left="22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25"/>
        </w:tabs>
        <w:ind w:left="29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45"/>
        </w:tabs>
        <w:ind w:left="36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65"/>
        </w:tabs>
        <w:ind w:left="43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85"/>
        </w:tabs>
        <w:ind w:left="50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05"/>
        </w:tabs>
        <w:ind w:left="58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25"/>
        </w:tabs>
        <w:ind w:left="65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45"/>
        </w:tabs>
        <w:ind w:left="7245" w:hanging="180"/>
      </w:pPr>
    </w:lvl>
  </w:abstractNum>
  <w:abstractNum w:abstractNumId="7">
    <w:nsid w:val="62384485"/>
    <w:multiLevelType w:val="multilevel"/>
    <w:tmpl w:val="AD84525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6"/>
  </w:num>
  <w:num w:numId="5">
    <w:abstractNumId w:val="3"/>
  </w:num>
  <w:num w:numId="6">
    <w:abstractNumId w:val="4"/>
  </w:num>
  <w:num w:numId="7">
    <w:abstractNumId w:val="0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 CYR" w:eastAsia="Times New Roman" w:hAnsi="Times New Roman CYR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outlineLvl w:val="0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customStyle="1" w:styleId="10">
    <w:name w:val="Обычный1"/>
    <w:pPr>
      <w:widowControl w:val="0"/>
      <w:snapToGrid w:val="0"/>
      <w:spacing w:line="300" w:lineRule="auto"/>
      <w:ind w:left="1080" w:hanging="360"/>
    </w:pPr>
    <w:rPr>
      <w:rFonts w:ascii="Times New Roman" w:hAnsi="Times New Roman"/>
      <w:sz w:val="24"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</w:style>
  <w:style w:type="paragraph" w:styleId="a7">
    <w:name w:val="footer"/>
    <w:basedOn w:val="a"/>
    <w:link w:val="a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styleId="a9">
    <w:name w:val="Body Text"/>
    <w:basedOn w:val="a"/>
    <w:link w:val="aa"/>
    <w:pPr>
      <w:jc w:val="both"/>
    </w:pPr>
    <w:rPr>
      <w:rFonts w:ascii="Times New Roman" w:hAnsi="Times New Roman"/>
      <w:sz w:val="24"/>
    </w:rPr>
  </w:style>
  <w:style w:type="character" w:customStyle="1" w:styleId="aa">
    <w:name w:val="Основной текст Знак"/>
    <w:basedOn w:val="a0"/>
    <w:link w:val="a9"/>
    <w:rPr>
      <w:rFonts w:ascii="Times New Roman" w:hAnsi="Times New Roman"/>
      <w:sz w:val="24"/>
    </w:rPr>
  </w:style>
  <w:style w:type="paragraph" w:customStyle="1" w:styleId="2">
    <w:name w:val="Знак2 Знак Знак Знак Знак Знак Знак Знак Знак Знак"/>
    <w:basedOn w:val="a"/>
    <w:pPr>
      <w:widowControl w:val="0"/>
      <w:adjustRightInd w:val="0"/>
      <w:spacing w:after="160" w:line="240" w:lineRule="exact"/>
      <w:jc w:val="right"/>
    </w:pPr>
    <w:rPr>
      <w:rFonts w:ascii="Times New Roman" w:hAnsi="Times New Roman"/>
      <w:lang w:val="en-GB" w:eastAsia="en-US"/>
    </w:rPr>
  </w:style>
  <w:style w:type="character" w:customStyle="1" w:styleId="3Exact">
    <w:name w:val="Основной текст (3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0">
    <w:name w:val="Основной текст (2)_"/>
    <w:basedOn w:val="a0"/>
    <w:link w:val="21"/>
    <w:rPr>
      <w:rFonts w:ascii="Times New Roman" w:hAnsi="Times New Roman"/>
      <w:shd w:val="clear" w:color="auto" w:fill="FFFFFF"/>
    </w:rPr>
  </w:style>
  <w:style w:type="character" w:customStyle="1" w:styleId="3">
    <w:name w:val="Основной текст (3)_"/>
    <w:basedOn w:val="a0"/>
    <w:link w:val="30"/>
    <w:rPr>
      <w:rFonts w:ascii="Times New Roman" w:hAnsi="Times New Roman"/>
      <w:shd w:val="clear" w:color="auto" w:fill="FFFFFF"/>
    </w:rPr>
  </w:style>
  <w:style w:type="paragraph" w:customStyle="1" w:styleId="30">
    <w:name w:val="Основной текст (3)"/>
    <w:basedOn w:val="a"/>
    <w:link w:val="3"/>
    <w:pPr>
      <w:widowControl w:val="0"/>
      <w:shd w:val="clear" w:color="auto" w:fill="FFFFFF"/>
      <w:spacing w:line="274" w:lineRule="exact"/>
      <w:jc w:val="both"/>
    </w:pPr>
    <w:rPr>
      <w:rFonts w:ascii="Times New Roman" w:hAnsi="Times New Roman"/>
    </w:rPr>
  </w:style>
  <w:style w:type="paragraph" w:customStyle="1" w:styleId="21">
    <w:name w:val="Основной текст (2)"/>
    <w:basedOn w:val="a"/>
    <w:link w:val="20"/>
    <w:pPr>
      <w:widowControl w:val="0"/>
      <w:shd w:val="clear" w:color="auto" w:fill="FFFFFF"/>
      <w:spacing w:line="274" w:lineRule="exact"/>
      <w:jc w:val="both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82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7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3;&#1054;_&#1055;&#1088;&#1080;&#1082;&#1072;&#107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9AE4CA-8FCE-4B73-9C75-919752386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ГО_Приказ</Template>
  <TotalTime>136</TotalTime>
  <Pages>3</Pages>
  <Words>1166</Words>
  <Characters>9074</Characters>
  <Application>Microsoft Office Word</Application>
  <DocSecurity>0</DocSecurity>
  <Lines>75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Северска</Company>
  <LinksUpToDate>false</LinksUpToDate>
  <CharactersWithSpaces>10220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Egorova</dc:creator>
  <cp:lastModifiedBy>Купцова И.О.</cp:lastModifiedBy>
  <cp:revision>44</cp:revision>
  <cp:lastPrinted>2022-01-26T04:21:00Z</cp:lastPrinted>
  <dcterms:created xsi:type="dcterms:W3CDTF">2022-01-21T09:07:00Z</dcterms:created>
  <dcterms:modified xsi:type="dcterms:W3CDTF">2022-01-26T04:22:00Z</dcterms:modified>
</cp:coreProperties>
</file>