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theme/themeOverride7.xml" ContentType="application/vnd.openxmlformats-officedocument.themeOverrid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АНАЛИТИЧЕСКАЯ ЗАПИСКА</w:t>
      </w:r>
    </w:p>
    <w:p>
      <w:pPr>
        <w:pStyle w:val="ConsPlusTitle"/>
        <w:spacing w:line="271" w:lineRule="auto"/>
        <w:ind w:firstLine="708"/>
        <w:jc w:val="center"/>
        <w:rPr>
          <w:b w:val="0"/>
        </w:rPr>
      </w:pPr>
      <w:proofErr w:type="gramStart"/>
      <w:r>
        <w:rPr>
          <w:b w:val="0"/>
        </w:rPr>
        <w:t>об</w:t>
      </w:r>
      <w:proofErr w:type="gramEnd"/>
      <w:r>
        <w:rPr>
          <w:b w:val="0"/>
        </w:rPr>
        <w:t xml:space="preserve"> оценке качества финансового менеджмента главных администраторов средств бюджета ЗАТО Северск  за 2020 год</w:t>
      </w:r>
    </w:p>
    <w:p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Title"/>
        <w:spacing w:line="271" w:lineRule="auto"/>
        <w:ind w:firstLine="709"/>
        <w:jc w:val="both"/>
        <w:rPr>
          <w:b w:val="0"/>
        </w:rPr>
      </w:pPr>
    </w:p>
    <w:p>
      <w:pPr>
        <w:pStyle w:val="ConsPlusTitle"/>
        <w:spacing w:line="271" w:lineRule="auto"/>
        <w:ind w:firstLine="709"/>
        <w:jc w:val="both"/>
        <w:rPr>
          <w:b w:val="0"/>
        </w:rPr>
      </w:pPr>
      <w:r>
        <w:rPr>
          <w:b w:val="0"/>
        </w:rPr>
        <w:t>Мониторинг оценки качества финансового менеджмента главных администраторов средств бюджета ЗАТО Северск (далее – ГАБС) за 2020 год проведен в отношении Администрации ЗАТО Северск и ее органов, наделённых правами юридического лица</w:t>
      </w:r>
      <w:r>
        <w:t xml:space="preserve">,  </w:t>
      </w:r>
      <w:r>
        <w:rPr>
          <w:b w:val="0"/>
        </w:rPr>
        <w:t>в соответствии с Порядком проведения Финансовым управлением Администрации ЗАТО Северск мониторинга качества финансового менеджмента в отношении главных администраторов средств бюджета ЗАТО Северск, утвержденным приказом начальника Финансового управления Администрации ЗАТО Северск от 25.12.2019 № 119 «О мониторинге качества финансового менеджмента» по шести направлениям: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бюджетное планирование;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исполнение бюджета ЗАТО Северск и формирование бюджетной отчетности;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предоставление муниципальных услуг в соответствии с муниципальным заданием;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качество исполнения бюджетного процесса во взаимосвязи с выявленными бюджетными нарушениями и осуществлением внутреннего финансового аудита;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управление активами;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 осуществление ГАБС закупок товаров, работ и услуг для обеспечения муниципальных нужд.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Все ГАБС в соответствии с Порядком разделены на 2 группы: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группа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 - органы местного самоуправления, осуществляющие функции и полномочия учредителя в отношении муниципальных бюджетных и автономных учреждений, ГАБС, в ведении которых находятся муниципальные казенные учреждения;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группа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II - прочие ГАБС.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Согласно Порядку, с учетом доли расходов ГАБС в общем объеме расходов бюджета ЗАТО Северск, итоговые значения полученных показателей ГАБС при расчете консолидированной оценки финансового менеджмента умножаются на корректировочные коэффициенты – коэффициенты сложности управления финансами: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</w:p>
    <w:p>
      <w:pPr>
        <w:autoSpaceDE w:val="0"/>
        <w:autoSpaceDN w:val="0"/>
        <w:adjustRightInd w:val="0"/>
        <w:ind w:firstLine="709"/>
        <w:jc w:val="right"/>
        <w:outlineLvl w:val="1"/>
      </w:pPr>
      <w:r>
        <w:t>Таблица 1</w:t>
      </w:r>
    </w:p>
    <w:tbl>
      <w:tblPr>
        <w:tblW w:w="9629" w:type="dxa"/>
        <w:jc w:val="center"/>
        <w:tblLook w:val="04A0" w:firstRow="1" w:lastRow="0" w:firstColumn="1" w:lastColumn="0" w:noHBand="0" w:noVBand="1"/>
      </w:tblPr>
      <w:tblGrid>
        <w:gridCol w:w="721"/>
        <w:gridCol w:w="4661"/>
        <w:gridCol w:w="1288"/>
        <w:gridCol w:w="1560"/>
        <w:gridCol w:w="1399"/>
      </w:tblGrid>
      <w:tr>
        <w:trPr>
          <w:trHeight w:val="1657"/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4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ГАБС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за 2020 год, </w:t>
            </w:r>
            <w:proofErr w:type="spellStart"/>
            <w:r>
              <w:rPr>
                <w:sz w:val="20"/>
                <w:szCs w:val="20"/>
              </w:rPr>
              <w:t>тыс.руб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расходов в общей сумме расходов бюджета ЗАТО Северск, %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Коэффициент сложности управления финансами</w:t>
            </w:r>
          </w:p>
        </w:tc>
      </w:tr>
      <w:tr>
        <w:trPr>
          <w:trHeight w:val="138"/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4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5</w:t>
            </w:r>
          </w:p>
        </w:tc>
      </w:tr>
      <w:tr>
        <w:trPr>
          <w:trHeight w:val="138"/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Первая (I)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3 323 806,08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70,4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>
        <w:trPr>
          <w:trHeight w:val="357"/>
          <w:jc w:val="center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образования Администрации ЗАТО Северск (далее – Управление образования)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2 298 111,39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48,7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1,15</w:t>
            </w:r>
          </w:p>
        </w:tc>
      </w:tr>
      <w:tr>
        <w:trPr>
          <w:trHeight w:val="117"/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b/>
                <w:bCs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культуры Администрации ЗАТО Северск (далее – Управление культуры)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537 336,77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11,4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1,15</w:t>
            </w:r>
          </w:p>
        </w:tc>
      </w:tr>
      <w:tr>
        <w:trPr>
          <w:trHeight w:val="837"/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4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Управление молодежной и семейной политике, физической культуры и спорта Администрации ЗАТО Северск (далее – УМСП </w:t>
            </w:r>
            <w:proofErr w:type="spellStart"/>
            <w:r>
              <w:rPr>
                <w:sz w:val="20"/>
                <w:szCs w:val="20"/>
              </w:rPr>
              <w:t>ФКиС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488 357,92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1,15</w:t>
            </w:r>
          </w:p>
        </w:tc>
      </w:tr>
      <w:tr>
        <w:trPr>
          <w:trHeight w:val="133"/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Управление жилищно-коммунального хозяйства, транспорта и связи (далее – УЖКХ </w:t>
            </w:r>
            <w:proofErr w:type="spellStart"/>
            <w:r>
              <w:rPr>
                <w:sz w:val="20"/>
                <w:szCs w:val="20"/>
              </w:rPr>
              <w:t>ТиС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428 956,08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9,1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1,05</w:t>
            </w:r>
          </w:p>
        </w:tc>
      </w:tr>
      <w:tr>
        <w:trPr>
          <w:trHeight w:val="133"/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ЗАТО Северск (далее – Администрация)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359 357,21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7,6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1,05</w:t>
            </w:r>
          </w:p>
        </w:tc>
      </w:tr>
      <w:tr>
        <w:trPr>
          <w:trHeight w:val="133"/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lastRenderedPageBreak/>
              <w:t>1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5</w:t>
            </w:r>
          </w:p>
        </w:tc>
      </w:tr>
      <w:tr>
        <w:trPr>
          <w:trHeight w:val="133"/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Первая (I)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>
        <w:trPr>
          <w:trHeight w:val="133"/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имущественных отношений Администрации ЗАТО Северск (далее – УИО)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83 331,28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1,05</w:t>
            </w:r>
          </w:p>
        </w:tc>
      </w:tr>
      <w:tr>
        <w:trPr>
          <w:trHeight w:val="124"/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 (далее – УЧС)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25 774,26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1,05</w:t>
            </w:r>
          </w:p>
        </w:tc>
      </w:tr>
      <w:tr>
        <w:trPr>
          <w:trHeight w:val="194"/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Вторая (II)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427 959,28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9,1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>
        <w:trPr>
          <w:trHeight w:val="132"/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капитального строительства Администрации ЗАТО Северск (далее – УКС)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338 370,24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7,2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</w:tr>
      <w:tr>
        <w:trPr>
          <w:trHeight w:val="140"/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по внегородским территориям Администрации ЗАТО Северск (далее – УВГТ)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50 818,34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</w:tr>
      <w:tr>
        <w:trPr>
          <w:trHeight w:val="129"/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Финансовое управление Администрации ЗАТО Северск (далее – Финансовое управление)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38 770,70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</w:tr>
      <w:tr>
        <w:trPr>
          <w:trHeight w:val="208"/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ВСЕГО расходов за 2020 год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4 723 671,21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>
        <w:trPr>
          <w:trHeight w:val="208"/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rPr>
                <w:i/>
                <w:iCs/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  <w:i/>
                <w:iCs/>
                <w:color w:val="000000"/>
                <w:sz w:val="20"/>
                <w:szCs w:val="20"/>
              </w:rPr>
              <w:t>Справочно</w:t>
            </w:r>
            <w:proofErr w:type="spellEnd"/>
            <w:r>
              <w:rPr>
                <w:bCs/>
                <w:i/>
                <w:iCs/>
                <w:color w:val="000000"/>
                <w:sz w:val="20"/>
                <w:szCs w:val="20"/>
              </w:rPr>
              <w:t>: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>
        <w:trPr>
          <w:trHeight w:val="208"/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Счетная палата ЗАТО Северск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bCs/>
                <w:i/>
                <w:iCs/>
                <w:color w:val="000000"/>
                <w:sz w:val="20"/>
                <w:szCs w:val="20"/>
              </w:rPr>
              <w:t>15 267,12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>
        <w:trPr>
          <w:trHeight w:val="208"/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Дума ЗАТО Северск 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bCs/>
                <w:i/>
                <w:iCs/>
                <w:color w:val="000000"/>
                <w:sz w:val="20"/>
                <w:szCs w:val="20"/>
              </w:rPr>
              <w:t>59 219,90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1,2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  <w:rPr>
          <w:sz w:val="16"/>
          <w:szCs w:val="16"/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  <w:r>
        <w:rPr>
          <w:b/>
        </w:rPr>
        <w:t xml:space="preserve">1. Направление «Бюджетное планирование» 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Оценка качества выполнялась по трём показателям:</w:t>
      </w:r>
    </w:p>
    <w:p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-142" w:firstLine="851"/>
        <w:jc w:val="both"/>
        <w:outlineLvl w:val="1"/>
      </w:pPr>
      <w:r>
        <w:t>Показатель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А</w:t>
      </w:r>
      <w:r>
        <w:rPr>
          <w:b/>
          <w:sz w:val="22"/>
          <w:szCs w:val="22"/>
          <w:vertAlign w:val="subscript"/>
        </w:rPr>
        <w:t>1.1.</w:t>
      </w:r>
      <w:r>
        <w:rPr>
          <w:sz w:val="22"/>
          <w:szCs w:val="22"/>
          <w:vertAlign w:val="subscript"/>
        </w:rPr>
        <w:t xml:space="preserve"> </w:t>
      </w:r>
      <w:r>
        <w:rPr>
          <w:sz w:val="22"/>
          <w:szCs w:val="22"/>
        </w:rPr>
        <w:t>«</w:t>
      </w:r>
      <w:r>
        <w:t>Доля бюджетных ассигнований ГАБС, формируемых в рамках программ, в общем объеме расходов ГАБС (без учета расходов на исполнение судебных актов и резервных фондов), в процентах».</w:t>
      </w:r>
    </w:p>
    <w:p>
      <w:pPr>
        <w:tabs>
          <w:tab w:val="left" w:pos="709"/>
        </w:tabs>
        <w:autoSpaceDE w:val="0"/>
        <w:autoSpaceDN w:val="0"/>
        <w:adjustRightInd w:val="0"/>
        <w:ind w:left="-142"/>
        <w:jc w:val="both"/>
        <w:outlineLvl w:val="1"/>
      </w:pPr>
      <w:r>
        <w:tab/>
        <w:t>Критерии определения количества баллов: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559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80% &lt;= А</w:t>
            </w:r>
            <w:r>
              <w:rPr>
                <w:vertAlign w:val="subscript"/>
              </w:rPr>
              <w:t>1.1</w:t>
            </w:r>
            <w:r>
              <w:t xml:space="preserve"> &lt;= 100%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10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80% &lt;= А</w:t>
            </w:r>
            <w:r>
              <w:rPr>
                <w:vertAlign w:val="subscript"/>
              </w:rPr>
              <w:t>1.1</w:t>
            </w:r>
            <w:r>
              <w:t xml:space="preserve"> &lt;= 50%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50% &lt;= А</w:t>
            </w:r>
            <w:r>
              <w:rPr>
                <w:vertAlign w:val="subscript"/>
              </w:rPr>
              <w:t>1.1</w:t>
            </w:r>
            <w:r>
              <w:t xml:space="preserve"> &lt;= 30%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1.1</w:t>
            </w:r>
            <w:r>
              <w:t xml:space="preserve"> </w:t>
            </w:r>
            <w:proofErr w:type="gramStart"/>
            <w:r>
              <w:t>&lt; 30</w:t>
            </w:r>
            <w:proofErr w:type="gramEnd"/>
            <w:r>
              <w:t>%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1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1.1</w:t>
            </w:r>
            <w:r>
              <w:t xml:space="preserve"> = 0%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tabs>
          <w:tab w:val="left" w:pos="993"/>
        </w:tabs>
        <w:autoSpaceDE w:val="0"/>
        <w:autoSpaceDN w:val="0"/>
        <w:adjustRightInd w:val="0"/>
        <w:ind w:left="709"/>
        <w:jc w:val="both"/>
        <w:outlineLvl w:val="1"/>
        <w:rPr>
          <w:sz w:val="16"/>
          <w:szCs w:val="16"/>
        </w:rPr>
      </w:pPr>
      <w:r>
        <w:rPr>
          <w:sz w:val="16"/>
          <w:szCs w:val="16"/>
        </w:rPr>
        <w:br w:type="textWrapping" w:clear="all"/>
      </w:r>
    </w:p>
    <w:p>
      <w:pPr>
        <w:tabs>
          <w:tab w:val="left" w:pos="993"/>
        </w:tabs>
        <w:autoSpaceDE w:val="0"/>
        <w:autoSpaceDN w:val="0"/>
        <w:adjustRightInd w:val="0"/>
        <w:jc w:val="both"/>
        <w:outlineLvl w:val="1"/>
      </w:pPr>
      <w:r>
        <w:tab/>
        <w:t xml:space="preserve">Наибольшее количество баллов (10 баллов) по показателю </w:t>
      </w:r>
      <w:r>
        <w:rPr>
          <w:b/>
          <w:sz w:val="22"/>
          <w:szCs w:val="22"/>
        </w:rPr>
        <w:t>А</w:t>
      </w:r>
      <w:r>
        <w:rPr>
          <w:b/>
          <w:sz w:val="22"/>
          <w:szCs w:val="22"/>
          <w:vertAlign w:val="subscript"/>
        </w:rPr>
        <w:t>1.1</w:t>
      </w:r>
      <w:proofErr w:type="gramStart"/>
      <w:r>
        <w:rPr>
          <w:b/>
          <w:sz w:val="22"/>
          <w:szCs w:val="22"/>
          <w:vertAlign w:val="subscript"/>
        </w:rPr>
        <w:t>.</w:t>
      </w:r>
      <w:r>
        <w:rPr>
          <w:sz w:val="22"/>
          <w:szCs w:val="22"/>
          <w:vertAlign w:val="subscript"/>
        </w:rPr>
        <w:t xml:space="preserve"> </w:t>
      </w:r>
      <w:r>
        <w:t>достигнуто</w:t>
      </w:r>
      <w:proofErr w:type="gramEnd"/>
      <w:r>
        <w:t xml:space="preserve"> всеми ГАБС, за исключением Администрации.  </w:t>
      </w:r>
    </w:p>
    <w:p>
      <w:pPr>
        <w:autoSpaceDE w:val="0"/>
        <w:autoSpaceDN w:val="0"/>
        <w:adjustRightInd w:val="0"/>
        <w:jc w:val="right"/>
        <w:outlineLvl w:val="1"/>
      </w:pPr>
      <w:r>
        <w:t xml:space="preserve">Таблица 2                             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2126"/>
        <w:gridCol w:w="2410"/>
        <w:gridCol w:w="1134"/>
        <w:gridCol w:w="981"/>
      </w:tblGrid>
      <w:tr>
        <w:trPr>
          <w:trHeight w:val="2170"/>
        </w:trPr>
        <w:tc>
          <w:tcPr>
            <w:tcW w:w="2802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ГАБС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 исполнения расходов ГАБС в рамках программ (без учета расходов на исполнение судебных актов и резервных фондов),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2410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сумма исполнения расходов ГАБС (без учета расходов на исполнение судебных актов и резервных фондов),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>Значение показателя А</w:t>
            </w:r>
            <w:r>
              <w:rPr>
                <w:sz w:val="22"/>
                <w:szCs w:val="22"/>
                <w:vertAlign w:val="subscript"/>
              </w:rPr>
              <w:t xml:space="preserve">1.1. % </w:t>
            </w:r>
            <w:r>
              <w:rPr>
                <w:sz w:val="22"/>
                <w:szCs w:val="22"/>
              </w:rPr>
              <w:t>(гр2/гр.3*100)</w:t>
            </w:r>
          </w:p>
        </w:tc>
        <w:tc>
          <w:tcPr>
            <w:tcW w:w="98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баллов, ед.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ind w:right="-648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410" w:type="dxa"/>
            <w:vAlign w:val="center"/>
          </w:tcPr>
          <w:p>
            <w:pPr>
              <w:autoSpaceDE w:val="0"/>
              <w:autoSpaceDN w:val="0"/>
              <w:adjustRightInd w:val="0"/>
              <w:ind w:hanging="108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>
            <w:pPr>
              <w:autoSpaceDE w:val="0"/>
              <w:autoSpaceDN w:val="0"/>
              <w:adjustRightInd w:val="0"/>
              <w:ind w:right="-108" w:hanging="196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8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2 292 712,82</w:t>
            </w:r>
          </w:p>
        </w:tc>
        <w:tc>
          <w:tcPr>
            <w:tcW w:w="241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2 295 452,96</w:t>
            </w:r>
          </w:p>
        </w:tc>
        <w:tc>
          <w:tcPr>
            <w:tcW w:w="1134" w:type="dxa"/>
            <w:vAlign w:val="center"/>
          </w:tcPr>
          <w:p>
            <w:pPr>
              <w:autoSpaceDE w:val="0"/>
              <w:autoSpaceDN w:val="0"/>
              <w:adjustRightInd w:val="0"/>
              <w:ind w:right="-108" w:hanging="196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99,9</w:t>
            </w:r>
          </w:p>
        </w:tc>
        <w:tc>
          <w:tcPr>
            <w:tcW w:w="98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537 039,76</w:t>
            </w:r>
          </w:p>
        </w:tc>
        <w:tc>
          <w:tcPr>
            <w:tcW w:w="241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537 039,76</w:t>
            </w:r>
          </w:p>
        </w:tc>
        <w:tc>
          <w:tcPr>
            <w:tcW w:w="1134" w:type="dxa"/>
            <w:vAlign w:val="center"/>
          </w:tcPr>
          <w:p>
            <w:pPr>
              <w:autoSpaceDE w:val="0"/>
              <w:autoSpaceDN w:val="0"/>
              <w:adjustRightInd w:val="0"/>
              <w:ind w:right="-108" w:hanging="196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8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479 566,31</w:t>
            </w:r>
          </w:p>
        </w:tc>
        <w:tc>
          <w:tcPr>
            <w:tcW w:w="241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486 757,04</w:t>
            </w:r>
          </w:p>
        </w:tc>
        <w:tc>
          <w:tcPr>
            <w:tcW w:w="1134" w:type="dxa"/>
            <w:vAlign w:val="center"/>
          </w:tcPr>
          <w:p>
            <w:pPr>
              <w:autoSpaceDE w:val="0"/>
              <w:autoSpaceDN w:val="0"/>
              <w:adjustRightInd w:val="0"/>
              <w:ind w:right="-108" w:hanging="196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98,5</w:t>
            </w:r>
          </w:p>
        </w:tc>
        <w:tc>
          <w:tcPr>
            <w:tcW w:w="98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416 590,04</w:t>
            </w:r>
          </w:p>
        </w:tc>
        <w:tc>
          <w:tcPr>
            <w:tcW w:w="241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416 590,04</w:t>
            </w:r>
          </w:p>
        </w:tc>
        <w:tc>
          <w:tcPr>
            <w:tcW w:w="1134" w:type="dxa"/>
            <w:vAlign w:val="center"/>
          </w:tcPr>
          <w:p>
            <w:pPr>
              <w:autoSpaceDE w:val="0"/>
              <w:autoSpaceDN w:val="0"/>
              <w:adjustRightInd w:val="0"/>
              <w:ind w:right="-108" w:hanging="196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8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139 611,56</w:t>
            </w:r>
          </w:p>
        </w:tc>
        <w:tc>
          <w:tcPr>
            <w:tcW w:w="241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355 496,49</w:t>
            </w:r>
          </w:p>
        </w:tc>
        <w:tc>
          <w:tcPr>
            <w:tcW w:w="1134" w:type="dxa"/>
            <w:vAlign w:val="center"/>
          </w:tcPr>
          <w:p>
            <w:pPr>
              <w:autoSpaceDE w:val="0"/>
              <w:autoSpaceDN w:val="0"/>
              <w:adjustRightInd w:val="0"/>
              <w:ind w:right="-108" w:hanging="196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39,3</w:t>
            </w:r>
          </w:p>
        </w:tc>
        <w:tc>
          <w:tcPr>
            <w:tcW w:w="98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82 024,59</w:t>
            </w:r>
          </w:p>
        </w:tc>
        <w:tc>
          <w:tcPr>
            <w:tcW w:w="241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82 024,59</w:t>
            </w:r>
          </w:p>
        </w:tc>
        <w:tc>
          <w:tcPr>
            <w:tcW w:w="1134" w:type="dxa"/>
            <w:vAlign w:val="center"/>
          </w:tcPr>
          <w:p>
            <w:pPr>
              <w:autoSpaceDE w:val="0"/>
              <w:autoSpaceDN w:val="0"/>
              <w:adjustRightInd w:val="0"/>
              <w:ind w:right="-108" w:hanging="196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8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25 774,26</w:t>
            </w:r>
          </w:p>
        </w:tc>
        <w:tc>
          <w:tcPr>
            <w:tcW w:w="2410" w:type="dxa"/>
            <w:vAlign w:val="center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25 774,26</w:t>
            </w:r>
          </w:p>
        </w:tc>
        <w:tc>
          <w:tcPr>
            <w:tcW w:w="1134" w:type="dxa"/>
            <w:vAlign w:val="center"/>
          </w:tcPr>
          <w:p>
            <w:pPr>
              <w:autoSpaceDE w:val="0"/>
              <w:autoSpaceDN w:val="0"/>
              <w:adjustRightInd w:val="0"/>
              <w:ind w:right="-108" w:hanging="196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8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УКС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338 370,24</w:t>
            </w:r>
          </w:p>
        </w:tc>
        <w:tc>
          <w:tcPr>
            <w:tcW w:w="241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338 370,24</w:t>
            </w:r>
          </w:p>
        </w:tc>
        <w:tc>
          <w:tcPr>
            <w:tcW w:w="1134" w:type="dxa"/>
            <w:vAlign w:val="center"/>
          </w:tcPr>
          <w:p>
            <w:pPr>
              <w:autoSpaceDE w:val="0"/>
              <w:autoSpaceDN w:val="0"/>
              <w:adjustRightInd w:val="0"/>
              <w:ind w:right="-108" w:hanging="196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8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УВГТ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50 568,34</w:t>
            </w:r>
          </w:p>
        </w:tc>
        <w:tc>
          <w:tcPr>
            <w:tcW w:w="241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50 568,34</w:t>
            </w:r>
          </w:p>
        </w:tc>
        <w:tc>
          <w:tcPr>
            <w:tcW w:w="1134" w:type="dxa"/>
            <w:vAlign w:val="center"/>
          </w:tcPr>
          <w:p>
            <w:pPr>
              <w:autoSpaceDE w:val="0"/>
              <w:autoSpaceDN w:val="0"/>
              <w:adjustRightInd w:val="0"/>
              <w:ind w:right="-108" w:hanging="196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8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10.Финансовое управление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38 770,70</w:t>
            </w:r>
          </w:p>
        </w:tc>
        <w:tc>
          <w:tcPr>
            <w:tcW w:w="241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38 770,70</w:t>
            </w:r>
          </w:p>
        </w:tc>
        <w:tc>
          <w:tcPr>
            <w:tcW w:w="1134" w:type="dxa"/>
            <w:vAlign w:val="center"/>
          </w:tcPr>
          <w:p>
            <w:pPr>
              <w:autoSpaceDE w:val="0"/>
              <w:autoSpaceDN w:val="0"/>
              <w:adjustRightInd w:val="0"/>
              <w:ind w:right="-108" w:hanging="196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8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  <w:rPr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lastRenderedPageBreak/>
        <w:t xml:space="preserve">2) Показатель </w:t>
      </w:r>
      <w:r>
        <w:rPr>
          <w:b/>
          <w:sz w:val="22"/>
          <w:szCs w:val="22"/>
        </w:rPr>
        <w:t>А</w:t>
      </w:r>
      <w:r>
        <w:rPr>
          <w:b/>
          <w:sz w:val="22"/>
          <w:szCs w:val="22"/>
          <w:vertAlign w:val="subscript"/>
        </w:rPr>
        <w:t>1.2</w:t>
      </w:r>
      <w:r>
        <w:rPr>
          <w:b/>
          <w:vertAlign w:val="subscript"/>
        </w:rPr>
        <w:t>. </w:t>
      </w:r>
      <w:r>
        <w:t>«Соблюдение сроков утверждения муниципальных программ, по которым ГАБС является ответственным исполнителем, а также внесения изменений в них»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По показателю </w:t>
      </w:r>
      <w:r>
        <w:rPr>
          <w:b/>
          <w:sz w:val="22"/>
          <w:szCs w:val="22"/>
        </w:rPr>
        <w:t>А</w:t>
      </w:r>
      <w:r>
        <w:rPr>
          <w:b/>
          <w:sz w:val="22"/>
          <w:szCs w:val="22"/>
          <w:vertAlign w:val="subscript"/>
        </w:rPr>
        <w:t xml:space="preserve">1.2 </w:t>
      </w:r>
      <w:r>
        <w:t>всем ГАБС присвоена оценка 0 баллов за исключением УИО, которому присвоен 1 балл.</w:t>
      </w:r>
    </w:p>
    <w:p>
      <w:pPr>
        <w:tabs>
          <w:tab w:val="left" w:pos="709"/>
        </w:tabs>
        <w:autoSpaceDE w:val="0"/>
        <w:autoSpaceDN w:val="0"/>
        <w:adjustRightInd w:val="0"/>
        <w:ind w:left="-142"/>
        <w:jc w:val="both"/>
        <w:outlineLvl w:val="1"/>
      </w:pPr>
      <w:r>
        <w:tab/>
        <w:t>Критерии определения количества баллов:</w:t>
      </w:r>
    </w:p>
    <w:tbl>
      <w:tblPr>
        <w:tblW w:w="0" w:type="auto"/>
        <w:tblInd w:w="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4"/>
        <w:gridCol w:w="2126"/>
      </w:tblGrid>
      <w:tr>
        <w:tc>
          <w:tcPr>
            <w:tcW w:w="662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 xml:space="preserve">Значение 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</w:pPr>
            <w:proofErr w:type="gramStart"/>
            <w:r>
              <w:t>показателя</w:t>
            </w:r>
            <w:proofErr w:type="gramEnd"/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662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1.2</w:t>
            </w:r>
            <w:r>
              <w:rPr>
                <w:sz w:val="20"/>
                <w:szCs w:val="20"/>
              </w:rPr>
              <w:t xml:space="preserve"> = утверждаются своевременно</w:t>
            </w:r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662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1.2</w:t>
            </w:r>
            <w:r>
              <w:rPr>
                <w:sz w:val="20"/>
                <w:szCs w:val="20"/>
              </w:rPr>
              <w:t xml:space="preserve"> = допускается несоблюдение сроков утверждения до 15 календарных дней</w:t>
            </w:r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1</w:t>
            </w:r>
          </w:p>
        </w:tc>
      </w:tr>
      <w:tr>
        <w:tc>
          <w:tcPr>
            <w:tcW w:w="662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1.2</w:t>
            </w:r>
            <w:r>
              <w:rPr>
                <w:sz w:val="20"/>
                <w:szCs w:val="20"/>
              </w:rPr>
              <w:t xml:space="preserve"> = допускается несоблюдение сроков утверждения свыше 15 календарных дней</w:t>
            </w:r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Внесение изменений в муниципальные программы, в соответствии с Порядком </w:t>
      </w:r>
      <w:r>
        <w:rPr>
          <w:rFonts w:ascii="Times New Roman" w:hAnsi="Times New Roman" w:cs="Times New Roman"/>
          <w:bCs/>
          <w:sz w:val="24"/>
          <w:szCs w:val="24"/>
        </w:rPr>
        <w:t xml:space="preserve">принятия решений о разработке муниципальных программ ЗАТО Северск </w:t>
      </w:r>
      <w:r>
        <w:rPr>
          <w:rFonts w:ascii="Times New Roman" w:hAnsi="Times New Roman" w:cs="Times New Roman"/>
          <w:sz w:val="24"/>
          <w:szCs w:val="24"/>
        </w:rPr>
        <w:t xml:space="preserve">производится дважды в год: не позднее 30 июля (по итогам первого полугодия) и не позднее 26 февраля (по итогам года для муниципальных программ, срок действия которых не истек). Семью ответственными исполнителями – Управлением образования, Управлением культуры, УМСП </w:t>
      </w:r>
      <w:proofErr w:type="spellStart"/>
      <w:r>
        <w:rPr>
          <w:rFonts w:ascii="Times New Roman" w:hAnsi="Times New Roman" w:cs="Times New Roman"/>
          <w:sz w:val="24"/>
          <w:szCs w:val="24"/>
        </w:rPr>
        <w:t>ФКиС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УЖКХ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Администрацией, УЧС, Финансовым управлением более чем на 15 календарных дней позже установленных сроков внесены изменения в муниципальные программы; им присвоено 0 баллов. По УИО незначительно нарушены сроки, присвоен 1 балл. УВГТ не были внесены изменения в муниципальную программу, присвоен 0 баллов.  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УКС не является </w:t>
      </w:r>
      <w:r>
        <w:rPr>
          <w:rFonts w:ascii="Times New Roman" w:hAnsi="Times New Roman" w:cs="Times New Roman"/>
          <w:sz w:val="24"/>
          <w:szCs w:val="24"/>
        </w:rPr>
        <w:t>ответственными исполнителем муниципальных программ и, соответственно, не издает правовые акты в отношении муниципальных программ, ему присвоено 0 баллов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highlight w:val="yellow"/>
        </w:rPr>
      </w:pPr>
    </w:p>
    <w:p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3</w:t>
      </w:r>
    </w:p>
    <w:tbl>
      <w:tblPr>
        <w:tblW w:w="9527" w:type="dxa"/>
        <w:tblInd w:w="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14"/>
        <w:gridCol w:w="2126"/>
        <w:gridCol w:w="2126"/>
        <w:gridCol w:w="1985"/>
        <w:gridCol w:w="1276"/>
      </w:tblGrid>
      <w:tr>
        <w:trPr>
          <w:trHeight w:val="675"/>
        </w:trPr>
        <w:tc>
          <w:tcPr>
            <w:tcW w:w="2014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ГАБС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об утверждении МП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Изменения по сроку 30.07.2020</w:t>
            </w:r>
          </w:p>
        </w:tc>
        <w:tc>
          <w:tcPr>
            <w:tcW w:w="198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Изменения по сроку 26.02.2021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баллов, ед.</w:t>
            </w:r>
          </w:p>
        </w:tc>
      </w:tr>
      <w:tr>
        <w:tc>
          <w:tcPr>
            <w:tcW w:w="2014" w:type="dxa"/>
            <w:vAlign w:val="center"/>
          </w:tcPr>
          <w:p>
            <w:pPr>
              <w:autoSpaceDE w:val="0"/>
              <w:autoSpaceDN w:val="0"/>
              <w:adjustRightInd w:val="0"/>
              <w:ind w:left="-505" w:right="-648" w:firstLine="505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1         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98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014" w:type="dxa"/>
          </w:tcPr>
          <w:p>
            <w:pPr>
              <w:tabs>
                <w:tab w:val="left" w:pos="1906"/>
              </w:tabs>
              <w:autoSpaceDE w:val="0"/>
              <w:autoSpaceDN w:val="0"/>
              <w:adjustRightInd w:val="0"/>
              <w:ind w:right="-648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30.12.14 №3542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ПА от 09.10.20 №1734</w:t>
            </w:r>
          </w:p>
        </w:tc>
        <w:tc>
          <w:tcPr>
            <w:tcW w:w="198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ПА от 29.01.21 №133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014" w:type="dxa"/>
          </w:tcPr>
          <w:p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30.12.14 №3543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10.11.20 №1980</w:t>
            </w:r>
          </w:p>
        </w:tc>
        <w:tc>
          <w:tcPr>
            <w:tcW w:w="198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014" w:type="dxa"/>
          </w:tcPr>
          <w:p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30.12.14 №3508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30.12.14 №3545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16.09.20 №1575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07.08.20 №1287</w:t>
            </w:r>
          </w:p>
        </w:tc>
        <w:tc>
          <w:tcPr>
            <w:tcW w:w="198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014" w:type="dxa"/>
          </w:tcPr>
          <w:p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30.12.14 №3541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30.12.14 №3530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30.12.14 №3544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31.10.17 №1965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22.12.20 №2334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23.10.20 №1846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25.09.20 №1627</w:t>
            </w:r>
          </w:p>
        </w:tc>
        <w:tc>
          <w:tcPr>
            <w:tcW w:w="198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25.03.21 №598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014" w:type="dxa"/>
          </w:tcPr>
          <w:p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30.12.14 №3540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30.12.14 №3509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30.12.14 №3506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30.12.14 №3510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15.02.2019 № 238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30.09.20 №1669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18.08.20 №1368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18.09.20 №1599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09.11.2020 №1978</w:t>
            </w:r>
          </w:p>
        </w:tc>
        <w:tc>
          <w:tcPr>
            <w:tcW w:w="198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12.03.21 №238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014" w:type="dxa"/>
          </w:tcPr>
          <w:p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30.12.14 №3546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03.08.20 №1256</w:t>
            </w:r>
          </w:p>
        </w:tc>
        <w:tc>
          <w:tcPr>
            <w:tcW w:w="198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>
        <w:tc>
          <w:tcPr>
            <w:tcW w:w="2014" w:type="dxa"/>
          </w:tcPr>
          <w:p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30.12.14 №3532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07.09.20 №1496</w:t>
            </w:r>
          </w:p>
        </w:tc>
        <w:tc>
          <w:tcPr>
            <w:tcW w:w="198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014" w:type="dxa"/>
          </w:tcPr>
          <w:p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УКС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014" w:type="dxa"/>
          </w:tcPr>
          <w:p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УВГТ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30.12.14 №3507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014" w:type="dxa"/>
          </w:tcPr>
          <w:p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10.Финансовое управление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30.12.14 №3531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ПА от 18.08.20 №1370</w:t>
            </w:r>
          </w:p>
        </w:tc>
        <w:tc>
          <w:tcPr>
            <w:tcW w:w="198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</w:pPr>
      <w:r>
        <w:t>3) Показатель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А</w:t>
      </w:r>
      <w:r>
        <w:rPr>
          <w:b/>
          <w:sz w:val="22"/>
          <w:szCs w:val="22"/>
          <w:vertAlign w:val="subscript"/>
        </w:rPr>
        <w:t>1.3.</w:t>
      </w:r>
      <w:r>
        <w:rPr>
          <w:sz w:val="22"/>
          <w:szCs w:val="22"/>
          <w:vertAlign w:val="subscript"/>
        </w:rPr>
        <w:t> </w:t>
      </w:r>
      <w:r>
        <w:rPr>
          <w:sz w:val="22"/>
          <w:szCs w:val="22"/>
        </w:rPr>
        <w:t>«</w:t>
      </w:r>
      <w:r>
        <w:t xml:space="preserve">Размещение на официальном сайте Администрации ЗАТО Северск муниципальных программ, разрабатываемых и реализуемых ГАБС, внесений изменений в них, а также отчетов об их реализации» </w:t>
      </w:r>
    </w:p>
    <w:p>
      <w:pPr>
        <w:autoSpaceDE w:val="0"/>
        <w:autoSpaceDN w:val="0"/>
        <w:adjustRightInd w:val="0"/>
        <w:ind w:firstLine="708"/>
        <w:jc w:val="both"/>
        <w:outlineLvl w:val="1"/>
      </w:pPr>
      <w:r>
        <w:lastRenderedPageBreak/>
        <w:t>По показателю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А</w:t>
      </w:r>
      <w:r>
        <w:rPr>
          <w:b/>
          <w:sz w:val="22"/>
          <w:szCs w:val="22"/>
          <w:vertAlign w:val="subscript"/>
        </w:rPr>
        <w:t>1.3</w:t>
      </w:r>
      <w:proofErr w:type="gramStart"/>
      <w:r>
        <w:rPr>
          <w:b/>
          <w:sz w:val="22"/>
          <w:szCs w:val="22"/>
          <w:vertAlign w:val="subscript"/>
        </w:rPr>
        <w:t>.</w:t>
      </w:r>
      <w:r>
        <w:rPr>
          <w:sz w:val="22"/>
          <w:szCs w:val="22"/>
          <w:vertAlign w:val="subscript"/>
        </w:rPr>
        <w:t> </w:t>
      </w:r>
      <w:r>
        <w:t>положительная</w:t>
      </w:r>
      <w:proofErr w:type="gramEnd"/>
      <w:r>
        <w:t xml:space="preserve"> оценка с присвоением 5 баллов достигнута по восьми ГАБС. По всем из них информация размещена в части муниципальных программ и отчетов об их исполнении. По УЖКХ </w:t>
      </w:r>
      <w:proofErr w:type="spellStart"/>
      <w:r>
        <w:t>ТиС</w:t>
      </w:r>
      <w:proofErr w:type="spellEnd"/>
      <w:r>
        <w:t xml:space="preserve"> информация размещена не в полном объеме.</w:t>
      </w:r>
    </w:p>
    <w:p>
      <w:pPr>
        <w:autoSpaceDE w:val="0"/>
        <w:autoSpaceDN w:val="0"/>
        <w:adjustRightInd w:val="0"/>
        <w:ind w:left="709"/>
        <w:jc w:val="both"/>
        <w:outlineLvl w:val="1"/>
      </w:pPr>
      <w:r>
        <w:t>Критерии определения количества баллов:</w:t>
      </w:r>
    </w:p>
    <w:tbl>
      <w:tblPr>
        <w:tblW w:w="0" w:type="auto"/>
        <w:tblInd w:w="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7"/>
        <w:gridCol w:w="2694"/>
      </w:tblGrid>
      <w:tr>
        <w:tc>
          <w:tcPr>
            <w:tcW w:w="455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Значение показателя</w:t>
            </w:r>
          </w:p>
        </w:tc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4557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1.3</w:t>
            </w:r>
            <w:r>
              <w:rPr>
                <w:sz w:val="20"/>
                <w:szCs w:val="20"/>
              </w:rPr>
              <w:t xml:space="preserve"> = Информация размещается в полном объеме</w:t>
            </w:r>
          </w:p>
        </w:tc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4557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1.3</w:t>
            </w:r>
            <w:r>
              <w:rPr>
                <w:sz w:val="20"/>
                <w:szCs w:val="20"/>
              </w:rPr>
              <w:t xml:space="preserve"> = Информация размещается частично</w:t>
            </w:r>
          </w:p>
        </w:tc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1</w:t>
            </w:r>
          </w:p>
        </w:tc>
      </w:tr>
      <w:tr>
        <w:tc>
          <w:tcPr>
            <w:tcW w:w="4557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1.3</w:t>
            </w:r>
            <w:r>
              <w:rPr>
                <w:sz w:val="20"/>
                <w:szCs w:val="20"/>
              </w:rPr>
              <w:t xml:space="preserve"> = Информация не размещается</w:t>
            </w:r>
          </w:p>
        </w:tc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</w:pPr>
      <w:r>
        <w:t>УКС не являются исполнителями программ, в связи с чем ему присвоено 0 баллов.</w:t>
      </w:r>
    </w:p>
    <w:p>
      <w:pPr>
        <w:pStyle w:val="ac"/>
        <w:numPr>
          <w:ilvl w:val="0"/>
          <w:numId w:val="15"/>
        </w:numPr>
        <w:tabs>
          <w:tab w:val="left" w:pos="1134"/>
        </w:tabs>
        <w:ind w:left="0" w:firstLine="709"/>
        <w:jc w:val="both"/>
      </w:pPr>
      <w:r>
        <w:t xml:space="preserve">По показателю </w:t>
      </w:r>
      <w:r>
        <w:rPr>
          <w:b/>
        </w:rPr>
        <w:t>А</w:t>
      </w:r>
      <w:r>
        <w:rPr>
          <w:b/>
          <w:vertAlign w:val="subscript"/>
        </w:rPr>
        <w:t>1.4.  </w:t>
      </w:r>
      <w:r>
        <w:t xml:space="preserve">«Качество, полнота и своевременность представления реестра расходных обязательств, расчетов и обоснований к проекту бюджета ЗАТО Северск на очередной финансовый год» несвоевременное представление документов было допущено Управлением образования, УМСП </w:t>
      </w:r>
      <w:proofErr w:type="spellStart"/>
      <w:r>
        <w:t>ФКиС</w:t>
      </w:r>
      <w:proofErr w:type="spellEnd"/>
      <w:r>
        <w:t>, УЧС – им присвоено по 0 баллов. По остальным ГАБС – 5 баллов.</w:t>
      </w:r>
    </w:p>
    <w:p>
      <w:pPr>
        <w:autoSpaceDE w:val="0"/>
        <w:autoSpaceDN w:val="0"/>
        <w:adjustRightInd w:val="0"/>
        <w:ind w:left="709"/>
        <w:jc w:val="both"/>
        <w:outlineLvl w:val="1"/>
      </w:pPr>
      <w:r>
        <w:t>Оценка проводится в соответствии со следующими показателями:</w:t>
      </w:r>
    </w:p>
    <w:tbl>
      <w:tblPr>
        <w:tblW w:w="0" w:type="auto"/>
        <w:tblInd w:w="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2"/>
        <w:gridCol w:w="3260"/>
      </w:tblGrid>
      <w:tr>
        <w:tc>
          <w:tcPr>
            <w:tcW w:w="41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32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Количество баллов</w:t>
            </w:r>
          </w:p>
        </w:tc>
      </w:tr>
      <w:tr>
        <w:tc>
          <w:tcPr>
            <w:tcW w:w="410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1.4.</w:t>
            </w:r>
            <w:r>
              <w:rPr>
                <w:sz w:val="20"/>
                <w:szCs w:val="20"/>
              </w:rPr>
              <w:t xml:space="preserve"> - реестр расходных обязательств, расчеты и обоснования представлены своевременно, в полном объеме, без ошибок</w:t>
            </w:r>
          </w:p>
        </w:tc>
        <w:tc>
          <w:tcPr>
            <w:tcW w:w="32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410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1.4.</w:t>
            </w:r>
            <w:r>
              <w:rPr>
                <w:sz w:val="20"/>
                <w:szCs w:val="20"/>
              </w:rPr>
              <w:t xml:space="preserve"> - реестр расходных обязательств, расчеты и обоснования представлены несвоевременно/ не в полном объеме/ содержат ошибки</w:t>
            </w:r>
          </w:p>
        </w:tc>
        <w:tc>
          <w:tcPr>
            <w:tcW w:w="32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  <w:r>
        <w:rPr>
          <w:b/>
          <w:i/>
        </w:rPr>
        <w:t>Максимальное количество баллов, по которым оценивалась деятельность ГАБС по направлению «Бюджетное планирование» - 23 балла. Наибольшее количество баллов набрали УИО (21 балл), по 20 баллов набрали Управление культуры, УВГТ и Финансовое управление.</w:t>
      </w:r>
    </w:p>
    <w:p>
      <w:pPr>
        <w:autoSpaceDE w:val="0"/>
        <w:autoSpaceDN w:val="0"/>
        <w:adjustRightInd w:val="0"/>
        <w:ind w:left="-1701" w:firstLine="567"/>
        <w:jc w:val="center"/>
        <w:outlineLvl w:val="1"/>
        <w:rPr>
          <w:noProof/>
        </w:rPr>
      </w:pPr>
      <w:r>
        <w:rPr>
          <w:noProof/>
        </w:rPr>
        <w:drawing>
          <wp:inline distT="0" distB="0" distL="0" distR="0">
            <wp:extent cx="7553325" cy="3057525"/>
            <wp:effectExtent l="0" t="0" r="0" b="0"/>
            <wp:docPr id="1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>
        <w:rPr>
          <w:noProof/>
        </w:rPr>
        <w:t xml:space="preserve">Рисунок 1 – Итоговое количество баллов по разделу </w:t>
      </w:r>
      <w:r>
        <w:rPr>
          <w:noProof/>
          <w:lang w:val="en-US"/>
        </w:rPr>
        <w:t>I</w:t>
      </w:r>
    </w:p>
    <w:p>
      <w:pPr>
        <w:autoSpaceDE w:val="0"/>
        <w:autoSpaceDN w:val="0"/>
        <w:adjustRightInd w:val="0"/>
        <w:jc w:val="center"/>
        <w:outlineLvl w:val="1"/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  <w:r>
        <w:rPr>
          <w:b/>
        </w:rPr>
        <w:t>2. Направление «Исполнение бюджета ЗАТО Северск и формирование бюджетной отчетности»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Оценка качества выполнялась по восьми показателям:</w:t>
      </w:r>
    </w:p>
    <w:p>
      <w:pPr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1"/>
      </w:pPr>
      <w:r>
        <w:t>По показателю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А</w:t>
      </w:r>
      <w:r>
        <w:rPr>
          <w:b/>
          <w:sz w:val="22"/>
          <w:szCs w:val="22"/>
          <w:vertAlign w:val="subscript"/>
        </w:rPr>
        <w:t>2.1</w:t>
      </w:r>
      <w:r>
        <w:rPr>
          <w:b/>
          <w:vertAlign w:val="subscript"/>
        </w:rPr>
        <w:t>.</w:t>
      </w:r>
      <w:r>
        <w:t xml:space="preserve"> «Обеспечение собираемости доходов бюджета ЗАТО Северск, в процентах» максимальное количество баллов получено УЖКХ </w:t>
      </w:r>
      <w:proofErr w:type="spellStart"/>
      <w:r>
        <w:t>ТиС</w:t>
      </w:r>
      <w:proofErr w:type="spellEnd"/>
      <w:r>
        <w:t xml:space="preserve"> (5 баллов), Администрации присвоено 3 балла. Управлением образования, УИО, УКС допущены значительные отклонения фактического исполнения от первоначально утвержденного плана, остальными ГАБС планирование доходов не осуществлялось.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lastRenderedPageBreak/>
        <w:t>Критерии определения количества баллов:</w:t>
      </w:r>
    </w:p>
    <w:tbl>
      <w:tblPr>
        <w:tblW w:w="0" w:type="auto"/>
        <w:tblInd w:w="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559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Значение показателя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0% &lt;= А</w:t>
            </w:r>
            <w:r>
              <w:rPr>
                <w:vertAlign w:val="subscript"/>
              </w:rPr>
              <w:t>2.1</w:t>
            </w:r>
            <w:r>
              <w:t xml:space="preserve"> </w:t>
            </w:r>
            <w:proofErr w:type="gramStart"/>
            <w:r>
              <w:t>&lt; 5</w:t>
            </w:r>
            <w:proofErr w:type="gramEnd"/>
            <w:r>
              <w:t>%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5% &lt;= А</w:t>
            </w:r>
            <w:r>
              <w:rPr>
                <w:vertAlign w:val="subscript"/>
              </w:rPr>
              <w:t>2.1</w:t>
            </w:r>
            <w:r>
              <w:t xml:space="preserve"> </w:t>
            </w:r>
            <w:proofErr w:type="gramStart"/>
            <w:r>
              <w:t>&lt; 10</w:t>
            </w:r>
            <w:proofErr w:type="gramEnd"/>
            <w:r>
              <w:t>%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10% &lt;= А</w:t>
            </w:r>
            <w:r>
              <w:rPr>
                <w:vertAlign w:val="subscript"/>
              </w:rPr>
              <w:t>2.1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jc w:val="right"/>
        <w:outlineLvl w:val="1"/>
      </w:pPr>
      <w:r>
        <w:t xml:space="preserve">Таблица 4                                                                                                                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1814"/>
        <w:gridCol w:w="1750"/>
        <w:gridCol w:w="1418"/>
        <w:gridCol w:w="1276"/>
      </w:tblGrid>
      <w:tr>
        <w:trPr>
          <w:trHeight w:val="1073"/>
        </w:trPr>
        <w:tc>
          <w:tcPr>
            <w:tcW w:w="3240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ГАБС </w:t>
            </w:r>
          </w:p>
        </w:tc>
        <w:tc>
          <w:tcPr>
            <w:tcW w:w="1814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Первоначальный план по налоговым и неналоговым доходам, </w:t>
            </w:r>
            <w:proofErr w:type="spellStart"/>
            <w:r>
              <w:t>тыс.руб</w:t>
            </w:r>
            <w:proofErr w:type="spellEnd"/>
            <w:r>
              <w:t>.</w:t>
            </w:r>
          </w:p>
        </w:tc>
        <w:tc>
          <w:tcPr>
            <w:tcW w:w="1750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 xml:space="preserve">Исполнение по налоговым и неналоговым доходам, </w:t>
            </w:r>
            <w:proofErr w:type="spellStart"/>
            <w:r>
              <w:t>тыс.руб</w:t>
            </w:r>
            <w:proofErr w:type="spellEnd"/>
            <w:r>
              <w:t>.</w:t>
            </w:r>
          </w:p>
        </w:tc>
        <w:tc>
          <w:tcPr>
            <w:tcW w:w="1418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>Значение показателя А</w:t>
            </w:r>
            <w:r>
              <w:rPr>
                <w:sz w:val="22"/>
                <w:szCs w:val="22"/>
                <w:vertAlign w:val="subscript"/>
              </w:rPr>
              <w:t>2.1,   %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  <w:vertAlign w:val="subscript"/>
              </w:rPr>
            </w:pPr>
            <w:r>
              <w:rPr>
                <w:sz w:val="18"/>
                <w:szCs w:val="18"/>
                <w:vertAlign w:val="subscript"/>
              </w:rPr>
              <w:t>(гр.3/гр.2*100-100)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баллов, ед.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ind w:right="-648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1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75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1814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2 446,70</w:t>
            </w:r>
          </w:p>
        </w:tc>
        <w:tc>
          <w:tcPr>
            <w:tcW w:w="175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1 338,39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45,3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1814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5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1814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5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62,23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814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9 101,90</w:t>
            </w:r>
          </w:p>
        </w:tc>
        <w:tc>
          <w:tcPr>
            <w:tcW w:w="175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8 666,76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4,78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1814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1 973,35</w:t>
            </w:r>
          </w:p>
        </w:tc>
        <w:tc>
          <w:tcPr>
            <w:tcW w:w="175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1 822,17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7,66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1814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118 263,11</w:t>
            </w:r>
          </w:p>
        </w:tc>
        <w:tc>
          <w:tcPr>
            <w:tcW w:w="175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96 637,11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18,29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1814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5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58,33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УКС</w:t>
            </w:r>
          </w:p>
        </w:tc>
        <w:tc>
          <w:tcPr>
            <w:tcW w:w="1814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3 578,94</w:t>
            </w:r>
          </w:p>
        </w:tc>
        <w:tc>
          <w:tcPr>
            <w:tcW w:w="175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76,42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97,86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УВГТ</w:t>
            </w:r>
          </w:p>
        </w:tc>
        <w:tc>
          <w:tcPr>
            <w:tcW w:w="1814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5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1,70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10.Финансовое управление</w:t>
            </w:r>
          </w:p>
        </w:tc>
        <w:tc>
          <w:tcPr>
            <w:tcW w:w="1814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5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22,05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</w:tbl>
    <w:p>
      <w:pPr>
        <w:numPr>
          <w:ilvl w:val="0"/>
          <w:numId w:val="10"/>
        </w:numPr>
        <w:tabs>
          <w:tab w:val="left" w:pos="993"/>
        </w:tabs>
        <w:ind w:left="0" w:firstLine="709"/>
        <w:jc w:val="both"/>
      </w:pPr>
      <w:r>
        <w:t xml:space="preserve">По показателю </w:t>
      </w:r>
      <w:r>
        <w:rPr>
          <w:b/>
        </w:rPr>
        <w:t>А</w:t>
      </w:r>
      <w:r>
        <w:rPr>
          <w:b/>
          <w:vertAlign w:val="subscript"/>
        </w:rPr>
        <w:t>2.2. </w:t>
      </w:r>
      <w:r>
        <w:t xml:space="preserve">«Суммы невыясненных поступлений» по состоянию на 01.01.2021 остатки невыясненных поступлений отсутствуют у всех ГАБС. Оценка показателя по всем ГАБС 5 баллов. </w:t>
      </w:r>
    </w:p>
    <w:p>
      <w:pPr>
        <w:autoSpaceDE w:val="0"/>
        <w:autoSpaceDN w:val="0"/>
        <w:adjustRightInd w:val="0"/>
        <w:ind w:left="709"/>
        <w:jc w:val="both"/>
        <w:outlineLvl w:val="1"/>
      </w:pPr>
      <w:r>
        <w:t>Оценка проводится в соответствии со следующими показателями:</w:t>
      </w:r>
    </w:p>
    <w:tbl>
      <w:tblPr>
        <w:tblW w:w="0" w:type="auto"/>
        <w:tblInd w:w="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559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Значение показателя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2.2</w:t>
            </w:r>
            <w:r>
              <w:t xml:space="preserve"> &lt;= 1%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 xml:space="preserve">1% </w:t>
            </w:r>
            <w:proofErr w:type="gramStart"/>
            <w:r>
              <w:t>&lt; А</w:t>
            </w:r>
            <w:r>
              <w:rPr>
                <w:vertAlign w:val="subscript"/>
              </w:rPr>
              <w:t>2.2</w:t>
            </w:r>
            <w:proofErr w:type="gramEnd"/>
            <w:r>
              <w:t xml:space="preserve"> &lt;= 5%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proofErr w:type="gramStart"/>
            <w:r>
              <w:t>А</w:t>
            </w:r>
            <w:r>
              <w:rPr>
                <w:vertAlign w:val="subscript"/>
              </w:rPr>
              <w:t>2.2</w:t>
            </w:r>
            <w:r>
              <w:t xml:space="preserve"> &gt;</w:t>
            </w:r>
            <w:proofErr w:type="gramEnd"/>
            <w:r>
              <w:t xml:space="preserve"> 5%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jc w:val="right"/>
        <w:outlineLvl w:val="1"/>
      </w:pPr>
      <w:r>
        <w:t xml:space="preserve">Таблица 5                                                                                                                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1814"/>
        <w:gridCol w:w="1597"/>
        <w:gridCol w:w="1571"/>
        <w:gridCol w:w="1276"/>
      </w:tblGrid>
      <w:tr>
        <w:trPr>
          <w:trHeight w:val="1232"/>
        </w:trPr>
        <w:tc>
          <w:tcPr>
            <w:tcW w:w="3240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ГАБС </w:t>
            </w:r>
          </w:p>
        </w:tc>
        <w:tc>
          <w:tcPr>
            <w:tcW w:w="1814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 остатка невыясненных поступлений,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97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 xml:space="preserve">Исполнено доходов,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7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>Значение показателя А</w:t>
            </w:r>
            <w:r>
              <w:rPr>
                <w:sz w:val="22"/>
                <w:szCs w:val="22"/>
                <w:vertAlign w:val="subscript"/>
              </w:rPr>
              <w:t>2.2,   %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  <w:vertAlign w:val="subscript"/>
              </w:rPr>
              <w:t>(100*гр.2/гр.3)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баллов, ед.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ind w:right="-648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1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9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71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1814" w:type="dxa"/>
          </w:tcPr>
          <w:p>
            <w:pPr>
              <w:autoSpaceDE w:val="0"/>
              <w:autoSpaceDN w:val="0"/>
              <w:adjustRightInd w:val="0"/>
              <w:jc w:val="right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1 561 779,41</w:t>
            </w:r>
          </w:p>
        </w:tc>
        <w:tc>
          <w:tcPr>
            <w:tcW w:w="1571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1814" w:type="dxa"/>
          </w:tcPr>
          <w:p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163 037,34</w:t>
            </w:r>
          </w:p>
        </w:tc>
        <w:tc>
          <w:tcPr>
            <w:tcW w:w="1571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1814" w:type="dxa"/>
          </w:tcPr>
          <w:p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94 923,93</w:t>
            </w:r>
          </w:p>
        </w:tc>
        <w:tc>
          <w:tcPr>
            <w:tcW w:w="1571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814" w:type="dxa"/>
          </w:tcPr>
          <w:p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38 432,32</w:t>
            </w:r>
          </w:p>
        </w:tc>
        <w:tc>
          <w:tcPr>
            <w:tcW w:w="1571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1814" w:type="dxa"/>
          </w:tcPr>
          <w:p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103 254,58</w:t>
            </w:r>
          </w:p>
        </w:tc>
        <w:tc>
          <w:tcPr>
            <w:tcW w:w="1571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1814" w:type="dxa"/>
          </w:tcPr>
          <w:p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104 876,11</w:t>
            </w:r>
          </w:p>
        </w:tc>
        <w:tc>
          <w:tcPr>
            <w:tcW w:w="1571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1814" w:type="dxa"/>
          </w:tcPr>
          <w:p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158,33</w:t>
            </w:r>
          </w:p>
        </w:tc>
        <w:tc>
          <w:tcPr>
            <w:tcW w:w="1571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УКС</w:t>
            </w:r>
          </w:p>
        </w:tc>
        <w:tc>
          <w:tcPr>
            <w:tcW w:w="1814" w:type="dxa"/>
          </w:tcPr>
          <w:p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202 033,10</w:t>
            </w:r>
          </w:p>
        </w:tc>
        <w:tc>
          <w:tcPr>
            <w:tcW w:w="1571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УВГТ</w:t>
            </w:r>
          </w:p>
        </w:tc>
        <w:tc>
          <w:tcPr>
            <w:tcW w:w="1814" w:type="dxa"/>
          </w:tcPr>
          <w:p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5 470,59</w:t>
            </w:r>
          </w:p>
        </w:tc>
        <w:tc>
          <w:tcPr>
            <w:tcW w:w="1571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10.Финансовое управление</w:t>
            </w:r>
          </w:p>
        </w:tc>
        <w:tc>
          <w:tcPr>
            <w:tcW w:w="1814" w:type="dxa"/>
          </w:tcPr>
          <w:p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1 389 377,38</w:t>
            </w:r>
          </w:p>
        </w:tc>
        <w:tc>
          <w:tcPr>
            <w:tcW w:w="1571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</w:tbl>
    <w:p>
      <w:pPr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color w:val="000000"/>
        </w:rPr>
      </w:pPr>
      <w:r>
        <w:t xml:space="preserve">По показателю </w:t>
      </w:r>
      <w:r>
        <w:rPr>
          <w:b/>
        </w:rPr>
        <w:t>А</w:t>
      </w:r>
      <w:r>
        <w:rPr>
          <w:b/>
          <w:vertAlign w:val="subscript"/>
        </w:rPr>
        <w:t>2.3. </w:t>
      </w:r>
      <w:r>
        <w:t>«Эффективность управления просроченной дебиторской задолженностью по расчетам с дебиторами по доходам» максимальная оценка 5 баллов присвоена всем ГАБС</w:t>
      </w:r>
      <w:r>
        <w:rPr>
          <w:color w:val="000000"/>
        </w:rPr>
        <w:t>.</w:t>
      </w:r>
    </w:p>
    <w:p>
      <w:pPr>
        <w:autoSpaceDE w:val="0"/>
        <w:autoSpaceDN w:val="0"/>
        <w:adjustRightInd w:val="0"/>
        <w:ind w:left="709"/>
        <w:jc w:val="both"/>
        <w:outlineLvl w:val="1"/>
      </w:pPr>
    </w:p>
    <w:p>
      <w:pPr>
        <w:autoSpaceDE w:val="0"/>
        <w:autoSpaceDN w:val="0"/>
        <w:adjustRightInd w:val="0"/>
        <w:ind w:left="709"/>
        <w:jc w:val="both"/>
        <w:outlineLvl w:val="1"/>
      </w:pPr>
    </w:p>
    <w:p>
      <w:pPr>
        <w:autoSpaceDE w:val="0"/>
        <w:autoSpaceDN w:val="0"/>
        <w:adjustRightInd w:val="0"/>
        <w:ind w:left="709"/>
        <w:jc w:val="both"/>
        <w:outlineLvl w:val="1"/>
      </w:pPr>
    </w:p>
    <w:p>
      <w:pPr>
        <w:autoSpaceDE w:val="0"/>
        <w:autoSpaceDN w:val="0"/>
        <w:adjustRightInd w:val="0"/>
        <w:ind w:left="709"/>
        <w:jc w:val="both"/>
        <w:outlineLvl w:val="1"/>
      </w:pPr>
    </w:p>
    <w:p>
      <w:pPr>
        <w:autoSpaceDE w:val="0"/>
        <w:autoSpaceDN w:val="0"/>
        <w:adjustRightInd w:val="0"/>
        <w:ind w:left="709"/>
        <w:jc w:val="both"/>
        <w:outlineLvl w:val="1"/>
      </w:pPr>
      <w:r>
        <w:lastRenderedPageBreak/>
        <w:t>Оценка проводится в соответствии со следующими показателями:</w:t>
      </w:r>
    </w:p>
    <w:tbl>
      <w:tblPr>
        <w:tblW w:w="0" w:type="auto"/>
        <w:tblInd w:w="6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419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Значение показателя</w:t>
            </w:r>
          </w:p>
        </w:tc>
        <w:tc>
          <w:tcPr>
            <w:tcW w:w="241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2.3</w:t>
            </w:r>
            <w:r>
              <w:t xml:space="preserve"> &lt;= 5%</w:t>
            </w:r>
          </w:p>
        </w:tc>
        <w:tc>
          <w:tcPr>
            <w:tcW w:w="241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 xml:space="preserve">5% </w:t>
            </w:r>
            <w:proofErr w:type="gramStart"/>
            <w:r>
              <w:t>&lt; А</w:t>
            </w:r>
            <w:r>
              <w:rPr>
                <w:vertAlign w:val="subscript"/>
              </w:rPr>
              <w:t>2.3</w:t>
            </w:r>
            <w:proofErr w:type="gramEnd"/>
            <w:r>
              <w:t xml:space="preserve"> &lt;= 30%</w:t>
            </w:r>
          </w:p>
        </w:tc>
        <w:tc>
          <w:tcPr>
            <w:tcW w:w="241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 xml:space="preserve">30% </w:t>
            </w:r>
            <w:proofErr w:type="gramStart"/>
            <w:r>
              <w:t>&lt; А</w:t>
            </w:r>
            <w:r>
              <w:rPr>
                <w:vertAlign w:val="subscript"/>
              </w:rPr>
              <w:t>2.3</w:t>
            </w:r>
            <w:proofErr w:type="gramEnd"/>
            <w:r>
              <w:t xml:space="preserve"> &lt;= 50%</w:t>
            </w:r>
          </w:p>
        </w:tc>
        <w:tc>
          <w:tcPr>
            <w:tcW w:w="241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1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proofErr w:type="gramStart"/>
            <w:r>
              <w:t>А</w:t>
            </w:r>
            <w:r>
              <w:rPr>
                <w:vertAlign w:val="subscript"/>
              </w:rPr>
              <w:t>2.3</w:t>
            </w:r>
            <w:r>
              <w:t xml:space="preserve"> &gt;</w:t>
            </w:r>
            <w:proofErr w:type="gramEnd"/>
            <w:r>
              <w:t xml:space="preserve"> 50%</w:t>
            </w:r>
          </w:p>
        </w:tc>
        <w:tc>
          <w:tcPr>
            <w:tcW w:w="241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jc w:val="both"/>
        <w:rPr>
          <w:i/>
          <w:sz w:val="22"/>
          <w:szCs w:val="22"/>
          <w:highlight w:val="yellow"/>
        </w:rPr>
      </w:pPr>
    </w:p>
    <w:p>
      <w:pPr>
        <w:numPr>
          <w:ilvl w:val="0"/>
          <w:numId w:val="10"/>
        </w:numPr>
        <w:tabs>
          <w:tab w:val="left" w:pos="993"/>
        </w:tabs>
        <w:ind w:left="0" w:firstLine="709"/>
        <w:jc w:val="both"/>
      </w:pPr>
      <w:r>
        <w:t xml:space="preserve">По </w:t>
      </w:r>
      <w:proofErr w:type="gramStart"/>
      <w:r>
        <w:t xml:space="preserve">показателю  </w:t>
      </w:r>
      <w:r>
        <w:rPr>
          <w:b/>
        </w:rPr>
        <w:t>А</w:t>
      </w:r>
      <w:r>
        <w:rPr>
          <w:b/>
          <w:vertAlign w:val="subscript"/>
        </w:rPr>
        <w:t>2.4</w:t>
      </w:r>
      <w:proofErr w:type="gramEnd"/>
      <w:r>
        <w:rPr>
          <w:b/>
          <w:vertAlign w:val="subscript"/>
        </w:rPr>
        <w:t xml:space="preserve">. </w:t>
      </w:r>
      <w:r>
        <w:t xml:space="preserve"> «Эффективность управления просроченной кредиторской задолженностью по расчетам с поставщиками, подрядчиками и исполнителями</w:t>
      </w:r>
      <w:proofErr w:type="gramStart"/>
      <w:r>
        <w:t xml:space="preserve">»:   </w:t>
      </w:r>
      <w:proofErr w:type="gramEnd"/>
      <w:r>
        <w:t xml:space="preserve">               просроченная кредиторская задолженность (без учета задолженности казенных, бюджетных, автономных учреждений) по состоянию на 01.01.2021 отсутствует у всех ГАБС. Оценка показателя – 5 баллов. </w:t>
      </w:r>
    </w:p>
    <w:p>
      <w:pPr>
        <w:autoSpaceDE w:val="0"/>
        <w:autoSpaceDN w:val="0"/>
        <w:adjustRightInd w:val="0"/>
        <w:jc w:val="both"/>
        <w:outlineLvl w:val="1"/>
      </w:pPr>
      <w:r>
        <w:t>Оценка проводится в соответствии со следующими показателями:</w:t>
      </w:r>
    </w:p>
    <w:tbl>
      <w:tblPr>
        <w:tblW w:w="0" w:type="auto"/>
        <w:tblInd w:w="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559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2.4</w:t>
            </w:r>
            <w:r>
              <w:t xml:space="preserve"> = 0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 xml:space="preserve">0% </w:t>
            </w:r>
            <w:proofErr w:type="gramStart"/>
            <w:r>
              <w:t>&lt; А</w:t>
            </w:r>
            <w:r>
              <w:rPr>
                <w:vertAlign w:val="subscript"/>
              </w:rPr>
              <w:t>2.4</w:t>
            </w:r>
            <w:proofErr w:type="gramEnd"/>
            <w:r>
              <w:t xml:space="preserve"> &lt;= 0,2%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proofErr w:type="gramStart"/>
            <w:r>
              <w:t>А</w:t>
            </w:r>
            <w:r>
              <w:rPr>
                <w:vertAlign w:val="subscript"/>
              </w:rPr>
              <w:t>2.4</w:t>
            </w:r>
            <w:r>
              <w:t xml:space="preserve"> &gt;</w:t>
            </w:r>
            <w:proofErr w:type="gramEnd"/>
            <w:r>
              <w:t xml:space="preserve"> 0,2%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0</w:t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По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показателю  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  <w:vertAlign w:val="subscript"/>
        </w:rPr>
        <w:t>2.5</w:t>
      </w:r>
      <w:proofErr w:type="gramEnd"/>
      <w:r>
        <w:rPr>
          <w:rFonts w:ascii="Times New Roman" w:hAnsi="Times New Roman" w:cs="Times New Roman"/>
          <w:b/>
          <w:sz w:val="24"/>
          <w:szCs w:val="24"/>
          <w:vertAlign w:val="subscript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«Соблюдение установленных сроков представления ГАБС годовой бюджетной/бухгалтерской отчетности в АИС «БАРС. </w:t>
      </w:r>
      <w:proofErr w:type="spellStart"/>
      <w:r>
        <w:rPr>
          <w:rFonts w:ascii="Times New Roman" w:hAnsi="Times New Roman" w:cs="Times New Roman"/>
          <w:sz w:val="24"/>
          <w:szCs w:val="24"/>
        </w:rPr>
        <w:t>Web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–бюджетный учет» максимальное количество баллов достигнуто всеми ГАБС. Оценка показателя – 5 баллов.</w:t>
      </w:r>
    </w:p>
    <w:p>
      <w:pPr>
        <w:autoSpaceDE w:val="0"/>
        <w:autoSpaceDN w:val="0"/>
        <w:adjustRightInd w:val="0"/>
        <w:ind w:left="709"/>
        <w:jc w:val="both"/>
        <w:outlineLvl w:val="1"/>
      </w:pPr>
      <w:r>
        <w:t>Оценка проводится в соответствии со следующими показателями:</w:t>
      </w:r>
    </w:p>
    <w:tbl>
      <w:tblPr>
        <w:tblW w:w="0" w:type="auto"/>
        <w:tblInd w:w="7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559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2.5</w:t>
            </w:r>
            <w:r>
              <w:t xml:space="preserve"> = 0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0 &lt; А</w:t>
            </w:r>
            <w:r>
              <w:rPr>
                <w:vertAlign w:val="subscript"/>
              </w:rPr>
              <w:t>2.5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0</w:t>
            </w:r>
          </w:p>
        </w:tc>
      </w:tr>
    </w:tbl>
    <w:p>
      <w:pPr>
        <w:ind w:firstLine="709"/>
        <w:jc w:val="both"/>
      </w:pPr>
      <w:r>
        <w:t xml:space="preserve">6) По показателю </w:t>
      </w:r>
      <w:r>
        <w:rPr>
          <w:b/>
        </w:rPr>
        <w:t>А</w:t>
      </w:r>
      <w:r>
        <w:rPr>
          <w:b/>
          <w:vertAlign w:val="subscript"/>
        </w:rPr>
        <w:t>2.6.  </w:t>
      </w:r>
      <w:r>
        <w:t xml:space="preserve">«Качество формирования годовой бюджетной/ бухгалтерской отчетности в АИС «БАРС. </w:t>
      </w:r>
      <w:proofErr w:type="spellStart"/>
      <w:r>
        <w:t>Web</w:t>
      </w:r>
      <w:proofErr w:type="spellEnd"/>
      <w:r>
        <w:t xml:space="preserve"> –бюджетный учет» по сравнению с результатами прошлого года у всех ГАБС сохранилось количество форм бухгалтерской отчетности, выполненных с ошибками. </w:t>
      </w:r>
    </w:p>
    <w:p>
      <w:pPr>
        <w:autoSpaceDE w:val="0"/>
        <w:autoSpaceDN w:val="0"/>
        <w:adjustRightInd w:val="0"/>
        <w:ind w:left="709"/>
        <w:jc w:val="both"/>
        <w:outlineLvl w:val="1"/>
      </w:pPr>
      <w:r>
        <w:t>Оценка проводится в соответствии со следующими показателями:</w:t>
      </w:r>
    </w:p>
    <w:tbl>
      <w:tblPr>
        <w:tblW w:w="0" w:type="auto"/>
        <w:tblInd w:w="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559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2.6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5- А</w:t>
            </w:r>
            <w:r>
              <w:rPr>
                <w:vertAlign w:val="subscript"/>
              </w:rPr>
              <w:t>2.6</w:t>
            </w:r>
          </w:p>
        </w:tc>
      </w:tr>
    </w:tbl>
    <w:p>
      <w:pPr>
        <w:tabs>
          <w:tab w:val="left" w:pos="4962"/>
        </w:tabs>
        <w:ind w:left="-142"/>
        <w:jc w:val="center"/>
      </w:pPr>
      <w:r>
        <w:t xml:space="preserve">                                                                                                                                            Таблица 6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73"/>
        <w:gridCol w:w="1317"/>
        <w:gridCol w:w="1520"/>
        <w:gridCol w:w="1946"/>
      </w:tblGrid>
      <w:tr>
        <w:trPr>
          <w:trHeight w:val="612"/>
        </w:trPr>
        <w:tc>
          <w:tcPr>
            <w:tcW w:w="4573" w:type="dxa"/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Наименование ГАБС</w:t>
            </w:r>
          </w:p>
        </w:tc>
        <w:tc>
          <w:tcPr>
            <w:tcW w:w="1317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</w:t>
            </w:r>
            <w:proofErr w:type="gramStart"/>
            <w:r>
              <w:rPr>
                <w:sz w:val="22"/>
                <w:szCs w:val="22"/>
              </w:rPr>
              <w:t>форм  с</w:t>
            </w:r>
            <w:proofErr w:type="gramEnd"/>
            <w:r>
              <w:rPr>
                <w:sz w:val="22"/>
                <w:szCs w:val="22"/>
              </w:rPr>
              <w:t xml:space="preserve"> ошибками</w:t>
            </w:r>
          </w:p>
        </w:tc>
        <w:tc>
          <w:tcPr>
            <w:tcW w:w="1520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форм всего</w:t>
            </w:r>
          </w:p>
        </w:tc>
        <w:tc>
          <w:tcPr>
            <w:tcW w:w="1946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баллов, ед.</w:t>
            </w:r>
          </w:p>
          <w:p>
            <w:pPr>
              <w:jc w:val="center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  <w:vertAlign w:val="subscript"/>
              </w:rPr>
              <w:t xml:space="preserve"> 5-(2)/(3)*5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17" w:type="dxa"/>
            <w:shd w:val="clear" w:color="auto" w:fill="FFFFFF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20" w:type="dxa"/>
            <w:shd w:val="clear" w:color="auto" w:fill="FFFFFF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1317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20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1317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20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2,5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1317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20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2,7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317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20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3,9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1317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20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3,3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1317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20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3,2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1317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20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3,3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УКС</w:t>
            </w:r>
          </w:p>
        </w:tc>
        <w:tc>
          <w:tcPr>
            <w:tcW w:w="1317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20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4,2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УВГТ</w:t>
            </w:r>
          </w:p>
        </w:tc>
        <w:tc>
          <w:tcPr>
            <w:tcW w:w="1317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20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4,6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10.Финансовое управление</w:t>
            </w:r>
          </w:p>
        </w:tc>
        <w:tc>
          <w:tcPr>
            <w:tcW w:w="1317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20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4,7</w:t>
            </w:r>
          </w:p>
        </w:tc>
      </w:tr>
    </w:tbl>
    <w:p>
      <w:pPr>
        <w:tabs>
          <w:tab w:val="left" w:pos="993"/>
        </w:tabs>
        <w:ind w:left="709"/>
        <w:jc w:val="both"/>
      </w:pPr>
    </w:p>
    <w:p>
      <w:pPr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>
        <w:t xml:space="preserve">По </w:t>
      </w:r>
      <w:proofErr w:type="gramStart"/>
      <w:r>
        <w:t xml:space="preserve">показателю  </w:t>
      </w:r>
      <w:r>
        <w:rPr>
          <w:b/>
        </w:rPr>
        <w:t>А</w:t>
      </w:r>
      <w:r>
        <w:rPr>
          <w:b/>
          <w:vertAlign w:val="subscript"/>
        </w:rPr>
        <w:t>2.7</w:t>
      </w:r>
      <w:proofErr w:type="gramEnd"/>
      <w:r>
        <w:rPr>
          <w:b/>
          <w:vertAlign w:val="subscript"/>
        </w:rPr>
        <w:t xml:space="preserve">. </w:t>
      </w:r>
      <w:r>
        <w:t xml:space="preserve"> «Качество управления средствами бюджета в части межбюджетных трансфертов» отражается эффективность (полнота) использования средств межбюджетных трансфертов. Анализировалось управление целевыми </w:t>
      </w:r>
      <w:r>
        <w:lastRenderedPageBreak/>
        <w:t xml:space="preserve">межбюджетными трансфертами. Максимальный показатель в 5 баллов достигнут УЧС и УМСП </w:t>
      </w:r>
      <w:proofErr w:type="spellStart"/>
      <w:r>
        <w:t>ФКиС</w:t>
      </w:r>
      <w:proofErr w:type="spellEnd"/>
      <w:r>
        <w:t>.</w:t>
      </w:r>
    </w:p>
    <w:p>
      <w:pPr>
        <w:autoSpaceDE w:val="0"/>
        <w:autoSpaceDN w:val="0"/>
        <w:adjustRightInd w:val="0"/>
        <w:ind w:left="720"/>
        <w:jc w:val="both"/>
        <w:outlineLvl w:val="1"/>
      </w:pPr>
      <w:r>
        <w:t>Оценка проводится в соответствии со следующими показателями:</w:t>
      </w:r>
    </w:p>
    <w:tbl>
      <w:tblPr>
        <w:tblW w:w="0" w:type="auto"/>
        <w:tblInd w:w="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559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2.7</w:t>
            </w:r>
            <w:r>
              <w:t xml:space="preserve"> = 100%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 xml:space="preserve">80% </w:t>
            </w:r>
            <w:proofErr w:type="gramStart"/>
            <w:r>
              <w:t>&lt; А</w:t>
            </w:r>
            <w:r>
              <w:rPr>
                <w:vertAlign w:val="subscript"/>
              </w:rPr>
              <w:t>2.7</w:t>
            </w:r>
            <w:proofErr w:type="gramEnd"/>
            <w:r>
              <w:t xml:space="preserve"> &lt; 100%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 xml:space="preserve">50% </w:t>
            </w:r>
            <w:proofErr w:type="gramStart"/>
            <w:r>
              <w:t>&lt; А</w:t>
            </w:r>
            <w:r>
              <w:rPr>
                <w:vertAlign w:val="subscript"/>
              </w:rPr>
              <w:t>2.7</w:t>
            </w:r>
            <w:proofErr w:type="gramEnd"/>
            <w:r>
              <w:t xml:space="preserve"> &lt;= 80%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1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2.7</w:t>
            </w:r>
            <w:r>
              <w:t xml:space="preserve"> &lt;= 50%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jc w:val="right"/>
        <w:outlineLvl w:val="1"/>
      </w:pPr>
      <w:r>
        <w:t xml:space="preserve"> Таблица 7                                                                                                               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1814"/>
        <w:gridCol w:w="1597"/>
        <w:gridCol w:w="1429"/>
        <w:gridCol w:w="1276"/>
      </w:tblGrid>
      <w:tr>
        <w:tc>
          <w:tcPr>
            <w:tcW w:w="3240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ГАБС </w:t>
            </w:r>
          </w:p>
        </w:tc>
        <w:tc>
          <w:tcPr>
            <w:tcW w:w="1814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Кассовый расход по средствам МБТ,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97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 xml:space="preserve">Доведено МБТ,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 (бюджетные ассигнования)</w:t>
            </w:r>
          </w:p>
        </w:tc>
        <w:tc>
          <w:tcPr>
            <w:tcW w:w="1429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>Значение показателя А</w:t>
            </w:r>
            <w:r>
              <w:rPr>
                <w:sz w:val="22"/>
                <w:szCs w:val="22"/>
                <w:vertAlign w:val="subscript"/>
              </w:rPr>
              <w:t>2.7,   %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  <w:vertAlign w:val="subscript"/>
              </w:rPr>
              <w:t>(100*гр.2/гр.3)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баллов, ед.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ind w:right="-648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1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9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2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1814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1 560 339,9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1 567 597,9</w:t>
            </w:r>
          </w:p>
        </w:tc>
        <w:tc>
          <w:tcPr>
            <w:tcW w:w="142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99,5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1814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160 799,2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163 183,5</w:t>
            </w:r>
          </w:p>
        </w:tc>
        <w:tc>
          <w:tcPr>
            <w:tcW w:w="142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98,5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1814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94 861,7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94 861,7</w:t>
            </w:r>
          </w:p>
        </w:tc>
        <w:tc>
          <w:tcPr>
            <w:tcW w:w="142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814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22 641,7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50 018,3</w:t>
            </w:r>
          </w:p>
        </w:tc>
        <w:tc>
          <w:tcPr>
            <w:tcW w:w="142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45,3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1814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100 664,6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102 310,7</w:t>
            </w:r>
          </w:p>
        </w:tc>
        <w:tc>
          <w:tcPr>
            <w:tcW w:w="142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98,4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1814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5 652,7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8 239,0</w:t>
            </w:r>
          </w:p>
        </w:tc>
        <w:tc>
          <w:tcPr>
            <w:tcW w:w="142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68,6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1814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42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УКС</w:t>
            </w:r>
          </w:p>
        </w:tc>
        <w:tc>
          <w:tcPr>
            <w:tcW w:w="1814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201 956,7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207 186,3</w:t>
            </w:r>
          </w:p>
        </w:tc>
        <w:tc>
          <w:tcPr>
            <w:tcW w:w="142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97,5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УВГТ</w:t>
            </w:r>
          </w:p>
        </w:tc>
        <w:tc>
          <w:tcPr>
            <w:tcW w:w="1814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4 482,3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6 134,7</w:t>
            </w:r>
          </w:p>
        </w:tc>
        <w:tc>
          <w:tcPr>
            <w:tcW w:w="142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73,1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10.Финансовое управление</w:t>
            </w:r>
          </w:p>
        </w:tc>
        <w:tc>
          <w:tcPr>
            <w:tcW w:w="1814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97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2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</w:t>
            </w:r>
          </w:p>
        </w:tc>
      </w:tr>
    </w:tbl>
    <w:p>
      <w:pPr>
        <w:jc w:val="both"/>
        <w:rPr>
          <w:sz w:val="16"/>
          <w:szCs w:val="16"/>
          <w:highlight w:val="yellow"/>
        </w:rPr>
      </w:pPr>
    </w:p>
    <w:p>
      <w:pPr>
        <w:ind w:firstLine="709"/>
        <w:jc w:val="both"/>
      </w:pPr>
      <w:r>
        <w:t xml:space="preserve">8) По показателю </w:t>
      </w:r>
      <w:r>
        <w:rPr>
          <w:b/>
        </w:rPr>
        <w:t>А</w:t>
      </w:r>
      <w:r>
        <w:rPr>
          <w:b/>
          <w:vertAlign w:val="subscript"/>
        </w:rPr>
        <w:t>2.8.  </w:t>
      </w:r>
      <w:r>
        <w:t xml:space="preserve">«Качество информации, представляемой участниками процесса ведения реестра источников доходов бюджета ЗАТО Северск» всеми </w:t>
      </w:r>
      <w:proofErr w:type="gramStart"/>
      <w:r>
        <w:t>ГАБС  получено</w:t>
      </w:r>
      <w:proofErr w:type="gramEnd"/>
      <w:r>
        <w:t xml:space="preserve"> по 5 баллов, отрицательные уведомления о результатах проверки этим ГАБС не направлялись. </w:t>
      </w:r>
    </w:p>
    <w:p>
      <w:pPr>
        <w:autoSpaceDE w:val="0"/>
        <w:autoSpaceDN w:val="0"/>
        <w:adjustRightInd w:val="0"/>
        <w:ind w:left="709"/>
        <w:jc w:val="both"/>
        <w:outlineLvl w:val="1"/>
      </w:pPr>
      <w:r>
        <w:t>Оценка проводится в соответствии со следующими показателями:</w:t>
      </w:r>
    </w:p>
    <w:tbl>
      <w:tblPr>
        <w:tblW w:w="0" w:type="auto"/>
        <w:tblInd w:w="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559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2.8</w:t>
            </w:r>
            <w:r>
              <w:t xml:space="preserve"> = 0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 xml:space="preserve">1 </w:t>
            </w:r>
            <w:proofErr w:type="gramStart"/>
            <w:r>
              <w:t>&lt; А</w:t>
            </w:r>
            <w:r>
              <w:rPr>
                <w:vertAlign w:val="subscript"/>
              </w:rPr>
              <w:t>2.8</w:t>
            </w:r>
            <w:proofErr w:type="gramEnd"/>
            <w:r>
              <w:t xml:space="preserve"> &lt; 5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rPr>
          <w:trHeight w:val="323"/>
        </w:trP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proofErr w:type="gramStart"/>
            <w:r>
              <w:t>А</w:t>
            </w:r>
            <w:r>
              <w:rPr>
                <w:vertAlign w:val="subscript"/>
              </w:rPr>
              <w:t>2.8</w:t>
            </w:r>
            <w:r>
              <w:t xml:space="preserve"> &gt;</w:t>
            </w:r>
            <w:proofErr w:type="gramEnd"/>
            <w:r>
              <w:t xml:space="preserve"> 5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  <w:r>
        <w:rPr>
          <w:b/>
          <w:i/>
        </w:rPr>
        <w:t>Максимальное количество баллов, возможное по данному разделу - 40 баллов. По направлению «Исполнение бюджета ЗАТО Северск и формирование бюджетной отчетности» оценивался менеджмент по 8 показателям. Наибольшее количество баллов присвоено Администрации (34,3 балла).</w:t>
      </w:r>
    </w:p>
    <w:p>
      <w:pPr>
        <w:autoSpaceDE w:val="0"/>
        <w:autoSpaceDN w:val="0"/>
        <w:adjustRightInd w:val="0"/>
        <w:ind w:left="-284" w:firstLine="426"/>
        <w:jc w:val="center"/>
        <w:outlineLvl w:val="1"/>
      </w:pPr>
      <w:r>
        <w:rPr>
          <w:noProof/>
        </w:rPr>
        <w:drawing>
          <wp:inline distT="0" distB="0" distL="0" distR="0">
            <wp:extent cx="5570220" cy="2446020"/>
            <wp:effectExtent l="0" t="0" r="0" b="0"/>
            <wp:docPr id="2" name="Объект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>
        <w:rPr>
          <w:noProof/>
        </w:rPr>
        <w:t xml:space="preserve">Рисунок 2 – Итоговое количество баллов по разделу </w:t>
      </w:r>
      <w:r>
        <w:rPr>
          <w:noProof/>
          <w:lang w:val="en-US"/>
        </w:rPr>
        <w:t>I</w:t>
      </w:r>
      <w:r>
        <w:rPr>
          <w:noProof/>
        </w:rPr>
        <w:t>I</w:t>
      </w: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  <w:r>
        <w:rPr>
          <w:b/>
        </w:rPr>
        <w:lastRenderedPageBreak/>
        <w:t>3. Направление «Предоставление муниципальных услуг в соответствии                           с муниципальными заданиями»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В 2020 году муниципальные задания на оказание муниципальных услуг (работ) формировались четырьмя ГАБС: Управлением образования, Управлением культуры, УМСП </w:t>
      </w:r>
      <w:proofErr w:type="spellStart"/>
      <w:r>
        <w:t>ФКиС</w:t>
      </w:r>
      <w:proofErr w:type="spellEnd"/>
      <w:r>
        <w:t xml:space="preserve"> и УЖКХ </w:t>
      </w:r>
      <w:proofErr w:type="spellStart"/>
      <w:r>
        <w:t>ТиС</w:t>
      </w:r>
      <w:proofErr w:type="spellEnd"/>
      <w:r>
        <w:t xml:space="preserve">. Максимально возможная оценка по направлению составляла 32 балла. 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Оценка качества выполнялась по восьми показателям.</w:t>
      </w:r>
    </w:p>
    <w:p>
      <w:pPr>
        <w:autoSpaceDE w:val="0"/>
        <w:autoSpaceDN w:val="0"/>
        <w:adjustRightInd w:val="0"/>
        <w:ind w:firstLine="709"/>
        <w:jc w:val="both"/>
        <w:outlineLvl w:val="1"/>
        <w:rPr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1) По показателю </w:t>
      </w:r>
      <w:r>
        <w:rPr>
          <w:b/>
        </w:rPr>
        <w:t>А</w:t>
      </w:r>
      <w:r>
        <w:rPr>
          <w:b/>
          <w:vertAlign w:val="subscript"/>
        </w:rPr>
        <w:t xml:space="preserve">3.1. </w:t>
      </w:r>
      <w:r>
        <w:t xml:space="preserve">«Наличие результатов контроля за исполнением муниципальных заданий, оформленных по форме, утвержденной соответствующим приказом учредителя» на предоставление муниципальных услуг в соответствии                              с постановлением Администрации ЗАТО Северск от 02.11.2015 № 2457.  </w:t>
      </w:r>
    </w:p>
    <w:p>
      <w:pPr>
        <w:autoSpaceDE w:val="0"/>
        <w:autoSpaceDN w:val="0"/>
        <w:adjustRightInd w:val="0"/>
        <w:ind w:left="720"/>
        <w:jc w:val="both"/>
        <w:outlineLvl w:val="1"/>
      </w:pPr>
      <w:r>
        <w:t>Оценка проводится в соответствии со следующими показателями:</w:t>
      </w:r>
    </w:p>
    <w:tbl>
      <w:tblPr>
        <w:tblW w:w="0" w:type="auto"/>
        <w:tblInd w:w="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559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3.1</w:t>
            </w:r>
            <w:r>
              <w:t xml:space="preserve"> = 100%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50% &lt;= А</w:t>
            </w:r>
            <w:r>
              <w:rPr>
                <w:vertAlign w:val="subscript"/>
              </w:rPr>
              <w:t>3.1</w:t>
            </w:r>
            <w:r>
              <w:t xml:space="preserve"> </w:t>
            </w:r>
            <w:proofErr w:type="gramStart"/>
            <w:r>
              <w:t>&lt; 100</w:t>
            </w:r>
            <w:proofErr w:type="gramEnd"/>
            <w:r>
              <w:t>%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3.1</w:t>
            </w:r>
            <w:r>
              <w:t xml:space="preserve"> </w:t>
            </w:r>
            <w:proofErr w:type="gramStart"/>
            <w:r>
              <w:t>&lt; 50</w:t>
            </w:r>
            <w:proofErr w:type="gramEnd"/>
            <w:r>
              <w:t>%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1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3.1</w:t>
            </w:r>
            <w:r>
              <w:t xml:space="preserve"> = 0%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Управлением образования, Управлением культуры и УМСП </w:t>
      </w:r>
      <w:proofErr w:type="spellStart"/>
      <w:r>
        <w:t>ФКиС</w:t>
      </w:r>
      <w:proofErr w:type="spellEnd"/>
      <w:r>
        <w:t xml:space="preserve"> составлялись отчеты о результатах контроля за исполнением муниципальных заданий всеми учреждениями, им присвоено максимальное количество баллов (5 баллов). УЖКХ </w:t>
      </w:r>
      <w:proofErr w:type="spellStart"/>
      <w:r>
        <w:t>ТиС</w:t>
      </w:r>
      <w:proofErr w:type="spellEnd"/>
      <w:r>
        <w:t xml:space="preserve"> – 0 баллов.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2) По показателю </w:t>
      </w:r>
      <w:r>
        <w:rPr>
          <w:b/>
        </w:rPr>
        <w:t>А</w:t>
      </w:r>
      <w:r>
        <w:rPr>
          <w:b/>
          <w:vertAlign w:val="subscript"/>
        </w:rPr>
        <w:t xml:space="preserve">3.2. </w:t>
      </w:r>
      <w:r>
        <w:t>«Актуализация (усовершенствование) правовых актов ГАБС                           по вопросам, касающимся муниципальных заданий».</w:t>
      </w:r>
    </w:p>
    <w:p>
      <w:pPr>
        <w:autoSpaceDE w:val="0"/>
        <w:autoSpaceDN w:val="0"/>
        <w:adjustRightInd w:val="0"/>
        <w:ind w:left="709"/>
        <w:jc w:val="both"/>
        <w:outlineLvl w:val="1"/>
      </w:pPr>
      <w:r>
        <w:t>Оценка проводится в соответствии со следующими показателями:</w:t>
      </w:r>
    </w:p>
    <w:tbl>
      <w:tblPr>
        <w:tblW w:w="0" w:type="auto"/>
        <w:tblInd w:w="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00"/>
        <w:gridCol w:w="2552"/>
      </w:tblGrid>
      <w:tr>
        <w:tc>
          <w:tcPr>
            <w:tcW w:w="390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552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390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3.2</w:t>
            </w:r>
            <w:r>
              <w:rPr>
                <w:sz w:val="20"/>
                <w:szCs w:val="20"/>
              </w:rPr>
              <w:t xml:space="preserve"> = актуализируются своевременно</w:t>
            </w:r>
          </w:p>
        </w:tc>
        <w:tc>
          <w:tcPr>
            <w:tcW w:w="2552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390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3.2</w:t>
            </w:r>
            <w:r>
              <w:rPr>
                <w:sz w:val="20"/>
                <w:szCs w:val="20"/>
              </w:rPr>
              <w:t xml:space="preserve"> = актуализируются несвоевременно</w:t>
            </w:r>
          </w:p>
        </w:tc>
        <w:tc>
          <w:tcPr>
            <w:tcW w:w="2552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</w:pPr>
      <w:r>
        <w:t>В 2020 году всеми четырьмя ГАБС своевременно подготовлены правовые акты по вопросам, касающимся муниципальных заданий, соответственно, ГАБС набрали максимальное количество баллов (3 балла) по данному показателю.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3) По показателю </w:t>
      </w:r>
      <w:r>
        <w:rPr>
          <w:b/>
        </w:rPr>
        <w:t>А</w:t>
      </w:r>
      <w:r>
        <w:rPr>
          <w:b/>
          <w:vertAlign w:val="subscript"/>
        </w:rPr>
        <w:t xml:space="preserve">3.3. </w:t>
      </w:r>
      <w:r>
        <w:t>«Использование результатов мониторинга выполнения муниципальных заданий при планировании бюджетных ассигнований и (или) определении объёма субсидий на выполнение муниципального задания…».</w:t>
      </w:r>
    </w:p>
    <w:p>
      <w:pPr>
        <w:autoSpaceDE w:val="0"/>
        <w:autoSpaceDN w:val="0"/>
        <w:adjustRightInd w:val="0"/>
        <w:ind w:left="709"/>
        <w:jc w:val="both"/>
        <w:outlineLvl w:val="1"/>
      </w:pPr>
      <w:r>
        <w:t>Оценка проводится в соответствии со следующими показателями:</w:t>
      </w:r>
    </w:p>
    <w:tbl>
      <w:tblPr>
        <w:tblW w:w="0" w:type="auto"/>
        <w:tblInd w:w="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15"/>
        <w:gridCol w:w="2552"/>
      </w:tblGrid>
      <w:tr>
        <w:tc>
          <w:tcPr>
            <w:tcW w:w="391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55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Количество баллов</w:t>
            </w:r>
          </w:p>
        </w:tc>
      </w:tr>
      <w:tr>
        <w:tc>
          <w:tcPr>
            <w:tcW w:w="391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3.3</w:t>
            </w:r>
            <w:r>
              <w:rPr>
                <w:sz w:val="20"/>
                <w:szCs w:val="20"/>
              </w:rPr>
              <w:t xml:space="preserve"> = результаты используются</w:t>
            </w:r>
          </w:p>
        </w:tc>
        <w:tc>
          <w:tcPr>
            <w:tcW w:w="2552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391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3.3</w:t>
            </w:r>
            <w:r>
              <w:rPr>
                <w:sz w:val="20"/>
                <w:szCs w:val="20"/>
              </w:rPr>
              <w:t xml:space="preserve"> = результаты не используются</w:t>
            </w:r>
          </w:p>
        </w:tc>
        <w:tc>
          <w:tcPr>
            <w:tcW w:w="2552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</w:pPr>
      <w:r>
        <w:t>Использование результатов осуществлялось, ГАБС присвоено 3 балла.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4) По показателю </w:t>
      </w:r>
      <w:r>
        <w:rPr>
          <w:b/>
        </w:rPr>
        <w:t>А</w:t>
      </w:r>
      <w:r>
        <w:rPr>
          <w:b/>
          <w:vertAlign w:val="subscript"/>
        </w:rPr>
        <w:t xml:space="preserve">3.4. </w:t>
      </w:r>
      <w:r>
        <w:t xml:space="preserve">«Качественное и своевременное формирование информации учреждениями по поступлениям и выплатам </w:t>
      </w:r>
      <w:proofErr w:type="gramStart"/>
      <w:r>
        <w:t>плановых  и</w:t>
      </w:r>
      <w:proofErr w:type="gramEnd"/>
      <w:r>
        <w:t xml:space="preserve"> фактических показателей плана финансово-хозяйственной деятельности в ИС «АЦК-финансы»». </w:t>
      </w:r>
    </w:p>
    <w:p>
      <w:pPr>
        <w:autoSpaceDE w:val="0"/>
        <w:autoSpaceDN w:val="0"/>
        <w:adjustRightInd w:val="0"/>
        <w:ind w:firstLine="708"/>
        <w:jc w:val="both"/>
        <w:outlineLvl w:val="1"/>
      </w:pPr>
      <w:r>
        <w:t>Оценка проводится в соответствии со следующими показателями:</w:t>
      </w:r>
    </w:p>
    <w:tbl>
      <w:tblPr>
        <w:tblW w:w="0" w:type="auto"/>
        <w:tblInd w:w="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688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68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3.4</w:t>
            </w:r>
            <w:r>
              <w:t xml:space="preserve"> = 100%</w:t>
            </w:r>
          </w:p>
        </w:tc>
        <w:tc>
          <w:tcPr>
            <w:tcW w:w="268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80% &lt;= А</w:t>
            </w:r>
            <w:r>
              <w:rPr>
                <w:vertAlign w:val="subscript"/>
              </w:rPr>
              <w:t>3.4</w:t>
            </w:r>
            <w:r>
              <w:t xml:space="preserve"> </w:t>
            </w:r>
            <w:proofErr w:type="gramStart"/>
            <w:r>
              <w:t>&lt; 100</w:t>
            </w:r>
            <w:proofErr w:type="gramEnd"/>
            <w:r>
              <w:t>%</w:t>
            </w:r>
          </w:p>
        </w:tc>
        <w:tc>
          <w:tcPr>
            <w:tcW w:w="268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3.4</w:t>
            </w:r>
            <w:r>
              <w:t xml:space="preserve"> </w:t>
            </w:r>
            <w:proofErr w:type="gramStart"/>
            <w:r>
              <w:t>&lt; 80</w:t>
            </w:r>
            <w:proofErr w:type="gramEnd"/>
            <w:r>
              <w:t>%</w:t>
            </w:r>
          </w:p>
        </w:tc>
        <w:tc>
          <w:tcPr>
            <w:tcW w:w="268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</w:pPr>
      <w:r>
        <w:t>Формирования годовых отчетов осуществлялось своевременно и по установленным формам, количество присвоенных баллов - 5.</w:t>
      </w:r>
    </w:p>
    <w:p>
      <w:pPr>
        <w:autoSpaceDE w:val="0"/>
        <w:autoSpaceDN w:val="0"/>
        <w:adjustRightInd w:val="0"/>
        <w:ind w:firstLine="708"/>
        <w:jc w:val="both"/>
        <w:outlineLvl w:val="1"/>
      </w:pPr>
      <w:r>
        <w:t>5) По показателю</w:t>
      </w:r>
      <w:r>
        <w:rPr>
          <w:b/>
        </w:rPr>
        <w:t xml:space="preserve"> А</w:t>
      </w:r>
      <w:r>
        <w:rPr>
          <w:b/>
          <w:vertAlign w:val="subscript"/>
        </w:rPr>
        <w:t xml:space="preserve">3.5. </w:t>
      </w:r>
      <w:r>
        <w:rPr>
          <w:b/>
        </w:rPr>
        <w:t xml:space="preserve"> </w:t>
      </w:r>
      <w:r>
        <w:t>«Размещение и своевременное обновление информации о бюджетных и автономных муниципальных учреждениях на Официальном сайте bus.gov.ru» произведен мониторинг данных, размещенных на указанном сайте.</w:t>
      </w:r>
    </w:p>
    <w:p>
      <w:pPr>
        <w:autoSpaceDE w:val="0"/>
        <w:autoSpaceDN w:val="0"/>
        <w:adjustRightInd w:val="0"/>
        <w:ind w:firstLine="708"/>
        <w:jc w:val="both"/>
        <w:outlineLvl w:val="1"/>
      </w:pPr>
    </w:p>
    <w:p>
      <w:pPr>
        <w:autoSpaceDE w:val="0"/>
        <w:autoSpaceDN w:val="0"/>
        <w:adjustRightInd w:val="0"/>
        <w:ind w:firstLine="708"/>
        <w:jc w:val="both"/>
        <w:outlineLvl w:val="1"/>
      </w:pPr>
      <w:r>
        <w:lastRenderedPageBreak/>
        <w:t>Оценка проводится в соответствии со следующими показателями:</w:t>
      </w:r>
    </w:p>
    <w:tbl>
      <w:tblPr>
        <w:tblW w:w="0" w:type="auto"/>
        <w:tblInd w:w="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763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76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3.5</w:t>
            </w:r>
            <w:r>
              <w:t xml:space="preserve"> = 100%</w:t>
            </w:r>
          </w:p>
        </w:tc>
        <w:tc>
          <w:tcPr>
            <w:tcW w:w="276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3.5</w:t>
            </w:r>
            <w:r>
              <w:t xml:space="preserve"> </w:t>
            </w:r>
            <w:proofErr w:type="gramStart"/>
            <w:r>
              <w:t>&lt; 100</w:t>
            </w:r>
            <w:proofErr w:type="gramEnd"/>
            <w:r>
              <w:t>%</w:t>
            </w:r>
          </w:p>
        </w:tc>
        <w:tc>
          <w:tcPr>
            <w:tcW w:w="276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jc w:val="right"/>
        <w:outlineLvl w:val="1"/>
      </w:pPr>
      <w:r>
        <w:t xml:space="preserve">Таблица 8                                                                                                               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2126"/>
        <w:gridCol w:w="1843"/>
        <w:gridCol w:w="1275"/>
        <w:gridCol w:w="1418"/>
      </w:tblGrid>
      <w:tr>
        <w:tc>
          <w:tcPr>
            <w:tcW w:w="2694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ГАБС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учреждений, разместивших данные своевременно и в полном объеме</w:t>
            </w:r>
          </w:p>
        </w:tc>
        <w:tc>
          <w:tcPr>
            <w:tcW w:w="184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>Общее число учреждений</w:t>
            </w:r>
          </w:p>
        </w:tc>
        <w:tc>
          <w:tcPr>
            <w:tcW w:w="127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Значение показателя А</w:t>
            </w:r>
            <w:r>
              <w:rPr>
                <w:sz w:val="22"/>
                <w:szCs w:val="22"/>
                <w:vertAlign w:val="subscript"/>
              </w:rPr>
              <w:t>3.5</w:t>
            </w:r>
            <w:proofErr w:type="gramStart"/>
            <w:r>
              <w:rPr>
                <w:sz w:val="22"/>
                <w:szCs w:val="22"/>
                <w:vertAlign w:val="subscript"/>
              </w:rPr>
              <w:t xml:space="preserve">,  </w:t>
            </w:r>
            <w:r>
              <w:rPr>
                <w:sz w:val="22"/>
                <w:szCs w:val="22"/>
              </w:rPr>
              <w:t>,</w:t>
            </w:r>
            <w:proofErr w:type="gramEnd"/>
            <w:r>
              <w:rPr>
                <w:sz w:val="22"/>
                <w:szCs w:val="22"/>
              </w:rPr>
              <w:t xml:space="preserve"> %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  <w:vertAlign w:val="subscript"/>
              </w:rPr>
              <w:t>(гр. 2/гр. 3*100)</w:t>
            </w:r>
          </w:p>
        </w:tc>
        <w:tc>
          <w:tcPr>
            <w:tcW w:w="1418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баллов, ед.</w:t>
            </w:r>
          </w:p>
        </w:tc>
      </w:tr>
      <w:tr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</w:tcPr>
          <w:p>
            <w:pPr>
              <w:autoSpaceDE w:val="0"/>
              <w:autoSpaceDN w:val="0"/>
              <w:adjustRightInd w:val="0"/>
              <w:ind w:right="-171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84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275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84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275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4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275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Максимальное количество баллов у двух ГАБС: Управления образования и УЖКХ </w:t>
      </w:r>
      <w:proofErr w:type="spellStart"/>
      <w:r>
        <w:t>ТиС</w:t>
      </w:r>
      <w:proofErr w:type="spellEnd"/>
      <w:r>
        <w:t xml:space="preserve">. Управлению культуры и УМСП </w:t>
      </w:r>
      <w:proofErr w:type="spellStart"/>
      <w:r>
        <w:t>ФКиС</w:t>
      </w:r>
      <w:proofErr w:type="spellEnd"/>
      <w:r>
        <w:t xml:space="preserve"> необходимо усилить контроль за размещением подведомственными учреждениями информации на официальном сайте bus.gov.ru.</w:t>
      </w:r>
    </w:p>
    <w:p>
      <w:pPr>
        <w:autoSpaceDE w:val="0"/>
        <w:autoSpaceDN w:val="0"/>
        <w:adjustRightInd w:val="0"/>
        <w:ind w:firstLine="709"/>
        <w:jc w:val="both"/>
        <w:outlineLvl w:val="1"/>
        <w:rPr>
          <w:sz w:val="16"/>
          <w:szCs w:val="16"/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6) По показателю </w:t>
      </w:r>
      <w:r>
        <w:rPr>
          <w:b/>
        </w:rPr>
        <w:t>А</w:t>
      </w:r>
      <w:r>
        <w:rPr>
          <w:b/>
          <w:vertAlign w:val="subscript"/>
        </w:rPr>
        <w:t xml:space="preserve">3.6. </w:t>
      </w:r>
      <w:r>
        <w:rPr>
          <w:b/>
        </w:rPr>
        <w:t xml:space="preserve"> </w:t>
      </w:r>
      <w:r>
        <w:t xml:space="preserve">«Проведение оценки потребности в предоставлении муниципальных услуг, проводимой в соответствии с Порядком, определенным соответствующим приказом учредителя». </w:t>
      </w:r>
    </w:p>
    <w:p>
      <w:pPr>
        <w:autoSpaceDE w:val="0"/>
        <w:autoSpaceDN w:val="0"/>
        <w:adjustRightInd w:val="0"/>
        <w:ind w:firstLine="708"/>
        <w:jc w:val="both"/>
        <w:outlineLvl w:val="1"/>
      </w:pPr>
      <w:r>
        <w:t>Оценка проводится в соответствии со следующими показателями:</w:t>
      </w:r>
    </w:p>
    <w:tbl>
      <w:tblPr>
        <w:tblW w:w="0" w:type="auto"/>
        <w:tblInd w:w="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4217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421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3.6</w:t>
            </w:r>
            <w:r>
              <w:t xml:space="preserve"> = 100%</w:t>
            </w:r>
          </w:p>
        </w:tc>
        <w:tc>
          <w:tcPr>
            <w:tcW w:w="421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3.6</w:t>
            </w:r>
            <w:r>
              <w:t xml:space="preserve"> </w:t>
            </w:r>
            <w:proofErr w:type="gramStart"/>
            <w:r>
              <w:t>&lt; 100</w:t>
            </w:r>
            <w:proofErr w:type="gramEnd"/>
            <w:r>
              <w:t>%</w:t>
            </w:r>
          </w:p>
        </w:tc>
        <w:tc>
          <w:tcPr>
            <w:tcW w:w="421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</w:pPr>
      <w:r>
        <w:t>Оценка потребности произведена Управлением образования, Управлением культуры и УМСП </w:t>
      </w:r>
      <w:proofErr w:type="spellStart"/>
      <w:r>
        <w:t>ФКиС</w:t>
      </w:r>
      <w:proofErr w:type="spellEnd"/>
      <w:r>
        <w:t>, им присвоено по 3 балла. В связи с отсутствием утвержденного порядка оценки потребности услуг (работ) в УЖКХ </w:t>
      </w:r>
      <w:proofErr w:type="spellStart"/>
      <w:r>
        <w:t>ТиС</w:t>
      </w:r>
      <w:proofErr w:type="spellEnd"/>
      <w:r>
        <w:t xml:space="preserve"> им присвоено 0 баллов.</w:t>
      </w:r>
    </w:p>
    <w:p>
      <w:pPr>
        <w:autoSpaceDE w:val="0"/>
        <w:autoSpaceDN w:val="0"/>
        <w:adjustRightInd w:val="0"/>
        <w:ind w:firstLine="708"/>
        <w:jc w:val="both"/>
        <w:outlineLvl w:val="1"/>
      </w:pPr>
      <w:r>
        <w:t>7) По показателю</w:t>
      </w:r>
      <w:r>
        <w:rPr>
          <w:b/>
        </w:rPr>
        <w:t xml:space="preserve"> А</w:t>
      </w:r>
      <w:r>
        <w:rPr>
          <w:b/>
          <w:vertAlign w:val="subscript"/>
        </w:rPr>
        <w:t xml:space="preserve">3.7. </w:t>
      </w:r>
      <w:r>
        <w:rPr>
          <w:b/>
        </w:rPr>
        <w:t xml:space="preserve"> </w:t>
      </w:r>
      <w:r>
        <w:t xml:space="preserve">«Своевременность подписания Соглашений о предоставлении субсидии на выполнение муниципального задания» произведен мониторинг данных в системе «АЦК-Финансы», показавший, что ГАБС соглашения подписаны в срок, всем присвоено по 3 балла. </w:t>
      </w:r>
    </w:p>
    <w:p>
      <w:pPr>
        <w:autoSpaceDE w:val="0"/>
        <w:autoSpaceDN w:val="0"/>
        <w:adjustRightInd w:val="0"/>
        <w:ind w:left="709"/>
        <w:jc w:val="both"/>
        <w:outlineLvl w:val="1"/>
      </w:pPr>
      <w:r>
        <w:t>Оценка проводится в соответствии со следующими показателями:</w:t>
      </w:r>
    </w:p>
    <w:tbl>
      <w:tblPr>
        <w:tblW w:w="0" w:type="auto"/>
        <w:tblInd w:w="6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4"/>
        <w:gridCol w:w="2268"/>
      </w:tblGrid>
      <w:tr>
        <w:tc>
          <w:tcPr>
            <w:tcW w:w="465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Значение показателя</w:t>
            </w:r>
          </w:p>
        </w:tc>
        <w:tc>
          <w:tcPr>
            <w:tcW w:w="226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465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3.7</w:t>
            </w:r>
            <w:r>
              <w:rPr>
                <w:sz w:val="20"/>
                <w:szCs w:val="20"/>
              </w:rPr>
              <w:t xml:space="preserve"> = до 14 января отчетного года включительно</w:t>
            </w:r>
          </w:p>
        </w:tc>
        <w:tc>
          <w:tcPr>
            <w:tcW w:w="226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465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3.7</w:t>
            </w:r>
            <w:r>
              <w:rPr>
                <w:sz w:val="20"/>
                <w:szCs w:val="20"/>
              </w:rPr>
              <w:t xml:space="preserve"> = 15 января отчетного года и позднее</w:t>
            </w:r>
          </w:p>
        </w:tc>
        <w:tc>
          <w:tcPr>
            <w:tcW w:w="226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ind w:firstLine="709"/>
        <w:jc w:val="both"/>
      </w:pPr>
    </w:p>
    <w:p>
      <w:pPr>
        <w:ind w:firstLine="709"/>
        <w:jc w:val="both"/>
      </w:pPr>
      <w:r>
        <w:t xml:space="preserve">8) По показателю </w:t>
      </w:r>
      <w:r>
        <w:rPr>
          <w:b/>
        </w:rPr>
        <w:t>А</w:t>
      </w:r>
      <w:r>
        <w:rPr>
          <w:b/>
          <w:vertAlign w:val="subscript"/>
        </w:rPr>
        <w:t>3.8.  </w:t>
      </w:r>
      <w:r>
        <w:t xml:space="preserve">«Качество формирования годовой бухгалтерской отчётности, представленной </w:t>
      </w:r>
      <w:proofErr w:type="gramStart"/>
      <w:r>
        <w:t>Учредителем  в</w:t>
      </w:r>
      <w:proofErr w:type="gramEnd"/>
      <w:r>
        <w:t xml:space="preserve"> АИС «БАРС. </w:t>
      </w:r>
      <w:proofErr w:type="spellStart"/>
      <w:r>
        <w:t>Web</w:t>
      </w:r>
      <w:proofErr w:type="spellEnd"/>
      <w:r>
        <w:t xml:space="preserve"> –бюджетный учет» оценка проводится в соответствии со следующими показателями:</w:t>
      </w:r>
    </w:p>
    <w:tbl>
      <w:tblPr>
        <w:tblW w:w="0" w:type="auto"/>
        <w:tblInd w:w="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559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3.8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5- А</w:t>
            </w:r>
            <w:r>
              <w:rPr>
                <w:vertAlign w:val="subscript"/>
              </w:rPr>
              <w:t>3.8</w:t>
            </w:r>
          </w:p>
        </w:tc>
      </w:tr>
    </w:tbl>
    <w:p>
      <w:pPr>
        <w:tabs>
          <w:tab w:val="left" w:pos="4962"/>
        </w:tabs>
        <w:ind w:left="-142"/>
        <w:jc w:val="center"/>
      </w:pPr>
      <w:r>
        <w:t xml:space="preserve">                                                                                                                                          Таблица 9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73"/>
        <w:gridCol w:w="1317"/>
        <w:gridCol w:w="1520"/>
        <w:gridCol w:w="1946"/>
      </w:tblGrid>
      <w:tr>
        <w:trPr>
          <w:trHeight w:val="612"/>
        </w:trPr>
        <w:tc>
          <w:tcPr>
            <w:tcW w:w="4573" w:type="dxa"/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Наименование ГАБС</w:t>
            </w:r>
          </w:p>
        </w:tc>
        <w:tc>
          <w:tcPr>
            <w:tcW w:w="1317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</w:t>
            </w:r>
            <w:proofErr w:type="gramStart"/>
            <w:r>
              <w:rPr>
                <w:sz w:val="22"/>
                <w:szCs w:val="22"/>
              </w:rPr>
              <w:t>форм  с</w:t>
            </w:r>
            <w:proofErr w:type="gramEnd"/>
            <w:r>
              <w:rPr>
                <w:sz w:val="22"/>
                <w:szCs w:val="22"/>
              </w:rPr>
              <w:t xml:space="preserve"> ошибками</w:t>
            </w:r>
          </w:p>
        </w:tc>
        <w:tc>
          <w:tcPr>
            <w:tcW w:w="1520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форм всего</w:t>
            </w:r>
          </w:p>
        </w:tc>
        <w:tc>
          <w:tcPr>
            <w:tcW w:w="1946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баллов, ед.</w:t>
            </w:r>
          </w:p>
          <w:p>
            <w:pPr>
              <w:jc w:val="center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  <w:vertAlign w:val="subscript"/>
              </w:rPr>
              <w:t xml:space="preserve"> 5-(2)/(3)*5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17" w:type="dxa"/>
            <w:shd w:val="clear" w:color="auto" w:fill="FFFFFF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20" w:type="dxa"/>
            <w:shd w:val="clear" w:color="auto" w:fill="FFFFFF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1317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20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3,2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1317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20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1,7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1317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20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1,8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317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20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3,6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  <w:r>
        <w:rPr>
          <w:b/>
          <w:i/>
        </w:rPr>
        <w:lastRenderedPageBreak/>
        <w:t>Максимальную оценку по направлению «Предоставление муниципальных услуг в соответствии с муниципальными заданиями»</w:t>
      </w:r>
      <w:r>
        <w:rPr>
          <w:b/>
        </w:rPr>
        <w:t xml:space="preserve"> </w:t>
      </w:r>
      <w:r>
        <w:rPr>
          <w:b/>
          <w:i/>
        </w:rPr>
        <w:t>не получил ни один ГАБС.</w:t>
      </w: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  <w:r>
        <w:rPr>
          <w:b/>
          <w:i/>
        </w:rPr>
        <w:t>Наилучший результат достигнут Управлением образования.</w:t>
      </w:r>
    </w:p>
    <w:p>
      <w:pPr>
        <w:autoSpaceDE w:val="0"/>
        <w:autoSpaceDN w:val="0"/>
        <w:adjustRightInd w:val="0"/>
        <w:ind w:left="1669"/>
        <w:jc w:val="both"/>
        <w:outlineLvl w:val="1"/>
      </w:pPr>
    </w:p>
    <w:p>
      <w:pPr>
        <w:jc w:val="center"/>
        <w:rPr>
          <w:noProof/>
          <w:color w:val="FF0000"/>
        </w:rPr>
      </w:pPr>
      <w:r>
        <w:rPr>
          <w:noProof/>
        </w:rPr>
        <w:drawing>
          <wp:inline distT="0" distB="0" distL="0" distR="0">
            <wp:extent cx="4410075" cy="1552575"/>
            <wp:effectExtent l="0" t="0" r="0" b="0"/>
            <wp:docPr id="3" name="Объект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>
      <w:pPr>
        <w:jc w:val="center"/>
      </w:pPr>
      <w:r>
        <w:rPr>
          <w:noProof/>
        </w:rPr>
        <w:t xml:space="preserve">Рисунок 3 – Итоговое количество баллов по разделу </w:t>
      </w:r>
      <w:r>
        <w:rPr>
          <w:noProof/>
          <w:lang w:val="en-US"/>
        </w:rPr>
        <w:t>I</w:t>
      </w:r>
      <w:r>
        <w:rPr>
          <w:noProof/>
        </w:rPr>
        <w:t>II</w:t>
      </w: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  <w:r>
        <w:rPr>
          <w:b/>
        </w:rPr>
        <w:t xml:space="preserve">4. Направление «Качество исполнения бюджетного процесса во взаимосвязи с выявленными бюджетными нарушениями и осуществлением внутреннего финансового аудита» 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Максимальное количество баллов, по которым оценивалась деятельность                        ГАБС – 18 баллов. Оценка качества выполнялась по четырем показателям:</w:t>
      </w:r>
    </w:p>
    <w:p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1"/>
      </w:pPr>
      <w:r>
        <w:t xml:space="preserve">По показателю </w:t>
      </w:r>
      <w:r>
        <w:rPr>
          <w:b/>
        </w:rPr>
        <w:t>А</w:t>
      </w:r>
      <w:r>
        <w:rPr>
          <w:b/>
          <w:vertAlign w:val="subscript"/>
        </w:rPr>
        <w:t xml:space="preserve">4.1. </w:t>
      </w:r>
      <w:r>
        <w:t>«Нарушения, выявленные в ходе проведения контрольных мероприятий уполномоченным органом внутреннего муниципального финансового контроля в отчетном финансовом году».</w:t>
      </w:r>
    </w:p>
    <w:p>
      <w:pPr>
        <w:autoSpaceDE w:val="0"/>
        <w:autoSpaceDN w:val="0"/>
        <w:adjustRightInd w:val="0"/>
        <w:ind w:left="709"/>
        <w:jc w:val="both"/>
        <w:outlineLvl w:val="1"/>
      </w:pPr>
      <w:r>
        <w:t>Оценка проводится в соответствии со следующими показателями:</w:t>
      </w:r>
    </w:p>
    <w:tbl>
      <w:tblPr>
        <w:tblW w:w="0" w:type="auto"/>
        <w:tblInd w:w="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4"/>
        <w:gridCol w:w="2551"/>
      </w:tblGrid>
      <w:tr>
        <w:tc>
          <w:tcPr>
            <w:tcW w:w="424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Количество баллов</w:t>
            </w:r>
          </w:p>
        </w:tc>
      </w:tr>
      <w:tr>
        <w:tc>
          <w:tcPr>
            <w:tcW w:w="424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4.2</w:t>
            </w:r>
            <w:r>
              <w:rPr>
                <w:sz w:val="20"/>
                <w:szCs w:val="20"/>
              </w:rPr>
              <w:t xml:space="preserve"> = нарушения отсутствуют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5</w:t>
            </w:r>
          </w:p>
        </w:tc>
      </w:tr>
      <w:tr>
        <w:tc>
          <w:tcPr>
            <w:tcW w:w="424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4.2</w:t>
            </w:r>
            <w:r>
              <w:rPr>
                <w:sz w:val="20"/>
                <w:szCs w:val="20"/>
              </w:rPr>
              <w:t xml:space="preserve"> = нарушения установлены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0</w:t>
            </w:r>
          </w:p>
        </w:tc>
      </w:tr>
    </w:tbl>
    <w:p>
      <w:pPr>
        <w:ind w:firstLine="709"/>
        <w:jc w:val="both"/>
      </w:pPr>
      <w:r>
        <w:t>В соответствии с пунктом 5 Порядка показатель А</w:t>
      </w:r>
      <w:r>
        <w:rPr>
          <w:vertAlign w:val="subscript"/>
        </w:rPr>
        <w:t>4.1</w:t>
      </w:r>
      <w:proofErr w:type="gramStart"/>
      <w:r>
        <w:rPr>
          <w:vertAlign w:val="subscript"/>
        </w:rPr>
        <w:t>.</w:t>
      </w:r>
      <w:r>
        <w:t xml:space="preserve"> при</w:t>
      </w:r>
      <w:proofErr w:type="gramEnd"/>
      <w:r>
        <w:t xml:space="preserve"> отсутствии в отчетном году внешних проверок, принимается равным нулю.</w:t>
      </w:r>
    </w:p>
    <w:p>
      <w:pPr>
        <w:spacing w:after="120"/>
        <w:ind w:firstLine="709"/>
        <w:jc w:val="both"/>
      </w:pPr>
      <w:r>
        <w:t xml:space="preserve">В соответствии с данными Контрольно-ревизионного комитета Администрации ЗАТО Северск по 6 ГАБС (УЖКХ </w:t>
      </w:r>
      <w:proofErr w:type="spellStart"/>
      <w:r>
        <w:t>ТиС</w:t>
      </w:r>
      <w:proofErr w:type="spellEnd"/>
      <w:r>
        <w:t xml:space="preserve">, УИО, УЧС, УКС, УВГТ, Финансовое управление) проверок не проводилось, им присвоено по 0 баллов. По Управлению образованию, Управлению культуры, УМСП </w:t>
      </w:r>
      <w:proofErr w:type="spellStart"/>
      <w:r>
        <w:t>ФКиС</w:t>
      </w:r>
      <w:proofErr w:type="spellEnd"/>
      <w:r>
        <w:t xml:space="preserve"> проведенными проверками установлены нарушения у подведомственных учреждений, соответственно им также присвоено по 0 баллов. По Администрации проведенной проверкой не установлены нарушения, присвоено 5 баллов.</w:t>
      </w:r>
    </w:p>
    <w:p>
      <w:pPr>
        <w:spacing w:after="120"/>
        <w:ind w:firstLine="709"/>
        <w:jc w:val="both"/>
      </w:pPr>
      <w:r>
        <w:t>2) По</w:t>
      </w:r>
      <w:r>
        <w:rPr>
          <w:b/>
        </w:rPr>
        <w:t xml:space="preserve"> </w:t>
      </w:r>
      <w:r>
        <w:t xml:space="preserve">показателю </w:t>
      </w:r>
      <w:r>
        <w:rPr>
          <w:b/>
        </w:rPr>
        <w:t>А</w:t>
      </w:r>
      <w:r>
        <w:rPr>
          <w:b/>
          <w:vertAlign w:val="subscript"/>
        </w:rPr>
        <w:t>4.2</w:t>
      </w:r>
      <w:r>
        <w:rPr>
          <w:vertAlign w:val="subscript"/>
        </w:rPr>
        <w:t xml:space="preserve"> </w:t>
      </w:r>
      <w:r>
        <w:t>«Полнота и своевременность исполнения представлений и предписаний уполномоченного органа внутреннего муниципального финансового контроля в отчетном финансовом году».</w:t>
      </w:r>
    </w:p>
    <w:p>
      <w:pPr>
        <w:autoSpaceDE w:val="0"/>
        <w:autoSpaceDN w:val="0"/>
        <w:adjustRightInd w:val="0"/>
        <w:ind w:left="709"/>
        <w:jc w:val="both"/>
        <w:outlineLvl w:val="1"/>
      </w:pPr>
      <w:r>
        <w:t>Оценка проводится в соответствии со следующими показателями:</w:t>
      </w:r>
    </w:p>
    <w:tbl>
      <w:tblPr>
        <w:tblW w:w="0" w:type="auto"/>
        <w:tblInd w:w="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559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4.3</w:t>
            </w:r>
            <w:r>
              <w:rPr>
                <w:sz w:val="20"/>
                <w:szCs w:val="20"/>
              </w:rPr>
              <w:t xml:space="preserve"> = исполнены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4.3</w:t>
            </w:r>
            <w:r>
              <w:rPr>
                <w:sz w:val="20"/>
                <w:szCs w:val="20"/>
              </w:rPr>
              <w:t xml:space="preserve"> = исполнены частично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4.3</w:t>
            </w:r>
            <w:r>
              <w:rPr>
                <w:sz w:val="20"/>
                <w:szCs w:val="20"/>
              </w:rPr>
              <w:t xml:space="preserve"> = не исполнены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ind w:firstLine="709"/>
        <w:jc w:val="both"/>
      </w:pPr>
      <w:r>
        <w:t xml:space="preserve">В соответствии с пунктом 5 Порядка показатель </w:t>
      </w:r>
      <w:proofErr w:type="gramStart"/>
      <w:r>
        <w:t>А</w:t>
      </w:r>
      <w:r>
        <w:rPr>
          <w:vertAlign w:val="subscript"/>
        </w:rPr>
        <w:t>4.2.</w:t>
      </w:r>
      <w:r>
        <w:t>,</w:t>
      </w:r>
      <w:proofErr w:type="gramEnd"/>
      <w:r>
        <w:t xml:space="preserve"> при отсутствии в отчетном году внешних проверок, принимается равным нулю.</w:t>
      </w:r>
    </w:p>
    <w:p>
      <w:pPr>
        <w:ind w:firstLine="709"/>
        <w:jc w:val="both"/>
      </w:pPr>
      <w:r>
        <w:t xml:space="preserve">В соответствии с данными Контрольно-ревизионного комитета Администрации ЗАТО Северск подведомственными учреждениями Управления образования, Управления культуры, УМСП </w:t>
      </w:r>
      <w:proofErr w:type="spellStart"/>
      <w:r>
        <w:t>ФКиС</w:t>
      </w:r>
      <w:proofErr w:type="spellEnd"/>
      <w:r>
        <w:t xml:space="preserve"> предписания исполнены, замечания устранены, им присвоено 3 балла. Администрации предписания не выносились, присвоено по 0 баллов. </w:t>
      </w:r>
    </w:p>
    <w:p>
      <w:pPr>
        <w:autoSpaceDE w:val="0"/>
        <w:autoSpaceDN w:val="0"/>
        <w:adjustRightInd w:val="0"/>
        <w:spacing w:before="120"/>
        <w:ind w:firstLine="709"/>
        <w:jc w:val="both"/>
        <w:outlineLvl w:val="1"/>
      </w:pPr>
      <w:r>
        <w:t xml:space="preserve">3) По показателю </w:t>
      </w:r>
      <w:r>
        <w:rPr>
          <w:b/>
        </w:rPr>
        <w:t>А</w:t>
      </w:r>
      <w:r>
        <w:rPr>
          <w:b/>
          <w:vertAlign w:val="subscript"/>
        </w:rPr>
        <w:t xml:space="preserve">4.3. </w:t>
      </w:r>
      <w:r>
        <w:rPr>
          <w:b/>
        </w:rPr>
        <w:t>«</w:t>
      </w:r>
      <w:r>
        <w:t xml:space="preserve">Судебные иски (в денежном выражении), подлежащие взысканию по исполнительным документам в отчётном финансовом году». </w:t>
      </w:r>
    </w:p>
    <w:p>
      <w:pPr>
        <w:autoSpaceDE w:val="0"/>
        <w:autoSpaceDN w:val="0"/>
        <w:adjustRightInd w:val="0"/>
        <w:ind w:left="720"/>
        <w:jc w:val="both"/>
        <w:outlineLvl w:val="1"/>
      </w:pPr>
    </w:p>
    <w:p>
      <w:pPr>
        <w:autoSpaceDE w:val="0"/>
        <w:autoSpaceDN w:val="0"/>
        <w:adjustRightInd w:val="0"/>
        <w:ind w:left="720"/>
        <w:jc w:val="both"/>
        <w:outlineLvl w:val="1"/>
      </w:pPr>
      <w:r>
        <w:lastRenderedPageBreak/>
        <w:t>Оценка проводится в соответствии со следующими показателями:</w:t>
      </w:r>
    </w:p>
    <w:tbl>
      <w:tblPr>
        <w:tblW w:w="0" w:type="auto"/>
        <w:tblInd w:w="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559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Значение показателя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4.4</w:t>
            </w:r>
            <w:r>
              <w:t xml:space="preserve"> = 0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 xml:space="preserve">0 </w:t>
            </w:r>
            <w:proofErr w:type="gramStart"/>
            <w:r>
              <w:t>&lt; А</w:t>
            </w:r>
            <w:r>
              <w:rPr>
                <w:vertAlign w:val="subscript"/>
              </w:rPr>
              <w:t>4.4</w:t>
            </w:r>
            <w:proofErr w:type="gramEnd"/>
            <w:r>
              <w:t xml:space="preserve"> &lt;= 2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rPr>
          <w:trHeight w:val="267"/>
        </w:trP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proofErr w:type="gramStart"/>
            <w:r>
              <w:t>А</w:t>
            </w:r>
            <w:r>
              <w:rPr>
                <w:vertAlign w:val="subscript"/>
              </w:rPr>
              <w:t>4.4</w:t>
            </w:r>
            <w:r>
              <w:t xml:space="preserve"> &gt;</w:t>
            </w:r>
            <w:proofErr w:type="gramEnd"/>
            <w:r>
              <w:t xml:space="preserve"> 2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spacing w:before="100" w:beforeAutospacing="1"/>
        <w:ind w:firstLine="709"/>
        <w:jc w:val="both"/>
        <w:outlineLvl w:val="1"/>
      </w:pPr>
      <w:r>
        <w:t xml:space="preserve">По УЖКХ </w:t>
      </w:r>
      <w:proofErr w:type="spellStart"/>
      <w:r>
        <w:t>ТиС</w:t>
      </w:r>
      <w:proofErr w:type="spellEnd"/>
      <w:r>
        <w:t>, Администрации, УИО и УВГТ были произведены расходы по исполнительным документам за счет средств бюджета ЗАТО Северск, доля расходов на исполнение судебных актов составила до 2,0 %, соответственно присвоено 3 балла. По остальным ГАБС -  5 баллов.</w:t>
      </w:r>
    </w:p>
    <w:p>
      <w:pPr>
        <w:autoSpaceDE w:val="0"/>
        <w:autoSpaceDN w:val="0"/>
        <w:adjustRightInd w:val="0"/>
        <w:jc w:val="right"/>
        <w:outlineLvl w:val="1"/>
      </w:pPr>
      <w:r>
        <w:t xml:space="preserve">Таблица 10                             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2340"/>
        <w:gridCol w:w="2151"/>
        <w:gridCol w:w="1449"/>
        <w:gridCol w:w="1317"/>
      </w:tblGrid>
      <w:tr>
        <w:tc>
          <w:tcPr>
            <w:tcW w:w="2268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ГАБС</w:t>
            </w:r>
          </w:p>
        </w:tc>
        <w:tc>
          <w:tcPr>
            <w:tcW w:w="2340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Сумма, взысканная по исполнительным документам за счёт средств бюджета ЗАТО Северск,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215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 xml:space="preserve">Общий объём бюджетных ассигнований ГАБС (без учёта МБТ и ПНО),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449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Значение показателя А</w:t>
            </w:r>
            <w:r>
              <w:rPr>
                <w:sz w:val="22"/>
                <w:szCs w:val="22"/>
                <w:vertAlign w:val="subscript"/>
              </w:rPr>
              <w:t>4.4</w:t>
            </w:r>
            <w:proofErr w:type="gramStart"/>
            <w:r>
              <w:rPr>
                <w:sz w:val="22"/>
                <w:szCs w:val="22"/>
                <w:vertAlign w:val="subscript"/>
              </w:rPr>
              <w:t xml:space="preserve">, </w:t>
            </w:r>
            <w:r>
              <w:rPr>
                <w:sz w:val="22"/>
                <w:szCs w:val="22"/>
              </w:rPr>
              <w:t>,</w:t>
            </w:r>
            <w:proofErr w:type="gramEnd"/>
            <w:r>
              <w:rPr>
                <w:sz w:val="22"/>
                <w:szCs w:val="22"/>
              </w:rPr>
              <w:t xml:space="preserve"> %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  <w:vertAlign w:val="subscript"/>
              </w:rPr>
              <w:t>(гр.2/гр. 3*100)</w:t>
            </w:r>
          </w:p>
        </w:tc>
        <w:tc>
          <w:tcPr>
            <w:tcW w:w="1317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баллов, ед.</w:t>
            </w:r>
          </w:p>
        </w:tc>
      </w:tr>
      <w:tr>
        <w:tc>
          <w:tcPr>
            <w:tcW w:w="226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51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49" w:type="dxa"/>
          </w:tcPr>
          <w:p>
            <w:pPr>
              <w:autoSpaceDE w:val="0"/>
              <w:autoSpaceDN w:val="0"/>
              <w:adjustRightInd w:val="0"/>
              <w:ind w:right="-171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1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>
        <w:tc>
          <w:tcPr>
            <w:tcW w:w="2268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351,74</w:t>
            </w:r>
          </w:p>
        </w:tc>
        <w:tc>
          <w:tcPr>
            <w:tcW w:w="2151" w:type="dxa"/>
          </w:tcPr>
          <w:p>
            <w:pPr>
              <w:autoSpaceDE w:val="0"/>
              <w:autoSpaceDN w:val="0"/>
              <w:adjustRightInd w:val="0"/>
              <w:jc w:val="right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408 949,42</w:t>
            </w:r>
          </w:p>
        </w:tc>
        <w:tc>
          <w:tcPr>
            <w:tcW w:w="144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131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2268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 Администрация</w:t>
            </w: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786,05</w:t>
            </w:r>
          </w:p>
        </w:tc>
        <w:tc>
          <w:tcPr>
            <w:tcW w:w="2151" w:type="dxa"/>
          </w:tcPr>
          <w:p>
            <w:pPr>
              <w:autoSpaceDE w:val="0"/>
              <w:autoSpaceDN w:val="0"/>
              <w:adjustRightInd w:val="0"/>
              <w:jc w:val="right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255 311,73</w:t>
            </w:r>
          </w:p>
        </w:tc>
        <w:tc>
          <w:tcPr>
            <w:tcW w:w="144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</w:t>
            </w:r>
          </w:p>
        </w:tc>
        <w:tc>
          <w:tcPr>
            <w:tcW w:w="131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2268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УИО</w:t>
            </w: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680,48</w:t>
            </w:r>
          </w:p>
        </w:tc>
        <w:tc>
          <w:tcPr>
            <w:tcW w:w="2151" w:type="dxa"/>
          </w:tcPr>
          <w:p>
            <w:pPr>
              <w:autoSpaceDE w:val="0"/>
              <w:autoSpaceDN w:val="0"/>
              <w:adjustRightInd w:val="0"/>
              <w:jc w:val="right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77 678,54</w:t>
            </w:r>
          </w:p>
        </w:tc>
        <w:tc>
          <w:tcPr>
            <w:tcW w:w="144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0,9</w:t>
            </w:r>
          </w:p>
        </w:tc>
        <w:tc>
          <w:tcPr>
            <w:tcW w:w="131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2268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 УВГТ</w:t>
            </w:r>
          </w:p>
        </w:tc>
        <w:tc>
          <w:tcPr>
            <w:tcW w:w="2340" w:type="dxa"/>
          </w:tcPr>
          <w:p>
            <w:pPr>
              <w:autoSpaceDE w:val="0"/>
              <w:autoSpaceDN w:val="0"/>
              <w:adjustRightInd w:val="0"/>
              <w:jc w:val="right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250,0</w:t>
            </w:r>
          </w:p>
        </w:tc>
        <w:tc>
          <w:tcPr>
            <w:tcW w:w="2151" w:type="dxa"/>
          </w:tcPr>
          <w:p>
            <w:pPr>
              <w:autoSpaceDE w:val="0"/>
              <w:autoSpaceDN w:val="0"/>
              <w:adjustRightInd w:val="0"/>
              <w:jc w:val="right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48 119,76</w:t>
            </w:r>
          </w:p>
        </w:tc>
        <w:tc>
          <w:tcPr>
            <w:tcW w:w="144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31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4) По показателю </w:t>
      </w:r>
      <w:r>
        <w:rPr>
          <w:b/>
        </w:rPr>
        <w:t>А</w:t>
      </w:r>
      <w:r>
        <w:rPr>
          <w:b/>
          <w:vertAlign w:val="subscript"/>
        </w:rPr>
        <w:t>4.4.</w:t>
      </w:r>
      <w:r>
        <w:t xml:space="preserve"> «Организация системы внутреннего финансового аудита» все ГАБС представили акты об организации внутреннего финансового аудита, присвоено 5 баллов.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Оценка проводится в соответствии со следующими показателями:</w:t>
      </w:r>
    </w:p>
    <w:tbl>
      <w:tblPr>
        <w:tblW w:w="0" w:type="auto"/>
        <w:tblInd w:w="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4"/>
        <w:gridCol w:w="1701"/>
      </w:tblGrid>
      <w:tr>
        <w:tc>
          <w:tcPr>
            <w:tcW w:w="509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1701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Количество баллов</w:t>
            </w:r>
          </w:p>
        </w:tc>
      </w:tr>
      <w:tr>
        <w:tc>
          <w:tcPr>
            <w:tcW w:w="509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4.4</w:t>
            </w:r>
            <w:r>
              <w:rPr>
                <w:sz w:val="20"/>
                <w:szCs w:val="20"/>
              </w:rPr>
              <w:t xml:space="preserve"> = наличие внутреннего акта (решения)</w:t>
            </w:r>
          </w:p>
        </w:tc>
        <w:tc>
          <w:tcPr>
            <w:tcW w:w="1701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5</w:t>
            </w:r>
          </w:p>
        </w:tc>
      </w:tr>
      <w:tr>
        <w:tc>
          <w:tcPr>
            <w:tcW w:w="509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4.4</w:t>
            </w:r>
            <w:r>
              <w:rPr>
                <w:sz w:val="20"/>
                <w:szCs w:val="20"/>
              </w:rPr>
              <w:t xml:space="preserve"> = отсутствие внутреннего акта (решения)</w:t>
            </w:r>
          </w:p>
        </w:tc>
        <w:tc>
          <w:tcPr>
            <w:tcW w:w="1701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  <w:r>
        <w:rPr>
          <w:b/>
          <w:i/>
        </w:rPr>
        <w:t>Максимальную оценку по направлению «Контроль и финансовая дисциплина»</w:t>
      </w:r>
      <w:r>
        <w:rPr>
          <w:b/>
        </w:rPr>
        <w:t xml:space="preserve"> </w:t>
      </w:r>
      <w:r>
        <w:rPr>
          <w:b/>
          <w:i/>
        </w:rPr>
        <w:t xml:space="preserve">не получил ни один ГАБС. Наилучший результат с показателем в 13 баллов достигнут Управлением образования, Управлением культуры, УМСП </w:t>
      </w:r>
      <w:proofErr w:type="spellStart"/>
      <w:r>
        <w:rPr>
          <w:b/>
          <w:i/>
        </w:rPr>
        <w:t>ФКиС</w:t>
      </w:r>
      <w:proofErr w:type="spellEnd"/>
      <w:r>
        <w:rPr>
          <w:b/>
          <w:i/>
        </w:rPr>
        <w:t>, Администрацией.</w:t>
      </w:r>
    </w:p>
    <w:p>
      <w:pPr>
        <w:ind w:left="-1276" w:firstLine="708"/>
        <w:jc w:val="center"/>
      </w:pPr>
      <w:r>
        <w:rPr>
          <w:noProof/>
        </w:rPr>
        <w:drawing>
          <wp:inline distT="0" distB="0" distL="0" distR="0">
            <wp:extent cx="6667500" cy="2758440"/>
            <wp:effectExtent l="0" t="0" r="0" b="0"/>
            <wp:docPr id="4" name="Объект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>
        <w:t xml:space="preserve">                            </w:t>
      </w:r>
      <w:r>
        <w:rPr>
          <w:noProof/>
        </w:rPr>
        <w:t xml:space="preserve">Рисунок 4 – Итоговое количество баллов по разделу </w:t>
      </w:r>
      <w:r>
        <w:rPr>
          <w:noProof/>
          <w:lang w:val="en-US"/>
        </w:rPr>
        <w:t>IV</w:t>
      </w:r>
    </w:p>
    <w:p>
      <w:pPr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  <w:r>
        <w:rPr>
          <w:b/>
        </w:rPr>
        <w:lastRenderedPageBreak/>
        <w:t xml:space="preserve">5. Направление «Управление активами» 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Максимальное количество баллов, по которым оценивалась деятельность                        ГАБС – 10 баллов. Оценка качества выполнялась по двум показателям:</w:t>
      </w:r>
    </w:p>
    <w:p>
      <w:pPr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1"/>
      </w:pPr>
      <w:r>
        <w:t xml:space="preserve">По показателю </w:t>
      </w:r>
      <w:r>
        <w:rPr>
          <w:b/>
        </w:rPr>
        <w:t>А</w:t>
      </w:r>
      <w:r>
        <w:rPr>
          <w:b/>
          <w:vertAlign w:val="subscript"/>
        </w:rPr>
        <w:t xml:space="preserve">5.1. </w:t>
      </w:r>
      <w:r>
        <w:t>«Проведение инвентаризации активов и обязательств» всеми ГАБС получена оценка 5 баллов.</w:t>
      </w:r>
    </w:p>
    <w:p>
      <w:pPr>
        <w:autoSpaceDE w:val="0"/>
        <w:autoSpaceDN w:val="0"/>
        <w:adjustRightInd w:val="0"/>
        <w:ind w:left="709"/>
        <w:jc w:val="both"/>
        <w:outlineLvl w:val="1"/>
      </w:pPr>
      <w:r>
        <w:t>Оценка проводится в соответствии со следующими показателями:</w:t>
      </w:r>
    </w:p>
    <w:tbl>
      <w:tblPr>
        <w:tblW w:w="0" w:type="auto"/>
        <w:tblInd w:w="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4"/>
        <w:gridCol w:w="2551"/>
      </w:tblGrid>
      <w:tr>
        <w:tc>
          <w:tcPr>
            <w:tcW w:w="424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Количество баллов</w:t>
            </w:r>
          </w:p>
        </w:tc>
      </w:tr>
      <w:tr>
        <w:tc>
          <w:tcPr>
            <w:tcW w:w="4244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инвентаризация проводилась</w:t>
            </w:r>
          </w:p>
        </w:tc>
        <w:tc>
          <w:tcPr>
            <w:tcW w:w="25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>
        <w:tc>
          <w:tcPr>
            <w:tcW w:w="4244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инвентаризация не проводилась</w:t>
            </w:r>
          </w:p>
        </w:tc>
        <w:tc>
          <w:tcPr>
            <w:tcW w:w="25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>
      <w:pPr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1"/>
      </w:pPr>
      <w:r>
        <w:t>По</w:t>
      </w:r>
      <w:r>
        <w:rPr>
          <w:b/>
        </w:rPr>
        <w:t xml:space="preserve"> </w:t>
      </w:r>
      <w:r>
        <w:t xml:space="preserve">показателю </w:t>
      </w:r>
      <w:r>
        <w:rPr>
          <w:b/>
        </w:rPr>
        <w:t>А</w:t>
      </w:r>
      <w:r>
        <w:rPr>
          <w:b/>
          <w:vertAlign w:val="subscript"/>
        </w:rPr>
        <w:t>5.2</w:t>
      </w:r>
      <w:r>
        <w:rPr>
          <w:vertAlign w:val="subscript"/>
        </w:rPr>
        <w:t xml:space="preserve"> </w:t>
      </w:r>
      <w:r>
        <w:t xml:space="preserve">«Недостачи и хищения муниципальной собственности» всеми ГАБС получена оценка 5 баллов за исключением УИО. Недостачи и хищения в годовой бюджетной отчетности по УИО отражены на сумму 160,16 </w:t>
      </w:r>
      <w:proofErr w:type="spellStart"/>
      <w:r>
        <w:t>тыс.руб</w:t>
      </w:r>
      <w:proofErr w:type="spellEnd"/>
      <w:r>
        <w:t>.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Оценка проводится в соответствии со следующими показателями:</w:t>
      </w:r>
    </w:p>
    <w:tbl>
      <w:tblPr>
        <w:tblW w:w="0" w:type="auto"/>
        <w:tblInd w:w="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4"/>
        <w:gridCol w:w="2551"/>
      </w:tblGrid>
      <w:tr>
        <w:tc>
          <w:tcPr>
            <w:tcW w:w="424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Количество баллов</w:t>
            </w:r>
          </w:p>
        </w:tc>
      </w:tr>
      <w:tr>
        <w:tc>
          <w:tcPr>
            <w:tcW w:w="4244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отсутствуют</w:t>
            </w:r>
          </w:p>
        </w:tc>
        <w:tc>
          <w:tcPr>
            <w:tcW w:w="25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>
        <w:tc>
          <w:tcPr>
            <w:tcW w:w="4244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присутствуют</w:t>
            </w:r>
          </w:p>
        </w:tc>
        <w:tc>
          <w:tcPr>
            <w:tcW w:w="25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  <w:r>
        <w:rPr>
          <w:b/>
          <w:i/>
        </w:rPr>
        <w:t>Максимальную оценку по данному направлению получили все ГАБС за исключением УИО.</w:t>
      </w:r>
    </w:p>
    <w:p>
      <w:pPr>
        <w:ind w:left="-1701" w:firstLine="567"/>
        <w:jc w:val="center"/>
      </w:pPr>
      <w:r>
        <w:rPr>
          <w:noProof/>
        </w:rPr>
        <w:drawing>
          <wp:inline distT="0" distB="0" distL="0" distR="0">
            <wp:extent cx="7038975" cy="2581275"/>
            <wp:effectExtent l="0" t="0" r="0" b="0"/>
            <wp:docPr id="5" name="Объект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>
        <w:rPr>
          <w:noProof/>
        </w:rPr>
        <w:t xml:space="preserve">Рисунок 5 – Итоговое количество баллов по разделу </w:t>
      </w:r>
      <w:r>
        <w:rPr>
          <w:noProof/>
          <w:lang w:val="en-US"/>
        </w:rPr>
        <w:t>V</w:t>
      </w: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  <w:r>
        <w:rPr>
          <w:b/>
        </w:rPr>
        <w:t>6. Направление «Осуществление ГАБС закупок товаров, работ и услуг для обеспечения муниципальных нужд»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Оценка качества выполнялась по трем показателям:</w:t>
      </w:r>
    </w:p>
    <w:p>
      <w:pPr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1"/>
      </w:pPr>
      <w:r>
        <w:t>По показателю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А</w:t>
      </w:r>
      <w:r>
        <w:rPr>
          <w:b/>
          <w:sz w:val="22"/>
          <w:szCs w:val="22"/>
          <w:vertAlign w:val="subscript"/>
        </w:rPr>
        <w:t>6.1</w:t>
      </w:r>
      <w:r>
        <w:rPr>
          <w:b/>
          <w:vertAlign w:val="subscript"/>
        </w:rPr>
        <w:t>.</w:t>
      </w:r>
      <w:r>
        <w:t xml:space="preserve"> «Доля закупок, проведенных конкурентными способами в общем количестве осуществленных закупок, в процентах» максимальную </w:t>
      </w:r>
      <w:proofErr w:type="gramStart"/>
      <w:r>
        <w:t>оценку  получили</w:t>
      </w:r>
      <w:proofErr w:type="gramEnd"/>
      <w:r>
        <w:t xml:space="preserve"> Управление образования, УЖКХ </w:t>
      </w:r>
      <w:proofErr w:type="spellStart"/>
      <w:r>
        <w:t>ТиС</w:t>
      </w:r>
      <w:proofErr w:type="spellEnd"/>
      <w:r>
        <w:t xml:space="preserve">, Администрация, УЧС, УКС, УВГТ и Финансовое управление – 5 баллов. УМСП </w:t>
      </w:r>
      <w:proofErr w:type="spellStart"/>
      <w:r>
        <w:t>ФКиС</w:t>
      </w:r>
      <w:proofErr w:type="spellEnd"/>
      <w:r>
        <w:t xml:space="preserve">, УИО – 3 балла; Управление </w:t>
      </w:r>
      <w:proofErr w:type="gramStart"/>
      <w:r>
        <w:t>культуры  -</w:t>
      </w:r>
      <w:proofErr w:type="gramEnd"/>
      <w:r>
        <w:t xml:space="preserve"> 0 баллов.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Оценка проводится в соответствии со следующими показателями:</w:t>
      </w:r>
    </w:p>
    <w:tbl>
      <w:tblPr>
        <w:tblW w:w="0" w:type="auto"/>
        <w:tblInd w:w="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559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Значение показателя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6.1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&gt;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= 50 %</w:t>
            </w:r>
          </w:p>
        </w:tc>
        <w:tc>
          <w:tcPr>
            <w:tcW w:w="1559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>
        <w:tc>
          <w:tcPr>
            <w:tcW w:w="2660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 &lt;= 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&lt; 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59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>
        <w:tc>
          <w:tcPr>
            <w:tcW w:w="2660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&lt;  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59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>
      <w:pPr>
        <w:autoSpaceDE w:val="0"/>
        <w:autoSpaceDN w:val="0"/>
        <w:adjustRightInd w:val="0"/>
        <w:jc w:val="right"/>
        <w:outlineLvl w:val="1"/>
      </w:pPr>
    </w:p>
    <w:p>
      <w:pPr>
        <w:autoSpaceDE w:val="0"/>
        <w:autoSpaceDN w:val="0"/>
        <w:adjustRightInd w:val="0"/>
        <w:jc w:val="right"/>
        <w:outlineLvl w:val="1"/>
      </w:pPr>
    </w:p>
    <w:p>
      <w:pPr>
        <w:autoSpaceDE w:val="0"/>
        <w:autoSpaceDN w:val="0"/>
        <w:adjustRightInd w:val="0"/>
        <w:jc w:val="right"/>
        <w:outlineLvl w:val="1"/>
      </w:pPr>
    </w:p>
    <w:p>
      <w:pPr>
        <w:autoSpaceDE w:val="0"/>
        <w:autoSpaceDN w:val="0"/>
        <w:adjustRightInd w:val="0"/>
        <w:jc w:val="right"/>
        <w:outlineLvl w:val="1"/>
      </w:pPr>
    </w:p>
    <w:p>
      <w:pPr>
        <w:autoSpaceDE w:val="0"/>
        <w:autoSpaceDN w:val="0"/>
        <w:adjustRightInd w:val="0"/>
        <w:jc w:val="right"/>
        <w:outlineLvl w:val="1"/>
      </w:pPr>
      <w:r>
        <w:lastRenderedPageBreak/>
        <w:t>Таблица 1</w:t>
      </w:r>
      <w:r>
        <w:rPr>
          <w:lang w:val="en-US"/>
        </w:rPr>
        <w:t>1</w:t>
      </w:r>
      <w:r>
        <w:t xml:space="preserve">                                                                                                                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1935"/>
        <w:gridCol w:w="1597"/>
        <w:gridCol w:w="1571"/>
        <w:gridCol w:w="1276"/>
      </w:tblGrid>
      <w:tr>
        <w:trPr>
          <w:trHeight w:val="1073"/>
        </w:trPr>
        <w:tc>
          <w:tcPr>
            <w:tcW w:w="3119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ГАБС </w:t>
            </w:r>
          </w:p>
        </w:tc>
        <w:tc>
          <w:tcPr>
            <w:tcW w:w="193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 закупок, проведенных конкурентными способами</w:t>
            </w:r>
          </w:p>
        </w:tc>
        <w:tc>
          <w:tcPr>
            <w:tcW w:w="1597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>Совокупный годовой объем закупок</w:t>
            </w:r>
          </w:p>
        </w:tc>
        <w:tc>
          <w:tcPr>
            <w:tcW w:w="157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>Значение показателя А</w:t>
            </w:r>
            <w:r>
              <w:rPr>
                <w:sz w:val="22"/>
                <w:szCs w:val="22"/>
                <w:vertAlign w:val="subscript"/>
              </w:rPr>
              <w:t>6.1,   %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  <w:vertAlign w:val="subscript"/>
              </w:rPr>
            </w:pPr>
            <w:r>
              <w:rPr>
                <w:sz w:val="18"/>
                <w:szCs w:val="18"/>
                <w:vertAlign w:val="subscript"/>
              </w:rPr>
              <w:t>(</w:t>
            </w:r>
            <w:proofErr w:type="gramStart"/>
            <w:r>
              <w:rPr>
                <w:sz w:val="18"/>
                <w:szCs w:val="18"/>
                <w:vertAlign w:val="subscript"/>
              </w:rPr>
              <w:t>гр.</w:t>
            </w:r>
            <w:proofErr w:type="gramEnd"/>
            <w:r>
              <w:rPr>
                <w:sz w:val="18"/>
                <w:szCs w:val="18"/>
                <w:vertAlign w:val="subscript"/>
              </w:rPr>
              <w:t>2/гр3*100)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баллов, ед.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ind w:right="-648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35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9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71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1935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13 005,00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14 385,00</w:t>
            </w:r>
          </w:p>
        </w:tc>
        <w:tc>
          <w:tcPr>
            <w:tcW w:w="1571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90,4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1935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284,10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1 653,30</w:t>
            </w:r>
          </w:p>
        </w:tc>
        <w:tc>
          <w:tcPr>
            <w:tcW w:w="1571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17,2</w:t>
            </w:r>
          </w:p>
        </w:tc>
        <w:tc>
          <w:tcPr>
            <w:tcW w:w="127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1935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1 431,02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4 227,76</w:t>
            </w:r>
          </w:p>
        </w:tc>
        <w:tc>
          <w:tcPr>
            <w:tcW w:w="1571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33,8</w:t>
            </w:r>
          </w:p>
        </w:tc>
        <w:tc>
          <w:tcPr>
            <w:tcW w:w="127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35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112 340,09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161 418,60</w:t>
            </w:r>
          </w:p>
        </w:tc>
        <w:tc>
          <w:tcPr>
            <w:tcW w:w="1571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69,6</w:t>
            </w:r>
          </w:p>
        </w:tc>
        <w:tc>
          <w:tcPr>
            <w:tcW w:w="127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1935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37 228,27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47 839,57</w:t>
            </w:r>
          </w:p>
        </w:tc>
        <w:tc>
          <w:tcPr>
            <w:tcW w:w="1571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77,8</w:t>
            </w:r>
          </w:p>
        </w:tc>
        <w:tc>
          <w:tcPr>
            <w:tcW w:w="127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1935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13 550,25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29 224,94</w:t>
            </w:r>
          </w:p>
        </w:tc>
        <w:tc>
          <w:tcPr>
            <w:tcW w:w="1571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46,4</w:t>
            </w:r>
          </w:p>
        </w:tc>
        <w:tc>
          <w:tcPr>
            <w:tcW w:w="127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1935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997,09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997,09</w:t>
            </w:r>
          </w:p>
        </w:tc>
        <w:tc>
          <w:tcPr>
            <w:tcW w:w="1571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УКС</w:t>
            </w:r>
          </w:p>
        </w:tc>
        <w:tc>
          <w:tcPr>
            <w:tcW w:w="1935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308 602,23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326 761,92</w:t>
            </w:r>
          </w:p>
        </w:tc>
        <w:tc>
          <w:tcPr>
            <w:tcW w:w="1571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94,4</w:t>
            </w:r>
          </w:p>
        </w:tc>
        <w:tc>
          <w:tcPr>
            <w:tcW w:w="127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УВГТ</w:t>
            </w:r>
          </w:p>
        </w:tc>
        <w:tc>
          <w:tcPr>
            <w:tcW w:w="1935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15 892,90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18 986,68</w:t>
            </w:r>
          </w:p>
        </w:tc>
        <w:tc>
          <w:tcPr>
            <w:tcW w:w="1571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83,7</w:t>
            </w:r>
          </w:p>
        </w:tc>
        <w:tc>
          <w:tcPr>
            <w:tcW w:w="127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10.Финансовое управление</w:t>
            </w:r>
          </w:p>
        </w:tc>
        <w:tc>
          <w:tcPr>
            <w:tcW w:w="1935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17 890,35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19 855,47</w:t>
            </w:r>
          </w:p>
        </w:tc>
        <w:tc>
          <w:tcPr>
            <w:tcW w:w="1571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  <w:tc>
          <w:tcPr>
            <w:tcW w:w="127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  <w:rPr>
          <w:highlight w:val="yellow"/>
        </w:rPr>
      </w:pPr>
    </w:p>
    <w:p>
      <w:pPr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1"/>
      </w:pPr>
      <w:r>
        <w:t xml:space="preserve">По показателю </w:t>
      </w:r>
      <w:r>
        <w:rPr>
          <w:b/>
        </w:rPr>
        <w:t>А</w:t>
      </w:r>
      <w:r>
        <w:rPr>
          <w:b/>
          <w:vertAlign w:val="subscript"/>
        </w:rPr>
        <w:t>6.2. </w:t>
      </w:r>
      <w:r>
        <w:t xml:space="preserve">«Доля закупок, которые ГАБС осуществил у субъектов малого предпринимательства и социально ориентированных некоммерческих организаций в отчетном году, в совокупном годовом объеме закупок, рассчитанном за вычетом закупок, предусмотренных ч. 1.1 ст. 30 Федерального закона 44-ФЗ, в процентах» максимальную оценку получили все ГАБС за исключением Управления культуры. </w:t>
      </w:r>
    </w:p>
    <w:p>
      <w:pPr>
        <w:autoSpaceDE w:val="0"/>
        <w:autoSpaceDN w:val="0"/>
        <w:adjustRightInd w:val="0"/>
        <w:ind w:left="709"/>
        <w:jc w:val="both"/>
        <w:outlineLvl w:val="1"/>
      </w:pPr>
      <w:r>
        <w:t>Оценка проводится в соответствии со следующими показателями:</w:t>
      </w:r>
    </w:p>
    <w:tbl>
      <w:tblPr>
        <w:tblW w:w="0" w:type="auto"/>
        <w:tblInd w:w="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559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Значение показателя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6.2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&gt;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15%</w:t>
            </w:r>
          </w:p>
        </w:tc>
        <w:tc>
          <w:tcPr>
            <w:tcW w:w="1559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>
        <w:tc>
          <w:tcPr>
            <w:tcW w:w="2660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&lt; 15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59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>
      <w:pPr>
        <w:autoSpaceDE w:val="0"/>
        <w:autoSpaceDN w:val="0"/>
        <w:adjustRightInd w:val="0"/>
        <w:jc w:val="right"/>
        <w:outlineLvl w:val="1"/>
      </w:pPr>
      <w:r>
        <w:t>Таблица 1</w:t>
      </w:r>
      <w:r>
        <w:rPr>
          <w:lang w:val="en-US"/>
        </w:rPr>
        <w:t>2</w:t>
      </w:r>
      <w:r>
        <w:t xml:space="preserve">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1843"/>
        <w:gridCol w:w="2126"/>
        <w:gridCol w:w="1418"/>
        <w:gridCol w:w="1276"/>
      </w:tblGrid>
      <w:tr>
        <w:trPr>
          <w:trHeight w:val="1088"/>
        </w:trPr>
        <w:tc>
          <w:tcPr>
            <w:tcW w:w="283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Наименование ГАБС </w:t>
            </w:r>
          </w:p>
        </w:tc>
        <w:tc>
          <w:tcPr>
            <w:tcW w:w="184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Объем закупок, который ГАБС осуществил у СМП, </w:t>
            </w:r>
            <w:proofErr w:type="spellStart"/>
            <w:r>
              <w:rPr>
                <w:sz w:val="22"/>
                <w:szCs w:val="22"/>
              </w:rPr>
              <w:t>соц.ориентир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неком</w:t>
            </w:r>
            <w:proofErr w:type="spellEnd"/>
            <w:r>
              <w:rPr>
                <w:sz w:val="22"/>
                <w:szCs w:val="22"/>
              </w:rPr>
              <w:t>. орг.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highlight w:val="yellow"/>
                <w:vertAlign w:val="subscript"/>
              </w:rPr>
            </w:pPr>
            <w:r>
              <w:rPr>
                <w:sz w:val="22"/>
                <w:szCs w:val="22"/>
              </w:rPr>
              <w:t>Совокупный годовой объем закупок, рассчитанный за вычетом закупок, предусмотренных частью 1.1 статьи 30 Федерального закона от 05.04.2013 № 44-ФЗ</w:t>
            </w:r>
          </w:p>
        </w:tc>
        <w:tc>
          <w:tcPr>
            <w:tcW w:w="1418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>Значение показателя А</w:t>
            </w:r>
            <w:r>
              <w:rPr>
                <w:sz w:val="22"/>
                <w:szCs w:val="22"/>
                <w:vertAlign w:val="subscript"/>
              </w:rPr>
              <w:t>6.2,   %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гр.</w:t>
            </w:r>
            <w:proofErr w:type="gramEnd"/>
            <w:r>
              <w:rPr>
                <w:sz w:val="18"/>
                <w:szCs w:val="18"/>
              </w:rPr>
              <w:t>2/гр3*100)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баллов, ед.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13 005,00</w:t>
            </w:r>
          </w:p>
        </w:tc>
        <w:tc>
          <w:tcPr>
            <w:tcW w:w="2126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14 385,00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90,4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210,90</w:t>
            </w:r>
          </w:p>
        </w:tc>
        <w:tc>
          <w:tcPr>
            <w:tcW w:w="2126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1 937,40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10,9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1 076,72</w:t>
            </w:r>
          </w:p>
        </w:tc>
        <w:tc>
          <w:tcPr>
            <w:tcW w:w="2126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1 431,02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75,2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65 603,69</w:t>
            </w:r>
          </w:p>
        </w:tc>
        <w:tc>
          <w:tcPr>
            <w:tcW w:w="2126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161 418,60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40,6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5 328,64</w:t>
            </w:r>
          </w:p>
        </w:tc>
        <w:tc>
          <w:tcPr>
            <w:tcW w:w="2126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13 597,17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39,2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2 851,38</w:t>
            </w:r>
          </w:p>
        </w:tc>
        <w:tc>
          <w:tcPr>
            <w:tcW w:w="2126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10 669,85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26,7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838,00</w:t>
            </w:r>
          </w:p>
        </w:tc>
        <w:tc>
          <w:tcPr>
            <w:tcW w:w="2126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997,09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УКС</w:t>
            </w:r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83 807,89</w:t>
            </w:r>
          </w:p>
        </w:tc>
        <w:tc>
          <w:tcPr>
            <w:tcW w:w="2126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308 602,23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УВГТ</w:t>
            </w:r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4 760,62</w:t>
            </w:r>
          </w:p>
        </w:tc>
        <w:tc>
          <w:tcPr>
            <w:tcW w:w="2126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14 358,19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33,2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10.Финансовое управление</w:t>
            </w:r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612,36</w:t>
            </w:r>
          </w:p>
        </w:tc>
        <w:tc>
          <w:tcPr>
            <w:tcW w:w="2126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1 136,15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53,9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</w:tbl>
    <w:p>
      <w:pPr>
        <w:pStyle w:val="ac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1"/>
      </w:pPr>
      <w:r>
        <w:t xml:space="preserve">По показателю </w:t>
      </w:r>
      <w:r>
        <w:rPr>
          <w:b/>
        </w:rPr>
        <w:t>А</w:t>
      </w:r>
      <w:r>
        <w:rPr>
          <w:b/>
          <w:vertAlign w:val="subscript"/>
        </w:rPr>
        <w:t>6.3. </w:t>
      </w:r>
      <w:r>
        <w:t xml:space="preserve">«Эффективность расходов на содержание ГАБС» максимальную оценку получили Управление образования, Управление культуры, УЖКХ </w:t>
      </w:r>
      <w:proofErr w:type="spellStart"/>
      <w:r>
        <w:t>тиС</w:t>
      </w:r>
      <w:proofErr w:type="spellEnd"/>
      <w:r>
        <w:t xml:space="preserve">, УЧС, УКС и Финансовое управление – 5 баллов, по остальным </w:t>
      </w:r>
      <w:proofErr w:type="gramStart"/>
      <w:r>
        <w:t>ГАБС  -</w:t>
      </w:r>
      <w:proofErr w:type="gramEnd"/>
      <w:r>
        <w:t xml:space="preserve"> 0 баллов.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Оценка проводится в соответствии со следующими показателями:</w:t>
      </w:r>
    </w:p>
    <w:tbl>
      <w:tblPr>
        <w:tblW w:w="0" w:type="auto"/>
        <w:tblInd w:w="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559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Значение показателя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6.3.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&lt;  =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</w:p>
        </w:tc>
        <w:tc>
          <w:tcPr>
            <w:tcW w:w="1559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>
        <w:tc>
          <w:tcPr>
            <w:tcW w:w="2660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6.3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&gt;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</w:p>
        </w:tc>
        <w:tc>
          <w:tcPr>
            <w:tcW w:w="1559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>
      <w:pPr>
        <w:autoSpaceDE w:val="0"/>
        <w:autoSpaceDN w:val="0"/>
        <w:adjustRightInd w:val="0"/>
        <w:jc w:val="right"/>
        <w:outlineLvl w:val="1"/>
      </w:pPr>
      <w:r>
        <w:lastRenderedPageBreak/>
        <w:t xml:space="preserve">Таблица 13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1843"/>
        <w:gridCol w:w="2126"/>
        <w:gridCol w:w="1418"/>
        <w:gridCol w:w="1276"/>
      </w:tblGrid>
      <w:tr>
        <w:trPr>
          <w:trHeight w:val="1088"/>
        </w:trPr>
        <w:tc>
          <w:tcPr>
            <w:tcW w:w="283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Наименование ГАБС </w:t>
            </w:r>
          </w:p>
        </w:tc>
        <w:tc>
          <w:tcPr>
            <w:tcW w:w="184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Кассовые расходы на содержание ГАБС ВР 244 (за исключением расходов по КОСГУ 296)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highlight w:val="yellow"/>
                <w:vertAlign w:val="subscript"/>
              </w:rPr>
            </w:pPr>
            <w:r>
              <w:rPr>
                <w:sz w:val="22"/>
                <w:szCs w:val="22"/>
              </w:rPr>
              <w:t>Фактическая численность работников ГАБС на последнее число отчетного финансового года</w:t>
            </w:r>
          </w:p>
        </w:tc>
        <w:tc>
          <w:tcPr>
            <w:tcW w:w="1418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>Значение показателя А</w:t>
            </w:r>
            <w:r>
              <w:rPr>
                <w:sz w:val="22"/>
                <w:szCs w:val="22"/>
                <w:vertAlign w:val="subscript"/>
              </w:rPr>
              <w:t>6.3,   %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гр.</w:t>
            </w:r>
            <w:proofErr w:type="gramEnd"/>
            <w:r>
              <w:rPr>
                <w:sz w:val="18"/>
                <w:szCs w:val="18"/>
              </w:rPr>
              <w:t>2/гр3- гр.2/гр3(по соотв. группе))/ гр.2/гр3(по соотв. группе)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баллов, ед.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ind w:right="-648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Первая  группа</w:t>
            </w:r>
            <w:proofErr w:type="gramEnd"/>
            <w:r>
              <w:rPr>
                <w:sz w:val="22"/>
                <w:szCs w:val="22"/>
              </w:rPr>
              <w:t xml:space="preserve"> (I), всего</w:t>
            </w:r>
          </w:p>
        </w:tc>
        <w:tc>
          <w:tcPr>
            <w:tcW w:w="1843" w:type="dxa"/>
          </w:tcPr>
          <w:p>
            <w:pPr>
              <w:autoSpaceDE w:val="0"/>
              <w:autoSpaceDN w:val="0"/>
              <w:adjustRightInd w:val="0"/>
              <w:jc w:val="right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30 241,94</w:t>
            </w:r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right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316,8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440,47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25,60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-82,0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551,36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11,99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-51,8</w:t>
            </w:r>
          </w:p>
        </w:tc>
        <w:tc>
          <w:tcPr>
            <w:tcW w:w="127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2 345,99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17,56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27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2 426,75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36,58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-30,5</w:t>
            </w:r>
          </w:p>
        </w:tc>
        <w:tc>
          <w:tcPr>
            <w:tcW w:w="127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19 338,12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170,37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18,9</w:t>
            </w:r>
          </w:p>
        </w:tc>
        <w:tc>
          <w:tcPr>
            <w:tcW w:w="127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4 796,02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41,70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20,5</w:t>
            </w:r>
          </w:p>
        </w:tc>
        <w:tc>
          <w:tcPr>
            <w:tcW w:w="127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343,23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13,00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-72,3</w:t>
            </w:r>
          </w:p>
        </w:tc>
        <w:tc>
          <w:tcPr>
            <w:tcW w:w="127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Вторая  группа</w:t>
            </w:r>
            <w:proofErr w:type="gramEnd"/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I</w:t>
            </w:r>
            <w:r>
              <w:rPr>
                <w:sz w:val="22"/>
                <w:szCs w:val="22"/>
              </w:rPr>
              <w:t>I), всего</w:t>
            </w:r>
          </w:p>
        </w:tc>
        <w:tc>
          <w:tcPr>
            <w:tcW w:w="1843" w:type="dxa"/>
          </w:tcPr>
          <w:p>
            <w:pPr>
              <w:autoSpaceDE w:val="0"/>
              <w:autoSpaceDN w:val="0"/>
              <w:adjustRightInd w:val="0"/>
              <w:jc w:val="right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4 455,25</w:t>
            </w:r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right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69,19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УКС</w:t>
            </w:r>
          </w:p>
        </w:tc>
        <w:tc>
          <w:tcPr>
            <w:tcW w:w="1843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1 522,09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32,07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-26,3</w:t>
            </w:r>
          </w:p>
        </w:tc>
        <w:tc>
          <w:tcPr>
            <w:tcW w:w="127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УВГТ</w:t>
            </w:r>
          </w:p>
        </w:tc>
        <w:tc>
          <w:tcPr>
            <w:tcW w:w="1843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2 413,30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13,00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188,3</w:t>
            </w:r>
          </w:p>
        </w:tc>
        <w:tc>
          <w:tcPr>
            <w:tcW w:w="127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10.Финансовое управление</w:t>
            </w:r>
          </w:p>
        </w:tc>
        <w:tc>
          <w:tcPr>
            <w:tcW w:w="1843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519,86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24,12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-66,5</w:t>
            </w:r>
          </w:p>
        </w:tc>
        <w:tc>
          <w:tcPr>
            <w:tcW w:w="127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  <w:r>
        <w:rPr>
          <w:b/>
          <w:i/>
        </w:rPr>
        <w:t xml:space="preserve">Максимальное количество баллов, возможное по данному разделу - 15 баллов. Максимальную оценку по данному направлению получили Управление </w:t>
      </w:r>
      <w:proofErr w:type="gramStart"/>
      <w:r>
        <w:rPr>
          <w:b/>
          <w:i/>
        </w:rPr>
        <w:t>образования,  УЖКХ</w:t>
      </w:r>
      <w:proofErr w:type="gramEnd"/>
      <w:r>
        <w:rPr>
          <w:b/>
          <w:i/>
        </w:rPr>
        <w:t xml:space="preserve"> </w:t>
      </w:r>
      <w:proofErr w:type="spellStart"/>
      <w:r>
        <w:rPr>
          <w:b/>
          <w:i/>
        </w:rPr>
        <w:t>ТиС</w:t>
      </w:r>
      <w:proofErr w:type="spellEnd"/>
      <w:r>
        <w:rPr>
          <w:b/>
          <w:i/>
        </w:rPr>
        <w:t>, УЧС, УКС и Финансовое управление.</w:t>
      </w:r>
    </w:p>
    <w:p>
      <w:pPr>
        <w:autoSpaceDE w:val="0"/>
        <w:autoSpaceDN w:val="0"/>
        <w:adjustRightInd w:val="0"/>
        <w:jc w:val="right"/>
        <w:outlineLvl w:val="1"/>
      </w:pPr>
    </w:p>
    <w:p>
      <w:pPr>
        <w:tabs>
          <w:tab w:val="left" w:pos="993"/>
        </w:tabs>
        <w:autoSpaceDE w:val="0"/>
        <w:autoSpaceDN w:val="0"/>
        <w:adjustRightInd w:val="0"/>
        <w:ind w:left="-1701" w:firstLine="708"/>
        <w:jc w:val="both"/>
        <w:outlineLvl w:val="1"/>
      </w:pPr>
      <w:r>
        <w:rPr>
          <w:noProof/>
        </w:rPr>
        <w:drawing>
          <wp:inline distT="0" distB="0" distL="0" distR="0">
            <wp:extent cx="7048500" cy="2981325"/>
            <wp:effectExtent l="0" t="0" r="0" b="0"/>
            <wp:docPr id="6" name="Объект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>
      <w:pPr>
        <w:tabs>
          <w:tab w:val="left" w:pos="851"/>
        </w:tabs>
        <w:jc w:val="center"/>
        <w:rPr>
          <w:noProof/>
        </w:rPr>
      </w:pPr>
      <w:r>
        <w:rPr>
          <w:noProof/>
        </w:rPr>
        <w:t xml:space="preserve">Рисунок 6 – Итоговое количество баллов по разделу </w:t>
      </w:r>
      <w:r>
        <w:rPr>
          <w:noProof/>
          <w:lang w:val="en-US"/>
        </w:rPr>
        <w:t>VI</w:t>
      </w:r>
    </w:p>
    <w:p>
      <w:pPr>
        <w:tabs>
          <w:tab w:val="left" w:pos="709"/>
        </w:tabs>
        <w:spacing w:after="120"/>
        <w:jc w:val="center"/>
        <w:rPr>
          <w:b/>
          <w:highlight w:val="yellow"/>
        </w:rPr>
      </w:pPr>
    </w:p>
    <w:p>
      <w:pPr>
        <w:tabs>
          <w:tab w:val="left" w:pos="709"/>
        </w:tabs>
        <w:spacing w:after="120"/>
        <w:jc w:val="center"/>
        <w:rPr>
          <w:b/>
        </w:rPr>
      </w:pPr>
      <w:r>
        <w:rPr>
          <w:b/>
        </w:rPr>
        <w:t>Консолидированная оценка качества финансового менеджмента</w:t>
      </w:r>
    </w:p>
    <w:p>
      <w:pPr>
        <w:ind w:firstLine="708"/>
        <w:jc w:val="both"/>
      </w:pPr>
      <w:r>
        <w:t xml:space="preserve">В соответствии с проведенной оценкой качества финансового </w:t>
      </w:r>
      <w:proofErr w:type="gramStart"/>
      <w:r>
        <w:t>менеджмента  ГАБС</w:t>
      </w:r>
      <w:proofErr w:type="gramEnd"/>
      <w:r>
        <w:t xml:space="preserve"> (приложение 1 к аналитической записке) произведено ранжирование ГАБС по форме, установленной согласно Приложению 2 к Порядку (приложение 2 к аналитической записке).</w:t>
      </w:r>
    </w:p>
    <w:p>
      <w:pPr>
        <w:ind w:firstLine="708"/>
        <w:jc w:val="both"/>
      </w:pPr>
      <w:r>
        <w:t>В соответствии с утвержденным Порядком:</w:t>
      </w:r>
    </w:p>
    <w:p>
      <w:pPr>
        <w:ind w:firstLine="708"/>
        <w:jc w:val="both"/>
      </w:pPr>
      <w:proofErr w:type="gramStart"/>
      <w:r>
        <w:rPr>
          <w:lang w:val="en-US"/>
        </w:rPr>
        <w:t>I</w:t>
      </w:r>
      <w:r>
        <w:t xml:space="preserve">  место</w:t>
      </w:r>
      <w:proofErr w:type="gramEnd"/>
      <w:r>
        <w:t xml:space="preserve"> в группе I  - Управление образования;</w:t>
      </w:r>
    </w:p>
    <w:p>
      <w:pPr>
        <w:ind w:firstLine="708"/>
        <w:jc w:val="both"/>
      </w:pPr>
      <w:r>
        <w:rPr>
          <w:lang w:val="en-US"/>
        </w:rPr>
        <w:t>I</w:t>
      </w:r>
      <w:r>
        <w:t xml:space="preserve"> место в группе </w:t>
      </w:r>
      <w:proofErr w:type="gramStart"/>
      <w:r>
        <w:t>II  -</w:t>
      </w:r>
      <w:proofErr w:type="gramEnd"/>
      <w:r>
        <w:t xml:space="preserve"> Финансовое управление.</w:t>
      </w:r>
    </w:p>
    <w:p>
      <w:pPr>
        <w:ind w:firstLine="708"/>
        <w:jc w:val="both"/>
        <w:rPr>
          <w:highlight w:val="yellow"/>
        </w:rPr>
      </w:pPr>
      <w:r>
        <w:rPr>
          <w:highlight w:val="yellow"/>
        </w:rPr>
        <w:t xml:space="preserve"> </w:t>
      </w:r>
    </w:p>
    <w:p>
      <w:pPr>
        <w:ind w:firstLine="708"/>
        <w:jc w:val="both"/>
        <w:rPr>
          <w:highlight w:val="yellow"/>
        </w:rPr>
      </w:pPr>
      <w:r>
        <w:rPr>
          <w:noProof/>
          <w:highlight w:val="yellow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366.45pt;margin-top:-.85pt;width:119.25pt;height:65.45pt;z-index:251657216;mso-height-percent:200;mso-height-percent:200;mso-width-relative:margin;mso-height-relative:margin" strokecolor="#c00000">
            <v:textbox style="mso-fit-shape-to-text:t">
              <w:txbxContent>
                <w:p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Среднее значение оценки качества финансового менеджмента составило 97 баллов</w:t>
                  </w:r>
                </w:p>
              </w:txbxContent>
            </v:textbox>
          </v:shape>
        </w:pict>
      </w:r>
    </w:p>
    <w:p>
      <w:pPr>
        <w:ind w:firstLine="708"/>
        <w:jc w:val="both"/>
        <w:rPr>
          <w:highlight w:val="yellow"/>
        </w:rPr>
      </w:pPr>
    </w:p>
    <w:p>
      <w:pPr>
        <w:ind w:left="-284" w:hanging="567"/>
        <w:jc w:val="center"/>
        <w:rPr>
          <w:noProof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30.6pt;margin-top:63.5pt;width:436.35pt;height:1.65pt;flip:y;z-index:251658240" o:connectortype="straight" strokecolor="red"/>
        </w:pict>
      </w:r>
      <w:r>
        <w:rPr>
          <w:noProof/>
        </w:rPr>
        <w:drawing>
          <wp:inline distT="0" distB="0" distL="0" distR="0">
            <wp:extent cx="6905625" cy="3528060"/>
            <wp:effectExtent l="0" t="0" r="0" b="0"/>
            <wp:docPr id="7" name="Объект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r>
        <w:rPr>
          <w:noProof/>
        </w:rPr>
        <w:t xml:space="preserve"> Рисунок 7 – Консолидированая оценка качества</w:t>
      </w:r>
    </w:p>
    <w:p>
      <w:pPr>
        <w:jc w:val="center"/>
        <w:rPr>
          <w:noProof/>
        </w:rPr>
      </w:pPr>
      <w:r>
        <w:rPr>
          <w:noProof/>
        </w:rPr>
        <w:t>финансового менеджмента ГАБС за 2020 год</w:t>
      </w:r>
    </w:p>
    <w:p>
      <w:pPr>
        <w:ind w:firstLine="709"/>
        <w:jc w:val="both"/>
        <w:rPr>
          <w:noProof/>
        </w:rPr>
      </w:pPr>
    </w:p>
    <w:p>
      <w:pPr>
        <w:ind w:firstLine="709"/>
        <w:jc w:val="both"/>
        <w:rPr>
          <w:noProof/>
        </w:rPr>
      </w:pPr>
    </w:p>
    <w:p>
      <w:pPr>
        <w:ind w:firstLine="709"/>
        <w:jc w:val="both"/>
        <w:rPr>
          <w:noProof/>
          <w:highlight w:val="yellow"/>
        </w:rPr>
      </w:pPr>
    </w:p>
    <w:p>
      <w:pPr>
        <w:jc w:val="center"/>
        <w:rPr>
          <w:noProof/>
          <w:color w:val="FF0000"/>
          <w:highlight w:val="yellow"/>
        </w:rPr>
      </w:pPr>
    </w:p>
    <w:p>
      <w:pPr>
        <w:jc w:val="both"/>
      </w:pPr>
      <w:r>
        <w:t xml:space="preserve">Заместитель начальника Финансового управления                                           </w:t>
      </w:r>
      <w:proofErr w:type="spellStart"/>
      <w:r>
        <w:t>О.Н.Кириллова</w:t>
      </w:r>
      <w:proofErr w:type="spellEnd"/>
    </w:p>
    <w:p>
      <w:pPr>
        <w:jc w:val="both"/>
        <w:rPr>
          <w:highlight w:val="yellow"/>
        </w:rPr>
      </w:pPr>
    </w:p>
    <w:p>
      <w:pPr>
        <w:jc w:val="both"/>
        <w:rPr>
          <w:highlight w:val="yellow"/>
        </w:rPr>
      </w:pPr>
    </w:p>
    <w:p>
      <w:pPr>
        <w:jc w:val="both"/>
        <w:rPr>
          <w:highlight w:val="yellow"/>
        </w:rPr>
      </w:pPr>
    </w:p>
    <w:p>
      <w:pPr>
        <w:jc w:val="both"/>
        <w:rPr>
          <w:highlight w:val="yellow"/>
        </w:rPr>
      </w:pPr>
    </w:p>
    <w:p>
      <w:pPr>
        <w:jc w:val="both"/>
        <w:rPr>
          <w:highlight w:val="yellow"/>
        </w:rPr>
      </w:pPr>
    </w:p>
    <w:p>
      <w:pPr>
        <w:jc w:val="both"/>
        <w:rPr>
          <w:highlight w:val="yellow"/>
        </w:rPr>
      </w:pPr>
      <w:bookmarkStart w:id="0" w:name="_GoBack"/>
      <w:bookmarkEnd w:id="0"/>
    </w:p>
    <w:p>
      <w:pPr>
        <w:jc w:val="both"/>
        <w:rPr>
          <w:highlight w:val="yellow"/>
        </w:rPr>
      </w:pPr>
    </w:p>
    <w:p>
      <w:pPr>
        <w:jc w:val="both"/>
        <w:rPr>
          <w:highlight w:val="yellow"/>
        </w:rPr>
      </w:pPr>
    </w:p>
    <w:p>
      <w:pPr>
        <w:jc w:val="both"/>
        <w:rPr>
          <w:highlight w:val="yellow"/>
        </w:rPr>
      </w:pPr>
    </w:p>
    <w:p>
      <w:pPr>
        <w:jc w:val="both"/>
        <w:rPr>
          <w:highlight w:val="yellow"/>
        </w:rPr>
      </w:pPr>
    </w:p>
    <w:p>
      <w:pPr>
        <w:jc w:val="both"/>
        <w:rPr>
          <w:highlight w:val="yellow"/>
        </w:rPr>
      </w:pPr>
    </w:p>
    <w:p>
      <w:pPr>
        <w:jc w:val="both"/>
        <w:rPr>
          <w:highlight w:val="yellow"/>
        </w:rPr>
      </w:pPr>
    </w:p>
    <w:p>
      <w:pPr>
        <w:jc w:val="both"/>
        <w:rPr>
          <w:highlight w:val="yellow"/>
        </w:rPr>
      </w:pPr>
    </w:p>
    <w:p>
      <w:pPr>
        <w:jc w:val="both"/>
        <w:rPr>
          <w:highlight w:val="yellow"/>
        </w:rPr>
      </w:pPr>
    </w:p>
    <w:p>
      <w:pPr>
        <w:jc w:val="both"/>
        <w:rPr>
          <w:highlight w:val="yellow"/>
        </w:rPr>
      </w:pPr>
    </w:p>
    <w:p>
      <w:pPr>
        <w:jc w:val="both"/>
        <w:rPr>
          <w:highlight w:val="yellow"/>
        </w:rPr>
      </w:pPr>
    </w:p>
    <w:sectPr>
      <w:footerReference w:type="even" r:id="rId15"/>
      <w:footerReference w:type="default" r:id="rId16"/>
      <w:pgSz w:w="11906" w:h="16838" w:code="9"/>
      <w:pgMar w:top="737" w:right="851" w:bottom="851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15</w:t>
    </w:r>
    <w:r>
      <w:rPr>
        <w:rStyle w:val="a7"/>
      </w:rPr>
      <w:fldChar w:fldCharType="end"/>
    </w:r>
  </w:p>
  <w:p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5D0A05"/>
    <w:multiLevelType w:val="hybridMultilevel"/>
    <w:tmpl w:val="A9CEB1E6"/>
    <w:lvl w:ilvl="0" w:tplc="16FE615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F0A1BFB"/>
    <w:multiLevelType w:val="hybridMultilevel"/>
    <w:tmpl w:val="435480C4"/>
    <w:lvl w:ilvl="0" w:tplc="0419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E979FA"/>
    <w:multiLevelType w:val="hybridMultilevel"/>
    <w:tmpl w:val="BAC23A16"/>
    <w:lvl w:ilvl="0" w:tplc="D4542AC2">
      <w:start w:val="1"/>
      <w:numFmt w:val="decimal"/>
      <w:lvlText w:val="%1)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115067"/>
    <w:multiLevelType w:val="hybridMultilevel"/>
    <w:tmpl w:val="428E9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1F3E12"/>
    <w:multiLevelType w:val="hybridMultilevel"/>
    <w:tmpl w:val="D9C27248"/>
    <w:lvl w:ilvl="0" w:tplc="9956F64E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2B8C98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41419C2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F5AFF12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1CA5F4C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4A20A76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4BC6994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732ED46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7DCAEFE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1BAB36A8"/>
    <w:multiLevelType w:val="hybridMultilevel"/>
    <w:tmpl w:val="8B1AFF14"/>
    <w:lvl w:ilvl="0" w:tplc="4692C72C">
      <w:start w:val="1"/>
      <w:numFmt w:val="decimal"/>
      <w:lvlText w:val="%1)"/>
      <w:lvlJc w:val="left"/>
      <w:pPr>
        <w:tabs>
          <w:tab w:val="num" w:pos="2004"/>
        </w:tabs>
        <w:ind w:left="200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1CB15CDD"/>
    <w:multiLevelType w:val="hybridMultilevel"/>
    <w:tmpl w:val="90DCBDB6"/>
    <w:lvl w:ilvl="0" w:tplc="2EFA74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01908BD"/>
    <w:multiLevelType w:val="hybridMultilevel"/>
    <w:tmpl w:val="421454E2"/>
    <w:lvl w:ilvl="0" w:tplc="8506B81A">
      <w:start w:val="1"/>
      <w:numFmt w:val="decimal"/>
      <w:lvlText w:val="%1)"/>
      <w:lvlJc w:val="left"/>
      <w:pPr>
        <w:ind w:left="1669" w:hanging="9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166DCC"/>
    <w:multiLevelType w:val="hybridMultilevel"/>
    <w:tmpl w:val="3D1CC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2517E3"/>
    <w:multiLevelType w:val="hybridMultilevel"/>
    <w:tmpl w:val="7B54D886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B52C21"/>
    <w:multiLevelType w:val="hybridMultilevel"/>
    <w:tmpl w:val="EAB48F04"/>
    <w:lvl w:ilvl="0" w:tplc="C8E0C5BA">
      <w:start w:val="1"/>
      <w:numFmt w:val="decimal"/>
      <w:lvlText w:val="%1)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C5B247F"/>
    <w:multiLevelType w:val="hybridMultilevel"/>
    <w:tmpl w:val="75F60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080C5C"/>
    <w:multiLevelType w:val="hybridMultilevel"/>
    <w:tmpl w:val="29F022F8"/>
    <w:lvl w:ilvl="0" w:tplc="8912FF2E">
      <w:start w:val="1"/>
      <w:numFmt w:val="decimal"/>
      <w:lvlText w:val="%1)"/>
      <w:lvlJc w:val="left"/>
      <w:pPr>
        <w:ind w:left="7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09F4A15"/>
    <w:multiLevelType w:val="hybridMultilevel"/>
    <w:tmpl w:val="DC869EF8"/>
    <w:lvl w:ilvl="0" w:tplc="B0124546">
      <w:start w:val="1"/>
      <w:numFmt w:val="decimal"/>
      <w:lvlText w:val="%1)"/>
      <w:lvlJc w:val="left"/>
      <w:pPr>
        <w:ind w:left="5355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75" w:hanging="360"/>
      </w:pPr>
    </w:lvl>
    <w:lvl w:ilvl="2" w:tplc="0419001B" w:tentative="1">
      <w:start w:val="1"/>
      <w:numFmt w:val="lowerRoman"/>
      <w:lvlText w:val="%3."/>
      <w:lvlJc w:val="right"/>
      <w:pPr>
        <w:ind w:left="6195" w:hanging="180"/>
      </w:pPr>
    </w:lvl>
    <w:lvl w:ilvl="3" w:tplc="0419000F" w:tentative="1">
      <w:start w:val="1"/>
      <w:numFmt w:val="decimal"/>
      <w:lvlText w:val="%4."/>
      <w:lvlJc w:val="left"/>
      <w:pPr>
        <w:ind w:left="6915" w:hanging="360"/>
      </w:pPr>
    </w:lvl>
    <w:lvl w:ilvl="4" w:tplc="04190019" w:tentative="1">
      <w:start w:val="1"/>
      <w:numFmt w:val="lowerLetter"/>
      <w:lvlText w:val="%5."/>
      <w:lvlJc w:val="left"/>
      <w:pPr>
        <w:ind w:left="7635" w:hanging="360"/>
      </w:pPr>
    </w:lvl>
    <w:lvl w:ilvl="5" w:tplc="0419001B" w:tentative="1">
      <w:start w:val="1"/>
      <w:numFmt w:val="lowerRoman"/>
      <w:lvlText w:val="%6."/>
      <w:lvlJc w:val="right"/>
      <w:pPr>
        <w:ind w:left="8355" w:hanging="180"/>
      </w:pPr>
    </w:lvl>
    <w:lvl w:ilvl="6" w:tplc="0419000F" w:tentative="1">
      <w:start w:val="1"/>
      <w:numFmt w:val="decimal"/>
      <w:lvlText w:val="%7."/>
      <w:lvlJc w:val="left"/>
      <w:pPr>
        <w:ind w:left="9075" w:hanging="360"/>
      </w:pPr>
    </w:lvl>
    <w:lvl w:ilvl="7" w:tplc="04190019" w:tentative="1">
      <w:start w:val="1"/>
      <w:numFmt w:val="lowerLetter"/>
      <w:lvlText w:val="%8."/>
      <w:lvlJc w:val="left"/>
      <w:pPr>
        <w:ind w:left="9795" w:hanging="360"/>
      </w:pPr>
    </w:lvl>
    <w:lvl w:ilvl="8" w:tplc="0419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14">
    <w:nsid w:val="653C0634"/>
    <w:multiLevelType w:val="hybridMultilevel"/>
    <w:tmpl w:val="29F022F8"/>
    <w:lvl w:ilvl="0" w:tplc="8912FF2E">
      <w:start w:val="1"/>
      <w:numFmt w:val="decimal"/>
      <w:lvlText w:val="%1)"/>
      <w:lvlJc w:val="left"/>
      <w:pPr>
        <w:ind w:left="7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D51722B"/>
    <w:multiLevelType w:val="hybridMultilevel"/>
    <w:tmpl w:val="DAE89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4"/>
  </w:num>
  <w:num w:numId="5">
    <w:abstractNumId w:val="8"/>
  </w:num>
  <w:num w:numId="6">
    <w:abstractNumId w:val="15"/>
  </w:num>
  <w:num w:numId="7">
    <w:abstractNumId w:val="11"/>
  </w:num>
  <w:num w:numId="8">
    <w:abstractNumId w:val="3"/>
  </w:num>
  <w:num w:numId="9">
    <w:abstractNumId w:val="10"/>
  </w:num>
  <w:num w:numId="10">
    <w:abstractNumId w:val="2"/>
  </w:num>
  <w:num w:numId="11">
    <w:abstractNumId w:val="1"/>
  </w:num>
  <w:num w:numId="12">
    <w:abstractNumId w:val="13"/>
  </w:num>
  <w:num w:numId="13">
    <w:abstractNumId w:val="6"/>
  </w:num>
  <w:num w:numId="14">
    <w:abstractNumId w:val="12"/>
  </w:num>
  <w:num w:numId="15">
    <w:abstractNumId w:val="9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  <o:rules v:ext="edit">
        <o:r id="V:Rule2" type="connector" idref="#_x0000_s1033"/>
      </o:rules>
    </o:shapelayout>
  </w:shapeDefaults>
  <w:decimalSymbol w:val=","/>
  <w:listSeparator w:val=";"/>
  <w15:docId w15:val="{A935A816-5CF5-470F-983E-BCF1BD0ED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 Знак Знак Знак"/>
    <w:basedOn w:val="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5">
    <w:name w:val="Body Text"/>
    <w:basedOn w:val="a"/>
    <w:pPr>
      <w:jc w:val="both"/>
    </w:p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character" w:styleId="a7">
    <w:name w:val="page number"/>
    <w:basedOn w:val="a0"/>
  </w:style>
  <w:style w:type="paragraph" w:styleId="a8">
    <w:name w:val="head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Pr>
      <w:sz w:val="24"/>
      <w:szCs w:val="24"/>
    </w:rPr>
  </w:style>
  <w:style w:type="paragraph" w:styleId="aa">
    <w:name w:val="Balloon Text"/>
    <w:basedOn w:val="a"/>
    <w:link w:val="a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39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5248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37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7376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9937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NULL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5.xlsx"/><Relationship Id="rId1" Type="http://schemas.openxmlformats.org/officeDocument/2006/relationships/themeOverride" Target="../theme/themeOverrid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themeOverride" Target="../theme/themeOverride7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  <c:spPr>
        <a:noFill/>
        <a:ln w="6350">
          <a:noFill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solidFill>
              <a:srgbClr val="ED7D31"/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noFill/>
              <a:ln w="22054">
                <a:noFill/>
              </a:ln>
            </c:spPr>
            <c:txPr>
              <a:bodyPr/>
              <a:lstStyle/>
              <a:p>
                <a:pPr>
                  <a:defRPr sz="955" b="0" i="0" u="none" strike="noStrike" baseline="0">
                    <a:solidFill>
                      <a:srgbClr val="333333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Лист1!$A$3:$A$12</c:f>
              <c:strCache>
                <c:ptCount val="10"/>
                <c:pt idx="0">
                  <c:v>Управление образования</c:v>
                </c:pt>
                <c:pt idx="1">
                  <c:v>Управление культуры</c:v>
                </c:pt>
                <c:pt idx="2">
                  <c:v>УМСП ФКиС</c:v>
                </c:pt>
                <c:pt idx="3">
                  <c:v>УЖКХ ТиС</c:v>
                </c:pt>
                <c:pt idx="4">
                  <c:v>Администрация</c:v>
                </c:pt>
                <c:pt idx="5">
                  <c:v>УИО</c:v>
                </c:pt>
                <c:pt idx="6">
                  <c:v>УЧС</c:v>
                </c:pt>
                <c:pt idx="7">
                  <c:v>УКС</c:v>
                </c:pt>
                <c:pt idx="8">
                  <c:v>УВГТ</c:v>
                </c:pt>
                <c:pt idx="9">
                  <c:v>Фин. управление</c:v>
                </c:pt>
              </c:strCache>
            </c:strRef>
          </c:cat>
          <c:val>
            <c:numRef>
              <c:f>Лист1!$B$3:$B$12</c:f>
              <c:numCache>
                <c:formatCode>General</c:formatCode>
                <c:ptCount val="10"/>
                <c:pt idx="0">
                  <c:v>15</c:v>
                </c:pt>
                <c:pt idx="1">
                  <c:v>20</c:v>
                </c:pt>
                <c:pt idx="2">
                  <c:v>15</c:v>
                </c:pt>
                <c:pt idx="3">
                  <c:v>16</c:v>
                </c:pt>
                <c:pt idx="4">
                  <c:v>13</c:v>
                </c:pt>
                <c:pt idx="5">
                  <c:v>21</c:v>
                </c:pt>
                <c:pt idx="6">
                  <c:v>15</c:v>
                </c:pt>
                <c:pt idx="7">
                  <c:v>15</c:v>
                </c:pt>
                <c:pt idx="8">
                  <c:v>20</c:v>
                </c:pt>
                <c:pt idx="9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0081152"/>
        <c:axId val="130081544"/>
        <c:axId val="0"/>
      </c:bar3DChart>
      <c:catAx>
        <c:axId val="1300811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1027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2700000" vert="horz"/>
          <a:lstStyle/>
          <a:p>
            <a:pPr>
              <a:defRPr sz="912" b="0" i="0" u="none" strike="noStrike" baseline="0">
                <a:solidFill>
                  <a:srgbClr val="333333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130081544"/>
        <c:crosses val="autoZero"/>
        <c:auto val="1"/>
        <c:lblAlgn val="ctr"/>
        <c:lblOffset val="100"/>
        <c:noMultiLvlLbl val="0"/>
      </c:catAx>
      <c:valAx>
        <c:axId val="130081544"/>
        <c:scaling>
          <c:orientation val="minMax"/>
        </c:scaling>
        <c:delete val="0"/>
        <c:axPos val="l"/>
        <c:majorGridlines>
          <c:spPr>
            <a:ln w="8270" cap="flat" cmpd="sng" algn="ctr">
              <a:solidFill>
                <a:srgbClr val="5B9BD5">
                  <a:lumMod val="60000"/>
                  <a:lumOff val="40000"/>
                </a:srgb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ln w="5513">
            <a:noFill/>
          </a:ln>
        </c:spPr>
        <c:txPr>
          <a:bodyPr rot="0" vert="horz"/>
          <a:lstStyle/>
          <a:p>
            <a:pPr>
              <a:defRPr sz="781" b="0" i="0" u="none" strike="noStrike" baseline="0">
                <a:solidFill>
                  <a:srgbClr val="333333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30081152"/>
        <c:crosses val="autoZero"/>
        <c:crossBetween val="between"/>
      </c:valAx>
      <c:spPr>
        <a:noFill/>
        <a:ln w="22054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81" b="0" i="0" u="none" strike="noStrike" baseline="0">
          <a:solidFill>
            <a:srgbClr val="333399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  <c:spPr>
        <a:noFill/>
        <a:ln w="6350">
          <a:noFill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solidFill>
              <a:srgbClr val="70AD47">
                <a:lumMod val="75000"/>
              </a:srgbClr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noFill/>
              <a:ln w="20247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103" b="0" i="0" u="none" strike="noStrike" baseline="0">
                    <a:solidFill>
                      <a:srgbClr val="333333"/>
                    </a:solidFill>
                    <a:latin typeface="Times New Roman" panose="02020603050405020304" pitchFamily="18" charset="0"/>
                    <a:ea typeface="Calibri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Лист1!$A$3:$A$12</c:f>
              <c:strCache>
                <c:ptCount val="10"/>
                <c:pt idx="0">
                  <c:v>Управление образования</c:v>
                </c:pt>
                <c:pt idx="1">
                  <c:v>Управление культуры</c:v>
                </c:pt>
                <c:pt idx="2">
                  <c:v>УМСП ФКиС</c:v>
                </c:pt>
                <c:pt idx="3">
                  <c:v>УЖКХ ТиС</c:v>
                </c:pt>
                <c:pt idx="4">
                  <c:v>Администрация</c:v>
                </c:pt>
                <c:pt idx="5">
                  <c:v>УИО</c:v>
                </c:pt>
                <c:pt idx="6">
                  <c:v>УЧС</c:v>
                </c:pt>
                <c:pt idx="7">
                  <c:v>УКС</c:v>
                </c:pt>
                <c:pt idx="8">
                  <c:v>УВГТ</c:v>
                </c:pt>
                <c:pt idx="9">
                  <c:v>Фин. управление</c:v>
                </c:pt>
              </c:strCache>
            </c:strRef>
          </c:cat>
          <c:val>
            <c:numRef>
              <c:f>Лист1!$B$3:$B$12</c:f>
              <c:numCache>
                <c:formatCode>General</c:formatCode>
                <c:ptCount val="10"/>
                <c:pt idx="0">
                  <c:v>31.5</c:v>
                </c:pt>
                <c:pt idx="1">
                  <c:v>30.5</c:v>
                </c:pt>
                <c:pt idx="2">
                  <c:v>32.700000000000003</c:v>
                </c:pt>
                <c:pt idx="3">
                  <c:v>33.9</c:v>
                </c:pt>
                <c:pt idx="4">
                  <c:v>34.299999999999997</c:v>
                </c:pt>
                <c:pt idx="5">
                  <c:v>29.2</c:v>
                </c:pt>
                <c:pt idx="6">
                  <c:v>33.299999999999997</c:v>
                </c:pt>
                <c:pt idx="7">
                  <c:v>32.200000000000003</c:v>
                </c:pt>
                <c:pt idx="8">
                  <c:v>30.6</c:v>
                </c:pt>
                <c:pt idx="9">
                  <c:v>29.7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0082328"/>
        <c:axId val="130082720"/>
        <c:axId val="0"/>
      </c:bar3DChart>
      <c:catAx>
        <c:axId val="1300823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0124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2700000" vert="horz"/>
          <a:lstStyle/>
          <a:p>
            <a:pPr>
              <a:defRPr sz="1011" b="0" i="0" u="none" strike="noStrike" baseline="0">
                <a:solidFill>
                  <a:srgbClr val="333333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130082720"/>
        <c:crosses val="autoZero"/>
        <c:auto val="1"/>
        <c:lblAlgn val="ctr"/>
        <c:lblOffset val="100"/>
        <c:noMultiLvlLbl val="0"/>
      </c:catAx>
      <c:valAx>
        <c:axId val="130082720"/>
        <c:scaling>
          <c:orientation val="minMax"/>
        </c:scaling>
        <c:delete val="0"/>
        <c:axPos val="l"/>
        <c:majorGridlines>
          <c:spPr>
            <a:ln w="7592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ln w="5062">
            <a:noFill/>
          </a:ln>
        </c:spPr>
        <c:txPr>
          <a:bodyPr rot="0" vert="horz"/>
          <a:lstStyle/>
          <a:p>
            <a:pPr>
              <a:defRPr sz="717" b="0" i="0" u="none" strike="noStrike" baseline="0">
                <a:solidFill>
                  <a:srgbClr val="333333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30082328"/>
        <c:crosses val="autoZero"/>
        <c:crossBetween val="between"/>
      </c:valAx>
      <c:spPr>
        <a:noFill/>
        <a:ln w="23355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17" b="0" i="0" u="none" strike="noStrike" baseline="0">
          <a:solidFill>
            <a:srgbClr val="333399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  <c:spPr>
        <a:noFill/>
        <a:ln w="6350">
          <a:noFill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solidFill>
              <a:srgbClr val="A5A5A5">
                <a:lumMod val="75000"/>
              </a:srgbClr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dLbl>
              <c:idx val="0"/>
              <c:layout>
                <c:manualLayout>
                  <c:x val="1.5337423312883439E-2"/>
                  <c:y val="-8.176100628930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7893660531697338E-2"/>
                  <c:y val="-5.66037735849056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2.5562372188139067E-2"/>
                  <c:y val="-9.43396226415094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22052">
                <a:noFill/>
              </a:ln>
            </c:spPr>
            <c:txPr>
              <a:bodyPr/>
              <a:lstStyle/>
              <a:p>
                <a:pPr>
                  <a:defRPr sz="1042" b="0" i="0" u="none" strike="noStrike" baseline="0">
                    <a:solidFill>
                      <a:srgbClr val="333333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Лист1!$A$3:$A$6</c:f>
              <c:strCache>
                <c:ptCount val="4"/>
                <c:pt idx="0">
                  <c:v>Управление образования</c:v>
                </c:pt>
                <c:pt idx="1">
                  <c:v>Управление культуры</c:v>
                </c:pt>
                <c:pt idx="2">
                  <c:v>УМСП ФКиС</c:v>
                </c:pt>
                <c:pt idx="3">
                  <c:v>УЖКХ ТиС</c:v>
                </c:pt>
              </c:strCache>
            </c:strRef>
          </c:cat>
          <c:val>
            <c:numRef>
              <c:f>Лист1!$B$3:$B$6</c:f>
              <c:numCache>
                <c:formatCode>General</c:formatCode>
                <c:ptCount val="4"/>
                <c:pt idx="0">
                  <c:v>30.2</c:v>
                </c:pt>
                <c:pt idx="1">
                  <c:v>23.7</c:v>
                </c:pt>
                <c:pt idx="2">
                  <c:v>23.8</c:v>
                </c:pt>
                <c:pt idx="3">
                  <c:v>22.6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0980984"/>
        <c:axId val="130981376"/>
        <c:axId val="0"/>
      </c:bar3DChart>
      <c:catAx>
        <c:axId val="1309809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1026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vert="horz"/>
          <a:lstStyle/>
          <a:p>
            <a:pPr>
              <a:defRPr sz="912" b="0" i="0" u="none" strike="noStrike" baseline="0">
                <a:solidFill>
                  <a:srgbClr val="333333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130981376"/>
        <c:crosses val="autoZero"/>
        <c:auto val="1"/>
        <c:lblAlgn val="ctr"/>
        <c:lblOffset val="100"/>
        <c:noMultiLvlLbl val="0"/>
      </c:catAx>
      <c:valAx>
        <c:axId val="130981376"/>
        <c:scaling>
          <c:orientation val="minMax"/>
        </c:scaling>
        <c:delete val="0"/>
        <c:axPos val="l"/>
        <c:majorGridlines>
          <c:spPr>
            <a:ln w="8270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ln w="5513">
            <a:noFill/>
          </a:ln>
        </c:spPr>
        <c:txPr>
          <a:bodyPr rot="0" vert="horz"/>
          <a:lstStyle/>
          <a:p>
            <a:pPr>
              <a:defRPr sz="781" b="0" i="0" u="none" strike="noStrike" baseline="0">
                <a:solidFill>
                  <a:srgbClr val="333333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30980984"/>
        <c:crosses val="autoZero"/>
        <c:crossBetween val="between"/>
      </c:valAx>
      <c:spPr>
        <a:noFill/>
        <a:ln w="22052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68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  <c:spPr>
        <a:noFill/>
        <a:ln w="6350">
          <a:noFill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solidFill>
              <a:srgbClr val="5B9BD5">
                <a:lumMod val="75000"/>
              </a:srgbClr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noFill/>
              <a:ln w="22013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040" b="0" i="0" u="none" strike="noStrike" baseline="0">
                    <a:solidFill>
                      <a:srgbClr val="333333"/>
                    </a:solidFill>
                    <a:latin typeface="Times New Roman" panose="02020603050405020304" pitchFamily="18" charset="0"/>
                    <a:ea typeface="Calibri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Лист1!$A$3:$A$12</c:f>
              <c:strCache>
                <c:ptCount val="10"/>
                <c:pt idx="0">
                  <c:v>Управление образования</c:v>
                </c:pt>
                <c:pt idx="1">
                  <c:v>Управление культуры </c:v>
                </c:pt>
                <c:pt idx="2">
                  <c:v>УМСП ФКиС</c:v>
                </c:pt>
                <c:pt idx="3">
                  <c:v>УЖКХ ТиС</c:v>
                </c:pt>
                <c:pt idx="4">
                  <c:v>Администрация</c:v>
                </c:pt>
                <c:pt idx="5">
                  <c:v>УИО</c:v>
                </c:pt>
                <c:pt idx="6">
                  <c:v>УЧС</c:v>
                </c:pt>
                <c:pt idx="7">
                  <c:v>УКС</c:v>
                </c:pt>
                <c:pt idx="8">
                  <c:v>УВГТ</c:v>
                </c:pt>
                <c:pt idx="9">
                  <c:v>Фин. управление</c:v>
                </c:pt>
              </c:strCache>
            </c:strRef>
          </c:cat>
          <c:val>
            <c:numRef>
              <c:f>Лист1!$B$3:$B$12</c:f>
              <c:numCache>
                <c:formatCode>General</c:formatCode>
                <c:ptCount val="10"/>
                <c:pt idx="0">
                  <c:v>13</c:v>
                </c:pt>
                <c:pt idx="1">
                  <c:v>13</c:v>
                </c:pt>
                <c:pt idx="2">
                  <c:v>13</c:v>
                </c:pt>
                <c:pt idx="3">
                  <c:v>8</c:v>
                </c:pt>
                <c:pt idx="4">
                  <c:v>13</c:v>
                </c:pt>
                <c:pt idx="5">
                  <c:v>8</c:v>
                </c:pt>
                <c:pt idx="6">
                  <c:v>10</c:v>
                </c:pt>
                <c:pt idx="7">
                  <c:v>10</c:v>
                </c:pt>
                <c:pt idx="8">
                  <c:v>8</c:v>
                </c:pt>
                <c:pt idx="9">
                  <c:v>10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0982160"/>
        <c:axId val="130982552"/>
        <c:axId val="0"/>
      </c:bar3DChart>
      <c:catAx>
        <c:axId val="1309821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1006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2700000" vert="horz"/>
          <a:lstStyle/>
          <a:p>
            <a:pPr>
              <a:defRPr sz="953" b="0" i="0" u="none" strike="noStrike" baseline="0">
                <a:solidFill>
                  <a:srgbClr val="333333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130982552"/>
        <c:crosses val="autoZero"/>
        <c:auto val="1"/>
        <c:lblAlgn val="ctr"/>
        <c:lblOffset val="100"/>
        <c:noMultiLvlLbl val="0"/>
      </c:catAx>
      <c:valAx>
        <c:axId val="130982552"/>
        <c:scaling>
          <c:orientation val="minMax"/>
        </c:scaling>
        <c:delete val="0"/>
        <c:axPos val="l"/>
        <c:majorGridlines>
          <c:spPr>
            <a:ln w="8255" cap="flat" cmpd="sng" algn="ctr">
              <a:solidFill>
                <a:srgbClr val="5B9BD5">
                  <a:lumMod val="60000"/>
                  <a:lumOff val="40000"/>
                </a:srgb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ln w="5503">
            <a:noFill/>
          </a:ln>
        </c:spPr>
        <c:txPr>
          <a:bodyPr rot="0" vert="horz"/>
          <a:lstStyle/>
          <a:p>
            <a:pPr>
              <a:defRPr sz="780" b="0" i="0" u="none" strike="noStrike" baseline="0">
                <a:solidFill>
                  <a:srgbClr val="333333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30982160"/>
        <c:crosses val="autoZero"/>
        <c:crossBetween val="between"/>
      </c:valAx>
      <c:spPr>
        <a:noFill/>
        <a:ln w="22013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80" b="0" i="0" u="none" strike="noStrike" baseline="0">
          <a:solidFill>
            <a:srgbClr val="333399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  <c:spPr>
        <a:noFill/>
        <a:ln w="6350">
          <a:noFill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solidFill>
              <a:srgbClr val="FFFF00"/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noFill/>
              <a:ln w="22019">
                <a:noFill/>
              </a:ln>
            </c:spPr>
            <c:txPr>
              <a:bodyPr/>
              <a:lstStyle/>
              <a:p>
                <a:pPr>
                  <a:defRPr sz="1040" b="0" i="0" u="none" strike="noStrike" baseline="0">
                    <a:solidFill>
                      <a:srgbClr val="333333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Лист1!$A$3:$A$12</c:f>
              <c:strCache>
                <c:ptCount val="10"/>
                <c:pt idx="0">
                  <c:v>Управление образования </c:v>
                </c:pt>
                <c:pt idx="1">
                  <c:v>Управление культуры </c:v>
                </c:pt>
                <c:pt idx="2">
                  <c:v>УМСП ФКиС</c:v>
                </c:pt>
                <c:pt idx="3">
                  <c:v>УЖКХ ТиС</c:v>
                </c:pt>
                <c:pt idx="4">
                  <c:v>Администрация</c:v>
                </c:pt>
                <c:pt idx="5">
                  <c:v>УИО</c:v>
                </c:pt>
                <c:pt idx="6">
                  <c:v>УЧС</c:v>
                </c:pt>
                <c:pt idx="7">
                  <c:v>УКС</c:v>
                </c:pt>
                <c:pt idx="8">
                  <c:v>УВГТ</c:v>
                </c:pt>
                <c:pt idx="9">
                  <c:v>Фин. управление</c:v>
                </c:pt>
              </c:strCache>
            </c:strRef>
          </c:cat>
          <c:val>
            <c:numRef>
              <c:f>Лист1!$B$3:$B$12</c:f>
              <c:numCache>
                <c:formatCode>General</c:formatCode>
                <c:ptCount val="10"/>
                <c:pt idx="0">
                  <c:v>10</c:v>
                </c:pt>
                <c:pt idx="1">
                  <c:v>10</c:v>
                </c:pt>
                <c:pt idx="2">
                  <c:v>10</c:v>
                </c:pt>
                <c:pt idx="3">
                  <c:v>10</c:v>
                </c:pt>
                <c:pt idx="4">
                  <c:v>10</c:v>
                </c:pt>
                <c:pt idx="5">
                  <c:v>5</c:v>
                </c:pt>
                <c:pt idx="6">
                  <c:v>10</c:v>
                </c:pt>
                <c:pt idx="7">
                  <c:v>10</c:v>
                </c:pt>
                <c:pt idx="8">
                  <c:v>10</c:v>
                </c:pt>
                <c:pt idx="9">
                  <c:v>10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0983728"/>
        <c:axId val="130984120"/>
        <c:axId val="0"/>
      </c:bar3DChart>
      <c:catAx>
        <c:axId val="1309837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1009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2700000" vert="horz"/>
          <a:lstStyle/>
          <a:p>
            <a:pPr>
              <a:defRPr sz="910" b="0" i="0" u="none" strike="noStrike" baseline="0">
                <a:solidFill>
                  <a:srgbClr val="333333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130984120"/>
        <c:crosses val="autoZero"/>
        <c:auto val="1"/>
        <c:lblAlgn val="ctr"/>
        <c:lblOffset val="100"/>
        <c:noMultiLvlLbl val="0"/>
      </c:catAx>
      <c:valAx>
        <c:axId val="130984120"/>
        <c:scaling>
          <c:orientation val="minMax"/>
        </c:scaling>
        <c:delete val="0"/>
        <c:axPos val="l"/>
        <c:majorGridlines>
          <c:spPr>
            <a:ln w="8257" cap="flat" cmpd="sng" algn="ctr">
              <a:solidFill>
                <a:srgbClr val="5B9BD5">
                  <a:lumMod val="60000"/>
                  <a:lumOff val="40000"/>
                </a:srgb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ln w="5505">
            <a:noFill/>
          </a:ln>
        </c:spPr>
        <c:txPr>
          <a:bodyPr rot="0" vert="horz"/>
          <a:lstStyle/>
          <a:p>
            <a:pPr>
              <a:defRPr sz="780" b="0" i="0" u="none" strike="noStrike" baseline="0">
                <a:solidFill>
                  <a:srgbClr val="333333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30983728"/>
        <c:crosses val="autoZero"/>
        <c:crossBetween val="between"/>
      </c:valAx>
      <c:spPr>
        <a:noFill/>
        <a:ln w="22019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80" b="0" i="0" u="none" strike="noStrike" baseline="0">
          <a:solidFill>
            <a:srgbClr val="333399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  <c:spPr>
        <a:noFill/>
        <a:ln w="6350">
          <a:noFill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solidFill>
              <a:srgbClr val="FFC000">
                <a:lumMod val="50000"/>
              </a:srgbClr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noFill/>
              <a:ln w="22048">
                <a:noFill/>
              </a:ln>
            </c:spPr>
            <c:txPr>
              <a:bodyPr/>
              <a:lstStyle/>
              <a:p>
                <a:pPr>
                  <a:defRPr sz="1042" b="0" i="0" u="none" strike="noStrike" baseline="0">
                    <a:solidFill>
                      <a:srgbClr val="333333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Лист1!$A$3:$A$12</c:f>
              <c:strCache>
                <c:ptCount val="10"/>
                <c:pt idx="0">
                  <c:v>Управление образования </c:v>
                </c:pt>
                <c:pt idx="1">
                  <c:v>Управление культуры </c:v>
                </c:pt>
                <c:pt idx="2">
                  <c:v>УМСП ФКиС</c:v>
                </c:pt>
                <c:pt idx="3">
                  <c:v>УЖКХ ТиС</c:v>
                </c:pt>
                <c:pt idx="4">
                  <c:v>Администрация</c:v>
                </c:pt>
                <c:pt idx="5">
                  <c:v>УИО</c:v>
                </c:pt>
                <c:pt idx="6">
                  <c:v>УЧС</c:v>
                </c:pt>
                <c:pt idx="7">
                  <c:v>УКС</c:v>
                </c:pt>
                <c:pt idx="8">
                  <c:v>УВГТ</c:v>
                </c:pt>
                <c:pt idx="9">
                  <c:v>Фин. управление</c:v>
                </c:pt>
              </c:strCache>
            </c:strRef>
          </c:cat>
          <c:val>
            <c:numRef>
              <c:f>Лист1!$B$3:$B$12</c:f>
              <c:numCache>
                <c:formatCode>General</c:formatCode>
                <c:ptCount val="10"/>
                <c:pt idx="0">
                  <c:v>15</c:v>
                </c:pt>
                <c:pt idx="1">
                  <c:v>5</c:v>
                </c:pt>
                <c:pt idx="2">
                  <c:v>8</c:v>
                </c:pt>
                <c:pt idx="3">
                  <c:v>15</c:v>
                </c:pt>
                <c:pt idx="4">
                  <c:v>10</c:v>
                </c:pt>
                <c:pt idx="5">
                  <c:v>8</c:v>
                </c:pt>
                <c:pt idx="6">
                  <c:v>15</c:v>
                </c:pt>
                <c:pt idx="7">
                  <c:v>15</c:v>
                </c:pt>
                <c:pt idx="8">
                  <c:v>10</c:v>
                </c:pt>
                <c:pt idx="9">
                  <c:v>15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0826240"/>
        <c:axId val="130826632"/>
        <c:axId val="0"/>
      </c:bar3DChart>
      <c:catAx>
        <c:axId val="130826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1024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2700000" vert="horz"/>
          <a:lstStyle/>
          <a:p>
            <a:pPr>
              <a:defRPr sz="911" b="0" i="0" u="none" strike="noStrike" baseline="0">
                <a:solidFill>
                  <a:srgbClr val="333333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130826632"/>
        <c:crosses val="autoZero"/>
        <c:auto val="1"/>
        <c:lblAlgn val="ctr"/>
        <c:lblOffset val="100"/>
        <c:noMultiLvlLbl val="0"/>
      </c:catAx>
      <c:valAx>
        <c:axId val="130826632"/>
        <c:scaling>
          <c:orientation val="minMax"/>
        </c:scaling>
        <c:delete val="0"/>
        <c:axPos val="l"/>
        <c:majorGridlines>
          <c:spPr>
            <a:ln w="8268" cap="flat" cmpd="sng" algn="ctr">
              <a:solidFill>
                <a:srgbClr val="5B9BD5">
                  <a:lumMod val="60000"/>
                  <a:lumOff val="40000"/>
                </a:srgb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ln w="5512">
            <a:noFill/>
          </a:ln>
        </c:spPr>
        <c:txPr>
          <a:bodyPr rot="0" vert="horz"/>
          <a:lstStyle/>
          <a:p>
            <a:pPr>
              <a:defRPr sz="781" b="0" i="0" u="none" strike="noStrike" baseline="0">
                <a:solidFill>
                  <a:srgbClr val="333333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30826240"/>
        <c:crosses val="autoZero"/>
        <c:crossBetween val="between"/>
      </c:valAx>
      <c:spPr>
        <a:noFill/>
        <a:ln w="2204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81" b="0" i="0" u="none" strike="noStrike" baseline="0">
          <a:solidFill>
            <a:srgbClr val="333399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  <c:spPr>
        <a:noFill/>
        <a:ln w="6350">
          <a:noFill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>
        <c:manualLayout>
          <c:layoutTarget val="inner"/>
          <c:xMode val="edge"/>
          <c:yMode val="edge"/>
          <c:x val="7.344577947803696E-2"/>
          <c:y val="4.9283154121863806E-2"/>
          <c:w val="0.90493472366661709"/>
          <c:h val="0.49450088900177808"/>
        </c:manualLayout>
      </c:layout>
      <c:bar3DChart>
        <c:barDir val="col"/>
        <c:grouping val="stacked"/>
        <c:varyColors val="0"/>
        <c:ser>
          <c:idx val="0"/>
          <c:order val="0"/>
          <c:spPr>
            <a:solidFill>
              <a:srgbClr val="ED7D31">
                <a:lumMod val="75000"/>
              </a:srgbClr>
            </a:solidFill>
            <a:ln>
              <a:noFill/>
            </a:ln>
            <a:effectLst/>
            <a:sp3d/>
          </c:spPr>
          <c:invertIfNegative val="0"/>
          <c:cat>
            <c:strRef>
              <c:f>'рейтинг (2)'!$B$8:$B$17</c:f>
              <c:strCache>
                <c:ptCount val="10"/>
                <c:pt idx="0">
                  <c:v>Управление образования</c:v>
                </c:pt>
                <c:pt idx="1">
                  <c:v>УМСП ФКиС</c:v>
                </c:pt>
                <c:pt idx="2">
                  <c:v>Управление культуры</c:v>
                </c:pt>
                <c:pt idx="3">
                  <c:v>УЖКХ ТиС</c:v>
                </c:pt>
                <c:pt idx="4">
                  <c:v>УЧС</c:v>
                </c:pt>
                <c:pt idx="5">
                  <c:v>Администрация</c:v>
                </c:pt>
                <c:pt idx="6">
                  <c:v>УИО</c:v>
                </c:pt>
                <c:pt idx="7">
                  <c:v>Финансовое управление</c:v>
                </c:pt>
                <c:pt idx="8">
                  <c:v>УКС</c:v>
                </c:pt>
                <c:pt idx="9">
                  <c:v>УВГТ</c:v>
                </c:pt>
              </c:strCache>
            </c:strRef>
          </c:cat>
          <c:val>
            <c:numRef>
              <c:f>'рейтинг (2)'!$C$8:$C$17</c:f>
              <c:numCache>
                <c:formatCode>#,##0.0</c:formatCode>
                <c:ptCount val="10"/>
                <c:pt idx="0">
                  <c:v>17.25</c:v>
                </c:pt>
                <c:pt idx="1">
                  <c:v>17.25</c:v>
                </c:pt>
                <c:pt idx="2">
                  <c:v>23</c:v>
                </c:pt>
                <c:pt idx="3">
                  <c:v>16.8</c:v>
                </c:pt>
                <c:pt idx="4">
                  <c:v>15.75</c:v>
                </c:pt>
                <c:pt idx="5">
                  <c:v>13.65</c:v>
                </c:pt>
                <c:pt idx="6">
                  <c:v>22.05</c:v>
                </c:pt>
                <c:pt idx="7">
                  <c:v>20</c:v>
                </c:pt>
                <c:pt idx="8">
                  <c:v>15</c:v>
                </c:pt>
                <c:pt idx="9">
                  <c:v>20</c:v>
                </c:pt>
              </c:numCache>
            </c:numRef>
          </c:val>
        </c:ser>
        <c:ser>
          <c:idx val="1"/>
          <c:order val="1"/>
          <c:spPr>
            <a:solidFill>
              <a:srgbClr val="70AD47">
                <a:lumMod val="75000"/>
              </a:srgbClr>
            </a:solidFill>
            <a:ln>
              <a:noFill/>
            </a:ln>
            <a:effectLst/>
            <a:sp3d/>
          </c:spPr>
          <c:invertIfNegative val="0"/>
          <c:cat>
            <c:strRef>
              <c:f>'рейтинг (2)'!$B$8:$B$17</c:f>
              <c:strCache>
                <c:ptCount val="10"/>
                <c:pt idx="0">
                  <c:v>Управление образования</c:v>
                </c:pt>
                <c:pt idx="1">
                  <c:v>УМСП ФКиС</c:v>
                </c:pt>
                <c:pt idx="2">
                  <c:v>Управление культуры</c:v>
                </c:pt>
                <c:pt idx="3">
                  <c:v>УЖКХ ТиС</c:v>
                </c:pt>
                <c:pt idx="4">
                  <c:v>УЧС</c:v>
                </c:pt>
                <c:pt idx="5">
                  <c:v>Администрация</c:v>
                </c:pt>
                <c:pt idx="6">
                  <c:v>УИО</c:v>
                </c:pt>
                <c:pt idx="7">
                  <c:v>Финансовое управление</c:v>
                </c:pt>
                <c:pt idx="8">
                  <c:v>УКС</c:v>
                </c:pt>
                <c:pt idx="9">
                  <c:v>УВГТ</c:v>
                </c:pt>
              </c:strCache>
            </c:strRef>
          </c:cat>
          <c:val>
            <c:numRef>
              <c:f>'рейтинг (2)'!$D$8:$D$17</c:f>
              <c:numCache>
                <c:formatCode>#,##0.0</c:formatCode>
                <c:ptCount val="10"/>
                <c:pt idx="0">
                  <c:v>36.224999999999994</c:v>
                </c:pt>
                <c:pt idx="1">
                  <c:v>37.604999999999997</c:v>
                </c:pt>
                <c:pt idx="2">
                  <c:v>35.074999999999996</c:v>
                </c:pt>
                <c:pt idx="3">
                  <c:v>35.594999999999999</c:v>
                </c:pt>
                <c:pt idx="4">
                  <c:v>34.964999999999996</c:v>
                </c:pt>
                <c:pt idx="5">
                  <c:v>36.015000000000001</c:v>
                </c:pt>
                <c:pt idx="6">
                  <c:v>30.66</c:v>
                </c:pt>
                <c:pt idx="7">
                  <c:v>29.7</c:v>
                </c:pt>
                <c:pt idx="8">
                  <c:v>32.200000000000003</c:v>
                </c:pt>
                <c:pt idx="9">
                  <c:v>30.6</c:v>
                </c:pt>
              </c:numCache>
            </c:numRef>
          </c:val>
        </c:ser>
        <c:ser>
          <c:idx val="2"/>
          <c:order val="2"/>
          <c:spPr>
            <a:solidFill>
              <a:schemeClr val="bg1">
                <a:lumMod val="65000"/>
              </a:schemeClr>
            </a:solidFill>
            <a:ln>
              <a:noFill/>
            </a:ln>
            <a:effectLst/>
            <a:sp3d/>
          </c:spPr>
          <c:invertIfNegative val="0"/>
          <c:cat>
            <c:strRef>
              <c:f>'рейтинг (2)'!$B$8:$B$17</c:f>
              <c:strCache>
                <c:ptCount val="10"/>
                <c:pt idx="0">
                  <c:v>Управление образования</c:v>
                </c:pt>
                <c:pt idx="1">
                  <c:v>УМСП ФКиС</c:v>
                </c:pt>
                <c:pt idx="2">
                  <c:v>Управление культуры</c:v>
                </c:pt>
                <c:pt idx="3">
                  <c:v>УЖКХ ТиС</c:v>
                </c:pt>
                <c:pt idx="4">
                  <c:v>УЧС</c:v>
                </c:pt>
                <c:pt idx="5">
                  <c:v>Администрация</c:v>
                </c:pt>
                <c:pt idx="6">
                  <c:v>УИО</c:v>
                </c:pt>
                <c:pt idx="7">
                  <c:v>Финансовое управление</c:v>
                </c:pt>
                <c:pt idx="8">
                  <c:v>УКС</c:v>
                </c:pt>
                <c:pt idx="9">
                  <c:v>УВГТ</c:v>
                </c:pt>
              </c:strCache>
            </c:strRef>
          </c:cat>
          <c:val>
            <c:numRef>
              <c:f>'рейтинг (2)'!$E$8:$E$17</c:f>
              <c:numCache>
                <c:formatCode>#,##0.0</c:formatCode>
                <c:ptCount val="10"/>
                <c:pt idx="0">
                  <c:v>34.729999999999997</c:v>
                </c:pt>
                <c:pt idx="1">
                  <c:v>27.369999999999997</c:v>
                </c:pt>
                <c:pt idx="2">
                  <c:v>27.254999999999995</c:v>
                </c:pt>
                <c:pt idx="3">
                  <c:v>23.730000000000004</c:v>
                </c:pt>
              </c:numCache>
            </c:numRef>
          </c:val>
        </c:ser>
        <c:ser>
          <c:idx val="3"/>
          <c:order val="3"/>
          <c:spPr>
            <a:solidFill>
              <a:srgbClr val="5B9BD5">
                <a:lumMod val="75000"/>
              </a:srgbClr>
            </a:solidFill>
            <a:ln>
              <a:noFill/>
            </a:ln>
            <a:effectLst/>
            <a:sp3d/>
          </c:spPr>
          <c:invertIfNegative val="0"/>
          <c:cat>
            <c:strRef>
              <c:f>'рейтинг (2)'!$B$8:$B$17</c:f>
              <c:strCache>
                <c:ptCount val="10"/>
                <c:pt idx="0">
                  <c:v>Управление образования</c:v>
                </c:pt>
                <c:pt idx="1">
                  <c:v>УМСП ФКиС</c:v>
                </c:pt>
                <c:pt idx="2">
                  <c:v>Управление культуры</c:v>
                </c:pt>
                <c:pt idx="3">
                  <c:v>УЖКХ ТиС</c:v>
                </c:pt>
                <c:pt idx="4">
                  <c:v>УЧС</c:v>
                </c:pt>
                <c:pt idx="5">
                  <c:v>Администрация</c:v>
                </c:pt>
                <c:pt idx="6">
                  <c:v>УИО</c:v>
                </c:pt>
                <c:pt idx="7">
                  <c:v>Финансовое управление</c:v>
                </c:pt>
                <c:pt idx="8">
                  <c:v>УКС</c:v>
                </c:pt>
                <c:pt idx="9">
                  <c:v>УВГТ</c:v>
                </c:pt>
              </c:strCache>
            </c:strRef>
          </c:cat>
          <c:val>
            <c:numRef>
              <c:f>'рейтинг (2)'!$F$8:$F$17</c:f>
              <c:numCache>
                <c:formatCode>#,##0.0</c:formatCode>
                <c:ptCount val="10"/>
                <c:pt idx="0">
                  <c:v>14.95</c:v>
                </c:pt>
                <c:pt idx="1">
                  <c:v>14.95</c:v>
                </c:pt>
                <c:pt idx="2">
                  <c:v>14.95</c:v>
                </c:pt>
                <c:pt idx="3">
                  <c:v>8.4</c:v>
                </c:pt>
                <c:pt idx="4">
                  <c:v>10.5</c:v>
                </c:pt>
                <c:pt idx="5">
                  <c:v>13.65</c:v>
                </c:pt>
                <c:pt idx="6">
                  <c:v>8.4</c:v>
                </c:pt>
                <c:pt idx="7">
                  <c:v>10</c:v>
                </c:pt>
                <c:pt idx="8">
                  <c:v>10</c:v>
                </c:pt>
                <c:pt idx="9">
                  <c:v>8</c:v>
                </c:pt>
              </c:numCache>
            </c:numRef>
          </c:val>
        </c:ser>
        <c:ser>
          <c:idx val="4"/>
          <c:order val="4"/>
          <c:spPr>
            <a:solidFill>
              <a:srgbClr val="FFFF00"/>
            </a:solidFill>
            <a:ln w="25407">
              <a:noFill/>
            </a:ln>
          </c:spPr>
          <c:invertIfNegative val="0"/>
          <c:dLbls>
            <c:dLbl>
              <c:idx val="0"/>
              <c:layout>
                <c:manualLayout>
                  <c:x val="-1.0051660783781337E-2"/>
                  <c:y val="-0.12765185833252324"/>
                </c:manualLayout>
              </c:layout>
              <c:tx>
                <c:rich>
                  <a:bodyPr wrap="square" lIns="38100" tIns="19050" rIns="38100" bIns="19050" anchor="ctr">
                    <a:no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131,9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  <c15:layout/>
                </c:ext>
              </c:extLst>
            </c:dLbl>
            <c:dLbl>
              <c:idx val="1"/>
              <c:layout>
                <c:manualLayout>
                  <c:x val="8.4021359399040294E-3"/>
                  <c:y val="-8.97915168011406E-2"/>
                </c:manualLayout>
              </c:layout>
              <c:tx>
                <c:rich>
                  <a:bodyPr wrap="square" lIns="38100" tIns="19050" rIns="38100" bIns="19050" anchor="ctr">
                    <a:no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117,9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5.475854828491266E-2"/>
                      <c:h val="4.6765561712193385E-2"/>
                    </c:manualLayout>
                  </c15:layout>
                </c:ext>
              </c:extLst>
            </c:dLbl>
            <c:dLbl>
              <c:idx val="2"/>
              <c:layout>
                <c:manualLayout>
                  <c:x val="1.5660132138655011E-2"/>
                  <c:y val="-8.3565665402935765E-2"/>
                </c:manualLayout>
              </c:layout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117,5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5.6469037921983892E-2"/>
                      <c:h val="5.0057742782152234E-2"/>
                    </c:manualLayout>
                  </c15:layout>
                </c:ext>
              </c:extLst>
            </c:dLbl>
            <c:dLbl>
              <c:idx val="3"/>
              <c:layout>
                <c:manualLayout>
                  <c:x val="1.9022463571363918E-2"/>
                  <c:y val="-0.12015138848384693"/>
                </c:manualLayout>
              </c:layout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110,8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6.5664440220834452E-2"/>
                      <c:h val="5.0057742782152234E-2"/>
                    </c:manualLayout>
                  </c15:layout>
                </c:ext>
              </c:extLst>
            </c:dLbl>
            <c:dLbl>
              <c:idx val="4"/>
              <c:layout>
                <c:manualLayout>
                  <c:x val="1.8670286903792199E-3"/>
                  <c:y val="-0.12911182398496485"/>
                </c:manualLayout>
              </c:layout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87,5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1.9654088050314465E-3"/>
                  <c:y val="-0.11200716845878141"/>
                </c:manualLayout>
              </c:layout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84,3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7.8616352201257133E-3"/>
                  <c:y val="-8.0645161290322592E-2"/>
                </c:manualLayout>
              </c:layout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74,8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7"/>
              <c:layout>
                <c:manualLayout>
                  <c:x val="4.3098198932030049E-3"/>
                  <c:y val="-0.1247674411068987"/>
                </c:manualLayout>
              </c:layout>
              <c:tx>
                <c:rich>
                  <a:bodyPr wrap="square" lIns="38100" tIns="19050" rIns="38100" bIns="19050" anchor="ctr">
                    <a:no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84,7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  <c15:layout/>
                </c:ext>
              </c:extLst>
            </c:dLbl>
            <c:dLbl>
              <c:idx val="8"/>
              <c:layout>
                <c:manualLayout>
                  <c:x val="1.0493908951036293E-2"/>
                  <c:y val="-0.13267619325362107"/>
                </c:manualLayout>
              </c:layout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82,2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5.2790877002443663E-2"/>
                      <c:h val="5.0057742782152234E-2"/>
                    </c:manualLayout>
                  </c15:layout>
                </c:ext>
              </c:extLst>
            </c:dLbl>
            <c:dLbl>
              <c:idx val="9"/>
              <c:layout>
                <c:manualLayout>
                  <c:x val="1.7941315956194998E-2"/>
                  <c:y val="-0.127007938822462"/>
                </c:manualLayout>
              </c:layout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78,6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6.1986279301294238E-2"/>
                      <c:h val="5.0057742782152234E-2"/>
                    </c:manualLayout>
                  </c15:layout>
                </c:ext>
              </c:extLst>
            </c:dLbl>
            <c:dLbl>
              <c:idx val="10"/>
              <c:layout>
                <c:manualLayout>
                  <c:x val="1.7688679245283029E-2"/>
                  <c:y val="-8.5125448028673889E-2"/>
                </c:manualLayout>
              </c:layout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44,2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25407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'рейтинг (2)'!$B$8:$B$17</c:f>
              <c:strCache>
                <c:ptCount val="10"/>
                <c:pt idx="0">
                  <c:v>Управление образования</c:v>
                </c:pt>
                <c:pt idx="1">
                  <c:v>УМСП ФКиС</c:v>
                </c:pt>
                <c:pt idx="2">
                  <c:v>Управление культуры</c:v>
                </c:pt>
                <c:pt idx="3">
                  <c:v>УЖКХ ТиС</c:v>
                </c:pt>
                <c:pt idx="4">
                  <c:v>УЧС</c:v>
                </c:pt>
                <c:pt idx="5">
                  <c:v>Администрация</c:v>
                </c:pt>
                <c:pt idx="6">
                  <c:v>УИО</c:v>
                </c:pt>
                <c:pt idx="7">
                  <c:v>Финансовое управление</c:v>
                </c:pt>
                <c:pt idx="8">
                  <c:v>УКС</c:v>
                </c:pt>
                <c:pt idx="9">
                  <c:v>УВГТ</c:v>
                </c:pt>
              </c:strCache>
            </c:strRef>
          </c:cat>
          <c:val>
            <c:numRef>
              <c:f>'рейтинг (2)'!$G$8:$G$17</c:f>
              <c:numCache>
                <c:formatCode>#,##0.0</c:formatCode>
                <c:ptCount val="10"/>
                <c:pt idx="0">
                  <c:v>11.5</c:v>
                </c:pt>
                <c:pt idx="1">
                  <c:v>11.5</c:v>
                </c:pt>
                <c:pt idx="2">
                  <c:v>11.5</c:v>
                </c:pt>
                <c:pt idx="3">
                  <c:v>10.5</c:v>
                </c:pt>
                <c:pt idx="4">
                  <c:v>10.5</c:v>
                </c:pt>
                <c:pt idx="5">
                  <c:v>10.5</c:v>
                </c:pt>
                <c:pt idx="6">
                  <c:v>5.25</c:v>
                </c:pt>
                <c:pt idx="7">
                  <c:v>10</c:v>
                </c:pt>
                <c:pt idx="8">
                  <c:v>10</c:v>
                </c:pt>
                <c:pt idx="9">
                  <c:v>10</c:v>
                </c:pt>
              </c:numCache>
            </c:numRef>
          </c:val>
        </c:ser>
        <c:ser>
          <c:idx val="5"/>
          <c:order val="5"/>
          <c:spPr>
            <a:solidFill>
              <a:srgbClr val="ED7D31">
                <a:lumMod val="50000"/>
              </a:srgbClr>
            </a:solidFill>
            <a:ln>
              <a:noFill/>
            </a:ln>
            <a:effectLst/>
            <a:sp3d/>
          </c:spPr>
          <c:invertIfNegative val="0"/>
          <c:cat>
            <c:strRef>
              <c:f>'рейтинг (2)'!$B$8:$B$17</c:f>
              <c:strCache>
                <c:ptCount val="10"/>
                <c:pt idx="0">
                  <c:v>Управление образования</c:v>
                </c:pt>
                <c:pt idx="1">
                  <c:v>УМСП ФКиС</c:v>
                </c:pt>
                <c:pt idx="2">
                  <c:v>Управление культуры</c:v>
                </c:pt>
                <c:pt idx="3">
                  <c:v>УЖКХ ТиС</c:v>
                </c:pt>
                <c:pt idx="4">
                  <c:v>УЧС</c:v>
                </c:pt>
                <c:pt idx="5">
                  <c:v>Администрация</c:v>
                </c:pt>
                <c:pt idx="6">
                  <c:v>УИО</c:v>
                </c:pt>
                <c:pt idx="7">
                  <c:v>Финансовое управление</c:v>
                </c:pt>
                <c:pt idx="8">
                  <c:v>УКС</c:v>
                </c:pt>
                <c:pt idx="9">
                  <c:v>УВГТ</c:v>
                </c:pt>
              </c:strCache>
            </c:strRef>
          </c:cat>
          <c:val>
            <c:numRef>
              <c:f>'рейтинг (2)'!$H$8:$H$17</c:f>
              <c:numCache>
                <c:formatCode>#,##0.0</c:formatCode>
                <c:ptCount val="10"/>
                <c:pt idx="0">
                  <c:v>17.25</c:v>
                </c:pt>
                <c:pt idx="1">
                  <c:v>9.1999999999999993</c:v>
                </c:pt>
                <c:pt idx="2">
                  <c:v>5.75</c:v>
                </c:pt>
                <c:pt idx="3">
                  <c:v>15.75</c:v>
                </c:pt>
                <c:pt idx="4">
                  <c:v>15.75</c:v>
                </c:pt>
                <c:pt idx="5">
                  <c:v>10.5</c:v>
                </c:pt>
                <c:pt idx="6">
                  <c:v>8.4</c:v>
                </c:pt>
                <c:pt idx="7">
                  <c:v>15</c:v>
                </c:pt>
                <c:pt idx="8">
                  <c:v>15</c:v>
                </c:pt>
                <c:pt idx="9">
                  <c:v>10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0983336"/>
        <c:axId val="130827416"/>
        <c:axId val="0"/>
      </c:bar3DChart>
      <c:catAx>
        <c:axId val="1309833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ln w="6352">
            <a:noFill/>
          </a:ln>
        </c:spPr>
        <c:txPr>
          <a:bodyPr rot="-2700000" vert="horz"/>
          <a:lstStyle/>
          <a:p>
            <a:pPr>
              <a:defRPr sz="1100" b="0" i="0" u="none" strike="noStrike" baseline="0">
                <a:solidFill>
                  <a:srgbClr val="333333"/>
                </a:solidFill>
                <a:latin typeface="Times New Roman" panose="02020603050405020304" pitchFamily="18" charset="0"/>
                <a:ea typeface="Calibri"/>
                <a:cs typeface="Times New Roman" panose="02020603050405020304" pitchFamily="18" charset="0"/>
              </a:defRPr>
            </a:pPr>
            <a:endParaRPr lang="ru-RU"/>
          </a:p>
        </c:txPr>
        <c:crossAx val="130827416"/>
        <c:crosses val="autoZero"/>
        <c:auto val="1"/>
        <c:lblAlgn val="ctr"/>
        <c:lblOffset val="100"/>
        <c:noMultiLvlLbl val="0"/>
      </c:catAx>
      <c:valAx>
        <c:axId val="130827416"/>
        <c:scaling>
          <c:orientation val="minMax"/>
          <c:max val="140"/>
          <c:min val="0"/>
        </c:scaling>
        <c:delete val="0"/>
        <c:axPos val="l"/>
        <c:majorGridlines>
          <c:spPr>
            <a:ln w="9528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" sourceLinked="1"/>
        <c:majorTickMark val="none"/>
        <c:minorTickMark val="none"/>
        <c:tickLblPos val="nextTo"/>
        <c:spPr>
          <a:ln w="6352">
            <a:noFill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333333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30983336"/>
        <c:crosses val="autoZero"/>
        <c:crossBetween val="between"/>
        <c:majorUnit val="10"/>
      </c:valAx>
      <c:spPr>
        <a:noFill/>
        <a:ln w="25407">
          <a:noFill/>
        </a:ln>
      </c:spPr>
    </c:plotArea>
    <c:plotVisOnly val="1"/>
    <c:dispBlanksAs val="gap"/>
    <c:showDLblsOverMax val="0"/>
  </c:chart>
  <c:spPr>
    <a:solidFill>
      <a:schemeClr val="bg1"/>
    </a:solidFill>
    <a:ln w="9528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2FFBB-0BF1-47AE-8A40-05CEB7053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1804</TotalTime>
  <Pages>15</Pages>
  <Words>4523</Words>
  <Characters>25784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АНАЛИТИЧЕСКАЯ ЗАПИСКА</vt:lpstr>
    </vt:vector>
  </TitlesOfParts>
  <Company>WIN7XP</Company>
  <LinksUpToDate>false</LinksUpToDate>
  <CharactersWithSpaces>30247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АНАЛИТИЧЕСКАЯ ЗАПИСКА</dc:title>
  <dc:creator>Ovcharenko</dc:creator>
  <cp:lastModifiedBy>Kirillova</cp:lastModifiedBy>
  <cp:revision>38</cp:revision>
  <cp:lastPrinted>2021-06-28T09:36:00Z</cp:lastPrinted>
  <dcterms:created xsi:type="dcterms:W3CDTF">2020-07-20T06:50:00Z</dcterms:created>
  <dcterms:modified xsi:type="dcterms:W3CDTF">2021-06-28T11:06:00Z</dcterms:modified>
</cp:coreProperties>
</file>