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Приложение к приказу начальника Финансового управления Администрации ЗАТО Северск</w:t>
      </w: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  <w:u w:val="single"/>
        </w:rPr>
      </w:pPr>
      <w:r>
        <w:rPr>
          <w:rFonts w:ascii="Times New Roman" w:hAnsi="Times New Roman" w:cs="Times New Roman"/>
          <w:szCs w:val="22"/>
        </w:rPr>
        <w:t xml:space="preserve">от </w:t>
      </w:r>
      <w:r>
        <w:rPr>
          <w:rFonts w:ascii="Times New Roman" w:hAnsi="Times New Roman" w:cs="Times New Roman"/>
          <w:szCs w:val="22"/>
          <w:u w:val="single"/>
        </w:rPr>
        <w:t>18.12.2020</w:t>
      </w:r>
      <w:r>
        <w:rPr>
          <w:rFonts w:ascii="Times New Roman" w:hAnsi="Times New Roman" w:cs="Times New Roman"/>
          <w:szCs w:val="22"/>
        </w:rPr>
        <w:t xml:space="preserve"> № </w:t>
      </w:r>
      <w:r>
        <w:rPr>
          <w:rFonts w:ascii="Times New Roman" w:hAnsi="Times New Roman" w:cs="Times New Roman"/>
          <w:szCs w:val="22"/>
          <w:u w:val="single"/>
        </w:rPr>
        <w:t>125</w:t>
      </w: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</w:p>
    <w:p>
      <w:pPr>
        <w:pStyle w:val="ConsPlusNormal"/>
        <w:ind w:left="4111"/>
        <w:outlineLvl w:val="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Приложение 1 к Порядку </w:t>
      </w:r>
    </w:p>
    <w:p>
      <w:pPr>
        <w:pStyle w:val="ConsPlusNormal"/>
        <w:ind w:left="411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проведения Ф</w:t>
      </w:r>
      <w:bookmarkStart w:id="0" w:name="_GoBack"/>
      <w:bookmarkEnd w:id="0"/>
      <w:r>
        <w:rPr>
          <w:rFonts w:ascii="Times New Roman" w:hAnsi="Times New Roman" w:cs="Times New Roman"/>
          <w:szCs w:val="22"/>
        </w:rPr>
        <w:t xml:space="preserve">инансовым управлением </w:t>
      </w:r>
    </w:p>
    <w:p>
      <w:pPr>
        <w:pStyle w:val="ConsPlusNormal"/>
        <w:ind w:left="411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Администрации ЗАТО Северск мониторинга</w:t>
      </w:r>
    </w:p>
    <w:p>
      <w:pPr>
        <w:pStyle w:val="ConsPlusNormal"/>
        <w:ind w:left="4111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качества финансового менеджмента в отношении главных администраторов средств бюджета ЗАТО Северск</w:t>
      </w:r>
    </w:p>
    <w:p>
      <w:pPr>
        <w:pStyle w:val="ConsPlusNormal"/>
        <w:ind w:left="4536"/>
        <w:rPr>
          <w:rFonts w:ascii="Times New Roman" w:hAnsi="Times New Roman" w:cs="Times New Roman"/>
          <w:sz w:val="24"/>
          <w:szCs w:val="24"/>
        </w:rPr>
      </w:pP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99"/>
      <w:bookmarkEnd w:id="1"/>
      <w:r>
        <w:rPr>
          <w:rFonts w:ascii="Times New Roman" w:hAnsi="Times New Roman" w:cs="Times New Roman"/>
          <w:b w:val="0"/>
          <w:sz w:val="24"/>
          <w:szCs w:val="24"/>
        </w:rPr>
        <w:t>ПОКАЗАТЕЛИ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для мониторинга качества финансового менеджмента 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главных администраторов средств бюджета ЗАТО Северск</w:t>
      </w:r>
    </w:p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2773"/>
        <w:gridCol w:w="2485"/>
        <w:gridCol w:w="2051"/>
        <w:gridCol w:w="1843"/>
      </w:tblGrid>
      <w:tr>
        <w:trPr>
          <w:trHeight w:val="510"/>
          <w:tblHeader/>
        </w:trPr>
        <w:tc>
          <w:tcPr>
            <w:tcW w:w="488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  <w:tc>
          <w:tcPr>
            <w:tcW w:w="277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 показателя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показателя</w:t>
            </w:r>
          </w:p>
        </w:tc>
        <w:tc>
          <w:tcPr>
            <w:tcW w:w="1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расчета показателя</w:t>
            </w:r>
          </w:p>
        </w:tc>
      </w:tr>
      <w:tr>
        <w:trPr>
          <w:trHeight w:val="137"/>
          <w:tblHeader/>
        </w:trPr>
        <w:tc>
          <w:tcPr>
            <w:tcW w:w="488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>
        <w:trPr>
          <w:trHeight w:val="259"/>
        </w:trPr>
        <w:tc>
          <w:tcPr>
            <w:tcW w:w="9640" w:type="dxa"/>
            <w:gridSpan w:val="5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Бюджетное планирование</w:t>
            </w:r>
          </w:p>
        </w:tc>
      </w:tr>
      <w:tr>
        <w:trPr>
          <w:trHeight w:val="2134"/>
        </w:trP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бюджетных ассигнований главного администратора  бюджетных средств (далее - ГАБС), формируемых в рамках программ, в общем объеме расходов ГАБС (без учета расходов на исполнение судебных актов и резервных фондов), в процентах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сумма исполнения расходов ГАБС в рамках программ (без учета расходов на исполнение судебных актов и резервных фондов);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общая сумма исполнения расходов ГАБС (без учета расходов на исполнение судебных актов и резервных фондов)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30%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30%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518"/>
        </w:trP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сроков утверждения муниципальных программ, по которым ГАБС является ответственным исполнителем, а также внесения изменений в них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утверждение и внесение изменений в муниципальные программы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rPr>
          <w:trHeight w:val="392"/>
        </w:trP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утверждаются своевременно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допускается несоблюдение сроков утверждения до 15 календарных дней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допускается несоблюдение сроков утверждения свыше 15 календарных дней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официальном сайте Администрации ЗАТО Северск муниципальных программ, разрабатываемых и реализуемых ГАБС, внесений изменений в них, а также отчетов об их реализации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ЗАТО Северск информации по программам, разрабатываемым и реализуемым ГАБС, а также отчетов об их реализации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размещаемая на официальном сайте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размещается в полном объеме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размещается частично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не размещается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Качество, полнота и своевременность представления реестра расходных обязательств, расчетов и обоснований к проекту бюджета ЗАТО Северск на очередной финансовый год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качество, полнота и своевременность представления реестра расходных обязательств, расчетов и обоснований к проекту бюджета ЗАТО Северск на очередной финансовый год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реестр расходных обязательств, расчеты и обоснования представлены своевременно, в полном объеме, без ошибок</w:t>
            </w:r>
          </w:p>
        </w:tc>
        <w:tc>
          <w:tcPr>
            <w:tcW w:w="205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реестр расходных обязательств, расчеты и обоснования представлены несвоевременно/ не в полном объеме/ содержат ошибки</w:t>
            </w:r>
          </w:p>
        </w:tc>
        <w:tc>
          <w:tcPr>
            <w:tcW w:w="2051" w:type="dxa"/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9640" w:type="dxa"/>
            <w:gridSpan w:val="5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Исполнение бюджета ЗАТО Северск и формирование бюджетной отчетности 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773" w:type="dxa"/>
            <w:vMerge w:val="restart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собираемости доходов бюджета ЗАТО Северск, в процентах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(Д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100) - 100, 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&gt;  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план;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100 - (Д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100), 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план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процент отклонения фактического поступления налоговых и неналоговых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доходов от плана;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первоначальный план по налоговым и неналоговым доходам за отчетный финансовый год;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по налоговым и неналоговым доходам в отчетном финансовом году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Суммы невыясненных поступлений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 x 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исп.адм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сумма остатка невыясненных поступлений по ГАБС на отчетную дату;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исп.адм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по доходам, закрепленным за ГАД в отчетном финансовом году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ГАБС; 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1%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1%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управления просроченной  дебиторской задолженностью по расчетам с дебиторами по доходам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 х V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исп.адм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объем просроченной дебиторской задолженности по расчетам с дебиторами по доходам в отчетном финансовом году по состоянию на 1 января года, следующего за отчетным финансовым годом;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исп.адм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по доходам, закрепленным за ГАБС в отчетном финансовом году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30%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Эффективность 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просроченной кредиторской задолженностью по расчетам с поставщиками, подрядчиками и исполнителями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 x V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расходов ГАБС за отчетный финансовый год (без учета расходов на финансовое обеспечение казенных, бюджетных, автономных учреждений);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объем просроченной кредиторской задолженности по расчетам с поставщиками и исполнителями по состоянию на 1 января года, следующего за отчетным финансовым годом (без учета задолженности казенных, бюджетных, автономных учреждений)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Информация, находящаяся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0%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0,2%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0,2%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77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установленных сроков представления ГАБС годовой бюджетной/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бухгалтерской отчетности в АИС «БАРС. Web –бюджетный учет»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форм отчетов в составе годовой бюджетной отчетности, представленных ГАБС с нарушением установленных законодательством сроков, единиц;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форм отчетов, представленных ГАБС в составе годовой бюджетной отчетности, единиц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77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формирования годовой бюджетной/ бухгалтерской отчетности в АИС «БАРС. Web –бюджетный учет»</w:t>
            </w: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5,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форм отчетов, представленных ГАБС в составе годовой бюджетной отчетности с ошибками, единиц;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отчетов, представленных ГАБС в составе годовой бюджетной отчетности, единиц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5 -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2.6</w:t>
            </w: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2.7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управления средствами бюджета в части межбюджетных трансфертов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кр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кассовый расход ГАБС по средствам, полученным в виде межбюджетных трансфертов, за отчетный год;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сумма бюджетных ассигнований ГАБС по средствам, полученным в виде межбюджетных трансфертов, за отчетный год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80%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информации, представляемой участниками процесса ведения реестра источников доходов бюджета ЗАТО Северск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отрицательных уведомлений о результатах проверки информации, представленной участниками процесса ведения реестра источников доходов бюджета ЗАТО Северск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5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5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9640" w:type="dxa"/>
            <w:gridSpan w:val="5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Предоставление муниципальных услуг в соответствии с муниципальными заданиями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результатов контроля за исполнением муниципальных заданий, оформленных по форме, утвержденной соответствующим приказом учредителя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муниципальных учреждений, до которых доведены муниципальные задания;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муниципальных учреждений, в отношении которых сформированы отчеты о результатах контроля за исполнением муниципальных заданий муниципальными учреждениями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50%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(усовершенствование) правовых актов ГАБС по вопросам, касающимся муниципальных заданий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актуализация правовых актов по определению Порядков определения нормативов затрат на оказание муниципальных услуг (выполнение работ) и содержание имущества; составления и ведения плана финансово-хозяйственной деятельности 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актуализируются своевременно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актуализируются несвоевременно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результатов мониторинга выполнения муниципальных заданий при планировании бюджетных ассигнований и (или) определении объема субсидий на выполнение муниципального задания, проводимое в соответствии с Порядком, определенным соответствующим приказом учредителя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сведений об использовании результатов мониторинга выполнения муниципальных заданий при планировании бюджетных ассигнований и (или) определении объема субсидий на выполнение муниципального задания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результаты используются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результаты не используются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Качественное 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своевременное формирование информации учреждениями 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поступлениям 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выплатам плановых 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фактических показателей плана финансово-хозяйствен-ной деятельности  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ИС «АЦК-финансы»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учреждений, сформировавших качественно и своевременно информацию в ИС «АЦК-финансы»;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учреждений, до которых доведены муниципальные задания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80%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 своевременное обновление информации о бюджетных и автономных муниципальных учреждениях на Официальном сайте bus.gov.ru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учреждений, разместивших и своевременно обновляющих сведения на Официальном сайте bus.gov.ru;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учреждений, сведения о которых подлежат размещению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размещенная на Официальном сайте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  <w:tcBorders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bottom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2051" w:type="dxa"/>
            <w:tcBorders>
              <w:bottom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  <w:tcBorders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оценки потребности в предоставлении муниципальных услуг, проводимой в соответствии с Порядком, определенным соответствующим приказом учредителя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услуг, по которым проведена оценка потребности в предоставлении услуг;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услуг, по которым формируются муниципальные задания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приложением соответствую-щего Порядка)</w:t>
            </w:r>
          </w:p>
        </w:tc>
      </w:tr>
      <w:tr>
        <w:tc>
          <w:tcPr>
            <w:tcW w:w="488" w:type="dxa"/>
            <w:vMerge/>
            <w:tcBorders>
              <w:right w:val="single" w:sz="4" w:space="0" w:color="auto"/>
            </w:tcBorders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100%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  <w:tcBorders>
              <w:right w:val="single" w:sz="4" w:space="0" w:color="auto"/>
            </w:tcBorders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100%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773" w:type="dxa"/>
            <w:vMerge w:val="restart"/>
            <w:tcBorders>
              <w:top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Своевременность подписания Соглашений о предоставлении субсидии на выполнение муниципального задания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Дата утверждения Соглашений о предоставлении субсидии на выполнение муниципального задания в ИС «АЦК-Финансы»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до 14 января отчетного года включительно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15 января отчетного года и позднее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77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Качество формирования годовой бухгалтерской отчётности, представленной Учредителем  в АИС «БАРС. Web –бюджетный учет»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5,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форм отчетов, представленных Учредителем в составе годовой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бухгалтерской отчетности                  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ошибками, единиц;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отчетов, представленных Учредителем в составе годовой бухгалтерской отчетности, единиц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–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3.8</w:t>
            </w:r>
          </w:p>
        </w:tc>
        <w:tc>
          <w:tcPr>
            <w:tcW w:w="1843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9640" w:type="dxa"/>
            <w:gridSpan w:val="5"/>
          </w:tcPr>
          <w:p>
            <w:pPr>
              <w:pStyle w:val="ConsPlusNormal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Качество исполнения бюджетного процесса во взаимосвязи с выявленными бюджетными нарушениями и осуществлением внутреннего финансового аудита 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335"/>
            <w:bookmarkStart w:id="3" w:name="P343"/>
            <w:bookmarkEnd w:id="2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Нарушения, выявленные в ходе проведения контрольных мероприятий уполномоченным органом внутреннего муниципального финансового контроля в отчетном финансовом году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нарушений, выявленных в ходе проведения контрольных мероприятий уполномоченным органом внутреннего муниципального финансового контроля в отчетном финансовом году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Контрольно-ревизионного комитета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нарушения отсутствуют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нарушения установлены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351"/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Полнота и своевременность исполнения представлений и предписаний уполномоченного органа внутреннего муниципального финансового контроля в отчетном финансовом году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исполнение представлений и предписаний уполномоченного органа внутреннего муниципального финансового контроля в отчетном финансовом году в сроки, установленные соответствующим представлением (предписанием)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Контрольно-ревизионного комитета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исполнены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исполнены частично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не исполнены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Судебные иски (в денежном выражении), подлежащие взысканию по исполнительным документам в отчетном финансовом году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 100, где: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сумма, подлежащая взысканию по исполнительным документам за счет средств бюджета ЗАТО Северск на конец отчетного финансового года;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ГАБС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общий объем бюджетных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ассигнований ГАБС (без учета межбюджетных трансфертов и публичных обязательств)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&lt;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&lt;= 2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2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901"/>
        </w:trPr>
        <w:tc>
          <w:tcPr>
            <w:tcW w:w="488" w:type="dxa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773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системы внутреннего финансового аудита</w:t>
            </w: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4.4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= наличие у ГАБС внутреннего акта (решения) об организации внутреннего финансового аудита</w:t>
            </w:r>
          </w:p>
        </w:tc>
        <w:tc>
          <w:tcPr>
            <w:tcW w:w="1843" w:type="dxa"/>
            <w:vMerge w:val="restart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 приложением копий документов)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  <w:tcBorders>
              <w:righ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4.4  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 внутреннего акта (решения)</w:t>
            </w: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  <w:tcBorders>
              <w:left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  <w:tcBorders>
              <w:top w:val="single" w:sz="4" w:space="0" w:color="auto"/>
            </w:tcBorders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4.4  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внутреннего акта (решения)  </w:t>
            </w:r>
          </w:p>
        </w:tc>
        <w:tc>
          <w:tcPr>
            <w:tcW w:w="2051" w:type="dxa"/>
            <w:tcBorders>
              <w:top w:val="single" w:sz="4" w:space="0" w:color="auto"/>
            </w:tcBorders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278"/>
        </w:trPr>
        <w:tc>
          <w:tcPr>
            <w:tcW w:w="9640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Управление активами</w:t>
            </w: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инвентаризации активов и обязательств 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в годовой бюджетной отчетности за отчетный финансовый год сведений о проведении инвентаризации активов 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проводилась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инвентаризация не проводилась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 w:val="restart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277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Недостачи и хищения муниципальной собственности </w:t>
            </w:r>
          </w:p>
        </w:tc>
        <w:tc>
          <w:tcPr>
            <w:tcW w:w="4536" w:type="dxa"/>
            <w:gridSpan w:val="2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в отчетном финансовом годом фактов недостач и хищений муниципальной собственности </w:t>
            </w:r>
          </w:p>
        </w:tc>
        <w:tc>
          <w:tcPr>
            <w:tcW w:w="1843" w:type="dxa"/>
            <w:vMerge w:val="restart"/>
          </w:tcPr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отсутствуют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присутствуют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30"/>
        </w:trPr>
        <w:tc>
          <w:tcPr>
            <w:tcW w:w="9640" w:type="dxa"/>
            <w:gridSpan w:val="5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Осуществление ГАБС закупок товаров, работ и услуг для обеспечения муниципальных нужд</w:t>
            </w: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77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закупок, проведенных конкурентными способами в общем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объеме  осуществленных закупок, в процентах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gridSpan w:val="2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6.1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ксз /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осз * 100%, где: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ксз – объем закупок, проведенных конкурентными способами определения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поставщиков (подрядчиков, исполнителей);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осз</w:t>
            </w:r>
            <w:r>
              <w:rPr>
                <w:rFonts w:ascii="Times New Roman" w:hAnsi="Times New Roman"/>
                <w:color w:val="2D2D2D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совокупный годовой объем закупок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 том числе закупки, осуществленные в соответствии с частью 1 статьи 93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ГАБС</w:t>
            </w:r>
          </w:p>
        </w:tc>
      </w:tr>
      <w:tr>
        <w:trPr>
          <w:trHeight w:val="298"/>
        </w:trP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&gt;= 50 %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&lt;= 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30%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 30%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892"/>
        </w:trPr>
        <w:tc>
          <w:tcPr>
            <w:tcW w:w="488" w:type="dxa"/>
            <w:vMerge w:val="restart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773" w:type="dxa"/>
            <w:vMerge w:val="restart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Доля закупок, которые ГАБС осуществил у субъектов малого предпринимательства и социально ориентированных некоммерческих организаций в отчетном году, в совокупном годовом объеме закупок, рассчитанном за вычетом закупок, предусмотренных </w:t>
            </w:r>
            <w:hyperlink r:id="rId6" w:history="1">
              <w:r>
                <w:rPr>
                  <w:rFonts w:ascii="Times New Roman" w:eastAsia="Calibri" w:hAnsi="Times New Roman"/>
                  <w:sz w:val="24"/>
                  <w:szCs w:val="24"/>
                </w:rPr>
                <w:t>ч. 1.1 ст. 30</w:t>
              </w:r>
            </w:hyperlink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Федерального закона 44-ФЗ, в процентах</w:t>
            </w:r>
          </w:p>
        </w:tc>
        <w:tc>
          <w:tcPr>
            <w:tcW w:w="4536" w:type="dxa"/>
            <w:gridSpan w:val="2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6.2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смп 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сгоз * 100%, где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смп 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объем закупок, который ГАБС осуществил у субъектов малого предпринимательства и социально ориентированных некоммерческих организаций в отчетном году;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сгоз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- совокупный годовой объем закупок, рассчитанный за вычетом закупок, предусмотренных </w:t>
            </w:r>
            <w:hyperlink r:id="rId7" w:history="1">
              <w:r>
                <w:rPr>
                  <w:rFonts w:ascii="Times New Roman" w:eastAsia="Calibri" w:hAnsi="Times New Roman"/>
                  <w:sz w:val="24"/>
                  <w:szCs w:val="24"/>
                </w:rPr>
                <w:t>частью 1.1 статьи 30</w:t>
              </w:r>
            </w:hyperlink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ГАБС</w:t>
            </w:r>
          </w:p>
        </w:tc>
      </w:tr>
      <w:t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6.2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&gt; = 15%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465"/>
        </w:trPr>
        <w:tc>
          <w:tcPr>
            <w:tcW w:w="488" w:type="dxa"/>
            <w:vMerge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  <w:vMerge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6.2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&lt; 15%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77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расходов на содержание ГАБС</w:t>
            </w:r>
          </w:p>
        </w:tc>
        <w:tc>
          <w:tcPr>
            <w:tcW w:w="4536" w:type="dxa"/>
            <w:gridSpan w:val="2"/>
          </w:tcPr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= (Р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Ч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Ч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/ (Р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Ч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 где: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кассовые расходы на содержание ГАБС по  коду вида расходов 244 «Прочая закупка товаров, работ и услуг» за отчетный финансовый год (за исключением расходов по коду классификации операций сектора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управления 296 «Иные выплаты текущего характера физическим лицам» (далее - КОСГУ 296);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фактическая численность работников ГАБС на последнее число отчетного финансового года;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общий объем кассовых расходов на содержание всех ГАБС по коду вида расходов 244 «Прочая закупка товаров, работ и услуг» за отчетный финансовый год (за исключением расходов по КОСГУ 296) по соответствующей группе;</w:t>
            </w:r>
          </w:p>
          <w:p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общая фактическая численность работников всех ГАБС за отчетный финансовый год по соответствующей группе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Информация, находящаяся в распоряжении Финансового управления Администрации ЗАТО Северск</w:t>
            </w: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&lt; =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488" w:type="dxa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5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&gt; 0</w:t>
            </w:r>
          </w:p>
        </w:tc>
        <w:tc>
          <w:tcPr>
            <w:tcW w:w="2051" w:type="dxa"/>
          </w:tcPr>
          <w:p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  <w:sectPr>
          <w:headerReference w:type="default" r:id="rId8"/>
          <w:pgSz w:w="11906" w:h="16838"/>
          <w:pgMar w:top="680" w:right="567" w:bottom="680" w:left="1701" w:header="709" w:footer="709" w:gutter="0"/>
          <w:cols w:space="708"/>
          <w:titlePg/>
          <w:docGrid w:linePitch="360"/>
        </w:sectPr>
      </w:pPr>
    </w:p>
    <w:p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sectPr>
      <w:pgSz w:w="11905" w:h="16838"/>
      <w:pgMar w:top="1134" w:right="851" w:bottom="1134" w:left="426" w:header="28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44839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12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6"/>
  <w:defaultTabStop w:val="708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5:docId w15:val="{A7A80DE5-0F80-4F85-8BDE-BA7311EC8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paragraph" w:styleId="a9">
    <w:name w:val="Plain Text"/>
    <w:basedOn w:val="a"/>
    <w:link w:val="a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66491B396322DCB7BA4E7405BF68F554CB7A6E8EEEAA2E9057E2B7A9190AB9E9BCA35744716061BC6D82EEC250CCED97114F179391F1B4AvAQ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7476521D331CBBF0B52BDDE686319B57BD5AFE7CB94DFA72515D72CF9C828DE7B849B897FEADC44BC28AFF12CBCF4635501551B6A4AB79S0N8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12</Pages>
  <Words>2454</Words>
  <Characters>13994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Мананкова М.А.</dc:creator>
  <cp:keywords/>
  <dc:description/>
  <cp:lastModifiedBy>Chesnokova</cp:lastModifiedBy>
  <cp:revision>14</cp:revision>
  <cp:lastPrinted>2020-12-18T01:40:00Z</cp:lastPrinted>
  <dcterms:created xsi:type="dcterms:W3CDTF">2020-12-17T11:03:00Z</dcterms:created>
  <dcterms:modified xsi:type="dcterms:W3CDTF">2020-12-29T09:06:00Z</dcterms:modified>
</cp:coreProperties>
</file>