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0A0" w:firstRow="1" w:lastRow="0" w:firstColumn="1" w:lastColumn="0" w:noHBand="0" w:noVBand="0"/>
      </w:tblPr>
      <w:tblGrid>
        <w:gridCol w:w="4656"/>
        <w:gridCol w:w="4699"/>
      </w:tblGrid>
      <w:tr>
        <w:tc>
          <w:tcPr>
            <w:tcW w:w="478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№ 18</w:t>
            </w:r>
          </w:p>
          <w:p>
            <w:pPr>
              <w:pStyle w:val="a6"/>
              <w:jc w:val="right"/>
              <w:rPr>
                <w:bCs/>
                <w:spacing w:val="2"/>
              </w:rPr>
            </w:pPr>
            <w:proofErr w:type="gramStart"/>
            <w:r>
              <w:rPr>
                <w:bCs/>
                <w:spacing w:val="2"/>
              </w:rPr>
              <w:t>к</w:t>
            </w:r>
            <w:proofErr w:type="gramEnd"/>
            <w:r>
              <w:rPr>
                <w:bCs/>
                <w:spacing w:val="2"/>
              </w:rPr>
              <w:t xml:space="preserve"> Учетной политике</w:t>
            </w:r>
          </w:p>
          <w:p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утвержденной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приказом </w:t>
            </w:r>
          </w:p>
          <w:p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начальника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Финансового управления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30.12.2021 № 94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cs="Courier New"/>
          <w:b/>
          <w:bCs/>
          <w:sz w:val="18"/>
          <w:szCs w:val="18"/>
        </w:rPr>
      </w:pP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Положение 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о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порядке проведения инвентаризации дебиторской 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и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кредиторской задолженности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tbl>
      <w:tblPr>
        <w:tblW w:w="9259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693"/>
        <w:gridCol w:w="5566"/>
      </w:tblGrid>
      <w:tr>
        <w:trPr>
          <w:tblCellSpacing w:w="15" w:type="dxa"/>
        </w:trPr>
        <w:tc>
          <w:tcPr>
            <w:tcW w:w="3648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21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Общие положения</w:t>
      </w:r>
    </w:p>
    <w:p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>
      <w:pPr>
        <w:spacing w:after="0" w:line="240" w:lineRule="auto"/>
        <w:ind w:firstLine="539"/>
        <w:jc w:val="both"/>
        <w:rPr>
          <w:rFonts w:ascii="Times New Roman" w:hAnsi="Times New Roman"/>
          <w:strike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 Настоящее Положение применяется в соответствии с требованиями ст.11              Федерального закона РФ от 06.12.2011 № 402-ФЗ «О бухгалтерском учёте» (далее – Закон № 402-ФЗ), Постановление Правительства РФ от 06.05.2016 № 393 «Об общих требованиях к порядку принятия решения о признании безнадежной к взысканию задолженности по платежам в бюджеты бюджетной системы Российской Федерации» (далее – Постановление № 393), раздел ФСБУ «Концептуальные основы бухгалтерского учёта и отчётности организаций госсектора», утвержденного приказом Минфина России от 31.12.2016 № 256н (далее – СГС «Концептуальные основы»), п. 11 ФСБУ «Доходы», утвержденного приказом Минфина России от </w:t>
      </w:r>
      <w:r>
        <w:rPr>
          <w:rFonts w:ascii="Times New Roman" w:hAnsi="Times New Roman"/>
          <w:sz w:val="24"/>
          <w:szCs w:val="24"/>
          <w:lang w:eastAsia="ru-RU"/>
        </w:rPr>
        <w:t xml:space="preserve">27.02.2018 № 32н </w:t>
      </w:r>
      <w:r>
        <w:rPr>
          <w:rFonts w:ascii="Times New Roman" w:hAnsi="Times New Roman"/>
          <w:sz w:val="24"/>
          <w:szCs w:val="24"/>
        </w:rPr>
        <w:t xml:space="preserve">(далее – СГС «Доходы»), ФСБУ «Долгосрочные договоры», утвержденного приказом Минфина России  от 29.06.2018 № 145н (далее – СГС «Долгосрочные договоры»), ФСБУ «Резервы. Раскрытие информации об условных обязательствах и условных активах», утвержденного приказом Минфина России от 30.05.2018г. №124н (далее – СГС «Резервы»), п. 10-13, 37-41 ФСБУ «Финансовые инструменты», утвержденного приказом Минфина РФ от 30.06.2020 № 129н (далее – СГС «Финансовые инструменты»), </w:t>
      </w:r>
      <w:r>
        <w:rPr>
          <w:rFonts w:ascii="Times New Roman" w:hAnsi="Times New Roman"/>
          <w:strike/>
          <w:sz w:val="24"/>
          <w:szCs w:val="24"/>
          <w:highlight w:val="yellow"/>
        </w:rPr>
        <w:t>п. 20 приказа Минфина России от 01.12.2010 № 157н «Об утверждении Единого плана счетов бухгалтерского  учёта для органов государственной власти (госорганов),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 – ЕПС).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 Цель Положения – закрепить порядок проведения инвентаризации дебиторской                  и кредиторской задолженности.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1.3 Проведение инвентаризации осуществляется постоянно действующей инвентаризационной комиссией (далее – инвентаризационная комиссия), назначенной приказом начальника Управления. </w:t>
      </w:r>
    </w:p>
    <w:p>
      <w:pPr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Виды инвентаризации, особенности 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проведения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инвентаризации дебиторской 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и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кредиторской задолженности</w:t>
      </w:r>
    </w:p>
    <w:p>
      <w:pPr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 Инвентаризация может быть плановая – проводится ежегодно перед составлением годовой отчётности.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 Основными целями инвентаризации является проверка обоснованности сумм, числящихся на соответствующих счетах бухгалтерского учёта, и состояния дебиторской               и кредиторской задолженности.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 инвентаризации расчётов выявляются документально подтвержденные обстоятельства, указывающие: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lastRenderedPageBreak/>
        <w:t>– </w:t>
      </w:r>
      <w:r>
        <w:rPr>
          <w:rFonts w:ascii="Times New Roman" w:hAnsi="Times New Roman"/>
          <w:sz w:val="24"/>
          <w:szCs w:val="24"/>
          <w:lang w:eastAsia="ru-RU"/>
        </w:rPr>
        <w:t>для дебиторской задолженности – на наличие признаков сомнительной                                         и безнадежной задолженности;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  <w:lang w:eastAsia="ru-RU"/>
        </w:rPr>
        <w:t xml:space="preserve"> для кредиторской задолженности – на истечение срока исковой давности.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</w:t>
      </w:r>
      <w:r>
        <w:t> </w:t>
      </w:r>
      <w:r>
        <w:rPr>
          <w:rFonts w:ascii="Times New Roman" w:hAnsi="Times New Roman"/>
          <w:sz w:val="24"/>
          <w:szCs w:val="24"/>
        </w:rPr>
        <w:t xml:space="preserve">Порядок и сроки проведения инвентаризации определяются приказом начальника Управления. </w:t>
      </w:r>
    </w:p>
    <w:p>
      <w:pPr>
        <w:pStyle w:val="a5"/>
        <w:shd w:val="clear" w:color="auto" w:fill="FFFFFF"/>
        <w:spacing w:before="0" w:beforeAutospacing="0" w:after="0" w:afterAutospacing="0"/>
        <w:ind w:firstLine="539"/>
      </w:pPr>
      <w:r>
        <w:t xml:space="preserve">2.4 Инвентаризации подлежат: </w:t>
      </w:r>
    </w:p>
    <w:p>
      <w:pPr>
        <w:shd w:val="clear" w:color="auto" w:fill="FFFFFF"/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>расчеты с поставщиками и подрядчиками;</w:t>
      </w:r>
    </w:p>
    <w:p>
      <w:pPr>
        <w:shd w:val="clear" w:color="auto" w:fill="FFFFFF"/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>расчеты с подотчетными лицами;</w:t>
      </w:r>
    </w:p>
    <w:p>
      <w:pPr>
        <w:shd w:val="clear" w:color="auto" w:fill="FFFFFF"/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>расчеты по оплате труда;</w:t>
      </w:r>
    </w:p>
    <w:p>
      <w:pPr>
        <w:shd w:val="clear" w:color="auto" w:fill="FFFFFF"/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>расчеты по налогам и сборам с ФНС и внебюджетными фондами;</w:t>
      </w:r>
    </w:p>
    <w:p>
      <w:pPr>
        <w:shd w:val="clear" w:color="auto" w:fill="FFFFFF"/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>расчеты с покупателями и заказчиками;</w:t>
      </w:r>
    </w:p>
    <w:p>
      <w:pPr>
        <w:shd w:val="clear" w:color="auto" w:fill="FFFFFF"/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>расчеты по депонентам;</w:t>
      </w:r>
    </w:p>
    <w:p>
      <w:pPr>
        <w:shd w:val="clear" w:color="auto" w:fill="FFFFFF"/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>расчеты по недостачам.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2.5 Инвентаризационная комиссия несёт ответственность: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– </w:t>
      </w:r>
      <w:r>
        <w:rPr>
          <w:rFonts w:ascii="Times New Roman" w:hAnsi="Times New Roman"/>
          <w:sz w:val="24"/>
          <w:szCs w:val="24"/>
          <w:lang w:eastAsia="ru-RU"/>
        </w:rPr>
        <w:t xml:space="preserve">за своевременность и соблюдение порядка проведения инвентаризации                             в соответствии с приказом начальника;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>за правильность и своевременность оформления результатов инвентаризации;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–</w:t>
      </w:r>
      <w:r>
        <w:t> </w:t>
      </w:r>
      <w:r>
        <w:rPr>
          <w:rFonts w:ascii="Times New Roman" w:hAnsi="Times New Roman"/>
          <w:sz w:val="24"/>
          <w:szCs w:val="24"/>
          <w:lang w:eastAsia="ru-RU"/>
        </w:rPr>
        <w:t>за правильность классификации задолженность на: текущую, просроченную, сомнительную, безнадежную.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2.6 Инвентаризационная комиссия проводит документальную проверку состояния и обоснованности числящихся на счетах сумм и причин возникновения задолженности, устанавливает возможности её уменьшения или ликвидации.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проведении инвентаризации используются данные аналитического учёта, первичные документы, акты сверки расчётов.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Подписание дебитором акта сверки взаиморасчётов прерывает течение срока исковой давности по признанной им задолженности. Время, </w:t>
      </w:r>
      <w:proofErr w:type="spellStart"/>
      <w:r>
        <w:rPr>
          <w:rFonts w:ascii="Times New Roman" w:hAnsi="Times New Roman"/>
          <w:sz w:val="24"/>
          <w:szCs w:val="24"/>
        </w:rPr>
        <w:t>истекшеё</w:t>
      </w:r>
      <w:proofErr w:type="spellEnd"/>
      <w:r>
        <w:rPr>
          <w:rFonts w:ascii="Times New Roman" w:hAnsi="Times New Roman"/>
          <w:sz w:val="24"/>
          <w:szCs w:val="24"/>
        </w:rPr>
        <w:t xml:space="preserve"> до перерыва, не засчитывается в новый срок, и течение срока исковой давности начинается заново (</w:t>
      </w:r>
      <w:hyperlink r:id="rId5" w:history="1">
        <w:r>
          <w:rPr>
            <w:rFonts w:ascii="Times New Roman" w:hAnsi="Times New Roman"/>
            <w:sz w:val="24"/>
            <w:szCs w:val="24"/>
          </w:rPr>
          <w:t>ст. 203</w:t>
        </w:r>
      </w:hyperlink>
      <w:r>
        <w:rPr>
          <w:rFonts w:ascii="Times New Roman" w:hAnsi="Times New Roman"/>
          <w:sz w:val="24"/>
          <w:szCs w:val="24"/>
        </w:rPr>
        <w:t xml:space="preserve"> ГК РФ).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Инвентаризационная комиссия путем документальной проверки устанавливает сроки возникновения дебиторской и кредиторской задолженности, реальность задолженности, правильность и обоснованность числящихся в бюджетном учёте и отчётности сумм задолженности, а также предъявлены ли иски на взыскание дебиторской задолженности в принудительном порядке.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проведении инвентаризации расчётов осуществляется выявление сумм дебиторской и кредиторской задолженности с истекшим сроком исковой давности.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2.7 В результате инвентаризации дебиторской и кредиторской задолженности выявляются: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расхождения сумм задолженности на счетах расчётов с данными первичных документов (ошибочно проведенные счета, неучтенные документы);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расхождения сумм задолженности при сверке с контрагентами (отсутствие в учёте счетов поставщиков и т.п.);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выявление задолженности с истекшим сроком исковой давности.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2.8 В соответствии с п.11 СГС «Доходы», </w:t>
      </w:r>
      <w:r>
        <w:rPr>
          <w:rFonts w:ascii="Times New Roman" w:hAnsi="Times New Roman"/>
          <w:sz w:val="24"/>
          <w:szCs w:val="24"/>
          <w:lang w:eastAsia="ru-RU"/>
        </w:rPr>
        <w:t>прекращение признания (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выбытия)   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                 с балансового (забалансового) учёта сомнительной задолженности по доходам осуществляется на основании решения комиссии субъекта учёта по поступлению                       и выбытию активов при наличии документов, подтверждающих неопределенность относительно получения экономических выгод или полезного потенциала.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 выявлении сомнительной задолженности, комиссия по поступлению и выбытию активов принимает решение о её включении в резерв по сомнительным долгам в полной сумме.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 инвентаризации долгосрочных договоров, комиссия определяет правильность их отражения в бухгалтерском учёте на счёте 040140100 «Доходы будущих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периодов»   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            и их соответствие данным плана финансово-хозяйственной деятельности.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Комиссия проводит инвентаризацию резерва по убыточным договорным обязательствам в соответствии с СГС «Резервы» в части договоров, по которым возникла обязанность создания резерва.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2.9 </w:t>
      </w:r>
      <w:r>
        <w:rPr>
          <w:rFonts w:ascii="Times New Roman" w:hAnsi="Times New Roman"/>
          <w:sz w:val="24"/>
          <w:szCs w:val="24"/>
          <w:lang w:eastAsia="ru-RU"/>
        </w:rPr>
        <w:t>Прекращение признания (выбытия) с балансового (забалансового) учёта безнадежной к взысканию задолженности по доходам осуществляется на основании решения комиссии Управления по поступлению и выбытию активов при наличии документов, подтверждающих прекращение обязательств по оплате задолженности, права на взыскание задолженности и (или) неопределенность относительно получения экономических выгод или полезного потенциала.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Документами, определяющими задолженность как безнадежную, могут быть (</w:t>
      </w:r>
      <w:proofErr w:type="spellStart"/>
      <w:r>
        <w:fldChar w:fldCharType="begin"/>
      </w:r>
      <w:r>
        <w:instrText xml:space="preserve"> HYPERLINK "consultantplus://offline/ref=53A05558FF1AC7924A7CEC06E46F3CF590D77C60B750CB505B0B1968298ABE9E9427CCC76522CE262768756AC275ED5D90F16AiFuAK" </w:instrText>
      </w:r>
      <w:r>
        <w:fldChar w:fldCharType="separate"/>
      </w:r>
      <w:r>
        <w:rPr>
          <w:rFonts w:ascii="Times New Roman" w:hAnsi="Times New Roman"/>
          <w:sz w:val="24"/>
          <w:szCs w:val="24"/>
          <w:lang w:eastAsia="ru-RU"/>
        </w:rPr>
        <w:t>пп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. «в» п. 3</w:t>
      </w:r>
      <w:r>
        <w:rPr>
          <w:rFonts w:ascii="Times New Roman" w:hAnsi="Times New Roman"/>
          <w:sz w:val="24"/>
          <w:szCs w:val="24"/>
          <w:lang w:eastAsia="ru-RU"/>
        </w:rPr>
        <w:fldChar w:fldCharType="end"/>
      </w:r>
      <w:r>
        <w:rPr>
          <w:rFonts w:ascii="Times New Roman" w:hAnsi="Times New Roman"/>
          <w:sz w:val="24"/>
          <w:szCs w:val="24"/>
          <w:lang w:eastAsia="ru-RU"/>
        </w:rPr>
        <w:t xml:space="preserve"> Общих требований, утвержденных Постановлением Правительства РФ от 06.05.2016 № 393):</w:t>
      </w:r>
    </w:p>
    <w:p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  <w:lang w:eastAsia="ru-RU"/>
        </w:rPr>
        <w:t xml:space="preserve"> документ, свидетельствующий о смерти физического лица - должника;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  <w:lang w:eastAsia="ru-RU"/>
        </w:rPr>
        <w:t xml:space="preserve"> судебный акт о завершении конкурсного производства или завершении реализации имущества индивидуального предпринимателя, а также документ, содержащий сведения из ЕГРИП о прекращении его деятельности вследствие банкротства;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  <w:lang w:eastAsia="ru-RU"/>
        </w:rPr>
        <w:t xml:space="preserve"> судебный акт о завершении конкурсного производства или завершении реализации имущества гражданина;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  <w:lang w:eastAsia="ru-RU"/>
        </w:rPr>
        <w:t xml:space="preserve"> документ, содержащий сведения из ЕГРЮЛ о ликвидации юридического лица или о его исключении из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реёстра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по решению регистрирующего органа;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  <w:lang w:eastAsia="ru-RU"/>
        </w:rPr>
        <w:t xml:space="preserve"> акт об амнистии (помиловании) осужденных к наказанию в виде штрафа или судебный акт, в соответствии с которым невозможно взыскать задолженность;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  <w:lang w:eastAsia="ru-RU"/>
        </w:rPr>
        <w:t xml:space="preserve"> постановление судебного пристава-исполнителя об окончании исполнительного производства;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  <w:lang w:eastAsia="ru-RU"/>
        </w:rPr>
        <w:t xml:space="preserve"> судебный акт о возвращении заявления о признании должника банкротом или прекращении производства по делу о банкротстве в связи с отсутствием средств для возмещения судебных расходов по указанному делу;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– </w:t>
      </w:r>
      <w:r>
        <w:rPr>
          <w:rFonts w:ascii="Times New Roman" w:hAnsi="Times New Roman"/>
          <w:sz w:val="24"/>
          <w:szCs w:val="24"/>
          <w:lang w:eastAsia="ru-RU"/>
        </w:rPr>
        <w:t>постановление о прекращении исполнения постановления о назначении административного наказания.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2.10 При инвентаризации задолженности перед сотрудниками Управления проверяются обоснования сумм кредиторской задолженности: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по оплате труда, подлежащих зачислению на счет депонентов;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>расчётов по заработной плате с сотрудниками Управления на основании трудовых договоров (контрактов);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  <w:lang w:eastAsia="ru-RU"/>
        </w:rPr>
        <w:t xml:space="preserve"> расчётов по оплате работодателем в соответствии с законодательством РФ в пользу работников (сотрудников) и (или) их иждивенцев, не относящихся к заработной плате дополнительных выплат, пособий и компенсаций, обусловленных условиями трудовых отношений, статусом работников (сотрудников);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  <w:lang w:eastAsia="ru-RU"/>
        </w:rPr>
        <w:t xml:space="preserve"> расчётов по начислениям на выплаты по оплате труда, в том числе начисленных работникам пособий по временной нетрудоспособности и в связи с материнством, пособий по уходу за ребенком до достижения им возраста полутора лет и других выплат за счет средств государственного социального страхования;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сумм переплат с выяснением причин переплаты. 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2.11 При инвентаризации подотчётных сумм: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проверяются отчёты подотчётных лиц по выданным авансам с учётом их целевого использования, а также суммы выданных авансов по каждому подотчетному лицу (даты выдачи и целевое назначение);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– правильность расчётов с бюджетами Российской Федерации (в том числе своевременность перечисления) и обоснованность сумм, числящихся на счетах 020970000, 020980000 в части расчётов по недостачам.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2.12 При инвентаризации расходов будущих периодов проверяются: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документальное подтверждение сумм расходов будущих периодов;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период к которому относятся расходы будущих периодов.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2.13 Инвентаризационная комиссия путем документальной проверки должна также установить: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) правильность расчётов с банками, финансовыми, налоговыми органами, внебюджетными фондами, другими организациями, а также со структурными подразделениями организации, выделенными на отдельные балансы;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б</w:t>
      </w:r>
      <w:proofErr w:type="gramEnd"/>
      <w:r>
        <w:rPr>
          <w:rFonts w:ascii="Times New Roman" w:hAnsi="Times New Roman"/>
          <w:sz w:val="24"/>
          <w:szCs w:val="24"/>
        </w:rPr>
        <w:t>) правильность и обоснованность числящейся в бухгалтерском учёте суммы задолженности по недостачам и хищениям;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>) правильность и обоснованность сумм дебиторской, кредиторской и депонентской задолженности, включая суммы дебиторской и кредиторской задолженности, по которым истекли сроки исковой давности.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2.14 Если в отношении дебиторской задолженности не выполняются критерии отнесения её к активам, то в соответствии с решением инвентаризационной комиссии о её списании с балансового учёта Управления учёт указанной задолженности осуществляется на забалансовом счёте 04 «Сомнительная задолженность» в сумме резерва по сомнительным долгам.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2.15 Решение инвентаризационной комиссии о списании с балансового учёта Управления задолженности неплатежеспособных дебиторов принимается с учётом: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сведений, выявленных в ходе проведения инвентаризации, в отношении дебиторской задолженности, обладающей признаками нереальной к взысканию;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документов, подтверждающих наличие рисков невозможности взыскания дебиторской задолженности.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том числе проверяются суммы дебиторской задолженности, списанные вследствие несостоятельности ответчиков и невозможности обращения взыскания на их имущество. При этом проверяется обоснованность списания задолженности, правильность учёта списанной задолженности за балансом, наблюдение за возможностью её взыскания                  в случае изменения имущественного положения должника.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Инвентаризационная комиссия, принимая решение о списании с балансового учёта задолженности неплатежеспособных дебиторов, вправе руководствоваться положениями законодательства по составу документов, необходимых для принятия решения                            о признании безнадежной к взысканию задолженности по платежам в бюджет                           и о её списании (восстановлении), установленных Бюджетным </w:t>
      </w:r>
      <w:hyperlink r:id="rId6" w:history="1">
        <w:r>
          <w:rPr>
            <w:rFonts w:ascii="Times New Roman" w:hAnsi="Times New Roman"/>
            <w:sz w:val="24"/>
            <w:szCs w:val="24"/>
          </w:rPr>
          <w:t>кодексом</w:t>
        </w:r>
      </w:hyperlink>
      <w:r>
        <w:rPr>
          <w:rFonts w:ascii="Times New Roman" w:hAnsi="Times New Roman"/>
          <w:sz w:val="24"/>
          <w:szCs w:val="24"/>
        </w:rPr>
        <w:t xml:space="preserve"> Российской Федерации, и общими </w:t>
      </w:r>
      <w:hyperlink r:id="rId7" w:history="1">
        <w:r>
          <w:rPr>
            <w:rFonts w:ascii="Times New Roman" w:hAnsi="Times New Roman"/>
            <w:sz w:val="24"/>
            <w:szCs w:val="24"/>
          </w:rPr>
          <w:t>требованиями</w:t>
        </w:r>
      </w:hyperlink>
      <w:r>
        <w:rPr>
          <w:rFonts w:ascii="Times New Roman" w:hAnsi="Times New Roman"/>
          <w:sz w:val="24"/>
          <w:szCs w:val="24"/>
        </w:rPr>
        <w:t xml:space="preserve"> к порядку принятия решений о признании безнадежной к взысканию задолженности по платежам в бюджеты бюджетной системы Российской Федерации, утвержденными Постановлением Правительства Российской Федерации от 06.05.2016 № 393.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2.16 Списание задолженности с забалансовых счетов осуществляется на основании решения инвентаризационной комиссии по окончании срока возможного возобновления взыскания задолженности, в том числе в случае изменения имущественного положения должников, либо до поступления в указанный срок в погашение задолженности неплатежеспособных дебиторов денежных средств, до исполнения (прекращения) задолженности иным, не противоречащим законодательству Российской Федерации способом.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2.17 Прекращение учёта задолженности Управления, не востребованной кредиторами, которая носит заявительный характер, отраженной на забалансовом </w:t>
      </w:r>
      <w:hyperlink r:id="rId8" w:history="1">
        <w:r>
          <w:rPr>
            <w:rFonts w:ascii="Times New Roman" w:hAnsi="Times New Roman"/>
            <w:sz w:val="24"/>
            <w:szCs w:val="24"/>
          </w:rPr>
          <w:t>счёте 20</w:t>
        </w:r>
      </w:hyperlink>
      <w:r>
        <w:rPr>
          <w:rFonts w:ascii="Times New Roman" w:hAnsi="Times New Roman"/>
          <w:sz w:val="24"/>
          <w:szCs w:val="24"/>
        </w:rPr>
        <w:t xml:space="preserve"> «Задолженность, невостребованная кредиторами», осуществляется на основании решения комиссии Управления (инвентаризационной комиссии) ввиду завершения срока исковой давности.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2.18 </w:t>
      </w:r>
      <w:r>
        <w:rPr>
          <w:rFonts w:ascii="Times New Roman" w:hAnsi="Times New Roman"/>
          <w:sz w:val="24"/>
          <w:szCs w:val="24"/>
          <w:lang w:eastAsia="ru-RU"/>
        </w:rPr>
        <w:t>При проведении инвентаризации посредством электронного документооборота и направлении контрагенту (кредитору, дебитору) акт сверки расчётов, в акте и (или) в сопроводительном письме предусматривается конкретный срок подачи возражений на акт с учётом достаточности срока для отражения необходимых корректировок расчётов в годовой бухгалтерской отчётности. В сопроводительном письме указывается, что при отсутствии возражений акт сверки считается согласованным в указанный срок (</w:t>
      </w:r>
      <w:hyperlink r:id="rId9" w:history="1">
        <w:r>
          <w:rPr>
            <w:rFonts w:ascii="Times New Roman" w:hAnsi="Times New Roman"/>
            <w:sz w:val="24"/>
            <w:szCs w:val="24"/>
            <w:lang w:eastAsia="ru-RU"/>
          </w:rPr>
          <w:t>письмо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Минфина России от 24.12.2020 № 02-07-07/113668).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Документальное оформление 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результатов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инвентаризации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 Результаты инвентаризации расчётов оформляются Инвентаризационной описью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(ф.0510469), в которой перечисляются наименования дебиторов (кредиторов), проинвентаризованных счетов, указываются суммы дебиторской (кредиторской) задолженности всего, в том числе подтвержденной дебиторами (кредиторами) и не подтвержденной дебиторами (кредиторами), суммы дебиторской (кредиторской) задолженности, по которым истекли сроки исковой давности.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 К Инвентаризационной описи прикладывается Справка, которая является основанием для составления акта о результатах инвентаризации.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составляется в разрезе синтетических счетов бухгалтерского учёта.                       В Справке указывают: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реквизиты каждого дебитора или кредитора организации;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причину и дату возникновения задолженности;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сумму задолженности.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Справку составляют в одном экземпляре и хранят в архиве организации 5 лет.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 Выявившиеся долги, по результатам инвентаризации, с истекшим сроком исковой давности подлежат списанию, которое проводится на основании приказа начальника Управления.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4. Заключительные положения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 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4.1 Все изменения и дополнения к настоящему положению утверждаются руководителем Управления.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4.2 Если в результате изменения действующего законодательства России отдельные статьи настоящего положения вступят с ним в противоречие, они утрачивают силу, преимущественную силу имеют положения действующего законодательства России.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0965F2"/>
    <w:multiLevelType w:val="hybridMultilevel"/>
    <w:tmpl w:val="6256F2CA"/>
    <w:lvl w:ilvl="0" w:tplc="7CE857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A162EB4"/>
    <w:multiLevelType w:val="hybridMultilevel"/>
    <w:tmpl w:val="D87A5B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C416B93-B2DF-4859-8511-0C71E74AE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pPr>
      <w:ind w:left="720"/>
      <w:contextualSpacing/>
    </w:pPr>
  </w:style>
  <w:style w:type="paragraph" w:styleId="a5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locked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4845DE22D500105F4139FD7A4FA133879550E71751AB1EE77BBBEA0E9A23C818427438019m0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99D7D2A3E09BF093C1CB8E89901C0B74E3734DEA464FFE393453E16F42292BAE4F862DB419F3BC9CAO4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99D7D2A3E09BF093C1CB8E89901C0B74D3F37DCA366FFE393453E16F42292BAE4F862DE4299C3ODG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9EE833699289A2B2595E1662AFEEA32D2D2AFB8BA478B9F4C6E5D84B4522DCF692C7B9722FF22E21w7H1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92B23088EACBBBE85DB1E691A733D7232EBA96D7788E1760B893DF933488879518C672FD92C99DEC366D50F76B0A6F3A07B51288F47D0E6f6d4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1626</Words>
  <Characters>13577</Characters>
  <Application>Microsoft Office Word</Application>
  <DocSecurity>0</DocSecurity>
  <Lines>113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/>
  <LinksUpToDate>false</LinksUpToDate>
  <CharactersWithSpaces>15173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ASUS</dc:creator>
  <cp:keywords/>
  <dc:description/>
  <cp:lastModifiedBy>Купцова И.О.</cp:lastModifiedBy>
  <cp:revision>3</cp:revision>
  <dcterms:created xsi:type="dcterms:W3CDTF">2025-12-11T09:30:00Z</dcterms:created>
  <dcterms:modified xsi:type="dcterms:W3CDTF">2025-12-11T09:30:00Z</dcterms:modified>
</cp:coreProperties>
</file>