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right"/>
        <w:rPr>
          <w:szCs w:val="24"/>
        </w:rPr>
      </w:pPr>
      <w:r>
        <w:rPr>
          <w:szCs w:val="24"/>
        </w:rPr>
        <w:t>Приложение № 17</w:t>
      </w:r>
    </w:p>
    <w:p>
      <w:pPr>
        <w:pStyle w:val="a7"/>
        <w:jc w:val="right"/>
        <w:rPr>
          <w:bCs/>
          <w:spacing w:val="2"/>
        </w:rPr>
      </w:pPr>
      <w:r>
        <w:rPr>
          <w:bCs/>
          <w:spacing w:val="2"/>
        </w:rPr>
        <w:t>к Учетной политике,</w:t>
      </w:r>
    </w:p>
    <w:p>
      <w:pPr>
        <w:spacing w:after="0" w:line="240" w:lineRule="auto"/>
        <w:jc w:val="right"/>
        <w:rPr>
          <w:szCs w:val="24"/>
        </w:rPr>
      </w:pPr>
      <w:proofErr w:type="gramStart"/>
      <w:r>
        <w:rPr>
          <w:szCs w:val="24"/>
        </w:rPr>
        <w:t>утвержденной</w:t>
      </w:r>
      <w:proofErr w:type="gramEnd"/>
      <w:r>
        <w:rPr>
          <w:szCs w:val="24"/>
        </w:rPr>
        <w:t xml:space="preserve"> приказом </w:t>
      </w:r>
    </w:p>
    <w:p>
      <w:pPr>
        <w:spacing w:after="0" w:line="240" w:lineRule="auto"/>
        <w:jc w:val="right"/>
        <w:rPr>
          <w:szCs w:val="24"/>
        </w:rPr>
      </w:pPr>
      <w:r>
        <w:rPr>
          <w:szCs w:val="24"/>
        </w:rPr>
        <w:t>начальника Финансового управления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szCs w:val="24"/>
        </w:rPr>
      </w:pP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30.12.2021 № 94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Порядок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 деятельности комиссии по поступлению и выбытию активов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1. Общие положения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Cs w:val="24"/>
        </w:rPr>
      </w:pPr>
      <w:r>
        <w:rPr>
          <w:rFonts w:cs="Times New Roman"/>
          <w:szCs w:val="24"/>
        </w:rPr>
        <w:t xml:space="preserve">           1.1 </w:t>
      </w:r>
      <w:r>
        <w:rPr>
          <w:szCs w:val="24"/>
        </w:rPr>
        <w:t>Настоящее Положение определяет цели создания, полномочия, состав и порядок деятельности Комиссии, а также порядок принятия решений по поступлению и выбытию имущества, списания с учёта задолженности неплатежеспособных дебиторов субъекта учёта.</w:t>
      </w:r>
    </w:p>
    <w:p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           Постоянно действующая комиссия по поступлению и выбытию активов (далее – Комиссия) создается в соответствии с требованиями Федерального закона Российской Федерации от 06.12.2011 № 402-ФЗ «О бухгалтерском учете», </w:t>
      </w:r>
      <w:bookmarkStart w:id="0" w:name="_GoBack"/>
      <w:r>
        <w:rPr>
          <w:strike/>
          <w:szCs w:val="24"/>
          <w:highlight w:val="yellow"/>
        </w:rPr>
        <w:t>приказа Минфина России от 01.12.2010 № 157н «Об утверждении единого плана счётов бухгалтерского учёта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Единый план счётов)</w:t>
      </w:r>
      <w:r>
        <w:rPr>
          <w:szCs w:val="24"/>
        </w:rPr>
        <w:t xml:space="preserve">, </w:t>
      </w:r>
      <w:bookmarkEnd w:id="0"/>
      <w:r>
        <w:rPr>
          <w:szCs w:val="24"/>
        </w:rPr>
        <w:t>Постановления Правительства РФ то 14.10.2010 № 834 «Об особенностях списания федерального имущества».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rFonts w:cs="Times New Roman"/>
          <w:szCs w:val="24"/>
        </w:rPr>
        <w:t>Состав комиссии по поступлению и выбытию активов (далее - Комиссия) утверждается отдельным приказом начальника Управления.</w:t>
      </w:r>
      <w:r>
        <w:rPr>
          <w:szCs w:val="24"/>
        </w:rPr>
        <w:t xml:space="preserve"> В состав Комиссии входят: председатель, секретарь и члены комиссии.</w:t>
      </w:r>
    </w:p>
    <w:p>
      <w:pPr>
        <w:shd w:val="clear" w:color="auto" w:fill="FFFFFF"/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rFonts w:cs="Times New Roman"/>
          <w:szCs w:val="24"/>
        </w:rPr>
        <w:t>1.2 Комиссию возглавляет председатель, который осуществляет общее руководство деятельностью комиссии, обеспечивает коллегиальность в обсуждении спорных вопросов, распределяет обязанности и даёт поручения членам комиссии.</w:t>
      </w:r>
      <w:r>
        <w:rPr>
          <w:szCs w:val="24"/>
          <w:lang w:eastAsia="ru-RU"/>
        </w:rPr>
        <w:t xml:space="preserve"> Функции секретаря Комиссии осуществляет один из членов Комиссии, назначенный председателем. Секретарь Комиссии осуществляет организационно-техническую работу по подготовке и проведению заседаний,                    а также по оформлению протоколов заседаний Комиссии. В случае отсутствия председателя Комиссии общее руководство работой Комиссии выполняет один из членов Комиссии, назначенный председателем на время его отсутствия.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</w:rPr>
        <w:t xml:space="preserve">В своей деятельности Комиссия руководствуется следующими нормативными актами Российской Федерации: 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</w:rPr>
        <w:t>- Федеральный закон РФ от 06.12.2011г. № 402-ФЗ «О бухгалтерском учете»;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</w:rPr>
        <w:t xml:space="preserve">- Общероссийский классификатор основных фондов </w:t>
      </w:r>
      <w:r>
        <w:rPr>
          <w:szCs w:val="24"/>
          <w:lang w:eastAsia="ru-RU"/>
        </w:rPr>
        <w:t>ОК 013-2014 (СНС 2008)</w:t>
      </w:r>
      <w:r>
        <w:rPr>
          <w:szCs w:val="24"/>
        </w:rPr>
        <w:t xml:space="preserve">, утвержденный приказом </w:t>
      </w:r>
      <w:proofErr w:type="spellStart"/>
      <w:r>
        <w:rPr>
          <w:szCs w:val="24"/>
        </w:rPr>
        <w:t>Росстандарта</w:t>
      </w:r>
      <w:proofErr w:type="spellEnd"/>
      <w:r>
        <w:rPr>
          <w:szCs w:val="24"/>
        </w:rPr>
        <w:t xml:space="preserve"> РФ от 12.12.2014 № 2018-ст (далее – ОКОФ);</w:t>
      </w:r>
    </w:p>
    <w:p>
      <w:pPr>
        <w:spacing w:after="0" w:line="240" w:lineRule="auto"/>
        <w:ind w:left="6" w:firstLine="709"/>
        <w:jc w:val="both"/>
        <w:rPr>
          <w:szCs w:val="24"/>
          <w:lang w:eastAsia="ru-RU"/>
        </w:rPr>
      </w:pPr>
      <w:r>
        <w:rPr>
          <w:szCs w:val="24"/>
        </w:rPr>
        <w:t>- Приказ Минфина РФ от 31.03.2015 № 52н «</w:t>
      </w:r>
      <w:r>
        <w:rPr>
          <w:szCs w:val="24"/>
          <w:lang w:eastAsia="ru-RU"/>
        </w:rPr>
        <w:t>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Управлениями, и Методических указаний по их применению»;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- </w:t>
      </w:r>
      <w:r>
        <w:rPr>
          <w:rFonts w:cs="Times New Roman"/>
          <w:szCs w:val="24"/>
        </w:rPr>
        <w:t>Приказ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применению»;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  <w:lang w:eastAsia="ru-RU"/>
        </w:rPr>
        <w:t>- </w:t>
      </w:r>
      <w:r>
        <w:rPr>
          <w:szCs w:val="24"/>
        </w:rPr>
        <w:t>Приказ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сектора»;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</w:rPr>
        <w:t xml:space="preserve">- Приказ Минфина РФ от 31.12.2016 № 257н «Об утверждении федерального стандарта бухгалтерского учета для организаций государственного сектора «Основные средства», 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</w:rPr>
        <w:lastRenderedPageBreak/>
        <w:t>- Приказ Минфина РФ от 31.12.2016 № 258н «Об утверждении федерального стандарта бухгалтерского учета для организаций государственного сектора «Аренда»;</w:t>
      </w:r>
    </w:p>
    <w:p>
      <w:pPr>
        <w:spacing w:after="0" w:line="240" w:lineRule="auto"/>
        <w:ind w:left="6" w:firstLine="709"/>
        <w:jc w:val="both"/>
        <w:rPr>
          <w:szCs w:val="24"/>
        </w:rPr>
      </w:pPr>
      <w:r>
        <w:rPr>
          <w:szCs w:val="24"/>
        </w:rPr>
        <w:t>- Приказ Минфина РФ от 31.12.2016 № 259н «Об утверждении федерального стандарта бухгалтерского учета для организаций государственного сектора «Обесценение активов»                  и иными документами;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27.02.2018 № 32н «Об утверждении федерального стандарта бухгалтерского учета для организаций государственного сектора «Доходы»;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07.12.2018 № 256н «Об утверждении федерального стандарта бухгалтерского учета для организаций государственного сектора «Запасы»;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29.06.2018 № 145н «Об утверждении федерального стандарта бухгалтерского учета для организаций государственного сектора «Долгосрочные договора»;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30.05.2018 № 124н «Об утверждении федерального стандарта бухгалтерского учета для организаций государственного сектора «Резервы. Раскрытие информации об условных обязательствах и условных активах»;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28.02.2018 № 37 «Об утверждении федерального стандарта бухгалтерского учета для организаций государственного сектора «Бюджетная информация в бухгалтерской (финансовой) отчетности»;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28.02.2018 № 34н «Об утверждении федерального стандарта бухгалтерского учета для организаций государственного сектора «Непроизведенные активы»;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15.11.2019 № 181н «Об утверждении федерального стандарта бухгалтерского учета для организаций государственного сектора «Нематериальные активы»;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- Приказ Минфина РФ от 30.06.2020 № 129н Об утверждении федерального стандарта бухгалтерского учета для организаций государственного сектора «Финансовые инструменты».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1.3 Срок рассмотрения Комиссией представленных ей документов не должен превышать 10 рабочих дней.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1.4 Заседания комиссии проводятся по мере необходимости.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Заседание комиссии правомочно при наличии на ее заседании не менее двух третей                    ее состава.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1.5 Результаты решения Комиссии оформляются протоколом заседания комиссии.</w:t>
      </w:r>
      <w:r>
        <w:rPr>
          <w:color w:val="333333"/>
          <w:szCs w:val="24"/>
        </w:rPr>
        <w:t xml:space="preserve"> </w:t>
      </w:r>
      <w:r>
        <w:rPr>
          <w:szCs w:val="24"/>
        </w:rPr>
        <w:t>Протокол подписывают председатель и члены комиссии, присутствовавшие на заседании. Также Комиссия оформляет соответствующие акты о поступлении и выбытии нефинансовых активов. 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1.6 При отсутствии работников Управления, обладающих специальными знаниями, для участия в заседаниях комиссии могут приглашаться эксперты. Экспертом не может быть ответственное лицо Управления, на которое возложена ответственность за материальные ценности, в отношении которых принимается решение о списании.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rFonts w:eastAsia="Times-Roman"/>
          <w:szCs w:val="24"/>
        </w:rPr>
        <w:t>Если договором, заключенным с экспертом, участвующим в работе комиссии, предусмотрено, что эксперт оказывает услуги на возмездной основе, то оплата труда эксперта осуществляется за счёт средств от приносящей доход деятельности.</w:t>
      </w:r>
      <w:r>
        <w:rPr>
          <w:szCs w:val="24"/>
        </w:rPr>
        <w:t> Эксперт несёт ответственность за объективность оценки.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Для выполнения своих обязанностей комиссия имеет право привлекать любого сотрудника Управления, обладающего специальными знаниями в обсуждаемых вопросах.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1.7 Комиссия принимает решение в части движения имущества по поступлению и выбытию основных средств, нематериальных активов Управления.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1.8 При поступлении объекта основных средств ответственным лицом в присутствии уполномоченного члена Комиссии на данный объект наносится инвентарный номер краской или иным способом, обеспечивающим сохранность маркировки.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1.9 Комиссия определяет отнесение дебиторской и кредиторской задолженности к краткосрочной, долгосрочной, сомнительной, безнадежной.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1.10 Оформленные в установленном порядке документы Комиссия передаёт в соответствии с Графиком документооборота в отдел по бюджетному учёту и отчётности (далее – Отдел).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1.11 </w:t>
      </w:r>
      <w:r>
        <w:rPr>
          <w:szCs w:val="24"/>
          <w:lang w:eastAsia="ru-RU"/>
        </w:rPr>
        <w:t xml:space="preserve">Протоколы Комиссии хранятся в соответствии с </w:t>
      </w:r>
      <w:hyperlink r:id="rId5" w:anchor="/document/99/901912288/" w:history="1">
        <w:r>
          <w:rPr>
            <w:szCs w:val="24"/>
            <w:lang w:eastAsia="ru-RU"/>
          </w:rPr>
          <w:t>Законом от 22.10.2004 № 125-ФЗ «Об архивном деле в Российской Федерации»</w:t>
        </w:r>
      </w:hyperlink>
      <w:r>
        <w:rPr>
          <w:szCs w:val="24"/>
          <w:lang w:eastAsia="ru-RU"/>
        </w:rPr>
        <w:t>.</w:t>
      </w:r>
    </w:p>
    <w:p>
      <w:pPr>
        <w:autoSpaceDE w:val="0"/>
        <w:autoSpaceDN w:val="0"/>
        <w:adjustRightInd w:val="0"/>
        <w:spacing w:after="0" w:line="233" w:lineRule="auto"/>
        <w:jc w:val="center"/>
        <w:rPr>
          <w:szCs w:val="24"/>
        </w:rPr>
      </w:pPr>
    </w:p>
    <w:p>
      <w:pPr>
        <w:autoSpaceDE w:val="0"/>
        <w:autoSpaceDN w:val="0"/>
        <w:adjustRightInd w:val="0"/>
        <w:spacing w:after="0" w:line="233" w:lineRule="auto"/>
        <w:jc w:val="center"/>
        <w:rPr>
          <w:b/>
          <w:szCs w:val="24"/>
        </w:rPr>
      </w:pPr>
    </w:p>
    <w:p>
      <w:pPr>
        <w:autoSpaceDE w:val="0"/>
        <w:autoSpaceDN w:val="0"/>
        <w:adjustRightInd w:val="0"/>
        <w:spacing w:after="0" w:line="233" w:lineRule="auto"/>
        <w:jc w:val="center"/>
        <w:rPr>
          <w:b/>
          <w:szCs w:val="24"/>
        </w:rPr>
      </w:pPr>
      <w:r>
        <w:rPr>
          <w:b/>
          <w:szCs w:val="24"/>
        </w:rPr>
        <w:t>2. Основные задачи и полномочия комиссии</w:t>
      </w:r>
    </w:p>
    <w:p>
      <w:pPr>
        <w:autoSpaceDE w:val="0"/>
        <w:autoSpaceDN w:val="0"/>
        <w:adjustRightInd w:val="0"/>
        <w:spacing w:after="0" w:line="233" w:lineRule="auto"/>
        <w:jc w:val="center"/>
        <w:rPr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2.1 Целью работы Комиссии является принятие коллегиальных решений по подготовке                 и принятию решения о поступлении, выбытии, внутреннем перемещении движимого                               и недвижимого имущества, находящегося у Управления на праве оперативного управления, списанию материальных запасов, дебиторской и кредиторской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2.2 К полномочиям Комиссии относится принятие решений: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– об определении имущества в качестве актива, приносящем экономические выгоды                       и имеющий полезный потенциал и об отнесении объектов, не соответствующих критериям актива на </w:t>
      </w:r>
      <w:proofErr w:type="spellStart"/>
      <w:r>
        <w:rPr>
          <w:rFonts w:cs="Times New Roman"/>
          <w:szCs w:val="24"/>
        </w:rPr>
        <w:t>забалансовый</w:t>
      </w:r>
      <w:proofErr w:type="spellEnd"/>
      <w:r>
        <w:rPr>
          <w:rFonts w:cs="Times New Roman"/>
          <w:szCs w:val="24"/>
        </w:rPr>
        <w:t xml:space="preserve"> счёт 02;</w:t>
      </w:r>
    </w:p>
    <w:p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pacing w:val="-4"/>
          <w:szCs w:val="24"/>
        </w:rPr>
        <w:t xml:space="preserve">  – об </w:t>
      </w:r>
      <w:r>
        <w:rPr>
          <w:szCs w:val="24"/>
          <w:lang w:eastAsia="ru-RU"/>
        </w:rPr>
        <w:t>установлении правил объединения объектов с несущественной стоимостью в единый комплекс;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о сроке полезного использования поступающих в учреждение основных средств нематериальных активов, прав пользования нематериальными активами (</w:t>
      </w:r>
      <w:proofErr w:type="spellStart"/>
      <w:r>
        <w:fldChar w:fldCharType="begin"/>
      </w:r>
      <w:r>
        <w:instrText>HYPERLINK "http://dokipedia.ru/document/5299259?pid=234"</w:instrText>
      </w:r>
      <w:r>
        <w:fldChar w:fldCharType="separate"/>
      </w:r>
      <w:r>
        <w:rPr>
          <w:rStyle w:val="a6"/>
          <w:color w:val="auto"/>
          <w:szCs w:val="24"/>
        </w:rPr>
        <w:t>пп</w:t>
      </w:r>
      <w:proofErr w:type="spellEnd"/>
      <w:r>
        <w:rPr>
          <w:rStyle w:val="a6"/>
          <w:color w:val="auto"/>
          <w:szCs w:val="24"/>
        </w:rPr>
        <w:t>. 44</w:t>
      </w:r>
      <w:r>
        <w:fldChar w:fldCharType="end"/>
      </w:r>
      <w:r>
        <w:rPr>
          <w:szCs w:val="24"/>
        </w:rPr>
        <w:t xml:space="preserve">, </w:t>
      </w:r>
      <w:hyperlink r:id="rId6" w:history="1">
        <w:r>
          <w:rPr>
            <w:rStyle w:val="a6"/>
            <w:color w:val="auto"/>
            <w:szCs w:val="24"/>
          </w:rPr>
          <w:t>60</w:t>
        </w:r>
      </w:hyperlink>
      <w:r>
        <w:rPr>
          <w:szCs w:val="24"/>
        </w:rPr>
        <w:t>, 61 Единого плана счетов);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– об определении группы аналитического учёта, кодов по </w:t>
      </w:r>
      <w:hyperlink r:id="rId7" w:history="1">
        <w:r>
          <w:rPr>
            <w:szCs w:val="24"/>
          </w:rPr>
          <w:t>ОКОФ</w:t>
        </w:r>
      </w:hyperlink>
      <w:r>
        <w:rPr>
          <w:szCs w:val="24"/>
        </w:rPr>
        <w:t xml:space="preserve"> основных средств. В случае отсутствия позиций в кодах ОКОФ для объектов учета, ранее включаемых в группы материальных ценностей, по своим критериям являющихся основными средствами, комиссия субъекта учета может принимать самостоятельное решение по отнесению указанных объектов к соответствующей группе кодов ОКОФ и определению их сроков полезного использования (в соответствии с письмом Минфина России от 27.12.2016 № 02-07-08/78243);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– о первоначальной (фактической) стоимости принимаемых к учёту основных средств;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</w:rPr>
        <w:t xml:space="preserve">  – об определении справедливой стоимости объектов нефинансовых активов, выявленных при инвентаризации в виде излишков, оприходованных в результате разборки, демонтажа, разукомплектования основных средств (Форма № 3), а также полученных безвозмездно от юридических и физических лиц, </w:t>
      </w:r>
      <w:r>
        <w:rPr>
          <w:szCs w:val="24"/>
          <w:lang w:eastAsia="ru-RU"/>
        </w:rPr>
        <w:t>в том числе по договору дарения;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о проведении реклассификации объектов основных средств, нематериальных активов;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– о целесообразности (пригодности) дальнейшего использования основных средств и нематериальных активов, возможности и эффективности их восстановления;  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– о первоначальной (фактической) стоимости принимаемых к учёту основных средств, нематериальных активов с оформлением первичных учётных документов, в том числе объектов движимого имущества стоимость до 10 000 рублей включительно, учитываемых на забалансовом счёте 21;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 xml:space="preserve">  – осуществлять ежегодный пересмотр </w:t>
      </w:r>
      <w:r>
        <w:rPr>
          <w:szCs w:val="24"/>
          <w:lang w:eastAsia="ru-RU"/>
        </w:rPr>
        <w:t xml:space="preserve">срока полезного использования объектов нематериальных активов в ходе годовой инвентаризации. Комиссия принимает решение о переводе актива с неопределенным сроком использования в подгруппу объектов с определенным сроком; 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  <w:lang w:eastAsia="ru-RU"/>
        </w:rPr>
      </w:pPr>
      <w:r>
        <w:rPr>
          <w:szCs w:val="24"/>
        </w:rPr>
        <w:t xml:space="preserve">  – </w:t>
      </w:r>
      <w:r>
        <w:rPr>
          <w:szCs w:val="24"/>
          <w:lang w:eastAsia="ru-RU"/>
        </w:rPr>
        <w:t>о признании объектов нефинансовых активов готовыми к использованию и определении суммы затрат, признаваемых в учёте в качестве первоначальной стоимости;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 о списании (выбытии) основных средств, нематериальных активов в установленном порядке, в том числе объектов движимого имущества стоимостью до 10 000 руб. включительно, учитываемых на забалансовом учете;</w:t>
      </w:r>
    </w:p>
    <w:p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 </w:t>
      </w:r>
      <w:r>
        <w:rPr>
          <w:szCs w:val="24"/>
          <w:lang w:eastAsia="ru-RU"/>
        </w:rPr>
        <w:t xml:space="preserve">изъятие и передача ответственному лицу из списываемых основных средств пригодных узлов, деталей, конструкций и материалов и постановка их на учет и </w:t>
      </w:r>
      <w:r>
        <w:rPr>
          <w:szCs w:val="24"/>
        </w:rPr>
        <w:t>возможность их использования и об определении их справедливой стоимости;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 о списании (выбытии) материальных запасов, за исключением выбытия в результате их потребления на нужды Управления, с оформлением соответствующих первичных учетных документов;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 о сдаче вторичного сырья в организации приема вторичного сырья;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 об определении признаков обесценения;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 о получении от специализированной организации по утилизации имущества акта приема-сдачи имущества, подлежащего уничтожению, акта об оказанных услугах по уничтожению имущества, акта об уничтожении;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 –</w:t>
      </w:r>
      <w:r>
        <w:t> </w:t>
      </w:r>
      <w:r>
        <w:rPr>
          <w:szCs w:val="24"/>
        </w:rPr>
        <w:t>об определении задолженности по недостаче нефинансовых активов восстановительная стоимость нефинансовых активов определяется комиссией на день обнаружения ущерба;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szCs w:val="24"/>
        </w:rPr>
        <w:t xml:space="preserve">  –</w:t>
      </w:r>
      <w:r>
        <w:t> </w:t>
      </w:r>
      <w:r>
        <w:rPr>
          <w:szCs w:val="24"/>
          <w:lang w:eastAsia="ru-RU"/>
        </w:rPr>
        <w:t>осуществление сверок с дебиторами с целью принятия решения о списании дебиторской задолженности;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</w:t>
      </w:r>
      <w:r>
        <w:rPr>
          <w:szCs w:val="24"/>
        </w:rPr>
        <w:t>–</w:t>
      </w:r>
      <w:r>
        <w:t> </w:t>
      </w:r>
      <w:r>
        <w:rPr>
          <w:szCs w:val="24"/>
          <w:lang w:eastAsia="ru-RU"/>
        </w:rPr>
        <w:t>принятии решения о создании резерва по сомнительным долгам;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  <w:lang w:eastAsia="ru-RU"/>
        </w:rPr>
        <w:t xml:space="preserve"> </w:t>
      </w:r>
      <w:r>
        <w:rPr>
          <w:szCs w:val="24"/>
        </w:rPr>
        <w:t xml:space="preserve"> – </w:t>
      </w:r>
      <w:r>
        <w:rPr>
          <w:szCs w:val="24"/>
          <w:lang w:eastAsia="ru-RU"/>
        </w:rPr>
        <w:t xml:space="preserve">принятие </w:t>
      </w:r>
      <w:r>
        <w:rPr>
          <w:szCs w:val="24"/>
        </w:rPr>
        <w:t>решения о списании дебиторской задолженности с балансового учета учреждения, в том числе при условии несоответствия задолженности критериям признания ее активом. Решение Комиссии о списании с балансового учета учреждения задолженности неплатежеспособных дебиторов принимается с учетом: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сведений, выявленных в ходе проведения инвентаризации, в отношении дебиторской задолженности, обладающей признаками нереальной к взысканию;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 документов, подтверждающих наличие рисков невозможности взыскания дебиторской задолженности.</w:t>
      </w:r>
    </w:p>
    <w:p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</w:t>
      </w:r>
      <w:r>
        <w:rPr>
          <w:szCs w:val="24"/>
        </w:rPr>
        <w:t xml:space="preserve">– </w:t>
      </w:r>
      <w:r>
        <w:rPr>
          <w:szCs w:val="24"/>
          <w:lang w:eastAsia="ru-RU"/>
        </w:rPr>
        <w:t>признание дебиторской задолженности, подлежащей списанию с забалансового учета, при завершении срока возможного возобновления процедуры взыскания;</w:t>
      </w:r>
    </w:p>
    <w:p>
      <w:pPr>
        <w:tabs>
          <w:tab w:val="left" w:pos="115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</w:t>
      </w:r>
      <w:r>
        <w:rPr>
          <w:szCs w:val="24"/>
        </w:rPr>
        <w:t>–</w:t>
      </w:r>
      <w:r>
        <w:rPr>
          <w:szCs w:val="24"/>
          <w:lang w:eastAsia="ru-RU"/>
        </w:rPr>
        <w:t xml:space="preserve"> участие в передаче материальных ценностей при смене материально- ответственных лиц.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Финансовые обязательства списывают в следующих случаях: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</w:t>
      </w:r>
      <w:r>
        <w:rPr>
          <w:szCs w:val="24"/>
        </w:rPr>
        <w:t>–</w:t>
      </w:r>
      <w:r>
        <w:rPr>
          <w:szCs w:val="24"/>
          <w:lang w:eastAsia="ru-RU"/>
        </w:rPr>
        <w:t xml:space="preserve"> они исполнены или прощены;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</w:t>
      </w:r>
      <w:r>
        <w:rPr>
          <w:szCs w:val="24"/>
        </w:rPr>
        <w:t>– </w:t>
      </w:r>
      <w:r>
        <w:rPr>
          <w:szCs w:val="24"/>
          <w:lang w:eastAsia="ru-RU"/>
        </w:rPr>
        <w:t>окончен срок исполнения обязательства;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</w:t>
      </w:r>
      <w:r>
        <w:rPr>
          <w:szCs w:val="24"/>
        </w:rPr>
        <w:t xml:space="preserve"> –</w:t>
      </w:r>
      <w:r>
        <w:t> </w:t>
      </w:r>
      <w:r>
        <w:rPr>
          <w:szCs w:val="24"/>
          <w:lang w:eastAsia="ru-RU"/>
        </w:rPr>
        <w:t>обязательства переданы другой организации бюджетной сферы в рамках правопреемства;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</w:t>
      </w:r>
      <w:r>
        <w:rPr>
          <w:szCs w:val="24"/>
        </w:rPr>
        <w:t xml:space="preserve"> –</w:t>
      </w:r>
      <w:r>
        <w:t> </w:t>
      </w:r>
      <w:r>
        <w:rPr>
          <w:szCs w:val="24"/>
          <w:lang w:eastAsia="ru-RU"/>
        </w:rPr>
        <w:t>есть другие основания для прекращения обязательства, установленные законом.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Основными методами определения справедливой стоимости являются следующие: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а) метод рыночных цен;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б) метод амортизированной стоимости замещения.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Для определения справедливой стоимости соответствующего вида актива или обязательства используется метод, который наиболее применим и позволяет достоверно оценить справедливую стоимость соответствующего объекта бухгалтерского учёта, либо метод, предусмотренный для соответствующего объекта бухгалтерского учёта, нормативными правовыми актами, регулирующими ведение бухгалтерского учёта и составление </w:t>
      </w:r>
      <w:proofErr w:type="gramStart"/>
      <w:r>
        <w:rPr>
          <w:szCs w:val="24"/>
        </w:rPr>
        <w:t>бухгалтерской  отчётности</w:t>
      </w:r>
      <w:proofErr w:type="gramEnd"/>
      <w:r>
        <w:rPr>
          <w:szCs w:val="24"/>
        </w:rPr>
        <w:t xml:space="preserve">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При использовании метода рыночных цен справедливая стоимость актива (обязательства) определяется на основании текущих рыночных цен или данных о недавних сделках                               с аналогичными или схожими активами (обязательствами), совершенных без отсрочки платежа (п. 55 СГС «Концептуальные основы»).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При определении справедливой стоимости актива по методу амортизированной стоимости замещения последняя определяется как разница между стоимостью восстановления (воспроизводства) актива или стоимостью замены актива, в зависимости от того, какая из этих величин меньше, и суммой накопленной амортизации, рассчитанной на основе такой стоимости.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Стоимость восстановления (воспроизводства) актива определяется как стоимость полного восстановления (воспроизводства) полезного потенциала актива.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Стоимость замены актива рассчитывается на основе рыночной цены покупки аналогичного актива с сопоставимым оставшимся сроком его полезного использования (п.56 СГС «Концептуальные основы».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2.3 Комиссия по поступлению и выбытию активов определяет срок полезного использования материальных запасов, которые находятся в эксплуатации более 12 месяцев (п.10 СГС «Запасы»). При определении сроков полезного использования, Комиссия вправе использовать рекомендации производителей, данные по гарантийному сроку, справочник ОКОФ, данные ГОСТов. 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  <w:lang w:eastAsia="ru-RU"/>
        </w:rPr>
      </w:pPr>
      <w:r>
        <w:rPr>
          <w:szCs w:val="24"/>
          <w:lang w:eastAsia="ru-RU"/>
        </w:rPr>
        <w:t>2.4 Комиссия определяет характер дебиторской задолженности: просроченная, сомнительная или безнадежная.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3. Принятие решений по поступлению активов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cs="Times New Roman"/>
          <w:b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rFonts w:cs="Times New Roman"/>
          <w:szCs w:val="24"/>
        </w:rPr>
        <w:t xml:space="preserve">   3.1 </w:t>
      </w:r>
      <w:r>
        <w:rPr>
          <w:szCs w:val="24"/>
        </w:rPr>
        <w:t>Решение Комиссии об отнесении объекта имущества к основным средствам, нематериальным активам, материальным запасам осуществляется на основании Единого плана счётов, приказа Управления об учётной политике, иных нормативных правовых актов.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3.2 Решение Комиссии о сроке их полезного использования, об отнесении                                                    к соответствующей группе аналитического учёта и определении амортизационной группы принимается на основании: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 – информации, содержащейся в законодательстве РФ, устанавливающем сроки полезного использования имущества в целях начисления амортизации. По объектам основных средств, включенным согласно Постановлению Правительства РФ от 01.01.2002 № 1 в амортизационные группы с </w:t>
      </w:r>
      <w:hyperlink r:id="rId8" w:history="1">
        <w:r>
          <w:rPr>
            <w:szCs w:val="24"/>
          </w:rPr>
          <w:t>первой</w:t>
        </w:r>
      </w:hyperlink>
      <w:r>
        <w:rPr>
          <w:szCs w:val="24"/>
        </w:rPr>
        <w:t xml:space="preserve"> по </w:t>
      </w:r>
      <w:hyperlink r:id="rId9" w:history="1">
        <w:r>
          <w:rPr>
            <w:szCs w:val="24"/>
          </w:rPr>
          <w:t>девятую</w:t>
        </w:r>
      </w:hyperlink>
      <w:r>
        <w:rPr>
          <w:szCs w:val="24"/>
        </w:rPr>
        <w:t xml:space="preserve">, срок полезного использования определяется по наибольшему сроку, установленному для указанных амортизационных групп; в </w:t>
      </w:r>
      <w:hyperlink r:id="rId10" w:history="1">
        <w:r>
          <w:rPr>
            <w:szCs w:val="24"/>
          </w:rPr>
          <w:t>десятую амортизационную группу</w:t>
        </w:r>
      </w:hyperlink>
      <w:r>
        <w:rPr>
          <w:szCs w:val="24"/>
        </w:rPr>
        <w:t xml:space="preserve"> – срок полезного использования рассчитывается исходя из Единых </w:t>
      </w:r>
      <w:hyperlink r:id="rId11" w:history="1">
        <w:r>
          <w:rPr>
            <w:szCs w:val="24"/>
          </w:rPr>
          <w:t>норм</w:t>
        </w:r>
      </w:hyperlink>
      <w:r>
        <w:rPr>
          <w:szCs w:val="24"/>
        </w:rPr>
        <w:t xml:space="preserve"> амортизационных отчислений на полное восстановление основных фондов народного хозяйства СССР, утвержденных Постановлением Совета Министров СССР от 22.10.1990 № 1072.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– рекомендаций, содержащихся в документах производителя, при отсутствии информации в нормативных правовых актах на основании решения Комиссии Управления по поступлению и выбытию активов, принятого с учётом: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– ожидаемой производительности или мощности, ожидаемого физического износа, зависящих от режима эксплуатации, естественных условий и влияния агрессивной среды, системы проведения ремонта, гарантийного и договорного срока использования и других ограничений использования;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– данных предыдущих балансодержателей (пользователей) основных средств                                  и нематериальных активов о сроке их фактической эксплуатации и степени износа – при поступлении объектов, бывших в эксплуатации (указанных в актах приема-передачи);</w:t>
      </w:r>
    </w:p>
    <w:p>
      <w:pPr>
        <w:pStyle w:val="ConsPlusNormal"/>
        <w:ind w:firstLine="709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 – информации о сроках действия патентов, свидетельств и других ограничений сроков использования объектов интеллектуальной собственности согласно законодательству РФ, об ожидаемом сроке их использования при определении срока полезного использования нематериальных активов; </w:t>
      </w:r>
      <w:r>
        <w:rPr>
          <w:iCs/>
          <w:sz w:val="24"/>
          <w:szCs w:val="24"/>
        </w:rPr>
        <w:t>равным 10 годам (но не более срока деятельности Управления) в отношении нематериальных активов, по которым невозможно определить срок полезного использования.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Срок полезного использования основных средств может быть пересмотрен после достройки, дооборудования, реконструкции или модернизации.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В случае если согласно классификатору ОКОФ материальные ценности отнесены к основным фондам, но в целях учета указанные ценности относятся к материальным запасам (несмотря на то, что срок полезного использования данных объектов более 12 месяцев), такие объекты принимаются в составе материальных запасов.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3.3 Решение Комиссии о первоначальной (фактической) стоимости поступающих в Управление на праве оперативного управления основных средств и нематериальных активов принимается на основании следующих документов: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– сопроводительной и технической документации (муниципальных контрактов, договоров, накладных поставщика, счётов-фактур, актов о приемке выполненных работ (услуг), паспортов, гарантийных талонов и т.п.), которая представляется материально ответственным лицом в копиях либо, по требованию Комиссии, в подлинниках (</w:t>
      </w:r>
      <w:proofErr w:type="spellStart"/>
      <w:r>
        <w:rPr>
          <w:szCs w:val="24"/>
        </w:rPr>
        <w:t>пп</w:t>
      </w:r>
      <w:proofErr w:type="spellEnd"/>
      <w:r>
        <w:rPr>
          <w:szCs w:val="24"/>
        </w:rPr>
        <w:t>. 23, 47, 62, 72, 102, 103 Единого плана счетов);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– документов, представленных предыдущим балансодержателем (по безвозмездно полученным основным средствам и нематериальным активам);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– отчетов об оценке независимых оценщиков (по основным средствам и нематериальным активам, принимаемым в соответствии с Единым планом счётов, по текущей оценочной стоимости на дату принятия к учёту);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   – данных о ценах на аналогичные материальные ценности, полученных в письменной форме от организаций-изготовителей; сведений об уровне цен, имеющихся у органов государственной статистики, торговых инспекций, а также в средствах массовой информации                 и специальной литературе, экспертных заключениях (в том числе экспертов, привлеченных на добровольных началах к работе в Комиссии).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Первоначальной стоимостью нефинансовых активов, поступивших по договорам дарения, пожертвования, признается их справедливая стоимость на дату принятия к бюджетному учёту.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3.4 По решению Комиссии затраты могут быть признаны непосредственно связанными с приобретением, сооружением или изготовлением (созданием) объектов нефинансовых активов с целью их включения в первоначальную (фактическую) стоимость этих активов. Положения данного пункта применяются в отношении тех затрат, включение которых в первоначальную (фактическую) стоимость объектов нефинансовых активов прямо не предусмотрено п. 23 Единого плана счетов, п.п. 15, 16 СГС «Основные средства».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3.5 Первоначальной стоимостью нефинансовых активов, оприходованных в виде выявленных при инвентаризации излишков, признается их справедливая стоимость на дату принятия к бюджетному учёту.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Размер ущерба от недостач, хищений, подлежащих возмещению виновными лицами, определяется как справедливая стоимость имущества на день обнаружения ущерба.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Справедливая стоимость имущества определяется комиссией по поступлению и выбытию активов методом рыночных цен, а при невозможности его использовать - методом амортизированной стоимости замещения.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Размер ущерба в виде потерь от порчи материальных ценностей, других сумм причиненного ущерба имуществу Управления определяется как стоимость восстановления (воспроизводства) испорченного имущества.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3.6 При выявлении объектов нефинансовых активов ненадлежащего качества при их приемке Комиссии оформляет: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 Акт о поставке товаров ненадлежащего качества (для объектов основных средств);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Акт о приемке материалов (ф. 0315004) (при поступлении материальных запасов).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3.7 Решение Комиссии о признании имущества, не имеющего полезного потенциала и не приносящего экономические выгоды, осуществляется в случае, если: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имущество не пригодно к дальнейшему использованию по назначению вследствие полной или частичной утраты потребительских свойств, в том числе физического или морального износа;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имущество выбыло из владения, пользования и распоряжения вследствие гибели или уничтожения, в том числе помимо воли владельца, а также вследствие невозможности установления его местонахождения;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 при передаче в соответствии с договором аренды (имущественного найма) либо договором безвозмездного пользования, в случае возникновения у получателя такого имущества объекта бухгалтерского учета в составе основных средств;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при передаче другой организации государственного сектора;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при передаче в результате продажи (дарении);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– по иным основаниям, предусматривающим в соответствии с законодательством Российской Федерации прекращение права оперативного управления имуществом (права владения и (или) пользования имуществом, полученным по договору аренды (имущественного найма) либо договору безвозмездного пользования) (п. 45 СГС «Основные средства»).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Решение Комиссии о принятии к учету основных средств и нематериальных активов при их приобретении (изготовлении), по которым сформирована первоначальная (фактическая) стоимость, принимается на основании оформленных первичных учетных документов, составленных по унифицированным формам. Комиссия оформляет Акт ввода объекта в эксплуатацию (Акт сборки, Акт комплектования), Акт о приеме – передаче объектов нефинансовых активов </w:t>
      </w:r>
      <w:r>
        <w:rPr>
          <w:strike/>
          <w:szCs w:val="24"/>
          <w:highlight w:val="yellow"/>
        </w:rPr>
        <w:t>(ф. 0504101)</w:t>
      </w:r>
      <w:r>
        <w:rPr>
          <w:szCs w:val="24"/>
        </w:rPr>
        <w:t xml:space="preserve"> (ф. 0510448) в соответствии с требованиями учетной политики, Приходный ордер на поставку материальных ценностей (нефинансовых активов) (ф. 0504207).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В случае достройки, реконструкции, модернизации объектов основных средств производится увеличение их первоначальной стоимости на сумму сформированных капитальных вложений в эти объекты.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Прием объектов основных средств из ремонта, реконструкции, модернизации комиссией, частичная ликвидация объекта основных средств при выполнении работ по его реконструкции оформляются </w:t>
      </w:r>
      <w:r>
        <w:rPr>
          <w:rFonts w:cs="Times New Roman"/>
          <w:strike/>
          <w:szCs w:val="24"/>
          <w:highlight w:val="yellow"/>
        </w:rPr>
        <w:t xml:space="preserve">Актом приема-сдачи отремонтированных, реконструированных                                          и модернизированных объектов основных средств </w:t>
      </w:r>
      <w:hyperlink r:id="rId12" w:history="1">
        <w:r>
          <w:rPr>
            <w:rFonts w:cs="Times New Roman"/>
            <w:strike/>
            <w:szCs w:val="24"/>
            <w:highlight w:val="yellow"/>
          </w:rPr>
          <w:t>(ф. 0504103)</w:t>
        </w:r>
      </w:hyperlink>
      <w:r>
        <w:rPr>
          <w:rFonts w:cs="Times New Roman"/>
          <w:strike/>
          <w:szCs w:val="24"/>
        </w:rPr>
        <w:t xml:space="preserve">  </w:t>
      </w:r>
      <w:r>
        <w:rPr>
          <w:szCs w:val="24"/>
        </w:rPr>
        <w:t>Актом о приеме – передаче объектов нефинансовых активов (ф. 0510448)</w:t>
      </w:r>
      <w:r>
        <w:rPr>
          <w:rFonts w:cs="Times New Roman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trike/>
          <w:szCs w:val="24"/>
        </w:rPr>
      </w:pPr>
      <w:r>
        <w:rPr>
          <w:rFonts w:cs="Times New Roman"/>
          <w:strike/>
          <w:szCs w:val="24"/>
          <w:highlight w:val="yellow"/>
        </w:rPr>
        <w:t xml:space="preserve">Частичная ликвидация объекта основных средств при выполнении работ по его реконструкции оформляется Актом приема-сдачи отремонтированных, реконструированных и модернизированных объектов основных средств </w:t>
      </w:r>
      <w:hyperlink r:id="rId13" w:history="1">
        <w:r>
          <w:rPr>
            <w:rFonts w:cs="Times New Roman"/>
            <w:strike/>
            <w:szCs w:val="24"/>
            <w:highlight w:val="yellow"/>
          </w:rPr>
          <w:t>(ф. 0504103)</w:t>
        </w:r>
      </w:hyperlink>
      <w:r>
        <w:rPr>
          <w:rFonts w:cs="Times New Roman"/>
          <w:strike/>
          <w:szCs w:val="24"/>
          <w:highlight w:val="yellow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3.8 Поступление нефинансовых активов комиссия оформляет следующими первичными учётными документами: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Актом о приёме-передаче объектов нефинансовых активов </w:t>
      </w:r>
      <w:r>
        <w:rPr>
          <w:strike/>
          <w:szCs w:val="24"/>
          <w:highlight w:val="yellow"/>
        </w:rPr>
        <w:t>(ф. 0504101)</w:t>
      </w:r>
      <w:r>
        <w:rPr>
          <w:szCs w:val="24"/>
        </w:rPr>
        <w:t xml:space="preserve"> (ф. 0510448)</w:t>
      </w:r>
      <w:r>
        <w:rPr>
          <w:rFonts w:cs="Times New Roman"/>
          <w:szCs w:val="24"/>
        </w:rPr>
        <w:t>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Акт сборки (установки) (Форма № 2 к порядку);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Актом приемки материалов (материальных ценностей) </w:t>
      </w:r>
      <w:hyperlink r:id="rId14" w:history="1">
        <w:r>
          <w:rPr>
            <w:rFonts w:cs="Times New Roman"/>
            <w:szCs w:val="24"/>
          </w:rPr>
          <w:t>(ф. 0504220)</w:t>
        </w:r>
      </w:hyperlink>
      <w:r>
        <w:rPr>
          <w:rFonts w:cs="Times New Roman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3.9 Если первоначально принятые нормативные показатели функционирования объекта основных средств изменяются, в том числе в результате проведенной достройки, дооборудования, реконструкции или модернизации, комиссия пересматривает срок полезного использования по этому объекту.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3.10 Присвоенный объекту инвентарный номер наносится материально ответственным лицом в присутствии уполномоченного члена комиссии в порядке, определенном учётной политикой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4. Принятие решений по выбытию (списанию) активов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и списанию задолженности неплатёжеспособных дебиторов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4.1 В части выбытия (списания) активов и задолженности комиссия принимает решения по следующим вопросам: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выбытие (списание) нефинансовых активов стоимостью до 10 000 руб. включительно, учитываемых на забалансовом счёте;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возможность использовать отдельные узлы, детали, конструкции и материалы, полученные в результате списания объектов нефинансовых активов;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частичная ликвидация (</w:t>
      </w:r>
      <w:proofErr w:type="spellStart"/>
      <w:r>
        <w:rPr>
          <w:rFonts w:cs="Times New Roman"/>
          <w:szCs w:val="24"/>
        </w:rPr>
        <w:t>разукомплектация</w:t>
      </w:r>
      <w:proofErr w:type="spellEnd"/>
      <w:r>
        <w:rPr>
          <w:rFonts w:cs="Times New Roman"/>
          <w:szCs w:val="24"/>
        </w:rPr>
        <w:t>) основных средств;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дальнейшее использование имущества, возможность и эффективность его восстановления;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списание задолженности неплатёжеспособных дебиторов, а также списание                                      с забалансового учёта задолженности, признанной безнадежной к взысканию.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4.2 Решение о выбытии имущества принимается в следующих случаях: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имущество непригодно для дальнейшего использования по целевому назначению вследствие полной или частичной утраты потребительских свойств, в том числе физического или морального износа;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имущество выбыло из владения, пользования, распоряжения вследствие гибели или уничтожения, в том числе помимо воли Управления (хищения, недостачи, порчи, выявленных при инвентаризации), а также при невозможности выяснения его местонахождения;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имущество передается другому муниципальному учреждению, органу местного самоуправления, муниципальному предприятию;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в других случаях прекращения права оперативного управления, предусмотренных законодательством РФ.</w:t>
      </w:r>
    </w:p>
    <w:p>
      <w:pPr>
        <w:spacing w:after="0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4.3 Решения о выбытии (списании) имущества принимаются только по согласованию                    с собственником на основании Заключения комиссии о состоянии объектов нефинансовых активов по Форме № 1 к настоящему порядку.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</w:t>
      </w:r>
      <w:r>
        <w:t>4 Решение</w:t>
      </w:r>
      <w:r>
        <w:rPr>
          <w:rFonts w:cs="Times New Roman"/>
          <w:szCs w:val="24"/>
        </w:rPr>
        <w:t xml:space="preserve"> о списании </w:t>
      </w:r>
      <w:r>
        <w:rPr>
          <w:szCs w:val="24"/>
        </w:rPr>
        <w:t xml:space="preserve">(выбытии) основных средств, нематериальных активов, материальных запасов </w:t>
      </w:r>
      <w:r>
        <w:rPr>
          <w:rFonts w:cs="Times New Roman"/>
          <w:szCs w:val="24"/>
        </w:rPr>
        <w:t>принимается комиссией после проведения следующих мероприятий: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осмотр подлежащего списанию имущества (при наличии такой возможности) с учётом данных, содержащихся в учётно-технической и иной документации;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> установление причин списания имущества: физический и (или) моральный износ, нарушение условий содержания и (или) эксплуатации, авария, стихийное бедствие, длительное неиспользование имущества, иные причины;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 установление виновных лиц, действия которых привели к необходимости списания </w:t>
      </w:r>
      <w:r>
        <w:rPr>
          <w:szCs w:val="24"/>
        </w:rPr>
        <w:t>имущества до истечения срока его полезного использования;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</w:rPr>
      </w:pPr>
      <w:r>
        <w:rPr>
          <w:szCs w:val="24"/>
        </w:rPr>
        <w:t>– определение возможности использования отдельных узлов, деталей, конструкций                                     и материалов, выбывающих основных средств и их оценки исходя из рыночной стоимости на дату принятия к учёту;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 подготовка документов, необходимых для согласования решения о списании имущества</w:t>
      </w:r>
      <w:r>
        <w:rPr>
          <w:rFonts w:cs="Times New Roman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  <w:lang w:eastAsia="ru-RU"/>
        </w:rPr>
      </w:pPr>
      <w:r>
        <w:rPr>
          <w:rFonts w:cs="Times New Roman"/>
          <w:szCs w:val="24"/>
        </w:rPr>
        <w:t>4.5 Решение Комиссии о списании дебиторской и кредиторской задолженности принимается после осуществления сверок с дебиторами и кредиторами и оформляется актом инвентаризации на основании Положения об инвентаризации дебиторской и кредиторской з</w:t>
      </w:r>
      <w:r>
        <w:rPr>
          <w:szCs w:val="24"/>
          <w:lang w:eastAsia="ru-RU"/>
        </w:rPr>
        <w:t>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Признание дебиторской задолженности безнадежной ко взысканию в целях ее списания с балансового учета производится в связи с истечением срока исковой давности (ст. 196 ГК РФ), прекращением (приостановлением) исполнительного производства по основаниям, предусмотренных Федеральным законом РФ от 02.10.20007 № 229-ФЗ «Об исполнительном производстве», </w:t>
      </w:r>
      <w:r>
        <w:rPr>
          <w:rFonts w:cs="Times New Roman"/>
          <w:szCs w:val="24"/>
        </w:rPr>
        <w:t xml:space="preserve">не соответствием критериям признания актива, </w:t>
      </w:r>
      <w:r>
        <w:rPr>
          <w:szCs w:val="24"/>
          <w:lang w:eastAsia="ru-RU"/>
        </w:rPr>
        <w:t>а также в соответствии                          с положениями гл.26 «Прекращение обязательств» ГК РФ.</w:t>
      </w:r>
    </w:p>
    <w:p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>Признание дебиторской задолженности, подлежащей списанию с забалансового учета, осуществляется при завершении срока возможного возобновления процедуры взыскания задолженности, согласно действующего законодательства, а также при получении документов, подтверждающих прекращение обязательств смертью (ликвидацией) дебитора.</w:t>
      </w:r>
    </w:p>
    <w:p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>Комиссия осуществляет признание кредиторской задолженности невостребованной кредиторами в целях ее списания с балансового учета и истечения срока давности за балансом в целях ее списания с забалансового счета 20.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4.6 В случае признания задолженности неплатёжеспособных дебиторов нереальной                            к взысканию комиссия принимает решение о списании такой задолженности на </w:t>
      </w:r>
      <w:proofErr w:type="spellStart"/>
      <w:r>
        <w:rPr>
          <w:rFonts w:cs="Times New Roman"/>
          <w:szCs w:val="24"/>
        </w:rPr>
        <w:t>забалансовый</w:t>
      </w:r>
      <w:proofErr w:type="spellEnd"/>
      <w:r>
        <w:rPr>
          <w:rFonts w:cs="Times New Roman"/>
          <w:szCs w:val="24"/>
        </w:rPr>
        <w:t xml:space="preserve"> учёт.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Решение о списании задолженности с забалансового счёта 04 принимается комиссией при признании задолженности безнадежной к взысканию после проверки документов, необходимых для списания задолженности неплатежеспособных дебиторов.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4.7 Выбытие (списание) нефинансовых активов оформляется следующими документами: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Актом о приёме-передаче объектов нефинансовых активов </w:t>
      </w:r>
      <w:r>
        <w:rPr>
          <w:strike/>
          <w:szCs w:val="24"/>
          <w:highlight w:val="yellow"/>
        </w:rPr>
        <w:t>(ф. 0504101)</w:t>
      </w:r>
      <w:r>
        <w:rPr>
          <w:szCs w:val="24"/>
        </w:rPr>
        <w:t xml:space="preserve"> (ф. 0510448)</w:t>
      </w:r>
      <w:r>
        <w:rPr>
          <w:rFonts w:cs="Times New Roman"/>
          <w:szCs w:val="24"/>
        </w:rPr>
        <w:t>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 Актом о списании объектов нефинансовых активов (кроме транспортных средств) </w:t>
      </w:r>
      <w:hyperlink r:id="rId15" w:history="1">
        <w:r>
          <w:rPr>
            <w:rFonts w:cs="Times New Roman"/>
            <w:strike/>
            <w:szCs w:val="24"/>
            <w:highlight w:val="yellow"/>
          </w:rPr>
          <w:t>(ф. 0504104)</w:t>
        </w:r>
      </w:hyperlink>
      <w:proofErr w:type="gramStart"/>
      <w:r>
        <w:rPr>
          <w:rFonts w:cs="Times New Roman"/>
          <w:strike/>
          <w:szCs w:val="24"/>
        </w:rPr>
        <w:t xml:space="preserve"> </w:t>
      </w:r>
      <w:r>
        <w:rPr>
          <w:rFonts w:cs="Times New Roman"/>
          <w:szCs w:val="24"/>
        </w:rPr>
        <w:t xml:space="preserve">  </w:t>
      </w:r>
      <w:hyperlink r:id="rId16" w:history="1">
        <w:r>
          <w:rPr>
            <w:rFonts w:cs="Times New Roman"/>
            <w:szCs w:val="24"/>
          </w:rPr>
          <w:t>(</w:t>
        </w:r>
        <w:proofErr w:type="gramEnd"/>
        <w:r>
          <w:rPr>
            <w:rFonts w:cs="Times New Roman"/>
            <w:szCs w:val="24"/>
          </w:rPr>
          <w:t>ф. 0510454)</w:t>
        </w:r>
      </w:hyperlink>
      <w:r>
        <w:rPr>
          <w:rFonts w:cs="Times New Roman"/>
          <w:szCs w:val="24"/>
        </w:rPr>
        <w:t xml:space="preserve">; 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4"/>
        </w:rPr>
      </w:pPr>
      <w:r>
        <w:rPr>
          <w:szCs w:val="24"/>
        </w:rPr>
        <w:t>–</w:t>
      </w:r>
      <w:r>
        <w:rPr>
          <w:rFonts w:cs="Times New Roman"/>
          <w:szCs w:val="24"/>
        </w:rPr>
        <w:t xml:space="preserve"> Актом о списании материальных запасов </w:t>
      </w:r>
      <w:hyperlink r:id="rId17" w:history="1">
        <w:r>
          <w:rPr>
            <w:rFonts w:cs="Times New Roman"/>
            <w:strike/>
            <w:szCs w:val="24"/>
            <w:highlight w:val="yellow"/>
          </w:rPr>
          <w:t>(ф. 0504230)</w:t>
        </w:r>
      </w:hyperlink>
      <w:r>
        <w:rPr>
          <w:rFonts w:cs="Times New Roman"/>
          <w:szCs w:val="24"/>
        </w:rPr>
        <w:t xml:space="preserve"> </w:t>
      </w:r>
      <w:hyperlink r:id="rId18" w:history="1">
        <w:r>
          <w:rPr>
            <w:rFonts w:cs="Times New Roman"/>
            <w:szCs w:val="24"/>
          </w:rPr>
          <w:t>(ф. 0510460)</w:t>
        </w:r>
      </w:hyperlink>
      <w:r>
        <w:rPr>
          <w:rFonts w:cs="Times New Roman"/>
          <w:szCs w:val="24"/>
        </w:rPr>
        <w:t>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4.8 Оформленный комиссией акт о списании имущества утверждается руководителем Управления только после согласования с собственником.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4.9 До утверждения в установленном порядке акта о списании реализация мероприятий, предусмотренных актом, не допускается. После утверждения акта о списании предусмотренные мероприятия Управление реализует самостоятельно, либо с привлечением третьих лиц                        на основании заключенного договора.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4.10 Решение Комиссии о списании дебиторской задолженности оформляется актом инвентаризации.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4.11 Решение Комиссии об уничтожении объектов нефинансовых активов оформляется актом.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4.12 Решение Комиссии, принятое на заседании, оформляется протоколом, который подписывают председатель и члены Комиссии.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4.13 Оформленные в установленном порядке документы Комиссия передает: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</w:t>
      </w:r>
      <w:r>
        <w:rPr>
          <w:szCs w:val="24"/>
        </w:rPr>
        <w:t>–</w:t>
      </w:r>
      <w:r>
        <w:rPr>
          <w:szCs w:val="24"/>
          <w:lang w:eastAsia="ru-RU"/>
        </w:rPr>
        <w:t xml:space="preserve"> в бухгалтерию для отражения в учёте в течение 2 рабочих дней после подписания.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  4.14 Протоколы Комиссии хранятся в соответствии с </w:t>
      </w:r>
      <w:hyperlink r:id="rId19" w:anchor="/document/99/901912288/" w:history="1">
        <w:r>
          <w:rPr>
            <w:szCs w:val="24"/>
            <w:lang w:eastAsia="ru-RU"/>
          </w:rPr>
          <w:t>Федеральным законом от 22.10.2004 № 125-ФЗ «Об архивном деле в Российской Федерации»</w:t>
        </w:r>
      </w:hyperlink>
      <w:r>
        <w:rPr>
          <w:szCs w:val="24"/>
          <w:lang w:eastAsia="ru-RU"/>
        </w:rPr>
        <w:t>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bCs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bCs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5. Заключительные положения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ab/>
        <w:t xml:space="preserve">5.1. Все изменения и дополнения к настоящему Порядку утверждаются начальником Управления.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  <w:lang w:eastAsia="ru-RU"/>
        </w:rPr>
        <w:tab/>
        <w:t>5.2.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spacing w:after="0" w:line="240" w:lineRule="auto"/>
      </w:pPr>
      <w:r>
        <w:t xml:space="preserve">                                                                                                                    </w:t>
      </w: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</w:p>
    <w:p>
      <w:pPr>
        <w:spacing w:after="0" w:line="240" w:lineRule="auto"/>
        <w:jc w:val="right"/>
      </w:pPr>
      <w:r>
        <w:t xml:space="preserve"> Форма № 1 к Порядку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      </w:t>
      </w:r>
      <w:r>
        <w:rPr>
          <w:rFonts w:cs="Times New Roman"/>
          <w:bCs/>
          <w:szCs w:val="24"/>
        </w:rPr>
        <w:tab/>
      </w:r>
      <w:r>
        <w:rPr>
          <w:rFonts w:cs="Times New Roman"/>
          <w:bCs/>
          <w:szCs w:val="24"/>
        </w:rPr>
        <w:tab/>
      </w:r>
      <w:r>
        <w:rPr>
          <w:rFonts w:cs="Times New Roman"/>
          <w:bCs/>
          <w:szCs w:val="24"/>
        </w:rPr>
        <w:tab/>
        <w:t xml:space="preserve"> о комиссии по поступлению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bCs/>
          <w:szCs w:val="24"/>
        </w:rPr>
        <w:t xml:space="preserve">                               и выбытию активов</w:t>
      </w:r>
    </w:p>
    <w:tbl>
      <w:tblPr>
        <w:tblW w:w="9900" w:type="dxa"/>
        <w:tblInd w:w="-72" w:type="dxa"/>
        <w:tblLook w:val="01E0" w:firstRow="1" w:lastRow="1" w:firstColumn="1" w:lastColumn="1" w:noHBand="0" w:noVBand="0"/>
      </w:tblPr>
      <w:tblGrid>
        <w:gridCol w:w="5760"/>
        <w:gridCol w:w="4140"/>
      </w:tblGrid>
      <w:tr>
        <w:tc>
          <w:tcPr>
            <w:tcW w:w="5760" w:type="dxa"/>
          </w:tcPr>
          <w:p>
            <w:pPr>
              <w:pStyle w:val="1"/>
              <w:rPr>
                <w:i/>
                <w:szCs w:val="24"/>
              </w:rPr>
            </w:pPr>
            <w:r>
              <w:rPr>
                <w:i/>
                <w:szCs w:val="24"/>
              </w:rPr>
              <w:t>Финансовое управление Администрации </w:t>
            </w:r>
          </w:p>
          <w:p>
            <w:pPr>
              <w:pStyle w:val="1"/>
              <w:rPr>
                <w:i/>
                <w:szCs w:val="24"/>
              </w:rPr>
            </w:pPr>
            <w:r>
              <w:rPr>
                <w:i/>
                <w:szCs w:val="24"/>
              </w:rPr>
              <w:t>ЗАТО Северск Томской области</w:t>
            </w:r>
          </w:p>
          <w:p>
            <w:pPr>
              <w:rPr>
                <w:rFonts w:eastAsia="Calibri" w:cs="Times New Roman"/>
              </w:rPr>
            </w:pPr>
          </w:p>
        </w:tc>
        <w:tc>
          <w:tcPr>
            <w:tcW w:w="4140" w:type="dxa"/>
          </w:tcPr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УТВЕРЖДАЮ:</w:t>
            </w: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Начальник Управления</w:t>
            </w:r>
          </w:p>
          <w:p>
            <w:pPr>
              <w:ind w:left="252" w:hanging="252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_____________________</w:t>
            </w: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«___»  _________ 20___г.</w:t>
            </w:r>
          </w:p>
          <w:p>
            <w:pPr>
              <w:rPr>
                <w:rFonts w:eastAsia="Calibri" w:cs="Times New Roman"/>
              </w:rPr>
            </w:pP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М.П.</w:t>
            </w:r>
          </w:p>
        </w:tc>
      </w:tr>
    </w:tbl>
    <w:p>
      <w:pPr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Заключение комиссии</w:t>
      </w:r>
    </w:p>
    <w:p>
      <w:pPr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о состоянии объектов нефинансовых активов</w:t>
      </w:r>
    </w:p>
    <w:p>
      <w:pPr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</w:rPr>
        <w:t xml:space="preserve">от  </w:t>
      </w:r>
      <w:r>
        <w:rPr>
          <w:rFonts w:eastAsia="Calibri" w:cs="Times New Roman"/>
          <w:sz w:val="28"/>
          <w:szCs w:val="28"/>
        </w:rPr>
        <w:t>«___» ______________ 20___г.</w:t>
      </w:r>
    </w:p>
    <w:p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Настоящее заключение составлено комиссией в составе:</w:t>
      </w:r>
    </w:p>
    <w:p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председатель комиссии </w:t>
      </w:r>
    </w:p>
    <w:p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члены комиссии: </w:t>
      </w:r>
    </w:p>
    <w:p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_________________________________________________________________________</w:t>
      </w:r>
    </w:p>
    <w:p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_________________________________________________________________________</w:t>
      </w:r>
    </w:p>
    <w:p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Перечень основных средств: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870"/>
        <w:gridCol w:w="1418"/>
        <w:gridCol w:w="850"/>
        <w:gridCol w:w="992"/>
        <w:gridCol w:w="3969"/>
      </w:tblGrid>
      <w:tr>
        <w:trPr>
          <w:trHeight w:val="557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№</w:t>
            </w:r>
          </w:p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proofErr w:type="gramStart"/>
            <w:r>
              <w:rPr>
                <w:rFonts w:eastAsia="Calibri" w:cs="Times New Roman"/>
                <w:sz w:val="16"/>
                <w:szCs w:val="16"/>
              </w:rPr>
              <w:t>п</w:t>
            </w:r>
            <w:proofErr w:type="gramEnd"/>
            <w:r>
              <w:rPr>
                <w:rFonts w:eastAsia="Calibri" w:cs="Times New Roman"/>
                <w:sz w:val="16"/>
                <w:szCs w:val="16"/>
              </w:rPr>
              <w:t>/п</w:t>
            </w:r>
          </w:p>
        </w:tc>
        <w:tc>
          <w:tcPr>
            <w:tcW w:w="1870" w:type="dxa"/>
            <w:vAlign w:val="center"/>
          </w:tcPr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Наименование</w:t>
            </w:r>
          </w:p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основного средства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Инвентарный</w:t>
            </w:r>
          </w:p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номер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Кол-во</w:t>
            </w:r>
          </w:p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(шт.)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Балансовая</w:t>
            </w:r>
          </w:p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стоимость (руб.)</w:t>
            </w:r>
          </w:p>
        </w:tc>
        <w:tc>
          <w:tcPr>
            <w:tcW w:w="3969" w:type="dxa"/>
          </w:tcPr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</w:p>
          <w:p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Описание состояния объекта ОС</w:t>
            </w:r>
          </w:p>
        </w:tc>
      </w:tr>
      <w:tr>
        <w:trPr>
          <w:trHeight w:val="279"/>
        </w:trPr>
        <w:tc>
          <w:tcPr>
            <w:tcW w:w="540" w:type="dxa"/>
            <w:vAlign w:val="bottom"/>
          </w:tcPr>
          <w:p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70" w:type="dxa"/>
            <w:vAlign w:val="bottom"/>
          </w:tcPr>
          <w:p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eastAsia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rFonts w:eastAsia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>
            <w:pPr>
              <w:jc w:val="both"/>
              <w:rPr>
                <w:rFonts w:eastAsia="Calibri" w:cs="Times New Roman"/>
                <w:sz w:val="20"/>
                <w:szCs w:val="20"/>
              </w:rPr>
            </w:pPr>
          </w:p>
        </w:tc>
      </w:tr>
      <w:tr>
        <w:trPr>
          <w:trHeight w:val="279"/>
        </w:trPr>
        <w:tc>
          <w:tcPr>
            <w:tcW w:w="540" w:type="dxa"/>
            <w:vAlign w:val="bottom"/>
          </w:tcPr>
          <w:p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70" w:type="dxa"/>
            <w:vAlign w:val="bottom"/>
          </w:tcPr>
          <w:p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rFonts w:eastAsia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>
            <w:pPr>
              <w:jc w:val="both"/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>
      <w:pPr>
        <w:ind w:firstLine="708"/>
        <w:jc w:val="both"/>
        <w:rPr>
          <w:rFonts w:eastAsia="Calibri" w:cs="Times New Roman"/>
        </w:rPr>
      </w:pP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ab/>
        <w:t xml:space="preserve">Заключение комиссии:  </w:t>
      </w:r>
    </w:p>
    <w:p>
      <w:pPr>
        <w:spacing w:line="360" w:lineRule="auto"/>
        <w:ind w:firstLine="708"/>
        <w:rPr>
          <w:rFonts w:eastAsia="Calibri" w:cs="Times New Roman"/>
        </w:rPr>
      </w:pPr>
      <w:r>
        <w:rPr>
          <w:rFonts w:eastAsia="Calibri" w:cs="Times New Roman"/>
        </w:rPr>
        <w:t>Председатель комиссии:</w:t>
      </w:r>
    </w:p>
    <w:p>
      <w:pPr>
        <w:spacing w:line="360" w:lineRule="auto"/>
        <w:ind w:firstLine="708"/>
        <w:rPr>
          <w:rFonts w:eastAsia="Calibri" w:cs="Times New Roman"/>
        </w:rPr>
      </w:pPr>
      <w:r>
        <w:rPr>
          <w:rFonts w:eastAsia="Calibri" w:cs="Times New Roman"/>
        </w:rPr>
        <w:t xml:space="preserve">Члены    комиссии: </w:t>
      </w: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spacing w:after="0" w:line="240" w:lineRule="auto"/>
      </w:pPr>
      <w:r>
        <w:t xml:space="preserve">                                                                                                                     Форма № 2 к Порядку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Cs w:val="24"/>
        </w:rPr>
      </w:pPr>
      <w:r>
        <w:rPr>
          <w:rFonts w:cs="Times New Roman"/>
          <w:bCs/>
          <w:szCs w:val="24"/>
        </w:rPr>
        <w:t xml:space="preserve">      </w:t>
      </w:r>
      <w:r>
        <w:rPr>
          <w:rFonts w:cs="Times New Roman"/>
          <w:bCs/>
          <w:szCs w:val="24"/>
        </w:rPr>
        <w:tab/>
      </w:r>
      <w:r>
        <w:rPr>
          <w:rFonts w:cs="Times New Roman"/>
          <w:bCs/>
          <w:szCs w:val="24"/>
        </w:rPr>
        <w:tab/>
      </w:r>
      <w:r>
        <w:rPr>
          <w:rFonts w:cs="Times New Roman"/>
          <w:bCs/>
          <w:szCs w:val="24"/>
        </w:rPr>
        <w:tab/>
        <w:t xml:space="preserve"> о комиссии по поступлению                                                                                    и выбытию активов</w:t>
      </w:r>
    </w:p>
    <w:p>
      <w:pPr>
        <w:ind w:left="5387"/>
      </w:pPr>
    </w:p>
    <w:tbl>
      <w:tblPr>
        <w:tblW w:w="9900" w:type="dxa"/>
        <w:tblInd w:w="-72" w:type="dxa"/>
        <w:tblLook w:val="01E0" w:firstRow="1" w:lastRow="1" w:firstColumn="1" w:lastColumn="1" w:noHBand="0" w:noVBand="0"/>
      </w:tblPr>
      <w:tblGrid>
        <w:gridCol w:w="5760"/>
        <w:gridCol w:w="4140"/>
      </w:tblGrid>
      <w:tr>
        <w:tc>
          <w:tcPr>
            <w:tcW w:w="5760" w:type="dxa"/>
          </w:tcPr>
          <w:p>
            <w:pPr>
              <w:pStyle w:val="1"/>
              <w:rPr>
                <w:i/>
                <w:szCs w:val="24"/>
              </w:rPr>
            </w:pPr>
            <w:r>
              <w:rPr>
                <w:i/>
                <w:szCs w:val="24"/>
              </w:rPr>
              <w:t>Финансовое управление Администрации </w:t>
            </w:r>
          </w:p>
          <w:p>
            <w:pPr>
              <w:pStyle w:val="1"/>
              <w:rPr>
                <w:i/>
                <w:szCs w:val="24"/>
              </w:rPr>
            </w:pPr>
            <w:r>
              <w:rPr>
                <w:i/>
                <w:szCs w:val="24"/>
              </w:rPr>
              <w:t>ЗАТО Северск Томской области</w:t>
            </w:r>
          </w:p>
          <w:p>
            <w:pPr>
              <w:rPr>
                <w:rFonts w:eastAsia="Calibri" w:cs="Times New Roman"/>
              </w:rPr>
            </w:pPr>
          </w:p>
        </w:tc>
        <w:tc>
          <w:tcPr>
            <w:tcW w:w="4140" w:type="dxa"/>
          </w:tcPr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УТВЕРЖДАЮ:</w:t>
            </w: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Начальник Управления</w:t>
            </w:r>
          </w:p>
          <w:p>
            <w:pPr>
              <w:ind w:left="252" w:hanging="252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_____________________</w:t>
            </w: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«___»  _________ 20___г.</w:t>
            </w:r>
          </w:p>
          <w:p>
            <w:pPr>
              <w:rPr>
                <w:rFonts w:eastAsia="Calibri" w:cs="Times New Roman"/>
              </w:rPr>
            </w:pP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М.П.</w:t>
            </w:r>
          </w:p>
        </w:tc>
      </w:tr>
    </w:tbl>
    <w:p>
      <w:pPr>
        <w:rPr>
          <w:rFonts w:eastAsia="Calibri" w:cs="Times New Roman"/>
        </w:rPr>
      </w:pPr>
    </w:p>
    <w:p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 СБОРКИ (УСТАНОВКИ)</w:t>
      </w:r>
    </w:p>
    <w:p>
      <w:pPr>
        <w:pStyle w:val="HTML"/>
        <w:jc w:val="center"/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проведения комплектации __________________________________</w:t>
      </w:r>
    </w:p>
    <w:p>
      <w:pPr>
        <w:pStyle w:val="HTML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(наименование объекта)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использованы следующие материалы (комплектующие):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108"/>
        <w:gridCol w:w="1335"/>
        <w:gridCol w:w="1802"/>
        <w:gridCol w:w="868"/>
        <w:gridCol w:w="1335"/>
        <w:gridCol w:w="1335"/>
      </w:tblGrid>
      <w:tr>
        <w:tc>
          <w:tcPr>
            <w:tcW w:w="562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08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335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Заводской номер</w:t>
            </w:r>
          </w:p>
        </w:tc>
        <w:tc>
          <w:tcPr>
            <w:tcW w:w="180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Номенклатурный номер</w:t>
            </w:r>
          </w:p>
        </w:tc>
        <w:tc>
          <w:tcPr>
            <w:tcW w:w="868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5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единицы, руб.</w:t>
            </w:r>
          </w:p>
        </w:tc>
        <w:tc>
          <w:tcPr>
            <w:tcW w:w="1335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>
        <w:tc>
          <w:tcPr>
            <w:tcW w:w="562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>
            <w:pPr>
              <w:pStyle w:val="HTML"/>
              <w:rPr>
                <w:rFonts w:ascii="Times New Roman" w:hAnsi="Times New Roman" w:cs="Times New Roman"/>
              </w:rPr>
            </w:pPr>
          </w:p>
        </w:tc>
      </w:tr>
    </w:tbl>
    <w:p>
      <w:pPr>
        <w:pStyle w:val="HTML"/>
        <w:jc w:val="both"/>
      </w:pPr>
    </w:p>
    <w:p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Полученные комплектующие оприходованы как объект основных средств:</w:t>
      </w:r>
    </w:p>
    <w:p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47"/>
        <w:gridCol w:w="2125"/>
        <w:gridCol w:w="2336"/>
        <w:gridCol w:w="2337"/>
      </w:tblGrid>
      <w:tr>
        <w:tc>
          <w:tcPr>
            <w:tcW w:w="2547" w:type="dxa"/>
            <w:vMerge w:val="restart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125" w:type="dxa"/>
            <w:vMerge w:val="restart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Инвентарный номер</w:t>
            </w:r>
          </w:p>
        </w:tc>
        <w:tc>
          <w:tcPr>
            <w:tcW w:w="4673" w:type="dxa"/>
            <w:gridSpan w:val="2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>
        <w:tc>
          <w:tcPr>
            <w:tcW w:w="2547" w:type="dxa"/>
            <w:vMerge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Merge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</w:t>
            </w:r>
          </w:p>
        </w:tc>
        <w:tc>
          <w:tcPr>
            <w:tcW w:w="2337" w:type="dxa"/>
          </w:tcPr>
          <w:p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</w:tr>
    </w:tbl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Вышеперечисленный объект скомплектован: ____________________________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Сборку произвел: ______________________________________________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Заключение комиссии в составе: 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rPr>
          <w:rFonts w:eastAsia="Calibri" w:cs="Times New Roman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Times New Roman"/>
          <w:szCs w:val="24"/>
        </w:rPr>
      </w:pPr>
    </w:p>
    <w:p>
      <w:pPr>
        <w:spacing w:after="0" w:line="240" w:lineRule="auto"/>
      </w:pPr>
      <w:r>
        <w:t xml:space="preserve">                                                                                                                     Форма № 3 к Порядку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      </w:t>
      </w:r>
      <w:r>
        <w:rPr>
          <w:rFonts w:cs="Times New Roman"/>
          <w:bCs/>
          <w:szCs w:val="24"/>
        </w:rPr>
        <w:tab/>
      </w:r>
      <w:r>
        <w:rPr>
          <w:rFonts w:cs="Times New Roman"/>
          <w:bCs/>
          <w:szCs w:val="24"/>
        </w:rPr>
        <w:tab/>
      </w:r>
      <w:r>
        <w:rPr>
          <w:rFonts w:cs="Times New Roman"/>
          <w:bCs/>
          <w:szCs w:val="24"/>
        </w:rPr>
        <w:tab/>
        <w:t xml:space="preserve"> </w:t>
      </w:r>
      <w:proofErr w:type="gramStart"/>
      <w:r>
        <w:rPr>
          <w:rFonts w:cs="Times New Roman"/>
          <w:bCs/>
          <w:szCs w:val="24"/>
        </w:rPr>
        <w:t>о</w:t>
      </w:r>
      <w:proofErr w:type="gramEnd"/>
      <w:r>
        <w:rPr>
          <w:rFonts w:cs="Times New Roman"/>
          <w:bCs/>
          <w:szCs w:val="24"/>
        </w:rPr>
        <w:t xml:space="preserve"> комиссии по поступлению                                                                                    и выбытию активов</w:t>
      </w:r>
    </w:p>
    <w:tbl>
      <w:tblPr>
        <w:tblW w:w="9900" w:type="dxa"/>
        <w:tblInd w:w="-72" w:type="dxa"/>
        <w:tblLook w:val="01E0" w:firstRow="1" w:lastRow="1" w:firstColumn="1" w:lastColumn="1" w:noHBand="0" w:noVBand="0"/>
      </w:tblPr>
      <w:tblGrid>
        <w:gridCol w:w="5760"/>
        <w:gridCol w:w="4140"/>
      </w:tblGrid>
      <w:tr>
        <w:tc>
          <w:tcPr>
            <w:tcW w:w="5760" w:type="dxa"/>
          </w:tcPr>
          <w:p>
            <w:pPr>
              <w:pStyle w:val="1"/>
              <w:rPr>
                <w:i/>
                <w:szCs w:val="24"/>
              </w:rPr>
            </w:pPr>
            <w:r>
              <w:rPr>
                <w:i/>
                <w:szCs w:val="24"/>
              </w:rPr>
              <w:t>Финансовое управление Администрации </w:t>
            </w:r>
          </w:p>
          <w:p>
            <w:pPr>
              <w:pStyle w:val="1"/>
              <w:rPr>
                <w:i/>
                <w:szCs w:val="24"/>
              </w:rPr>
            </w:pPr>
            <w:r>
              <w:rPr>
                <w:i/>
                <w:szCs w:val="24"/>
              </w:rPr>
              <w:t>ЗАТО Северск Томской области</w:t>
            </w:r>
          </w:p>
          <w:p>
            <w:pPr>
              <w:rPr>
                <w:rFonts w:eastAsia="Calibri" w:cs="Times New Roman"/>
              </w:rPr>
            </w:pPr>
          </w:p>
        </w:tc>
        <w:tc>
          <w:tcPr>
            <w:tcW w:w="4140" w:type="dxa"/>
          </w:tcPr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УТВЕРЖДАЮ:</w:t>
            </w: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Начальник Управления</w:t>
            </w:r>
          </w:p>
          <w:p>
            <w:pPr>
              <w:ind w:left="252" w:hanging="252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_____________________</w:t>
            </w: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«___»  _________ 20___г.</w:t>
            </w:r>
          </w:p>
          <w:p>
            <w:pPr>
              <w:rPr>
                <w:rFonts w:eastAsia="Calibri" w:cs="Times New Roman"/>
              </w:rPr>
            </w:pPr>
          </w:p>
          <w:p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М.П.</w:t>
            </w:r>
          </w:p>
        </w:tc>
      </w:tr>
    </w:tbl>
    <w:p>
      <w:pPr>
        <w:ind w:left="5387"/>
      </w:pPr>
    </w:p>
    <w:p>
      <w:pPr>
        <w:pStyle w:val="HTM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РАЗУКОМПЛЕКТАЦИИ</w:t>
      </w:r>
    </w:p>
    <w:p>
      <w:pPr>
        <w:pStyle w:val="HTML"/>
        <w:jc w:val="center"/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Проведена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разукомплектация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объекта основных средств: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64"/>
        <w:gridCol w:w="2262"/>
        <w:gridCol w:w="1642"/>
        <w:gridCol w:w="2176"/>
      </w:tblGrid>
      <w:tr>
        <w:trPr>
          <w:trHeight w:val="338"/>
        </w:trPr>
        <w:tc>
          <w:tcPr>
            <w:tcW w:w="3964" w:type="dxa"/>
            <w:vMerge w:val="restart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62" w:type="dxa"/>
            <w:vMerge w:val="restart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3818" w:type="dxa"/>
            <w:gridSpan w:val="2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>
        <w:trPr>
          <w:trHeight w:val="348"/>
        </w:trPr>
        <w:tc>
          <w:tcPr>
            <w:tcW w:w="3964" w:type="dxa"/>
            <w:vMerge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vMerge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Единицы</w:t>
            </w:r>
          </w:p>
        </w:tc>
        <w:tc>
          <w:tcPr>
            <w:tcW w:w="2176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>
        <w:trPr>
          <w:trHeight w:val="571"/>
        </w:trPr>
        <w:tc>
          <w:tcPr>
            <w:tcW w:w="3964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6" w:type="dxa"/>
            <w:vAlign w:val="center"/>
          </w:tcPr>
          <w:p>
            <w:pPr>
              <w:pStyle w:val="HTML"/>
              <w:tabs>
                <w:tab w:val="clear" w:pos="2748"/>
                <w:tab w:val="left" w:pos="21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результате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разукомплектации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получены следующие объекты основных средств: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268"/>
        <w:gridCol w:w="1701"/>
        <w:gridCol w:w="2121"/>
      </w:tblGrid>
      <w:tr>
        <w:trPr>
          <w:trHeight w:val="395"/>
        </w:trPr>
        <w:tc>
          <w:tcPr>
            <w:tcW w:w="704" w:type="dxa"/>
            <w:vMerge w:val="restart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Merge w:val="restart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3822" w:type="dxa"/>
            <w:gridSpan w:val="2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>
        <w:trPr>
          <w:trHeight w:val="321"/>
        </w:trPr>
        <w:tc>
          <w:tcPr>
            <w:tcW w:w="704" w:type="dxa"/>
            <w:vMerge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Единицы</w:t>
            </w:r>
          </w:p>
        </w:tc>
        <w:tc>
          <w:tcPr>
            <w:tcW w:w="2121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>
        <w:trPr>
          <w:trHeight w:val="526"/>
        </w:trPr>
        <w:tc>
          <w:tcPr>
            <w:tcW w:w="704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Align w:val="center"/>
          </w:tcPr>
          <w:p>
            <w:pPr>
              <w:pStyle w:val="HTML"/>
              <w:tabs>
                <w:tab w:val="clear" w:pos="2748"/>
                <w:tab w:val="left" w:pos="21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526"/>
        </w:trPr>
        <w:tc>
          <w:tcPr>
            <w:tcW w:w="704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Align w:val="center"/>
          </w:tcPr>
          <w:p>
            <w:pPr>
              <w:pStyle w:val="HTML"/>
              <w:tabs>
                <w:tab w:val="clear" w:pos="2748"/>
                <w:tab w:val="left" w:pos="21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526"/>
        </w:trPr>
        <w:tc>
          <w:tcPr>
            <w:tcW w:w="7933" w:type="dxa"/>
            <w:gridSpan w:val="4"/>
            <w:vAlign w:val="center"/>
          </w:tcPr>
          <w:p>
            <w:pPr>
              <w:pStyle w:val="HTM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21" w:type="dxa"/>
            <w:vAlign w:val="center"/>
          </w:tcPr>
          <w:p>
            <w:pPr>
              <w:pStyle w:val="HTML"/>
              <w:tabs>
                <w:tab w:val="clear" w:pos="2748"/>
                <w:tab w:val="left" w:pos="21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HTML"/>
        <w:rPr>
          <w:rFonts w:ascii="Times New Roman" w:hAnsi="Times New Roman" w:cs="Times New Roman"/>
          <w:sz w:val="16"/>
          <w:szCs w:val="16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Вышеперечисленный объект разукомплектован: </w:t>
      </w:r>
    </w:p>
    <w:p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Разборку произвел: </w:t>
      </w:r>
    </w:p>
    <w:p>
      <w:pPr>
        <w:pStyle w:val="HTM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HTML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Заключение комиссии: </w:t>
      </w:r>
    </w:p>
    <w:p>
      <w:pPr>
        <w:pStyle w:val="HTML"/>
        <w:rPr>
          <w:rFonts w:ascii="Times New Roman" w:hAnsi="Times New Roman" w:cs="Times New Roman"/>
          <w:sz w:val="16"/>
          <w:szCs w:val="16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Комиссия в составе:</w:t>
      </w:r>
    </w:p>
    <w:p>
      <w:pPr>
        <w:pStyle w:val="HTML"/>
        <w:rPr>
          <w:rFonts w:ascii="Times New Roman" w:hAnsi="Times New Roman" w:cs="Times New Roman"/>
          <w:sz w:val="16"/>
          <w:szCs w:val="16"/>
        </w:rPr>
      </w:pP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Председатель комиссии:</w:t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Члены комиссии:</w:t>
      </w:r>
    </w:p>
    <w:p>
      <w:pPr>
        <w:pStyle w:val="HTML"/>
        <w:rPr>
          <w:rFonts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>
      <w:pgSz w:w="11905" w:h="16838"/>
      <w:pgMar w:top="851" w:right="850" w:bottom="850" w:left="108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5A0448-5633-4F9A-8F78-0DCCD0C34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Pr>
      <w:rFonts w:eastAsia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Theme="minorEastAsia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39"/>
    <w:pPr>
      <w:spacing w:after="0" w:line="240" w:lineRule="auto"/>
    </w:pPr>
    <w:rPr>
      <w:rFonts w:cs="Times New Roman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rPr>
      <w:rFonts w:cs="Times New Roman"/>
      <w:color w:val="808080"/>
      <w:u w:val="none"/>
      <w:effect w:val="none"/>
      <w:bdr w:val="none" w:sz="0" w:space="0" w:color="auto" w:frame="1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6E1C467B8369B49075048D3FDD074184F4C55ED0F58CF975285EBDF16ACD171B9C12762AB560C1F501C" TargetMode="External"/><Relationship Id="rId13" Type="http://schemas.openxmlformats.org/officeDocument/2006/relationships/hyperlink" Target="consultantplus://offline/ref=5BB584A06234B409B55821A8FC099389CF9B16D7DEBB2C0947BEFB2EaBR4E" TargetMode="External"/><Relationship Id="rId18" Type="http://schemas.openxmlformats.org/officeDocument/2006/relationships/hyperlink" Target="consultantplus://offline/ref=5BB584A06234B409B55821A8FC099389CF9D13D3D8BB2C0947BEFB2EaBR4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D6E1C467B8369B49075048D3FDD074187F7C152D6FFD1F37D7152BFFF06C" TargetMode="External"/><Relationship Id="rId12" Type="http://schemas.openxmlformats.org/officeDocument/2006/relationships/hyperlink" Target="consultantplus://offline/ref=5BB584A06234B409B55821A8FC099389CF9B16D7DEBB2C0947BEFB2EaBR4E" TargetMode="External"/><Relationship Id="rId17" Type="http://schemas.openxmlformats.org/officeDocument/2006/relationships/hyperlink" Target="consultantplus://offline/ref=5BB584A06234B409B55821A8FC099389CF9D13D3D8BB2C0947BEFB2EaBR4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BB584A06234B409B55821A8FC099389CF9810D7DBBB2C0947BEFB2EaBR4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dokipedia.ru/document/5299259?pid=331" TargetMode="External"/><Relationship Id="rId11" Type="http://schemas.openxmlformats.org/officeDocument/2006/relationships/hyperlink" Target="consultantplus://offline/ref=DD6E1C467B8369B49075048D3FDD074184FDC050D8A2DBFB247D50B8F93A850755D91F772AB6F604C" TargetMode="External"/><Relationship Id="rId5" Type="http://schemas.openxmlformats.org/officeDocument/2006/relationships/hyperlink" Target="http://vip.gosfinansy.ru/" TargetMode="External"/><Relationship Id="rId15" Type="http://schemas.openxmlformats.org/officeDocument/2006/relationships/hyperlink" Target="consultantplus://offline/ref=5BB584A06234B409B55821A8FC099389CF9810D7DBBB2C0947BEFB2EaBR4E" TargetMode="External"/><Relationship Id="rId10" Type="http://schemas.openxmlformats.org/officeDocument/2006/relationships/hyperlink" Target="consultantplus://offline/ref=DD6E1C467B8369B49075048D3FDD074184F4C55ED0F58CF975285EBDF16ACD171B9C12762AB463C5F500C" TargetMode="External"/><Relationship Id="rId19" Type="http://schemas.openxmlformats.org/officeDocument/2006/relationships/hyperlink" Target="http://vip.gosfinans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6E1C467B8369B49075048D3FDD074184F4C55ED0F58CF975285EBDF16ACD171B9C12762AB462C6F507C" TargetMode="External"/><Relationship Id="rId14" Type="http://schemas.openxmlformats.org/officeDocument/2006/relationships/hyperlink" Target="consultantplus://offline/ref=5BB584A06234B409B55821A8FC099389CF9D13D3D9BB2C0947BEFB2EaBR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AD188-F7BA-4298-B3FA-629F991AE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5122</Words>
  <Characters>29196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Купцова И.О.</cp:lastModifiedBy>
  <cp:revision>2</cp:revision>
  <cp:lastPrinted>2023-05-04T05:22:00Z</cp:lastPrinted>
  <dcterms:created xsi:type="dcterms:W3CDTF">2025-12-11T09:28:00Z</dcterms:created>
  <dcterms:modified xsi:type="dcterms:W3CDTF">2025-12-11T09:28:00Z</dcterms:modified>
</cp:coreProperties>
</file>