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0A0" w:firstRow="1" w:lastRow="0" w:firstColumn="1" w:lastColumn="0" w:noHBand="0" w:noVBand="0"/>
      </w:tblPr>
      <w:tblGrid>
        <w:gridCol w:w="4742"/>
        <w:gridCol w:w="4753"/>
      </w:tblGrid>
      <w:tr>
        <w:tc>
          <w:tcPr>
            <w:tcW w:w="4785" w:type="dxa"/>
          </w:tcPr>
          <w:p>
            <w:pPr>
              <w:spacing w:after="0" w:line="240" w:lineRule="auto"/>
              <w:rPr>
                <w:rFonts w:ascii="Times New Roman" w:hAnsi="Times New Roman"/>
                <w:sz w:val="24"/>
                <w:szCs w:val="24"/>
              </w:rPr>
            </w:pPr>
          </w:p>
        </w:tc>
        <w:tc>
          <w:tcPr>
            <w:tcW w:w="4786" w:type="dxa"/>
          </w:tcPr>
          <w:p>
            <w:pPr>
              <w:spacing w:after="0" w:line="240" w:lineRule="auto"/>
              <w:jc w:val="right"/>
              <w:rPr>
                <w:rFonts w:ascii="Times New Roman" w:hAnsi="Times New Roman"/>
                <w:sz w:val="24"/>
                <w:szCs w:val="24"/>
              </w:rPr>
            </w:pPr>
            <w:r>
              <w:rPr>
                <w:rFonts w:ascii="Times New Roman" w:hAnsi="Times New Roman"/>
                <w:sz w:val="24"/>
                <w:szCs w:val="24"/>
              </w:rPr>
              <w:t>Приложение № 16</w:t>
            </w:r>
          </w:p>
          <w:p>
            <w:pPr>
              <w:pStyle w:val="a4"/>
              <w:jc w:val="right"/>
              <w:rPr>
                <w:bCs/>
                <w:spacing w:val="2"/>
              </w:rPr>
            </w:pPr>
            <w:r>
              <w:rPr>
                <w:bCs/>
                <w:spacing w:val="2"/>
              </w:rPr>
              <w:t>к Учетной политике</w:t>
            </w:r>
          </w:p>
          <w:p>
            <w:pPr>
              <w:spacing w:after="0" w:line="240" w:lineRule="auto"/>
              <w:jc w:val="right"/>
              <w:rPr>
                <w:rFonts w:ascii="Times New Roman" w:hAnsi="Times New Roman"/>
                <w:sz w:val="24"/>
                <w:szCs w:val="24"/>
              </w:rPr>
            </w:pPr>
            <w:r>
              <w:rPr>
                <w:rFonts w:ascii="Times New Roman" w:hAnsi="Times New Roman"/>
                <w:sz w:val="24"/>
                <w:szCs w:val="24"/>
              </w:rPr>
              <w:t xml:space="preserve">утвержденной приказом </w:t>
            </w:r>
          </w:p>
          <w:p>
            <w:pPr>
              <w:spacing w:after="0" w:line="240" w:lineRule="auto"/>
              <w:jc w:val="right"/>
              <w:rPr>
                <w:rFonts w:ascii="Times New Roman" w:hAnsi="Times New Roman"/>
                <w:sz w:val="24"/>
                <w:szCs w:val="24"/>
              </w:rPr>
            </w:pPr>
            <w:r>
              <w:rPr>
                <w:rFonts w:ascii="Times New Roman" w:hAnsi="Times New Roman"/>
                <w:sz w:val="24"/>
                <w:szCs w:val="24"/>
              </w:rPr>
              <w:t>начальника Финансового управления</w:t>
            </w:r>
          </w:p>
          <w:p>
            <w:pPr>
              <w:spacing w:after="0" w:line="240" w:lineRule="auto"/>
              <w:jc w:val="right"/>
              <w:rPr>
                <w:rFonts w:ascii="Times New Roman" w:hAnsi="Times New Roman"/>
                <w:sz w:val="24"/>
                <w:szCs w:val="24"/>
              </w:rPr>
            </w:pPr>
            <w:r>
              <w:rPr>
                <w:rFonts w:ascii="Times New Roman" w:hAnsi="Times New Roman"/>
                <w:sz w:val="24"/>
                <w:szCs w:val="24"/>
              </w:rPr>
              <w:t>от 30.12.2021 № 94</w:t>
            </w:r>
          </w:p>
        </w:tc>
      </w:tr>
    </w:tbl>
    <w:p>
      <w:pPr>
        <w:autoSpaceDE w:val="0"/>
        <w:autoSpaceDN w:val="0"/>
        <w:adjustRightInd w:val="0"/>
        <w:spacing w:after="0" w:line="240" w:lineRule="auto"/>
        <w:jc w:val="center"/>
        <w:rPr>
          <w:rFonts w:ascii="Times New Roman" w:hAnsi="Times New Roman"/>
          <w:b/>
          <w:bCs/>
          <w:sz w:val="24"/>
          <w:szCs w:val="24"/>
        </w:rPr>
      </w:pPr>
    </w:p>
    <w:p>
      <w:pPr>
        <w:autoSpaceDE w:val="0"/>
        <w:autoSpaceDN w:val="0"/>
        <w:adjustRightInd w:val="0"/>
        <w:spacing w:after="0" w:line="240" w:lineRule="auto"/>
        <w:jc w:val="center"/>
        <w:rPr>
          <w:rFonts w:ascii="Times New Roman" w:hAnsi="Times New Roman"/>
          <w:b/>
          <w:bCs/>
          <w:sz w:val="24"/>
          <w:szCs w:val="24"/>
        </w:rPr>
      </w:pPr>
    </w:p>
    <w:p>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Положение о санкционировании</w:t>
      </w:r>
    </w:p>
    <w:p>
      <w:pPr>
        <w:autoSpaceDE w:val="0"/>
        <w:autoSpaceDN w:val="0"/>
        <w:adjustRightInd w:val="0"/>
        <w:spacing w:after="0" w:line="240" w:lineRule="auto"/>
        <w:jc w:val="both"/>
        <w:rPr>
          <w:rFonts w:ascii="Times New Roman" w:hAnsi="Times New Roman"/>
          <w:sz w:val="24"/>
          <w:szCs w:val="24"/>
        </w:rPr>
      </w:pPr>
    </w:p>
    <w:p>
      <w:pPr>
        <w:autoSpaceDE w:val="0"/>
        <w:autoSpaceDN w:val="0"/>
        <w:adjustRightInd w:val="0"/>
        <w:spacing w:after="0" w:line="240" w:lineRule="auto"/>
        <w:jc w:val="center"/>
        <w:outlineLvl w:val="1"/>
        <w:rPr>
          <w:rFonts w:ascii="Times New Roman" w:hAnsi="Times New Roman"/>
          <w:b/>
          <w:sz w:val="24"/>
          <w:szCs w:val="24"/>
        </w:rPr>
      </w:pPr>
      <w:r>
        <w:rPr>
          <w:rFonts w:ascii="Times New Roman" w:hAnsi="Times New Roman"/>
          <w:b/>
          <w:bCs/>
          <w:sz w:val="24"/>
          <w:szCs w:val="24"/>
        </w:rPr>
        <w:t>1. Общие положения</w:t>
      </w:r>
    </w:p>
    <w:p>
      <w:pPr>
        <w:pStyle w:val="ConsPlusNonformat"/>
        <w:rPr>
          <w:rFonts w:ascii="Times New Roman" w:hAnsi="Times New Roman" w:cs="Times New Roman"/>
          <w:b/>
          <w:sz w:val="24"/>
          <w:szCs w:val="24"/>
        </w:rPr>
      </w:pPr>
      <w:r>
        <w:rPr>
          <w:rFonts w:ascii="Times New Roman" w:hAnsi="Times New Roman" w:cs="Times New Roman"/>
          <w:b/>
          <w:sz w:val="24"/>
          <w:szCs w:val="24"/>
        </w:rPr>
        <w:t xml:space="preserve">                   </w:t>
      </w:r>
    </w:p>
    <w:p>
      <w:pPr>
        <w:pStyle w:val="ConsPlusNonformat"/>
        <w:ind w:firstLine="539"/>
        <w:jc w:val="both"/>
        <w:rPr>
          <w:rFonts w:ascii="Times New Roman" w:hAnsi="Times New Roman" w:cs="Times New Roman"/>
          <w:sz w:val="24"/>
          <w:szCs w:val="24"/>
        </w:rPr>
      </w:pPr>
      <w:r>
        <w:rPr>
          <w:rFonts w:ascii="Times New Roman" w:hAnsi="Times New Roman" w:cs="Times New Roman"/>
          <w:sz w:val="24"/>
          <w:szCs w:val="24"/>
        </w:rPr>
        <w:t xml:space="preserve">1.1. Настоящее Положение вводится в целях урегулирования вопросов, возникающих при принятии обязательств (денежных обязательств) и отражении этих операций на счётах бухгалтерского учёта.       </w:t>
      </w:r>
    </w:p>
    <w:p>
      <w:pPr>
        <w:pStyle w:val="ConsPlusNonformat"/>
        <w:ind w:firstLine="539"/>
        <w:jc w:val="both"/>
        <w:rPr>
          <w:rFonts w:ascii="Times New Roman" w:hAnsi="Times New Roman" w:cs="Times New Roman"/>
          <w:sz w:val="24"/>
          <w:szCs w:val="24"/>
        </w:rPr>
      </w:pPr>
      <w:r>
        <w:rPr>
          <w:rFonts w:ascii="Times New Roman" w:hAnsi="Times New Roman" w:cs="Times New Roman"/>
          <w:sz w:val="24"/>
          <w:szCs w:val="24"/>
        </w:rPr>
        <w:t>1.2. Основными нормативными правовыми актами, регламентирующими порядок                  и условия отражения операций на счётах санкционирования расходов, являются:</w:t>
      </w:r>
    </w:p>
    <w:p>
      <w:pPr>
        <w:pStyle w:val="ConsPlusNonformat"/>
        <w:ind w:firstLine="539"/>
        <w:rPr>
          <w:rFonts w:ascii="Times New Roman" w:hAnsi="Times New Roman" w:cs="Times New Roman"/>
          <w:sz w:val="24"/>
          <w:szCs w:val="24"/>
        </w:rPr>
      </w:pPr>
      <w:r>
        <w:rPr>
          <w:rFonts w:ascii="Times New Roman" w:hAnsi="Times New Roman" w:cs="Times New Roman"/>
          <w:sz w:val="24"/>
          <w:szCs w:val="24"/>
        </w:rPr>
        <w:t xml:space="preserve">- Федеральный </w:t>
      </w:r>
      <w:hyperlink r:id="rId6" w:history="1">
        <w:r>
          <w:rPr>
            <w:rFonts w:ascii="Times New Roman" w:hAnsi="Times New Roman" w:cs="Times New Roman"/>
            <w:sz w:val="24"/>
            <w:szCs w:val="24"/>
          </w:rPr>
          <w:t>закон</w:t>
        </w:r>
      </w:hyperlink>
      <w:r>
        <w:rPr>
          <w:rFonts w:ascii="Times New Roman" w:hAnsi="Times New Roman" w:cs="Times New Roman"/>
          <w:sz w:val="24"/>
          <w:szCs w:val="24"/>
        </w:rPr>
        <w:t xml:space="preserve"> от 06.12.2011 № 402-ФЗ «О бухгалтерском учёте» (далее - Закон о бухгалтерском учёте);         </w:t>
      </w:r>
    </w:p>
    <w:p>
      <w:pPr>
        <w:pStyle w:val="ConsPlusNonformat"/>
        <w:ind w:firstLine="539"/>
        <w:jc w:val="both"/>
        <w:rPr>
          <w:rFonts w:ascii="Times New Roman" w:hAnsi="Times New Roman" w:cs="Times New Roman"/>
          <w:strike/>
          <w:sz w:val="24"/>
          <w:szCs w:val="24"/>
        </w:rPr>
      </w:pPr>
      <w:r>
        <w:rPr>
          <w:rFonts w:ascii="Times New Roman" w:hAnsi="Times New Roman" w:cs="Times New Roman"/>
          <w:strike/>
          <w:sz w:val="24"/>
          <w:szCs w:val="24"/>
          <w:highlight w:val="yellow"/>
        </w:rPr>
        <w:t xml:space="preserve">- </w:t>
      </w:r>
      <w:hyperlink r:id="rId7" w:history="1">
        <w:r>
          <w:rPr>
            <w:rFonts w:ascii="Times New Roman" w:hAnsi="Times New Roman" w:cs="Times New Roman"/>
            <w:strike/>
            <w:sz w:val="24"/>
            <w:szCs w:val="24"/>
            <w:highlight w:val="yellow"/>
          </w:rPr>
          <w:t>Приказ</w:t>
        </w:r>
      </w:hyperlink>
      <w:r>
        <w:rPr>
          <w:rFonts w:ascii="Times New Roman" w:hAnsi="Times New Roman" w:cs="Times New Roman"/>
          <w:strike/>
          <w:sz w:val="24"/>
          <w:szCs w:val="24"/>
          <w:highlight w:val="yellow"/>
        </w:rPr>
        <w:t xml:space="preserve"> Минфина России от 01.12.2010 №157н «Об утверждении Единого плана           счетов бухгалтерского учёта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w:t>
      </w:r>
      <w:r>
        <w:rPr>
          <w:rFonts w:ascii="Times New Roman" w:hAnsi="Times New Roman" w:cs="Times New Roman"/>
          <w:strike/>
          <w:sz w:val="24"/>
          <w:szCs w:val="24"/>
        </w:rPr>
        <w:t xml:space="preserve">               </w:t>
      </w:r>
    </w:p>
    <w:p>
      <w:pPr>
        <w:pStyle w:val="ConsPlusNonformat"/>
        <w:ind w:firstLine="539"/>
        <w:jc w:val="both"/>
        <w:rPr>
          <w:rFonts w:ascii="Times New Roman" w:hAnsi="Times New Roman" w:cs="Times New Roman"/>
          <w:sz w:val="24"/>
          <w:szCs w:val="24"/>
        </w:rPr>
      </w:pPr>
      <w:r>
        <w:rPr>
          <w:rFonts w:ascii="Times New Roman" w:hAnsi="Times New Roman" w:cs="Times New Roman"/>
          <w:sz w:val="24"/>
          <w:szCs w:val="24"/>
        </w:rPr>
        <w:t xml:space="preserve">- </w:t>
      </w:r>
      <w:hyperlink r:id="rId8" w:history="1">
        <w:r>
          <w:rPr>
            <w:rFonts w:ascii="Times New Roman" w:hAnsi="Times New Roman" w:cs="Times New Roman"/>
            <w:sz w:val="24"/>
            <w:szCs w:val="24"/>
          </w:rPr>
          <w:t>Приказ</w:t>
        </w:r>
      </w:hyperlink>
      <w:r>
        <w:rPr>
          <w:rFonts w:ascii="Times New Roman" w:hAnsi="Times New Roman" w:cs="Times New Roman"/>
          <w:sz w:val="24"/>
          <w:szCs w:val="24"/>
        </w:rPr>
        <w:t xml:space="preserve"> Минфина России от 31.3.2015 № 52н «Об утверждении форм первичных учётных документов и регистров бухгалтерского учёта,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академиями наук, государственными (муниципальными) Управлениями и Методических указаний по их применению»; </w:t>
      </w:r>
    </w:p>
    <w:p>
      <w:pPr>
        <w:pStyle w:val="ConsPlusNonformat"/>
        <w:ind w:firstLine="539"/>
        <w:jc w:val="both"/>
        <w:rPr>
          <w:rFonts w:ascii="Times New Roman" w:hAnsi="Times New Roman" w:cs="Times New Roman"/>
          <w:sz w:val="24"/>
          <w:szCs w:val="24"/>
        </w:rPr>
      </w:pPr>
      <w:r>
        <w:rPr>
          <w:rFonts w:ascii="Times New Roman" w:hAnsi="Times New Roman" w:cs="Times New Roman"/>
          <w:sz w:val="24"/>
          <w:szCs w:val="24"/>
        </w:rPr>
        <w:t>- П</w:t>
      </w:r>
      <w:bookmarkStart w:id="0" w:name="_GoBack"/>
      <w:bookmarkEnd w:id="0"/>
      <w:r>
        <w:rPr>
          <w:rFonts w:ascii="Times New Roman" w:hAnsi="Times New Roman"/>
          <w:sz w:val="24"/>
          <w:szCs w:val="24"/>
          <w:lang w:eastAsia="ru-RU"/>
        </w:rPr>
        <w:t xml:space="preserve">риказ Минфина России от 15.04.2021 </w:t>
      </w:r>
      <w:r>
        <w:rPr>
          <w:rFonts w:ascii="Times New Roman" w:hAnsi="Times New Roman"/>
          <w:sz w:val="24"/>
          <w:szCs w:val="24"/>
        </w:rPr>
        <w:t>№</w:t>
      </w:r>
      <w:r>
        <w:rPr>
          <w:rFonts w:ascii="Times New Roman" w:hAnsi="Times New Roman"/>
          <w:sz w:val="24"/>
          <w:szCs w:val="24"/>
          <w:lang w:eastAsia="ru-RU"/>
        </w:rPr>
        <w:t xml:space="preserve"> 61н</w:t>
      </w:r>
      <w:r>
        <w:rPr>
          <w:rFonts w:ascii="Times New Roman" w:hAnsi="Times New Roman"/>
          <w:sz w:val="24"/>
          <w:szCs w:val="24"/>
        </w:rPr>
        <w:t xml:space="preserve"> «</w:t>
      </w:r>
      <w:r>
        <w:rPr>
          <w:rFonts w:ascii="Times New Roman" w:hAnsi="Times New Roman"/>
          <w:sz w:val="24"/>
          <w:szCs w:val="24"/>
          <w:lang w:eastAsia="ru-RU"/>
        </w:rPr>
        <w:t xml:space="preserve">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w:t>
      </w:r>
      <w:r>
        <w:rPr>
          <w:rFonts w:ascii="Times New Roman" w:hAnsi="Times New Roman"/>
          <w:sz w:val="24"/>
          <w:szCs w:val="24"/>
        </w:rPr>
        <w:t>по их формированию и применению»</w:t>
      </w:r>
    </w:p>
    <w:p>
      <w:pPr>
        <w:pStyle w:val="ConsPlusNonformat"/>
        <w:ind w:firstLine="539"/>
        <w:jc w:val="both"/>
        <w:rPr>
          <w:rFonts w:ascii="Times New Roman" w:hAnsi="Times New Roman" w:cs="Times New Roman"/>
          <w:strike/>
          <w:sz w:val="24"/>
          <w:szCs w:val="24"/>
          <w:highlight w:val="yellow"/>
        </w:rPr>
      </w:pPr>
      <w:r>
        <w:rPr>
          <w:rFonts w:ascii="Times New Roman" w:hAnsi="Times New Roman" w:cs="Times New Roman"/>
          <w:strike/>
          <w:sz w:val="24"/>
          <w:szCs w:val="24"/>
          <w:highlight w:val="yellow"/>
        </w:rPr>
        <w:t xml:space="preserve">- </w:t>
      </w:r>
      <w:hyperlink r:id="rId9" w:history="1">
        <w:r>
          <w:rPr>
            <w:rFonts w:ascii="Times New Roman" w:hAnsi="Times New Roman" w:cs="Times New Roman"/>
            <w:strike/>
            <w:sz w:val="24"/>
            <w:szCs w:val="24"/>
            <w:highlight w:val="yellow"/>
          </w:rPr>
          <w:t>Приказ</w:t>
        </w:r>
      </w:hyperlink>
      <w:r>
        <w:rPr>
          <w:rFonts w:ascii="Times New Roman" w:hAnsi="Times New Roman" w:cs="Times New Roman"/>
          <w:strike/>
          <w:sz w:val="24"/>
          <w:szCs w:val="24"/>
          <w:highlight w:val="yellow"/>
        </w:rPr>
        <w:t xml:space="preserve"> Минфина России от 16.12.2010 № 174н «Об утверждении Плана счетов                 бухгалтерского учёта бюджетных учреждений и Инструкции по его применению»;</w:t>
      </w:r>
    </w:p>
    <w:p>
      <w:pPr>
        <w:autoSpaceDE w:val="0"/>
        <w:autoSpaceDN w:val="0"/>
        <w:adjustRightInd w:val="0"/>
        <w:spacing w:after="0" w:line="240" w:lineRule="auto"/>
        <w:ind w:firstLine="539"/>
        <w:jc w:val="both"/>
        <w:rPr>
          <w:rFonts w:ascii="Times New Roman" w:hAnsi="Times New Roman"/>
          <w:strike/>
          <w:sz w:val="24"/>
          <w:szCs w:val="24"/>
        </w:rPr>
      </w:pPr>
      <w:r>
        <w:rPr>
          <w:rFonts w:ascii="Times New Roman" w:hAnsi="Times New Roman"/>
          <w:strike/>
          <w:sz w:val="24"/>
          <w:szCs w:val="24"/>
          <w:highlight w:val="yellow"/>
        </w:rPr>
        <w:t>- Приказ Минфина России от 23.12.2010г. № 183н «Об утверждении плана счетов                 бухгалтерского учёта автономных учреждений и инструкции по его применению».</w:t>
      </w:r>
    </w:p>
    <w:p>
      <w:pPr>
        <w:pStyle w:val="ConsPlusNonformat"/>
        <w:ind w:firstLine="539"/>
        <w:jc w:val="both"/>
        <w:rPr>
          <w:rFonts w:ascii="Times New Roman" w:hAnsi="Times New Roman" w:cs="Times New Roman"/>
          <w:sz w:val="24"/>
          <w:szCs w:val="24"/>
        </w:rPr>
      </w:pPr>
      <w:r>
        <w:rPr>
          <w:rFonts w:ascii="Times New Roman" w:hAnsi="Times New Roman" w:cs="Times New Roman"/>
          <w:sz w:val="24"/>
          <w:szCs w:val="24"/>
        </w:rPr>
        <w:t>1.3. Основные понятия, используемые в Положении.</w:t>
      </w:r>
    </w:p>
    <w:p>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i/>
          <w:sz w:val="24"/>
          <w:szCs w:val="24"/>
        </w:rPr>
        <w:t>Принятые обязательства Управления</w:t>
      </w:r>
      <w:r>
        <w:rPr>
          <w:rFonts w:ascii="Times New Roman" w:hAnsi="Times New Roman"/>
          <w:sz w:val="24"/>
          <w:szCs w:val="24"/>
        </w:rPr>
        <w:t xml:space="preserve"> - обусловленные законом, иным нормативным правовым актом, договором или соглашением обязанности Управления предоставить               в соответствующем году физическому или юридическому лицу, иному публично-правовому образованию, субъекту международного права денежные средства Управления.</w:t>
      </w:r>
    </w:p>
    <w:p>
      <w:pPr>
        <w:pStyle w:val="ConsPlusNonformat"/>
        <w:ind w:firstLine="540"/>
        <w:jc w:val="both"/>
        <w:rPr>
          <w:rFonts w:ascii="Times New Roman" w:hAnsi="Times New Roman" w:cs="Times New Roman"/>
          <w:sz w:val="24"/>
          <w:szCs w:val="24"/>
        </w:rPr>
      </w:pPr>
      <w:r>
        <w:rPr>
          <w:rFonts w:ascii="Times New Roman" w:hAnsi="Times New Roman" w:cs="Times New Roman"/>
          <w:i/>
          <w:sz w:val="24"/>
          <w:szCs w:val="24"/>
        </w:rPr>
        <w:t>Принятые денежные обязательства</w:t>
      </w:r>
      <w:r>
        <w:rPr>
          <w:rFonts w:ascii="Times New Roman" w:hAnsi="Times New Roman" w:cs="Times New Roman"/>
          <w:sz w:val="24"/>
          <w:szCs w:val="24"/>
        </w:rPr>
        <w:t xml:space="preserve"> отражаются, когда по условиям договора или              в соответствии с законами, иными нормативными актами у Управления возникла                 обязанность уплатить денежные средства по принятым обязательствам. Аналитический учёт принятых обязательств (денежных обязательств) ведётся в журнале регистрации              обязательств </w:t>
      </w:r>
      <w:hyperlink r:id="rId10" w:history="1">
        <w:r>
          <w:rPr>
            <w:rFonts w:ascii="Times New Roman" w:hAnsi="Times New Roman" w:cs="Times New Roman"/>
            <w:sz w:val="24"/>
            <w:szCs w:val="24"/>
          </w:rPr>
          <w:t>(ф. 0504064)</w:t>
        </w:r>
      </w:hyperlink>
      <w:r>
        <w:rPr>
          <w:rFonts w:ascii="Times New Roman" w:hAnsi="Times New Roman" w:cs="Times New Roman"/>
          <w:sz w:val="24"/>
          <w:szCs w:val="24"/>
        </w:rPr>
        <w:t>, в котором указываются основание для их принятия (наименование, номер и дата документа), номер счёта бухгалтерского учёта и сумма (в рублях,                иностранной валюте), дата постановки обязательства (денежного обязательства) на учёт                и дата снятия с бухгалтерского учёта.</w:t>
      </w:r>
    </w:p>
    <w:p>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i/>
          <w:sz w:val="24"/>
          <w:szCs w:val="24"/>
        </w:rPr>
        <w:t>Принимаемые обязательства</w:t>
      </w:r>
      <w:r>
        <w:rPr>
          <w:rFonts w:ascii="Times New Roman" w:hAnsi="Times New Roman"/>
          <w:sz w:val="24"/>
          <w:szCs w:val="24"/>
        </w:rPr>
        <w:t xml:space="preserve"> – обусловленные законом, иным нормативным                 правовым актом обязанности учреждений предоставить с использованием конкурентных способов определения поставщиков (подрядчиков, исполнителей) (конкурсы, аукционы, запрос котировок, запрос предложений) </w:t>
      </w:r>
      <w:r>
        <w:rPr>
          <w:rFonts w:ascii="Times New Roman" w:hAnsi="Times New Roman"/>
          <w:bCs/>
          <w:sz w:val="24"/>
          <w:szCs w:val="24"/>
        </w:rPr>
        <w:t>или при осуществлении закупки у единственного поставщика (подрядчика, исполнителя) (при условии размещения извещения, приглашения принять участие)</w:t>
      </w:r>
      <w:r>
        <w:rPr>
          <w:rFonts w:ascii="Times New Roman" w:hAnsi="Times New Roman"/>
          <w:sz w:val="24"/>
          <w:szCs w:val="24"/>
        </w:rPr>
        <w:t xml:space="preserve"> в соответствующем финансовом году денежные средства. Суммы                 </w:t>
      </w:r>
      <w:r>
        <w:rPr>
          <w:rFonts w:ascii="Times New Roman" w:hAnsi="Times New Roman"/>
          <w:sz w:val="24"/>
          <w:szCs w:val="24"/>
        </w:rPr>
        <w:lastRenderedPageBreak/>
        <w:t xml:space="preserve">принимаемых обязательств определяются в размере начальной (максимальной) цены              контракта (договора) на основании размещаемых в единой информационной системе                    в сфере закупок извещений об осуществлении закупок (направленных приглашений               принять участие в определении поставщика (подрядчика, исполнителя)) с использованием конкурентных способов определения поставщиков (подрядчиков, исполнителей) </w:t>
      </w:r>
      <w:r>
        <w:rPr>
          <w:rFonts w:ascii="Times New Roman" w:hAnsi="Times New Roman"/>
          <w:bCs/>
          <w:sz w:val="24"/>
          <w:szCs w:val="24"/>
        </w:rPr>
        <w:t>или при осуществлении закупки у единственного поставщика (подрядчика, исполнителя) (при                условии размещения извещения, приглашения принять участие)</w:t>
      </w:r>
      <w:r>
        <w:rPr>
          <w:rFonts w:ascii="Times New Roman" w:hAnsi="Times New Roman"/>
          <w:sz w:val="24"/>
          <w:szCs w:val="24"/>
        </w:rPr>
        <w:t>.</w:t>
      </w:r>
    </w:p>
    <w:p>
      <w:pPr>
        <w:pStyle w:val="ConsPlusNonformat"/>
        <w:jc w:val="both"/>
        <w:rPr>
          <w:rFonts w:ascii="Times New Roman" w:hAnsi="Times New Roman" w:cs="Times New Roman"/>
          <w:iCs/>
          <w:sz w:val="24"/>
          <w:szCs w:val="24"/>
        </w:rPr>
      </w:pPr>
      <w:r>
        <w:rPr>
          <w:rFonts w:ascii="Times New Roman" w:hAnsi="Times New Roman" w:cs="Times New Roman"/>
          <w:sz w:val="24"/>
          <w:szCs w:val="24"/>
        </w:rPr>
        <w:tab/>
      </w:r>
      <w:r>
        <w:rPr>
          <w:rFonts w:ascii="Times New Roman" w:hAnsi="Times New Roman" w:cs="Times New Roman"/>
          <w:i/>
          <w:sz w:val="24"/>
          <w:szCs w:val="24"/>
        </w:rPr>
        <w:t xml:space="preserve">Отложенные обязательства – </w:t>
      </w:r>
      <w:r>
        <w:rPr>
          <w:rFonts w:ascii="Times New Roman" w:hAnsi="Times New Roman" w:cs="Times New Roman"/>
          <w:sz w:val="24"/>
          <w:szCs w:val="24"/>
        </w:rPr>
        <w:t>обязательства,</w:t>
      </w:r>
      <w:r>
        <w:rPr>
          <w:rFonts w:ascii="Times New Roman" w:hAnsi="Times New Roman" w:cs="Times New Roman"/>
          <w:iCs/>
          <w:sz w:val="24"/>
          <w:szCs w:val="24"/>
        </w:rPr>
        <w:t xml:space="preserve"> величина которых определена               на момент их принятия условно (расчётно) и (или) по которым не определено время               (финансовый период) их исполнения, при условии создания в учёте Управления по данным обязательствам резерва предстоящих расходов.</w:t>
      </w:r>
    </w:p>
    <w:p>
      <w:pPr>
        <w:autoSpaceDE w:val="0"/>
        <w:autoSpaceDN w:val="0"/>
        <w:adjustRightInd w:val="0"/>
        <w:spacing w:after="0" w:line="240" w:lineRule="auto"/>
        <w:jc w:val="both"/>
        <w:rPr>
          <w:rFonts w:ascii="Times New Roman" w:hAnsi="Times New Roman"/>
          <w:iCs/>
          <w:sz w:val="24"/>
          <w:szCs w:val="24"/>
        </w:rPr>
      </w:pPr>
      <w:r>
        <w:rPr>
          <w:rFonts w:ascii="Times New Roman" w:hAnsi="Times New Roman"/>
          <w:iCs/>
          <w:sz w:val="24"/>
          <w:szCs w:val="24"/>
        </w:rPr>
        <w:tab/>
        <w:t>1.4. Обязательства в Управлении принимаются в пределах утвержденной бюджетной сметы.</w:t>
      </w:r>
    </w:p>
    <w:p>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1.5.</w:t>
      </w:r>
      <w:r>
        <w:t> </w:t>
      </w:r>
      <w:r>
        <w:rPr>
          <w:rFonts w:ascii="Times New Roman" w:hAnsi="Times New Roman"/>
          <w:sz w:val="24"/>
          <w:szCs w:val="24"/>
        </w:rPr>
        <w:t>Операции по санкционированию обязательств, принимаемых, принятых                 в текущем финансовом году Управлением, формируются с учётом принимаемых, принятых и неисполненных обязательств прошлых лет.</w:t>
      </w:r>
    </w:p>
    <w:p>
      <w:pPr>
        <w:autoSpaceDE w:val="0"/>
        <w:autoSpaceDN w:val="0"/>
        <w:adjustRightInd w:val="0"/>
        <w:spacing w:after="0" w:line="240" w:lineRule="auto"/>
        <w:jc w:val="both"/>
        <w:rPr>
          <w:rFonts w:ascii="Times New Roman" w:hAnsi="Times New Roman"/>
          <w:i/>
          <w:sz w:val="24"/>
          <w:szCs w:val="24"/>
        </w:rPr>
      </w:pPr>
      <w:r>
        <w:rPr>
          <w:rFonts w:ascii="Times New Roman" w:hAnsi="Times New Roman"/>
          <w:iCs/>
          <w:sz w:val="24"/>
          <w:szCs w:val="24"/>
        </w:rPr>
        <w:t xml:space="preserve"> </w:t>
      </w:r>
    </w:p>
    <w:p>
      <w:pPr>
        <w:pStyle w:val="ConsPlusNonformat"/>
        <w:jc w:val="center"/>
        <w:rPr>
          <w:rFonts w:ascii="Times New Roman" w:hAnsi="Times New Roman" w:cs="Times New Roman"/>
          <w:b/>
          <w:sz w:val="24"/>
          <w:szCs w:val="24"/>
        </w:rPr>
      </w:pPr>
      <w:r>
        <w:rPr>
          <w:rFonts w:ascii="Times New Roman" w:hAnsi="Times New Roman" w:cs="Times New Roman"/>
          <w:b/>
          <w:sz w:val="24"/>
          <w:szCs w:val="24"/>
        </w:rPr>
        <w:t>2. Порядок санкционирования расходов</w:t>
      </w:r>
    </w:p>
    <w:p>
      <w:pPr>
        <w:pStyle w:val="ConsPlusNonformat"/>
        <w:jc w:val="both"/>
        <w:rPr>
          <w:rFonts w:ascii="Times New Roman" w:hAnsi="Times New Roman" w:cs="Times New Roman"/>
          <w:sz w:val="24"/>
          <w:szCs w:val="24"/>
        </w:rPr>
      </w:pPr>
    </w:p>
    <w:p>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2.1. Документами, подтверждающими принятие (возникновение) обязательств,                     являются (п. 318 Единого плана счетов):</w:t>
      </w:r>
    </w:p>
    <w:p>
      <w:pPr>
        <w:pStyle w:val="ConsPlusNonformat"/>
        <w:ind w:firstLine="539"/>
        <w:jc w:val="both"/>
        <w:rPr>
          <w:rFonts w:ascii="Times New Roman" w:hAnsi="Times New Roman" w:cs="Times New Roman"/>
          <w:sz w:val="24"/>
          <w:szCs w:val="24"/>
        </w:rPr>
      </w:pPr>
      <w:r>
        <w:rPr>
          <w:rFonts w:ascii="Times New Roman" w:hAnsi="Times New Roman"/>
          <w:sz w:val="24"/>
          <w:szCs w:val="24"/>
        </w:rPr>
        <w:t>- приказ об утверждении штатного расписания с расчётом годового фонда оплаты труда;</w:t>
      </w:r>
      <w:r>
        <w:rPr>
          <w:rFonts w:ascii="Times New Roman" w:hAnsi="Times New Roman" w:cs="Times New Roman"/>
          <w:sz w:val="24"/>
          <w:szCs w:val="24"/>
        </w:rPr>
        <w:t xml:space="preserve"> Осуществлять корректировку принимаемых обязательств на момент изменения цены контракта.</w:t>
      </w:r>
    </w:p>
    <w:p>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гражданско-правовой договор с юридическим или физическим лицом на выполнение работ, оказание услуг, поставку материальных ценностей;</w:t>
      </w:r>
    </w:p>
    <w:p>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при отсутствии договора –счёт, акт выполненных работ (оказанных услуг), счёт-фактура, товарная накладная, универсальный передаточный документ, справка-расчёт, чек;</w:t>
      </w:r>
    </w:p>
    <w:p>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согласованное руководителем заявление на выдачу под отчёт денежных средств или авансовый отчет;</w:t>
      </w:r>
    </w:p>
    <w:p>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налоговая декларация, налоговый расчёт (расчёт авансовых платежей), расчёт по страховым взносам, решение налогового органа о взыскании налога, сбора, пеней                         и штрафов;</w:t>
      </w:r>
    </w:p>
    <w:p>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исполнительный лист, судебный приказ;</w:t>
      </w:r>
    </w:p>
    <w:p>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извещение об осуществлении закупки;</w:t>
      </w:r>
    </w:p>
    <w:p>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иной документ, в соответствии с которым возникает обязательство.</w:t>
      </w:r>
    </w:p>
    <w:p>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2.2. Документами, подтверждающими денежное обязательство, являются (п. 318             Единого плана счетов):</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 - расчётная ведомость </w:t>
      </w:r>
      <w:hyperlink r:id="rId11" w:history="1">
        <w:r>
          <w:rPr>
            <w:rFonts w:ascii="Times New Roman" w:hAnsi="Times New Roman"/>
            <w:sz w:val="24"/>
            <w:szCs w:val="24"/>
          </w:rPr>
          <w:t>(ф. 0504402)</w:t>
        </w:r>
      </w:hyperlink>
      <w:r>
        <w:rPr>
          <w:rFonts w:ascii="Times New Roman" w:hAnsi="Times New Roman"/>
          <w:sz w:val="24"/>
          <w:szCs w:val="24"/>
        </w:rPr>
        <w:t>;</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 - счет, счет-фактура, товарная накладная, универсальный передаточный документ, справка-расчёт, чек;</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акт выполненных работ (оказанных услуг), акт приема-передачи;</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согласованное руководителем заявление на выдачу под отчет денежных средств или авансовый отчет;</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налоговая декларация, налоговый расчёт (расчёт авансовых платежей), расчёт по страховым взносам, решение налогового органа о взыскании налога, сбора, пеней                         и штрафов;</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исполнительный лист, судебный приказ;</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 бухгалтерская справка </w:t>
      </w:r>
      <w:hyperlink r:id="rId12" w:history="1">
        <w:r>
          <w:rPr>
            <w:rFonts w:ascii="Times New Roman" w:hAnsi="Times New Roman"/>
            <w:sz w:val="24"/>
            <w:szCs w:val="24"/>
          </w:rPr>
          <w:t>(ф. 0504833)</w:t>
        </w:r>
      </w:hyperlink>
      <w:r>
        <w:rPr>
          <w:rFonts w:ascii="Times New Roman" w:hAnsi="Times New Roman"/>
          <w:sz w:val="24"/>
          <w:szCs w:val="24"/>
        </w:rPr>
        <w:t>;</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иной документ, подтверждающий возникновение денежного обязательства                          по обязательству.</w:t>
      </w:r>
    </w:p>
    <w:p>
      <w:pPr>
        <w:pStyle w:val="ConsPlusNonformat"/>
        <w:ind w:firstLine="539"/>
        <w:jc w:val="both"/>
        <w:rPr>
          <w:rFonts w:ascii="Times New Roman" w:hAnsi="Times New Roman" w:cs="Times New Roman"/>
          <w:sz w:val="24"/>
          <w:szCs w:val="24"/>
        </w:rPr>
      </w:pPr>
      <w:r>
        <w:rPr>
          <w:rFonts w:ascii="Times New Roman" w:hAnsi="Times New Roman" w:cs="Times New Roman"/>
          <w:sz w:val="24"/>
          <w:szCs w:val="24"/>
        </w:rPr>
        <w:lastRenderedPageBreak/>
        <w:t xml:space="preserve">2.3. Обязательства, денежные обязательства в части начисления и выплаты заработной платы и сумм страховых взносов принимаются к учёту следующим образом.                 </w:t>
      </w:r>
    </w:p>
    <w:p>
      <w:pPr>
        <w:pStyle w:val="ConsPlusNonformat"/>
        <w:ind w:firstLine="539"/>
        <w:jc w:val="both"/>
        <w:rPr>
          <w:rFonts w:ascii="Times New Roman" w:hAnsi="Times New Roman" w:cs="Times New Roman"/>
          <w:sz w:val="24"/>
          <w:szCs w:val="24"/>
        </w:rPr>
      </w:pPr>
      <w:r>
        <w:rPr>
          <w:rFonts w:ascii="Times New Roman" w:hAnsi="Times New Roman" w:cs="Times New Roman"/>
          <w:sz w:val="24"/>
          <w:szCs w:val="24"/>
        </w:rPr>
        <w:t xml:space="preserve">На счётах санкционирования расходов годовой размер фонда оплаты труда отражается как принятие обязательств. В размере годового размера начисления и уплаты страховых взносов отражается на счётах по учёту санкционирования расходов объем принятых             обязательств по начислению и уплате страховых взносов. Принятие денежных обязательств производится в день начисления заработной платы работникам, страховых взносов для            уплаты в бюджет. </w:t>
      </w:r>
    </w:p>
    <w:p>
      <w:pPr>
        <w:pStyle w:val="ConsPlusNonformat"/>
        <w:ind w:firstLine="539"/>
        <w:jc w:val="both"/>
        <w:rPr>
          <w:rFonts w:ascii="Times New Roman" w:hAnsi="Times New Roman" w:cs="Times New Roman"/>
          <w:sz w:val="24"/>
          <w:szCs w:val="24"/>
        </w:rPr>
      </w:pPr>
      <w:r>
        <w:rPr>
          <w:rFonts w:ascii="Times New Roman" w:hAnsi="Times New Roman" w:cs="Times New Roman"/>
          <w:sz w:val="24"/>
          <w:szCs w:val="24"/>
        </w:rPr>
        <w:t xml:space="preserve">В случае депонирования заработной платы суммы принятых денежных обязательств корректируются методом «Красное сторно», в последующем при снятии данных сумм                  в кассу Управления для выдачи депонированных сумм эта операция отражается на счётах санкционирования расходов как принятие денежных обязательств.             </w:t>
      </w:r>
    </w:p>
    <w:p>
      <w:pPr>
        <w:pStyle w:val="ConsPlusNonformat"/>
        <w:ind w:firstLine="539"/>
        <w:jc w:val="both"/>
        <w:rPr>
          <w:rFonts w:ascii="Times New Roman" w:hAnsi="Times New Roman" w:cs="Times New Roman"/>
          <w:sz w:val="24"/>
          <w:szCs w:val="24"/>
        </w:rPr>
      </w:pPr>
      <w:r>
        <w:rPr>
          <w:rFonts w:ascii="Times New Roman" w:hAnsi="Times New Roman" w:cs="Times New Roman"/>
          <w:sz w:val="24"/>
          <w:szCs w:val="24"/>
        </w:rPr>
        <w:t xml:space="preserve">2.4. При выдаче аванса подотчётным лицам на счётах санкционирования расходов сумма авансового платежа отражается как принятие обязательств, принятие денежных              обязательств. При представлении подотчётным лицом авансового отчёта сумма принятых обязательств, принятых денежных обязательств корректируется.           </w:t>
      </w:r>
    </w:p>
    <w:p>
      <w:pPr>
        <w:pStyle w:val="ConsPlusNonformat"/>
        <w:ind w:firstLine="539"/>
        <w:jc w:val="both"/>
        <w:rPr>
          <w:rFonts w:ascii="Times New Roman" w:hAnsi="Times New Roman" w:cs="Times New Roman"/>
          <w:sz w:val="24"/>
          <w:szCs w:val="24"/>
        </w:rPr>
      </w:pPr>
      <w:r>
        <w:rPr>
          <w:rFonts w:ascii="Times New Roman" w:hAnsi="Times New Roman" w:cs="Times New Roman"/>
          <w:sz w:val="24"/>
          <w:szCs w:val="24"/>
        </w:rPr>
        <w:t xml:space="preserve">Остатки авансовых платежей, выданных подотчётным лицам, числящиеся на начало отчётного года по соответствующим счетам аналитического учёта счёта 0 208 00 000             «Расчёты с подотчётными лицами», а также кредитовые обороты, изменяющие указанные расчёты, в показатели принятых денежных обязательств текущего периода не включаются.        </w:t>
      </w:r>
    </w:p>
    <w:p>
      <w:pPr>
        <w:pStyle w:val="ConsPlusNonformat"/>
        <w:ind w:firstLine="539"/>
        <w:jc w:val="both"/>
        <w:rPr>
          <w:rFonts w:ascii="Times New Roman" w:hAnsi="Times New Roman" w:cs="Times New Roman"/>
          <w:sz w:val="24"/>
          <w:szCs w:val="24"/>
        </w:rPr>
      </w:pPr>
      <w:r>
        <w:rPr>
          <w:rFonts w:ascii="Times New Roman" w:hAnsi="Times New Roman" w:cs="Times New Roman"/>
          <w:sz w:val="24"/>
          <w:szCs w:val="24"/>
        </w:rPr>
        <w:t xml:space="preserve">2.5. Суммы начисленных платежей в бюджет, бюджеты внебюджетных фондов             отражаются в учёте Управления как принятые обязательства. При перечислении данных сумм в бюджет, бюджеты внебюджетных фондов в учёте Управления делается запись,             отражающая принятие денежных обязательств по уплате данных платежей в бюджет.          </w:t>
      </w:r>
    </w:p>
    <w:p>
      <w:pPr>
        <w:pStyle w:val="ConsPlusNonformat"/>
        <w:ind w:firstLine="539"/>
        <w:jc w:val="both"/>
        <w:rPr>
          <w:rFonts w:ascii="Times New Roman" w:hAnsi="Times New Roman" w:cs="Times New Roman"/>
          <w:sz w:val="24"/>
          <w:szCs w:val="24"/>
        </w:rPr>
      </w:pPr>
      <w:r>
        <w:rPr>
          <w:rFonts w:ascii="Times New Roman" w:hAnsi="Times New Roman" w:cs="Times New Roman"/>
          <w:sz w:val="24"/>
          <w:szCs w:val="24"/>
        </w:rPr>
        <w:t xml:space="preserve">Показатели расчётов по излишне уплаченным платежам (налогам, взносам, пошлинам, сборам и иным обязательным платежам), числящиеся на начало текущего периода                по соответствующим счётам аналитического учёта счёта 0 303 00 000 «Расчёты                    по платежам в бюджеты», а также кредитовые обороты, изменяющие указанные расчёты,            в принятых денежных обязательствах текущего периода не учитываются.             </w:t>
      </w:r>
      <w:r>
        <w:rPr>
          <w:rFonts w:ascii="Times New Roman" w:hAnsi="Times New Roman" w:cs="Times New Roman"/>
          <w:sz w:val="24"/>
          <w:szCs w:val="24"/>
        </w:rPr>
        <w:tab/>
      </w:r>
    </w:p>
    <w:p>
      <w:pPr>
        <w:pStyle w:val="ConsPlusNonformat"/>
        <w:ind w:firstLine="539"/>
        <w:jc w:val="both"/>
        <w:rPr>
          <w:rFonts w:ascii="Times New Roman" w:hAnsi="Times New Roman" w:cs="Times New Roman"/>
          <w:sz w:val="24"/>
          <w:szCs w:val="24"/>
        </w:rPr>
      </w:pPr>
      <w:r>
        <w:rPr>
          <w:rFonts w:ascii="Times New Roman" w:hAnsi="Times New Roman" w:cs="Times New Roman"/>
          <w:sz w:val="24"/>
          <w:szCs w:val="24"/>
        </w:rPr>
        <w:t>2.6. Принимаемое обязательство отражается в учёте в момент размещения Извещения о проведении закупочных процедур. Осуществлять корректировку принимаемых обязательств на момент изменения цены контракта.</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2.7. Показатели по санкционированию расходов отражаются в разрезе групп объектов учёта, формируемых по соответствующим финансовым периодам (</w:t>
      </w:r>
      <w:hyperlink r:id="rId13" w:history="1">
        <w:r>
          <w:rPr>
            <w:rFonts w:ascii="Times New Roman" w:hAnsi="Times New Roman"/>
            <w:sz w:val="24"/>
            <w:szCs w:val="24"/>
          </w:rPr>
          <w:t>п. 309</w:t>
        </w:r>
      </w:hyperlink>
      <w:r>
        <w:rPr>
          <w:rFonts w:ascii="Times New Roman" w:hAnsi="Times New Roman"/>
          <w:sz w:val="24"/>
          <w:szCs w:val="24"/>
        </w:rPr>
        <w:t xml:space="preserve"> Единого плана счетов):</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- 1 - текущий финансовый год;</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- 2 - первый год, следующий за текущим (очередным финансовым годом);</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- 3 - второй год, следующий за текущим (первым годом, следующим за очередным);</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- 4 - второй год, следующий за очередным;</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- 9 - иной очередной год (за пределами планового периода).</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2.8. Изменения в текущем финансовом году в утвержденных показателях                         санкционирования расходов показываются в учёте следующим образом (</w:t>
      </w:r>
      <w:hyperlink r:id="rId14" w:history="1">
        <w:r>
          <w:rPr>
            <w:rFonts w:ascii="Times New Roman" w:hAnsi="Times New Roman"/>
            <w:sz w:val="24"/>
            <w:szCs w:val="24"/>
          </w:rPr>
          <w:t>п. 311</w:t>
        </w:r>
      </w:hyperlink>
      <w:r>
        <w:rPr>
          <w:rFonts w:ascii="Times New Roman" w:hAnsi="Times New Roman"/>
          <w:sz w:val="24"/>
          <w:szCs w:val="24"/>
        </w:rPr>
        <w:t xml:space="preserve"> Единого плана счетов):</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при увеличении показателей - со знаком плюс;</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при уменьшении показателей - со знаком минус.</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2.9.</w:t>
      </w:r>
      <w:r>
        <w:rPr>
          <w:noProof/>
          <w:lang w:eastAsia="ru-RU"/>
        </w:rPr>
        <mc:AlternateContent>
          <mc:Choice Requires="wps">
            <w:drawing>
              <wp:anchor distT="0" distB="0" distL="114300" distR="114300" simplePos="0" relativeHeight="251658240" behindDoc="0" locked="0" layoutInCell="0" allowOverlap="1">
                <wp:simplePos x="0" y="0"/>
                <wp:positionH relativeFrom="page">
                  <wp:posOffset>7118985</wp:posOffset>
                </wp:positionH>
                <wp:positionV relativeFrom="page">
                  <wp:posOffset>10031730</wp:posOffset>
                </wp:positionV>
                <wp:extent cx="368300" cy="274320"/>
                <wp:effectExtent l="13335" t="11430" r="8890" b="9525"/>
                <wp:wrapNone/>
                <wp:docPr id="1" name="Автофигура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pPr>
                              <w:jc w:val="center"/>
                            </w:pPr>
                            <w:r>
                              <w:fldChar w:fldCharType="begin"/>
                            </w:r>
                            <w:r>
                              <w:instrText>PAGE    \* MERGEFORMAT</w:instrText>
                            </w:r>
                            <w:r>
                              <w:fldChar w:fldCharType="separate"/>
                            </w:r>
                            <w:r>
                              <w:rPr>
                                <w:noProof/>
                                <w:sz w:val="16"/>
                                <w:szCs w:val="16"/>
                              </w:rPr>
                              <w:t>3</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Автофигура 1" o:spid="_x0000_s1026" type="#_x0000_t65" style="position:absolute;left:0;text-align:left;margin-left:560.55pt;margin-top:789.9pt;width:29pt;height:21.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" o:allowincell="f" adj="14135" strokecolor="gray" strokeweight=".25pt">
                <v:textbox>
                  <w:txbxContent>
                    <w:p>
                      <w:pPr>
                        <w:jc w:val="center"/>
                      </w:pPr>
                      <w:r>
                        <w:fldChar w:fldCharType="begin"/>
                      </w:r>
                      <w:r>
                        <w:instrText>PAGE    \* MERGEFORMAT</w:instrText>
                      </w:r>
                      <w:r>
                        <w:fldChar w:fldCharType="separate"/>
                      </w:r>
                      <w:r>
                        <w:rPr>
                          <w:noProof/>
                          <w:sz w:val="16"/>
                          <w:szCs w:val="16"/>
                        </w:rPr>
                        <w:t>3</w:t>
                      </w:r>
                      <w:r>
                        <w:fldChar w:fldCharType="end"/>
                      </w:r>
                    </w:p>
                  </w:txbxContent>
                </v:textbox>
                <w10:wrap anchorx="page" anchory="page"/>
              </v:shape>
            </w:pict>
          </mc:Fallback>
        </mc:AlternateContent>
      </w:r>
      <w:r>
        <w:rPr>
          <w:rFonts w:ascii="Times New Roman" w:hAnsi="Times New Roman"/>
          <w:sz w:val="24"/>
          <w:szCs w:val="24"/>
        </w:rPr>
        <w:t xml:space="preserve"> Учёт операций с бюджетными средствами, утвержденными бюджетной сметой (плановыми, прогнозными) назначениями, и обязательствами осуществляется в Журнале по прочим операциям </w:t>
      </w:r>
      <w:hyperlink r:id="rId15" w:history="1">
        <w:r>
          <w:rPr>
            <w:rFonts w:ascii="Times New Roman" w:hAnsi="Times New Roman"/>
            <w:sz w:val="24"/>
            <w:szCs w:val="24"/>
          </w:rPr>
          <w:t>(ф. 0504071)</w:t>
        </w:r>
      </w:hyperlink>
      <w:r>
        <w:rPr>
          <w:rFonts w:ascii="Times New Roman" w:hAnsi="Times New Roman"/>
          <w:sz w:val="24"/>
          <w:szCs w:val="24"/>
        </w:rPr>
        <w:t xml:space="preserve"> на основании первичных документов (учётных                        документов).</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По истечении месяца данные оборотов по счётам из соответствующих Журналов            операций записываются в Главную книгу </w:t>
      </w:r>
      <w:hyperlink r:id="rId16" w:history="1">
        <w:r>
          <w:rPr>
            <w:rFonts w:ascii="Times New Roman" w:hAnsi="Times New Roman"/>
            <w:sz w:val="24"/>
            <w:szCs w:val="24"/>
          </w:rPr>
          <w:t>(ф. 0504072)</w:t>
        </w:r>
      </w:hyperlink>
      <w:r>
        <w:rPr>
          <w:rFonts w:ascii="Times New Roman" w:hAnsi="Times New Roman"/>
          <w:sz w:val="24"/>
          <w:szCs w:val="24"/>
        </w:rPr>
        <w:t xml:space="preserve"> (</w:t>
      </w:r>
      <w:hyperlink r:id="rId17" w:history="1">
        <w:r>
          <w:rPr>
            <w:rFonts w:ascii="Times New Roman" w:hAnsi="Times New Roman"/>
            <w:sz w:val="24"/>
            <w:szCs w:val="24"/>
          </w:rPr>
          <w:t>п. 11</w:t>
        </w:r>
      </w:hyperlink>
      <w:r>
        <w:rPr>
          <w:rFonts w:ascii="Times New Roman" w:hAnsi="Times New Roman"/>
          <w:sz w:val="24"/>
          <w:szCs w:val="24"/>
        </w:rPr>
        <w:t xml:space="preserve"> ЕПС).</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Информация по счётам санкционирования подлежит обязательному отражению                   в Журнале по прочим операциям </w:t>
      </w:r>
      <w:hyperlink r:id="rId18" w:history="1">
        <w:r>
          <w:rPr>
            <w:rFonts w:ascii="Times New Roman" w:hAnsi="Times New Roman"/>
            <w:sz w:val="24"/>
            <w:szCs w:val="24"/>
          </w:rPr>
          <w:t>(ф. 0504071)</w:t>
        </w:r>
      </w:hyperlink>
      <w:r>
        <w:rPr>
          <w:rFonts w:ascii="Times New Roman" w:hAnsi="Times New Roman"/>
          <w:sz w:val="24"/>
          <w:szCs w:val="24"/>
        </w:rPr>
        <w:t xml:space="preserve"> и в Главной книге </w:t>
      </w:r>
      <w:hyperlink r:id="rId19" w:history="1">
        <w:r>
          <w:rPr>
            <w:rFonts w:ascii="Times New Roman" w:hAnsi="Times New Roman"/>
            <w:sz w:val="24"/>
            <w:szCs w:val="24"/>
          </w:rPr>
          <w:t>(ф. 0504072)</w:t>
        </w:r>
      </w:hyperlink>
      <w:r>
        <w:rPr>
          <w:rFonts w:ascii="Times New Roman" w:hAnsi="Times New Roman"/>
          <w:sz w:val="24"/>
          <w:szCs w:val="24"/>
        </w:rPr>
        <w:t>.</w:t>
      </w:r>
    </w:p>
    <w:p>
      <w:pPr>
        <w:autoSpaceDE w:val="0"/>
        <w:autoSpaceDN w:val="0"/>
        <w:adjustRightInd w:val="0"/>
        <w:spacing w:after="0" w:line="240" w:lineRule="auto"/>
        <w:ind w:firstLine="540"/>
        <w:jc w:val="both"/>
        <w:rPr>
          <w:rFonts w:ascii="Times New Roman" w:hAnsi="Times New Roman"/>
          <w:sz w:val="24"/>
          <w:szCs w:val="24"/>
        </w:rPr>
      </w:pPr>
    </w:p>
    <w:p>
      <w:pPr>
        <w:pStyle w:val="ConsPlusNonformat"/>
        <w:jc w:val="center"/>
        <w:rPr>
          <w:rFonts w:ascii="Times New Roman" w:hAnsi="Times New Roman"/>
          <w:b/>
          <w:sz w:val="24"/>
          <w:szCs w:val="24"/>
          <w:lang w:eastAsia="ru-RU"/>
        </w:rPr>
      </w:pPr>
      <w:r>
        <w:rPr>
          <w:rFonts w:ascii="Times New Roman" w:hAnsi="Times New Roman"/>
          <w:b/>
          <w:bCs/>
          <w:sz w:val="24"/>
          <w:szCs w:val="24"/>
          <w:lang w:eastAsia="ru-RU"/>
        </w:rPr>
        <w:t>3. Заключительные положения</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rPr>
          <w:rFonts w:ascii="Times New Roman" w:hAnsi="Times New Roman"/>
          <w:sz w:val="24"/>
          <w:szCs w:val="24"/>
          <w:lang w:eastAsia="ru-RU"/>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lang w:eastAsia="ru-RU"/>
        </w:rPr>
      </w:pPr>
      <w:r>
        <w:rPr>
          <w:rFonts w:ascii="Times New Roman" w:hAnsi="Times New Roman"/>
          <w:sz w:val="24"/>
          <w:szCs w:val="24"/>
          <w:lang w:eastAsia="ru-RU"/>
        </w:rPr>
        <w:t xml:space="preserve">3.1. Все изменения и дополнения к настоящему положению утверждаются                                руководителем Управления. </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lang w:eastAsia="ru-RU"/>
        </w:rPr>
      </w:pPr>
      <w:r>
        <w:rPr>
          <w:rFonts w:ascii="Times New Roman" w:hAnsi="Times New Roman"/>
          <w:sz w:val="24"/>
          <w:szCs w:val="24"/>
          <w:lang w:eastAsia="ru-RU"/>
        </w:rPr>
        <w:t>3.2. Если в результате изменения действующего законодательства России отдельные статьи настоящего положения вступят с ним в противоречие, они утрачивают силу,                  преимущественную силу имеют положения действующего законодательства России.</w:t>
      </w:r>
    </w:p>
    <w:p/>
    <w:sectPr>
      <w:pgSz w:w="11905" w:h="16838"/>
      <w:pgMar w:top="1134" w:right="709" w:bottom="1134" w:left="1701"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AEB1AE-BDFE-4179-BA06-62C699232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Times New Roman"/>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pPr>
      <w:autoSpaceDE w:val="0"/>
      <w:autoSpaceDN w:val="0"/>
      <w:adjustRightInd w:val="0"/>
      <w:spacing w:after="0" w:line="240" w:lineRule="auto"/>
    </w:pPr>
    <w:rPr>
      <w:rFonts w:ascii="Courier New" w:hAnsi="Courier New" w:cs="Courier New"/>
      <w:sz w:val="20"/>
      <w:szCs w:val="20"/>
      <w:lang w:eastAsia="en-US"/>
    </w:rPr>
  </w:style>
  <w:style w:type="table" w:styleId="a3">
    <w:name w:val="Table Grid"/>
    <w:basedOn w:val="a1"/>
    <w:uiPriority w:val="99"/>
    <w:pPr>
      <w:spacing w:after="0" w:line="240" w:lineRule="auto"/>
    </w:pPr>
    <w:rPr>
      <w:rFonts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pPr>
      <w:tabs>
        <w:tab w:val="center" w:pos="4677"/>
        <w:tab w:val="right" w:pos="9355"/>
      </w:tabs>
      <w:spacing w:after="0" w:line="240" w:lineRule="auto"/>
    </w:pPr>
    <w:rPr>
      <w:rFonts w:ascii="Times New Roman" w:hAnsi="Times New Roman"/>
      <w:sz w:val="24"/>
      <w:szCs w:val="24"/>
      <w:lang w:eastAsia="ru-RU"/>
    </w:rPr>
  </w:style>
  <w:style w:type="character" w:customStyle="1" w:styleId="a5">
    <w:name w:val="Верхний колонтитул Знак"/>
    <w:basedOn w:val="a0"/>
    <w:link w:val="a4"/>
    <w:uiPriority w:val="99"/>
    <w:locked/>
    <w:rPr>
      <w:rFonts w:ascii="Times New Roman" w:hAnsi="Times New Roman" w:cs="Times New Roman"/>
      <w:sz w:val="24"/>
      <w:szCs w:val="24"/>
    </w:rPr>
  </w:style>
  <w:style w:type="paragraph" w:styleId="a6">
    <w:name w:val="Balloon Text"/>
    <w:basedOn w:val="a"/>
    <w:link w:val="a7"/>
    <w:uiPriority w:val="99"/>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locked/>
    <w:rPr>
      <w:rFonts w:ascii="Segoe UI" w:hAnsi="Segoe UI" w:cs="Segoe UI"/>
      <w:sz w:val="18"/>
      <w:szCs w:val="18"/>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5D05EF1FC407EB8B5388BDB0BA243E1660BA589BBE250B2A9C7D07B6Fe9KEN" TargetMode="External"/><Relationship Id="rId13" Type="http://schemas.openxmlformats.org/officeDocument/2006/relationships/hyperlink" Target="consultantplus://offline/ref=D2AB8A7FB00A17ECA1F3705BFF35E1988E432FE2C96BDB919346377688D52676064D4712Q0n8N" TargetMode="External"/><Relationship Id="rId18" Type="http://schemas.openxmlformats.org/officeDocument/2006/relationships/hyperlink" Target="consultantplus://offline/ref=55E5741631F8FBEAD78222AA3491D2573C058D1BF890C047D4460F9A56DD94792FE1A0499B3B6235F3E30D9F29096F69FEE46907A45D2DB1g4v5H"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consultantplus://offline/ref=D5D05EF1FC407EB8B5388BDB0BA243E16608A48AB6EC50B2A9C7D07B6Fe9KEN" TargetMode="External"/><Relationship Id="rId12" Type="http://schemas.openxmlformats.org/officeDocument/2006/relationships/hyperlink" Target="consultantplus://offline/ref=7081D33690D5BC34DE6420A17CFB58AA11E15822B3E699F34425D2E525D5AE0DBE703C3BA34FDB7CYCkBN" TargetMode="External"/><Relationship Id="rId17" Type="http://schemas.openxmlformats.org/officeDocument/2006/relationships/hyperlink" Target="consultantplus://offline/ref=55E5741631F8FBEAD78222AA3491D2573C048F1CF994C047D4460F9A56DD94792FE1A0499B3F6434F2E30D9F29096F69FEE46907A45D2DB1g4v5H" TargetMode="External"/><Relationship Id="rId2" Type="http://schemas.openxmlformats.org/officeDocument/2006/relationships/settings" Target="settings.xml"/><Relationship Id="rId16" Type="http://schemas.openxmlformats.org/officeDocument/2006/relationships/hyperlink" Target="consultantplus://offline/ref=55E5741631F8FBEAD78222AA3491D2573C058D1BF890C047D4460F9A56DD94792FE1A0499B3B6238FCE30D9F29096F69FEE46907A45D2DB1g4v5H"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D5D05EF1FC407EB8B5388BDB0BA243E1660FA58CB6E550B2A9C7D07B6Fe9KEN" TargetMode="External"/><Relationship Id="rId11" Type="http://schemas.openxmlformats.org/officeDocument/2006/relationships/hyperlink" Target="consultantplus://offline/ref=7081D33690D5BC34DE6420A17CFB58AA11E15822B3E699F34425D2E525D5AE0DBE703C3BA34CDC7DYCk9N" TargetMode="External"/><Relationship Id="rId5" Type="http://schemas.openxmlformats.org/officeDocument/2006/relationships/endnotes" Target="endnotes.xml"/><Relationship Id="rId15" Type="http://schemas.openxmlformats.org/officeDocument/2006/relationships/hyperlink" Target="consultantplus://offline/ref=55E5741631F8FBEAD78222AA3491D2573C058D1BF890C047D4460F9A56DD94792FE1A0499B3B6235F3E30D9F29096F69FEE46907A45D2DB1g4v5H" TargetMode="External"/><Relationship Id="rId10" Type="http://schemas.openxmlformats.org/officeDocument/2006/relationships/hyperlink" Target="consultantplus://offline/ref=8758F3D12F5BECC998DB2307B4BCF0CEC18377394E1CE4CEEE6882E3549BE4DF44BB5E6DF7998B51w2gCN" TargetMode="External"/><Relationship Id="rId19" Type="http://schemas.openxmlformats.org/officeDocument/2006/relationships/hyperlink" Target="consultantplus://offline/ref=55E5741631F8FBEAD78222AA3491D2573C058D1BF890C047D4460F9A56DD94792FE1A0499B3B6238FCE30D9F29096F69FEE46907A45D2DB1g4v5H" TargetMode="External"/><Relationship Id="rId4" Type="http://schemas.openxmlformats.org/officeDocument/2006/relationships/footnotes" Target="footnotes.xml"/><Relationship Id="rId9" Type="http://schemas.openxmlformats.org/officeDocument/2006/relationships/hyperlink" Target="consultantplus://offline/ref=D5D05EF1FC407EB8B5388BDB0BA243E1660BA58DB8E350B2A9C7D07B6Fe9KEN" TargetMode="External"/><Relationship Id="rId14" Type="http://schemas.openxmlformats.org/officeDocument/2006/relationships/hyperlink" Target="consultantplus://offline/ref=77808E237C6F4A460657F43B4D0CD5D71017173EDEA0814E2D7E3891E9E3AB2E75C40A4B4321220DV6r2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1951</Words>
  <Characters>11121</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ASUS</dc:creator>
  <cp:keywords/>
  <dc:description/>
  <cp:lastModifiedBy>Купцова И.О.</cp:lastModifiedBy>
  <cp:revision>3</cp:revision>
  <cp:lastPrinted>2023-05-03T10:10:00Z</cp:lastPrinted>
  <dcterms:created xsi:type="dcterms:W3CDTF">2025-12-11T09:21:00Z</dcterms:created>
  <dcterms:modified xsi:type="dcterms:W3CDTF">2025-12-11T09:25:00Z</dcterms:modified>
</cp:coreProperties>
</file>