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0A0" w:firstRow="1" w:lastRow="0" w:firstColumn="1" w:lastColumn="0" w:noHBand="0" w:noVBand="0"/>
      </w:tblPr>
      <w:tblGrid>
        <w:gridCol w:w="4785"/>
        <w:gridCol w:w="4786"/>
      </w:tblGrid>
      <w:tr>
        <w:tc>
          <w:tcPr>
            <w:tcW w:w="4785" w:type="dxa"/>
          </w:tcPr>
          <w:p>
            <w:pPr>
              <w:spacing w:after="0" w:line="240" w:lineRule="auto"/>
              <w:rPr>
                <w:rFonts w:ascii="Times New Roman" w:hAnsi="Times New Roman"/>
                <w:sz w:val="24"/>
                <w:szCs w:val="24"/>
              </w:rPr>
            </w:pPr>
          </w:p>
        </w:tc>
        <w:tc>
          <w:tcPr>
            <w:tcW w:w="4786" w:type="dxa"/>
          </w:tcPr>
          <w:p>
            <w:pPr>
              <w:spacing w:after="0" w:line="240" w:lineRule="auto"/>
              <w:jc w:val="right"/>
              <w:rPr>
                <w:rFonts w:ascii="Times New Roman" w:hAnsi="Times New Roman"/>
                <w:sz w:val="24"/>
                <w:szCs w:val="24"/>
              </w:rPr>
            </w:pPr>
            <w:r>
              <w:rPr>
                <w:rFonts w:ascii="Times New Roman" w:hAnsi="Times New Roman"/>
                <w:sz w:val="24"/>
                <w:szCs w:val="24"/>
              </w:rPr>
              <w:t>Приложение № 15</w:t>
            </w:r>
          </w:p>
          <w:p>
            <w:pPr>
              <w:pStyle w:val="a3"/>
              <w:jc w:val="right"/>
              <w:rPr>
                <w:rFonts w:eastAsia="Calibri"/>
                <w:lang w:eastAsia="en-US"/>
              </w:rPr>
            </w:pPr>
            <w:r>
              <w:rPr>
                <w:rFonts w:eastAsia="Calibri"/>
                <w:lang w:eastAsia="en-US"/>
              </w:rPr>
              <w:t>к Учетной политике</w:t>
            </w:r>
          </w:p>
          <w:p>
            <w:pPr>
              <w:spacing w:after="0" w:line="240" w:lineRule="auto"/>
              <w:jc w:val="right"/>
              <w:rPr>
                <w:rFonts w:ascii="Times New Roman" w:hAnsi="Times New Roman"/>
                <w:sz w:val="24"/>
                <w:szCs w:val="24"/>
              </w:rPr>
            </w:pPr>
            <w:proofErr w:type="gramStart"/>
            <w:r>
              <w:rPr>
                <w:rFonts w:ascii="Times New Roman" w:hAnsi="Times New Roman"/>
                <w:sz w:val="24"/>
                <w:szCs w:val="24"/>
              </w:rPr>
              <w:t>утвержденной</w:t>
            </w:r>
            <w:proofErr w:type="gramEnd"/>
            <w:r>
              <w:rPr>
                <w:rFonts w:ascii="Times New Roman" w:hAnsi="Times New Roman"/>
                <w:sz w:val="24"/>
                <w:szCs w:val="24"/>
              </w:rPr>
              <w:t xml:space="preserve"> приказом </w:t>
            </w:r>
          </w:p>
          <w:p>
            <w:pPr>
              <w:spacing w:after="0" w:line="240" w:lineRule="auto"/>
              <w:jc w:val="right"/>
              <w:rPr>
                <w:rFonts w:ascii="Times New Roman" w:hAnsi="Times New Roman"/>
                <w:sz w:val="24"/>
                <w:szCs w:val="24"/>
              </w:rPr>
            </w:pPr>
            <w:r>
              <w:rPr>
                <w:rFonts w:ascii="Times New Roman" w:hAnsi="Times New Roman"/>
                <w:sz w:val="24"/>
                <w:szCs w:val="24"/>
              </w:rPr>
              <w:t>начальника Финансового управления</w:t>
            </w:r>
          </w:p>
          <w:p>
            <w:pPr>
              <w:spacing w:after="0" w:line="240" w:lineRule="auto"/>
              <w:jc w:val="right"/>
              <w:rPr>
                <w:rFonts w:ascii="Times New Roman" w:hAnsi="Times New Roman"/>
                <w:sz w:val="24"/>
                <w:szCs w:val="24"/>
              </w:rPr>
            </w:pPr>
            <w:r>
              <w:rPr>
                <w:rFonts w:ascii="Times New Roman" w:hAnsi="Times New Roman"/>
                <w:sz w:val="24"/>
                <w:szCs w:val="24"/>
              </w:rPr>
              <w:t>от 30.12.2021 № 94</w:t>
            </w:r>
          </w:p>
        </w:tc>
      </w:tr>
    </w:tbl>
    <w:p>
      <w:pPr>
        <w:autoSpaceDE w:val="0"/>
        <w:autoSpaceDN w:val="0"/>
        <w:adjustRightInd w:val="0"/>
        <w:spacing w:after="0" w:line="240" w:lineRule="auto"/>
        <w:jc w:val="both"/>
        <w:rPr>
          <w:rFonts w:ascii="Times New Roman" w:hAnsi="Times New Roman"/>
          <w:sz w:val="24"/>
          <w:szCs w:val="24"/>
        </w:rPr>
      </w:pPr>
    </w:p>
    <w:p>
      <w:pPr>
        <w:autoSpaceDE w:val="0"/>
        <w:autoSpaceDN w:val="0"/>
        <w:adjustRightInd w:val="0"/>
        <w:spacing w:after="0" w:line="240" w:lineRule="auto"/>
        <w:jc w:val="both"/>
        <w:rPr>
          <w:rFonts w:ascii="Times New Roman" w:hAnsi="Times New Roman"/>
          <w:sz w:val="24"/>
          <w:szCs w:val="24"/>
        </w:rPr>
      </w:pPr>
    </w:p>
    <w:p>
      <w:pPr>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rPr>
        <w:t xml:space="preserve">ПОЛОЖЕНИЕ </w:t>
      </w:r>
    </w:p>
    <w:p>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о выдаче под отчёт денежных документов, </w:t>
      </w:r>
      <w:r>
        <w:rPr>
          <w:rFonts w:ascii="Times New Roman" w:hAnsi="Times New Roman"/>
          <w:b/>
          <w:bCs/>
          <w:sz w:val="24"/>
          <w:szCs w:val="24"/>
        </w:rPr>
        <w:br/>
        <w:t>составлении и представлении отчётов подотчётными лицами</w:t>
      </w:r>
    </w:p>
    <w:p>
      <w:pPr>
        <w:autoSpaceDE w:val="0"/>
        <w:autoSpaceDN w:val="0"/>
        <w:adjustRightInd w:val="0"/>
        <w:spacing w:after="0" w:line="240" w:lineRule="auto"/>
        <w:jc w:val="both"/>
        <w:rPr>
          <w:rFonts w:ascii="Times New Roman" w:hAnsi="Times New Roman"/>
          <w:sz w:val="24"/>
          <w:szCs w:val="24"/>
        </w:rPr>
      </w:pPr>
    </w:p>
    <w:p>
      <w:pPr>
        <w:autoSpaceDE w:val="0"/>
        <w:autoSpaceDN w:val="0"/>
        <w:adjustRightInd w:val="0"/>
        <w:spacing w:after="0" w:line="240" w:lineRule="auto"/>
        <w:jc w:val="center"/>
        <w:outlineLvl w:val="1"/>
        <w:rPr>
          <w:rFonts w:ascii="Times New Roman" w:hAnsi="Times New Roman"/>
          <w:b/>
          <w:bCs/>
          <w:sz w:val="24"/>
          <w:szCs w:val="24"/>
        </w:rPr>
      </w:pPr>
      <w:r>
        <w:rPr>
          <w:rFonts w:ascii="Times New Roman" w:hAnsi="Times New Roman"/>
          <w:b/>
          <w:bCs/>
          <w:sz w:val="24"/>
          <w:szCs w:val="24"/>
        </w:rPr>
        <w:t>1. Общие положения</w:t>
      </w:r>
    </w:p>
    <w:p>
      <w:pPr>
        <w:autoSpaceDE w:val="0"/>
        <w:autoSpaceDN w:val="0"/>
        <w:adjustRightInd w:val="0"/>
        <w:spacing w:after="0" w:line="240" w:lineRule="auto"/>
        <w:jc w:val="center"/>
        <w:outlineLvl w:val="1"/>
        <w:rPr>
          <w:rFonts w:ascii="Times New Roman" w:hAnsi="Times New Roman"/>
          <w:sz w:val="24"/>
          <w:szCs w:val="24"/>
        </w:rPr>
      </w:pP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1.1. Настоящее положение устанавливает в Управлении единый порядок выдачи под отчёт денежных документов, составления, представления, проверки и утверждения отчётов об их использовании.</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1.2. Основными нормативными правовыми актами, использованными при разработке настоящего Положения, являются:</w:t>
      </w:r>
    </w:p>
    <w:p>
      <w:pPr>
        <w:autoSpaceDE w:val="0"/>
        <w:autoSpaceDN w:val="0"/>
        <w:adjustRightInd w:val="0"/>
        <w:spacing w:after="0" w:line="240" w:lineRule="auto"/>
        <w:ind w:firstLine="539"/>
        <w:jc w:val="both"/>
        <w:rPr>
          <w:rFonts w:ascii="Times New Roman" w:hAnsi="Times New Roman"/>
          <w:strike/>
          <w:sz w:val="24"/>
          <w:szCs w:val="24"/>
        </w:rPr>
      </w:pPr>
      <w:bookmarkStart w:id="0" w:name="_GoBack"/>
      <w:r>
        <w:rPr>
          <w:rFonts w:ascii="Times New Roman" w:hAnsi="Times New Roman"/>
          <w:strike/>
          <w:sz w:val="24"/>
          <w:szCs w:val="24"/>
          <w:highlight w:val="yellow"/>
        </w:rPr>
        <w:t xml:space="preserve">– </w:t>
      </w:r>
      <w:hyperlink r:id="rId4" w:history="1">
        <w:r>
          <w:rPr>
            <w:rFonts w:ascii="Times New Roman" w:hAnsi="Times New Roman"/>
            <w:strike/>
            <w:sz w:val="24"/>
            <w:szCs w:val="24"/>
            <w:highlight w:val="yellow"/>
          </w:rPr>
          <w:t>Инструкция</w:t>
        </w:r>
      </w:hyperlink>
      <w:r>
        <w:rPr>
          <w:rFonts w:ascii="Times New Roman" w:hAnsi="Times New Roman"/>
          <w:strike/>
          <w:sz w:val="24"/>
          <w:szCs w:val="24"/>
          <w:highlight w:val="yellow"/>
        </w:rPr>
        <w:t xml:space="preserve"> по применению Единого плана счетов бухгалтерского учёта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утвержденная Приказом Минфина России от 01.12.2010 № 157н;</w:t>
      </w:r>
    </w:p>
    <w:bookmarkEnd w:id="0"/>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 </w:t>
      </w:r>
      <w:hyperlink r:id="rId5" w:history="1">
        <w:r>
          <w:rPr>
            <w:rFonts w:ascii="Times New Roman" w:hAnsi="Times New Roman"/>
            <w:sz w:val="24"/>
            <w:szCs w:val="24"/>
          </w:rPr>
          <w:t>Приказ</w:t>
        </w:r>
      </w:hyperlink>
      <w:r>
        <w:rPr>
          <w:rFonts w:ascii="Times New Roman" w:hAnsi="Times New Roman"/>
          <w:sz w:val="24"/>
          <w:szCs w:val="24"/>
        </w:rPr>
        <w:t xml:space="preserve"> Минфина России от 30.03.2015 № 52н «Об утверждении форм первичных учетных документов и регистров бухгалтерского учёта,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Управлениями, и Методических указаний по их применению»;</w:t>
      </w:r>
    </w:p>
    <w:p>
      <w:pPr>
        <w:autoSpaceDE w:val="0"/>
        <w:autoSpaceDN w:val="0"/>
        <w:adjustRightInd w:val="0"/>
        <w:spacing w:after="0" w:line="240" w:lineRule="auto"/>
        <w:ind w:firstLine="539"/>
        <w:jc w:val="both"/>
        <w:rPr>
          <w:rFonts w:ascii="Times New Roman" w:hAnsi="Times New Roman"/>
          <w:strike/>
          <w:sz w:val="24"/>
          <w:szCs w:val="24"/>
        </w:rPr>
      </w:pPr>
      <w:r>
        <w:rPr>
          <w:rFonts w:ascii="Times New Roman" w:hAnsi="Times New Roman"/>
          <w:strike/>
          <w:sz w:val="24"/>
          <w:szCs w:val="24"/>
          <w:highlight w:val="yellow"/>
        </w:rPr>
        <w:t>– Приказ Минфина России от 06.12.2010 № 162н «Об утверждении Плана счетов бюджетного учёта и инструкции по его применению»;</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Приказ Минфина России от 15.04.2021 № 61н «Об утверждении унифицированных форм электронных документов бухгалтерского учёта,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 61н).</w:t>
      </w:r>
    </w:p>
    <w:p>
      <w:pPr>
        <w:autoSpaceDE w:val="0"/>
        <w:autoSpaceDN w:val="0"/>
        <w:adjustRightInd w:val="0"/>
        <w:spacing w:after="0" w:line="240" w:lineRule="auto"/>
        <w:jc w:val="both"/>
        <w:rPr>
          <w:rFonts w:ascii="Times New Roman" w:hAnsi="Times New Roman"/>
          <w:sz w:val="24"/>
          <w:szCs w:val="24"/>
        </w:rPr>
      </w:pPr>
    </w:p>
    <w:p>
      <w:pPr>
        <w:autoSpaceDE w:val="0"/>
        <w:autoSpaceDN w:val="0"/>
        <w:adjustRightInd w:val="0"/>
        <w:spacing w:after="0" w:line="240" w:lineRule="auto"/>
        <w:jc w:val="center"/>
        <w:outlineLvl w:val="1"/>
        <w:rPr>
          <w:rFonts w:ascii="Times New Roman" w:hAnsi="Times New Roman"/>
          <w:b/>
          <w:bCs/>
          <w:sz w:val="24"/>
          <w:szCs w:val="24"/>
        </w:rPr>
      </w:pPr>
      <w:r>
        <w:rPr>
          <w:rFonts w:ascii="Times New Roman" w:hAnsi="Times New Roman"/>
          <w:b/>
          <w:bCs/>
          <w:sz w:val="24"/>
          <w:szCs w:val="24"/>
        </w:rPr>
        <w:t xml:space="preserve">2. Порядок выдачи денежных </w:t>
      </w:r>
    </w:p>
    <w:p>
      <w:pPr>
        <w:autoSpaceDE w:val="0"/>
        <w:autoSpaceDN w:val="0"/>
        <w:adjustRightInd w:val="0"/>
        <w:spacing w:after="0" w:line="240" w:lineRule="auto"/>
        <w:jc w:val="center"/>
        <w:outlineLvl w:val="1"/>
        <w:rPr>
          <w:rFonts w:ascii="Times New Roman" w:hAnsi="Times New Roman"/>
          <w:b/>
          <w:bCs/>
          <w:sz w:val="24"/>
          <w:szCs w:val="24"/>
        </w:rPr>
      </w:pPr>
      <w:r>
        <w:rPr>
          <w:rFonts w:ascii="Times New Roman" w:hAnsi="Times New Roman"/>
          <w:b/>
          <w:bCs/>
          <w:sz w:val="24"/>
          <w:szCs w:val="24"/>
        </w:rPr>
        <w:t>документов под отчёт</w:t>
      </w:r>
    </w:p>
    <w:p>
      <w:pPr>
        <w:autoSpaceDE w:val="0"/>
        <w:autoSpaceDN w:val="0"/>
        <w:adjustRightInd w:val="0"/>
        <w:spacing w:after="0" w:line="240" w:lineRule="auto"/>
        <w:jc w:val="center"/>
        <w:outlineLvl w:val="1"/>
        <w:rPr>
          <w:rFonts w:ascii="Times New Roman" w:hAnsi="Times New Roman"/>
          <w:sz w:val="24"/>
          <w:szCs w:val="24"/>
        </w:rPr>
      </w:pP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2.1. Денежные документы выдаются под отчёт работникам Управления:</w:t>
      </w:r>
    </w:p>
    <w:p>
      <w:pPr>
        <w:tabs>
          <w:tab w:val="left" w:pos="5612"/>
        </w:tabs>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на административно-хозяйственные нужды;</w:t>
      </w:r>
      <w:r>
        <w:rPr>
          <w:rFonts w:ascii="Times New Roman" w:hAnsi="Times New Roman"/>
          <w:sz w:val="24"/>
          <w:szCs w:val="24"/>
        </w:rPr>
        <w:tab/>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на покрытие (возмещение) затрат, связанных со служебными командировками.</w:t>
      </w:r>
    </w:p>
    <w:p>
      <w:pPr>
        <w:autoSpaceDE w:val="0"/>
        <w:autoSpaceDN w:val="0"/>
        <w:adjustRightInd w:val="0"/>
        <w:spacing w:after="0" w:line="240" w:lineRule="auto"/>
        <w:ind w:firstLine="539"/>
        <w:jc w:val="both"/>
        <w:rPr>
          <w:rFonts w:ascii="Times New Roman" w:hAnsi="Times New Roman"/>
          <w:sz w:val="24"/>
          <w:szCs w:val="24"/>
          <w:lang w:eastAsia="ru-RU"/>
        </w:rPr>
      </w:pPr>
      <w:r>
        <w:rPr>
          <w:rFonts w:ascii="Times New Roman" w:hAnsi="Times New Roman"/>
          <w:sz w:val="24"/>
          <w:szCs w:val="24"/>
        </w:rPr>
        <w:t xml:space="preserve">2.2. Выдача под отчёт денежных документов производится из кассы Управления по расходному кассовому ордеру с надписью «фондовый» на основании письменного заявления получателя, </w:t>
      </w:r>
      <w:r>
        <w:rPr>
          <w:rFonts w:ascii="Times New Roman" w:hAnsi="Times New Roman"/>
          <w:sz w:val="24"/>
          <w:szCs w:val="24"/>
          <w:lang w:eastAsia="ru-RU"/>
        </w:rPr>
        <w:t>при условии его оформления на бумажном носителе.</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2.3. В заявлении о выдаче денежных документов под отчёт, </w:t>
      </w:r>
      <w:r>
        <w:rPr>
          <w:rFonts w:ascii="Times New Roman" w:hAnsi="Times New Roman"/>
          <w:sz w:val="24"/>
          <w:szCs w:val="24"/>
          <w:lang w:eastAsia="ru-RU"/>
        </w:rPr>
        <w:t>оформленным на бумажном носителе,</w:t>
      </w:r>
      <w:r>
        <w:rPr>
          <w:rFonts w:ascii="Times New Roman" w:hAnsi="Times New Roman"/>
          <w:sz w:val="24"/>
          <w:szCs w:val="24"/>
        </w:rPr>
        <w:t xml:space="preserve"> получатель указывает наименование, количество и назначение денежных документов. Форма заявления приведена в </w:t>
      </w:r>
      <w:hyperlink w:anchor="Par170" w:history="1">
        <w:r>
          <w:rPr>
            <w:rFonts w:ascii="Times New Roman" w:hAnsi="Times New Roman"/>
            <w:sz w:val="24"/>
            <w:szCs w:val="24"/>
          </w:rPr>
          <w:t>Приложении № 1</w:t>
        </w:r>
      </w:hyperlink>
      <w:r>
        <w:rPr>
          <w:rFonts w:ascii="Times New Roman" w:hAnsi="Times New Roman"/>
          <w:sz w:val="24"/>
          <w:szCs w:val="24"/>
        </w:rPr>
        <w:t xml:space="preserve"> к настоящему Положению.</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2.4.</w:t>
      </w:r>
      <w:r>
        <w:t> </w:t>
      </w:r>
      <w:r>
        <w:rPr>
          <w:rFonts w:ascii="Times New Roman" w:hAnsi="Times New Roman"/>
          <w:sz w:val="24"/>
          <w:szCs w:val="24"/>
        </w:rPr>
        <w:t xml:space="preserve">Отдел по бюджетному учёту и отчётности (далеё – Отдел) Управления на заявлении делает отметку о наличии на текущую дату задолженности за получателем по ранеё выданным ему денежным документам. При наличии задолженности указываются её </w:t>
      </w:r>
      <w:r>
        <w:rPr>
          <w:rFonts w:ascii="Times New Roman" w:hAnsi="Times New Roman"/>
          <w:sz w:val="24"/>
          <w:szCs w:val="24"/>
        </w:rPr>
        <w:lastRenderedPageBreak/>
        <w:t>сумма, номер и дата расходного кассового ордера, которым оформлена выдача денежных документов под отчёт, наименование и количество денежных документов, за которые не отчитался указанный работник, ставится подпись начальника Отдела (заместителя начальника Отдела). В случае отсутствия задолженности за работником на заявлении проставляется отметка «Задолженность отсутствует» с указанием даты и подписью начальника Отдела (заместителя начальника Отдела).</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2.5. Начальник Управления в течение трёх рабочих дней рассматривает заявление              и делает на нем надпись о наименовании, количестве, сумме выдаваемых под отчёт работнику денежных документов, сроке, на который они выдаются, ставит свою подпись и дату.</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2.6. Выдача под отчёт денежных документов производится при отсутствии                          за подотчётным лицом задолженности по денежным документам, по которым наступил срок представления авансового отчёта.</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2.7. Максимальный срок выдачи денежных документов под отчёт составляет 30 календарных дней. Не использованные в срок денежные документы </w:t>
      </w:r>
      <w:proofErr w:type="gramStart"/>
      <w:r>
        <w:rPr>
          <w:rFonts w:ascii="Times New Roman" w:hAnsi="Times New Roman"/>
          <w:sz w:val="24"/>
          <w:szCs w:val="24"/>
        </w:rPr>
        <w:t>возвращаются  в</w:t>
      </w:r>
      <w:proofErr w:type="gramEnd"/>
      <w:r>
        <w:rPr>
          <w:rFonts w:ascii="Times New Roman" w:hAnsi="Times New Roman"/>
          <w:sz w:val="24"/>
          <w:szCs w:val="24"/>
        </w:rPr>
        <w:t xml:space="preserve"> кассу.</w:t>
      </w:r>
    </w:p>
    <w:p>
      <w:pPr>
        <w:autoSpaceDE w:val="0"/>
        <w:autoSpaceDN w:val="0"/>
        <w:adjustRightInd w:val="0"/>
        <w:spacing w:after="0" w:line="240" w:lineRule="auto"/>
        <w:jc w:val="both"/>
        <w:rPr>
          <w:rFonts w:ascii="Times New Roman" w:hAnsi="Times New Roman"/>
          <w:sz w:val="24"/>
          <w:szCs w:val="24"/>
        </w:rPr>
      </w:pPr>
    </w:p>
    <w:p>
      <w:pPr>
        <w:autoSpaceDE w:val="0"/>
        <w:autoSpaceDN w:val="0"/>
        <w:adjustRightInd w:val="0"/>
        <w:spacing w:after="0" w:line="240" w:lineRule="auto"/>
        <w:jc w:val="center"/>
        <w:outlineLvl w:val="1"/>
        <w:rPr>
          <w:rFonts w:ascii="Times New Roman" w:hAnsi="Times New Roman"/>
          <w:b/>
          <w:bCs/>
          <w:sz w:val="24"/>
          <w:szCs w:val="24"/>
        </w:rPr>
      </w:pPr>
      <w:r>
        <w:rPr>
          <w:rFonts w:ascii="Times New Roman" w:hAnsi="Times New Roman"/>
          <w:b/>
          <w:bCs/>
          <w:sz w:val="24"/>
          <w:szCs w:val="24"/>
        </w:rPr>
        <w:t xml:space="preserve">3. Составление, представление </w:t>
      </w:r>
    </w:p>
    <w:p>
      <w:pPr>
        <w:autoSpaceDE w:val="0"/>
        <w:autoSpaceDN w:val="0"/>
        <w:adjustRightInd w:val="0"/>
        <w:spacing w:after="0" w:line="240" w:lineRule="auto"/>
        <w:jc w:val="center"/>
        <w:outlineLvl w:val="1"/>
        <w:rPr>
          <w:rFonts w:ascii="Times New Roman" w:hAnsi="Times New Roman"/>
          <w:b/>
          <w:sz w:val="24"/>
          <w:szCs w:val="24"/>
        </w:rPr>
      </w:pPr>
      <w:r>
        <w:rPr>
          <w:rFonts w:ascii="Times New Roman" w:hAnsi="Times New Roman"/>
          <w:b/>
          <w:bCs/>
          <w:sz w:val="24"/>
          <w:szCs w:val="24"/>
        </w:rPr>
        <w:t>отчётности подотчётными лицами</w:t>
      </w:r>
    </w:p>
    <w:p>
      <w:pPr>
        <w:autoSpaceDE w:val="0"/>
        <w:autoSpaceDN w:val="0"/>
        <w:adjustRightInd w:val="0"/>
        <w:spacing w:after="0" w:line="240" w:lineRule="auto"/>
        <w:jc w:val="both"/>
        <w:rPr>
          <w:rFonts w:ascii="Times New Roman" w:hAnsi="Times New Roman"/>
          <w:b/>
          <w:sz w:val="24"/>
          <w:szCs w:val="24"/>
        </w:rPr>
      </w:pP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3.1. Об израсходовании денежных документов подотчётное лицо составляет                           и представляет в Отдел авансовый отчёт с приложением документов, подтверждающих их использование.</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3.2. Документом, подтверждающим использование конвертов с марками и марок, является реестр отправленной корреспонденции. В случае порчи конвертов испорченные конверты также прилагаются к авансовому отчёту.</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3.4. По проездным билетам в качестве подтверждающих документов к авансовому отчёту прикладываются использованные проездные билеты.</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3.5. Авансовый отчёт представляется подотчётным лицом в Отдел не позднее трёх рабочих дней со дня истечения срока, на который были выданы денежные документы.</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3.6. Отдел проверяет правильность оформления полученного от подотчётного лица авансового отчёта, наличие документов, подтверждающих использование денежных документов.</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3.8. Проверенный Отделом авансовый отчёт утверждается начальником Управления, после чего утвержденный авансовый отчёт принимается Отделом к учёту.</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3.9. Проверка авансового отчёта Отделом и утверждение его начальником осуществляются в течение трёх рабочих дней со дня представления авансового отчёта                  в Отдел.</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3.10.</w:t>
      </w:r>
      <w:r>
        <w:t> </w:t>
      </w:r>
      <w:r>
        <w:rPr>
          <w:rFonts w:ascii="Times New Roman" w:hAnsi="Times New Roman"/>
          <w:sz w:val="24"/>
          <w:szCs w:val="24"/>
        </w:rPr>
        <w:t>Остаток неиспользованных денежных документов вносится подотчётным лицом в кассу по приходному кассовому ордеру с надписью «фондовый» не позднее дня, следующего за днём утверждения начальником авансового отчёта.</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В исключительных случаях, когда работник с разрешения начальника Управления произвел оплату расходов за счет собственных средств, производится возмещение таких расходов. Основанием для этого является отчет работника об израсходованных средствах, утвержденный начальником Управления, с приложением подтверждающих документов.</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t xml:space="preserve">3.11. В случае непредставления подотчётным лицом в установленный срок авансового отчёта в Отдел или невнесения остатка неиспользованных денежных документов в кассу Управление имеет право произвести удержание суммы задолженности по выданным денежным документам из заработной платы работника с соблюдением требований </w:t>
      </w:r>
      <w:hyperlink r:id="rId6" w:history="1">
        <w:r>
          <w:rPr>
            <w:rFonts w:ascii="Times New Roman" w:hAnsi="Times New Roman"/>
            <w:sz w:val="24"/>
            <w:szCs w:val="24"/>
          </w:rPr>
          <w:t>ст. ст. 137</w:t>
        </w:r>
      </w:hyperlink>
      <w:r>
        <w:rPr>
          <w:rFonts w:ascii="Times New Roman" w:hAnsi="Times New Roman"/>
          <w:sz w:val="24"/>
          <w:szCs w:val="24"/>
        </w:rPr>
        <w:t xml:space="preserve"> и </w:t>
      </w:r>
      <w:hyperlink r:id="rId7" w:history="1">
        <w:r>
          <w:rPr>
            <w:rFonts w:ascii="Times New Roman" w:hAnsi="Times New Roman"/>
            <w:sz w:val="24"/>
            <w:szCs w:val="24"/>
          </w:rPr>
          <w:t>138</w:t>
        </w:r>
      </w:hyperlink>
      <w:r>
        <w:rPr>
          <w:rFonts w:ascii="Times New Roman" w:hAnsi="Times New Roman"/>
          <w:sz w:val="24"/>
          <w:szCs w:val="24"/>
        </w:rPr>
        <w:t xml:space="preserve"> Трудового кодекса РФ.</w:t>
      </w:r>
    </w:p>
    <w:p>
      <w:pPr>
        <w:autoSpaceDE w:val="0"/>
        <w:autoSpaceDN w:val="0"/>
        <w:adjustRightInd w:val="0"/>
        <w:spacing w:after="0" w:line="240" w:lineRule="auto"/>
        <w:ind w:firstLine="539"/>
        <w:jc w:val="both"/>
        <w:rPr>
          <w:rFonts w:ascii="Times New Roman" w:hAnsi="Times New Roman"/>
          <w:sz w:val="24"/>
          <w:szCs w:val="24"/>
        </w:rPr>
      </w:pPr>
      <w:r>
        <w:rPr>
          <w:rFonts w:ascii="Times New Roman" w:hAnsi="Times New Roman"/>
          <w:sz w:val="24"/>
          <w:szCs w:val="24"/>
        </w:rPr>
        <w:lastRenderedPageBreak/>
        <w:t>3.12. В случае увольнения работника, имеющего задолженность по полученным под отчёт денежным документам, Отдел обязана принять необходимые меры для взыскания указанных сумм.</w:t>
      </w:r>
    </w:p>
    <w:p>
      <w:pPr>
        <w:autoSpaceDE w:val="0"/>
        <w:autoSpaceDN w:val="0"/>
        <w:adjustRightInd w:val="0"/>
        <w:spacing w:after="0" w:line="240" w:lineRule="auto"/>
        <w:jc w:val="both"/>
        <w:rPr>
          <w:rFonts w:ascii="Times New Roman" w:hAnsi="Times New Roman"/>
          <w:sz w:val="24"/>
          <w:szCs w:val="24"/>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lang w:eastAsia="ru-RU"/>
        </w:rPr>
      </w:pPr>
      <w:r>
        <w:rPr>
          <w:rFonts w:ascii="Times New Roman" w:hAnsi="Times New Roman"/>
          <w:b/>
          <w:bCs/>
          <w:sz w:val="24"/>
          <w:szCs w:val="24"/>
          <w:lang w:eastAsia="ru-RU"/>
        </w:rPr>
        <w:t>4. Заключительные положения</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rPr>
          <w:rFonts w:ascii="Times New Roman" w:hAnsi="Times New Roman"/>
          <w:sz w:val="24"/>
          <w:szCs w:val="24"/>
          <w:lang w:eastAsia="ru-RU"/>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lang w:eastAsia="ru-RU"/>
        </w:rPr>
      </w:pPr>
      <w:r>
        <w:rPr>
          <w:rFonts w:ascii="Times New Roman" w:hAnsi="Times New Roman"/>
          <w:sz w:val="24"/>
          <w:szCs w:val="24"/>
          <w:lang w:eastAsia="ru-RU"/>
        </w:rPr>
        <w:t xml:space="preserve">4.1. Все изменения и дополнения к настоящему положению утверждаются начальником Управления. </w:t>
      </w: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9"/>
        <w:jc w:val="both"/>
        <w:rPr>
          <w:rFonts w:ascii="Times New Roman" w:hAnsi="Times New Roman"/>
          <w:sz w:val="24"/>
          <w:szCs w:val="24"/>
          <w:lang w:eastAsia="ru-RU"/>
        </w:rPr>
      </w:pPr>
      <w:r>
        <w:rPr>
          <w:rFonts w:ascii="Times New Roman" w:hAnsi="Times New Roman"/>
          <w:sz w:val="24"/>
          <w:szCs w:val="24"/>
          <w:lang w:eastAsia="ru-RU"/>
        </w:rPr>
        <w:t>4.2. Если в результате изменения действующего законодательства России отдельные статьи настоящего положения вступят с ним в противоречие, они утрачивают силу, преимущественную силу имеют положения действующего законодательства России.</w:t>
      </w:r>
    </w:p>
    <w:p>
      <w:pPr>
        <w:autoSpaceDE w:val="0"/>
        <w:autoSpaceDN w:val="0"/>
        <w:adjustRightInd w:val="0"/>
        <w:spacing w:after="0" w:line="240" w:lineRule="auto"/>
        <w:jc w:val="both"/>
        <w:rPr>
          <w:rFonts w:ascii="Times New Roman" w:hAnsi="Times New Roman"/>
          <w:sz w:val="24"/>
          <w:szCs w:val="24"/>
        </w:rPr>
      </w:pPr>
    </w:p>
    <w:p>
      <w:pPr>
        <w:autoSpaceDE w:val="0"/>
        <w:autoSpaceDN w:val="0"/>
        <w:adjustRightInd w:val="0"/>
        <w:spacing w:after="0" w:line="240" w:lineRule="auto"/>
        <w:jc w:val="both"/>
        <w:rPr>
          <w:rFonts w:ascii="Times New Roman" w:hAnsi="Times New Roman"/>
          <w:sz w:val="24"/>
          <w:szCs w:val="24"/>
        </w:rPr>
      </w:pPr>
    </w:p>
    <w:p>
      <w:pPr>
        <w:autoSpaceDE w:val="0"/>
        <w:autoSpaceDN w:val="0"/>
        <w:adjustRightInd w:val="0"/>
        <w:spacing w:after="0" w:line="240" w:lineRule="auto"/>
        <w:jc w:val="both"/>
        <w:rPr>
          <w:rFonts w:ascii="Times New Roman" w:hAnsi="Times New Roman"/>
          <w:sz w:val="24"/>
          <w:szCs w:val="24"/>
        </w:rPr>
      </w:pPr>
    </w:p>
    <w:p>
      <w:pPr>
        <w:autoSpaceDE w:val="0"/>
        <w:autoSpaceDN w:val="0"/>
        <w:adjustRightInd w:val="0"/>
        <w:spacing w:after="0" w:line="240" w:lineRule="auto"/>
        <w:jc w:val="both"/>
        <w:rPr>
          <w:rFonts w:ascii="Times New Roman" w:hAnsi="Times New Roman"/>
          <w:sz w:val="24"/>
          <w:szCs w:val="24"/>
        </w:rPr>
      </w:pPr>
    </w:p>
    <w:p>
      <w:pPr>
        <w:autoSpaceDE w:val="0"/>
        <w:autoSpaceDN w:val="0"/>
        <w:adjustRightInd w:val="0"/>
        <w:spacing w:after="0" w:line="240" w:lineRule="auto"/>
        <w:jc w:val="right"/>
        <w:outlineLvl w:val="1"/>
        <w:rPr>
          <w:rFonts w:ascii="Times New Roman" w:hAnsi="Times New Roman"/>
          <w:sz w:val="24"/>
          <w:szCs w:val="24"/>
          <w:highlight w:val="yellow"/>
        </w:rPr>
      </w:pPr>
    </w:p>
    <w:p>
      <w:pPr>
        <w:autoSpaceDE w:val="0"/>
        <w:autoSpaceDN w:val="0"/>
        <w:adjustRightInd w:val="0"/>
        <w:spacing w:after="0" w:line="240" w:lineRule="auto"/>
        <w:jc w:val="right"/>
        <w:outlineLvl w:val="1"/>
        <w:rPr>
          <w:rFonts w:ascii="Times New Roman" w:hAnsi="Times New Roman"/>
          <w:sz w:val="24"/>
          <w:szCs w:val="24"/>
          <w:highlight w:val="yellow"/>
        </w:rPr>
      </w:pPr>
    </w:p>
    <w:p>
      <w:pPr>
        <w:autoSpaceDE w:val="0"/>
        <w:autoSpaceDN w:val="0"/>
        <w:adjustRightInd w:val="0"/>
        <w:spacing w:after="0" w:line="240" w:lineRule="auto"/>
        <w:jc w:val="right"/>
        <w:outlineLvl w:val="1"/>
        <w:rPr>
          <w:rFonts w:ascii="Times New Roman" w:hAnsi="Times New Roman"/>
          <w:sz w:val="24"/>
          <w:szCs w:val="24"/>
          <w:highlight w:val="yellow"/>
        </w:rPr>
      </w:pPr>
    </w:p>
    <w:p>
      <w:pPr>
        <w:autoSpaceDE w:val="0"/>
        <w:autoSpaceDN w:val="0"/>
        <w:adjustRightInd w:val="0"/>
        <w:spacing w:after="0" w:line="240" w:lineRule="auto"/>
        <w:jc w:val="right"/>
        <w:outlineLvl w:val="1"/>
        <w:rPr>
          <w:rFonts w:ascii="Times New Roman" w:hAnsi="Times New Roman"/>
          <w:sz w:val="24"/>
          <w:szCs w:val="24"/>
          <w:highlight w:val="yellow"/>
        </w:rPr>
      </w:pPr>
    </w:p>
    <w:p>
      <w:pPr>
        <w:autoSpaceDE w:val="0"/>
        <w:autoSpaceDN w:val="0"/>
        <w:adjustRightInd w:val="0"/>
        <w:spacing w:after="0" w:line="240" w:lineRule="auto"/>
        <w:jc w:val="right"/>
        <w:outlineLvl w:val="1"/>
        <w:rPr>
          <w:rFonts w:ascii="Times New Roman" w:hAnsi="Times New Roman"/>
          <w:sz w:val="24"/>
          <w:szCs w:val="24"/>
          <w:highlight w:val="yellow"/>
        </w:rPr>
      </w:pPr>
    </w:p>
    <w:p>
      <w:pPr>
        <w:autoSpaceDE w:val="0"/>
        <w:autoSpaceDN w:val="0"/>
        <w:adjustRightInd w:val="0"/>
        <w:spacing w:after="0" w:line="240" w:lineRule="auto"/>
        <w:jc w:val="right"/>
        <w:outlineLvl w:val="1"/>
        <w:rPr>
          <w:rFonts w:ascii="Times New Roman" w:hAnsi="Times New Roman"/>
          <w:sz w:val="24"/>
          <w:szCs w:val="24"/>
          <w:highlight w:val="yellow"/>
        </w:rPr>
      </w:pPr>
    </w:p>
    <w:p>
      <w:pPr>
        <w:autoSpaceDE w:val="0"/>
        <w:autoSpaceDN w:val="0"/>
        <w:adjustRightInd w:val="0"/>
        <w:spacing w:after="0" w:line="240" w:lineRule="auto"/>
        <w:jc w:val="right"/>
        <w:outlineLvl w:val="1"/>
        <w:rPr>
          <w:rFonts w:ascii="Times New Roman" w:hAnsi="Times New Roman"/>
          <w:sz w:val="24"/>
          <w:szCs w:val="24"/>
          <w:highlight w:val="yellow"/>
        </w:rPr>
      </w:pPr>
    </w:p>
    <w:p>
      <w:pPr>
        <w:autoSpaceDE w:val="0"/>
        <w:autoSpaceDN w:val="0"/>
        <w:adjustRightInd w:val="0"/>
        <w:spacing w:after="0" w:line="240" w:lineRule="auto"/>
        <w:jc w:val="right"/>
        <w:outlineLvl w:val="1"/>
        <w:rPr>
          <w:rFonts w:ascii="Times New Roman" w:hAnsi="Times New Roman"/>
          <w:sz w:val="24"/>
          <w:szCs w:val="24"/>
          <w:highlight w:val="yellow"/>
        </w:rPr>
      </w:pPr>
    </w:p>
    <w:p>
      <w:pPr>
        <w:autoSpaceDE w:val="0"/>
        <w:autoSpaceDN w:val="0"/>
        <w:adjustRightInd w:val="0"/>
        <w:spacing w:after="0" w:line="240" w:lineRule="auto"/>
        <w:jc w:val="right"/>
        <w:outlineLvl w:val="1"/>
        <w:rPr>
          <w:rFonts w:ascii="Times New Roman" w:hAnsi="Times New Roman"/>
          <w:sz w:val="24"/>
          <w:szCs w:val="24"/>
          <w:highlight w:val="yellow"/>
        </w:rPr>
      </w:pPr>
    </w:p>
    <w:p>
      <w:pPr>
        <w:rPr>
          <w:rFonts w:ascii="Times New Roman" w:hAnsi="Times New Roman"/>
          <w:sz w:val="24"/>
          <w:szCs w:val="24"/>
          <w:highlight w:val="yellow"/>
        </w:rPr>
      </w:pPr>
      <w:r>
        <w:rPr>
          <w:rFonts w:ascii="Times New Roman" w:hAnsi="Times New Roman"/>
          <w:sz w:val="24"/>
          <w:szCs w:val="24"/>
          <w:highlight w:val="yellow"/>
        </w:rPr>
        <w:br w:type="page"/>
      </w:r>
    </w:p>
    <w:p>
      <w:pPr>
        <w:autoSpaceDE w:val="0"/>
        <w:autoSpaceDN w:val="0"/>
        <w:adjustRightInd w:val="0"/>
        <w:spacing w:after="0" w:line="240" w:lineRule="auto"/>
        <w:jc w:val="right"/>
        <w:outlineLvl w:val="1"/>
        <w:rPr>
          <w:rFonts w:ascii="Times New Roman" w:hAnsi="Times New Roman"/>
          <w:sz w:val="24"/>
          <w:szCs w:val="24"/>
        </w:rPr>
      </w:pPr>
      <w:r>
        <w:rPr>
          <w:rFonts w:ascii="Times New Roman" w:hAnsi="Times New Roman"/>
          <w:sz w:val="24"/>
          <w:szCs w:val="24"/>
        </w:rPr>
        <w:lastRenderedPageBreak/>
        <w:t xml:space="preserve">Приложение № 1 </w:t>
      </w:r>
    </w:p>
    <w:p>
      <w:pPr>
        <w:autoSpaceDE w:val="0"/>
        <w:autoSpaceDN w:val="0"/>
        <w:adjustRightInd w:val="0"/>
        <w:spacing w:after="0" w:line="240" w:lineRule="auto"/>
        <w:jc w:val="both"/>
        <w:rPr>
          <w:rFonts w:ascii="Times New Roman" w:hAnsi="Times New Roman"/>
          <w:sz w:val="24"/>
          <w:szCs w:val="24"/>
        </w:rPr>
      </w:pPr>
    </w:p>
    <w:p>
      <w:pPr>
        <w:autoSpaceDE w:val="0"/>
        <w:autoSpaceDN w:val="0"/>
        <w:adjustRightInd w:val="0"/>
        <w:spacing w:after="0" w:line="240" w:lineRule="auto"/>
        <w:jc w:val="both"/>
        <w:rPr>
          <w:rFonts w:ascii="Times New Roman" w:hAnsi="Times New Roman"/>
          <w:sz w:val="24"/>
          <w:szCs w:val="24"/>
        </w:rPr>
      </w:pPr>
    </w:p>
    <w:p>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Руководителю ________________________________</w:t>
      </w:r>
    </w:p>
    <w:p>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от ________________________________________</w:t>
      </w:r>
    </w:p>
    <w:p>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(должность, фамилия, инициалы работника)</w:t>
      </w:r>
    </w:p>
    <w:p>
      <w:pPr>
        <w:autoSpaceDE w:val="0"/>
        <w:autoSpaceDN w:val="0"/>
        <w:adjustRightInd w:val="0"/>
        <w:spacing w:after="0" w:line="240" w:lineRule="auto"/>
        <w:jc w:val="both"/>
        <w:rPr>
          <w:rFonts w:ascii="Times New Roman" w:hAnsi="Times New Roman"/>
          <w:sz w:val="24"/>
          <w:szCs w:val="24"/>
        </w:rPr>
      </w:pPr>
    </w:p>
    <w:p>
      <w:pPr>
        <w:autoSpaceDE w:val="0"/>
        <w:autoSpaceDN w:val="0"/>
        <w:adjustRightInd w:val="0"/>
        <w:spacing w:after="0" w:line="240" w:lineRule="auto"/>
        <w:jc w:val="both"/>
        <w:rPr>
          <w:rFonts w:ascii="Times New Roman" w:hAnsi="Times New Roman"/>
          <w:sz w:val="24"/>
          <w:szCs w:val="24"/>
        </w:rPr>
      </w:pPr>
    </w:p>
    <w:p>
      <w:pPr>
        <w:autoSpaceDE w:val="0"/>
        <w:autoSpaceDN w:val="0"/>
        <w:adjustRightInd w:val="0"/>
        <w:spacing w:after="0" w:line="240" w:lineRule="auto"/>
        <w:jc w:val="center"/>
        <w:rPr>
          <w:rFonts w:ascii="Times New Roman" w:hAnsi="Times New Roman"/>
          <w:sz w:val="24"/>
          <w:szCs w:val="24"/>
        </w:rPr>
      </w:pPr>
      <w:bookmarkStart w:id="1" w:name="Par170"/>
      <w:bookmarkEnd w:id="1"/>
      <w:r>
        <w:rPr>
          <w:rFonts w:ascii="Times New Roman" w:hAnsi="Times New Roman"/>
          <w:sz w:val="24"/>
          <w:szCs w:val="24"/>
        </w:rPr>
        <w:t>Заявление</w:t>
      </w:r>
    </w:p>
    <w:p>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о выдаче денежных документов под отчёт</w:t>
      </w:r>
    </w:p>
    <w:p>
      <w:pPr>
        <w:autoSpaceDE w:val="0"/>
        <w:autoSpaceDN w:val="0"/>
        <w:adjustRightInd w:val="0"/>
        <w:spacing w:after="0" w:line="240" w:lineRule="auto"/>
        <w:jc w:val="both"/>
        <w:rPr>
          <w:rFonts w:ascii="Times New Roman" w:hAnsi="Times New Roman"/>
          <w:sz w:val="24"/>
          <w:szCs w:val="24"/>
        </w:rPr>
      </w:pPr>
    </w:p>
    <w:p>
      <w:pPr>
        <w:autoSpaceDE w:val="0"/>
        <w:autoSpaceDN w:val="0"/>
        <w:adjustRightInd w:val="0"/>
        <w:spacing w:after="0" w:line="240" w:lineRule="auto"/>
        <w:jc w:val="both"/>
        <w:rPr>
          <w:rFonts w:ascii="Times New Roman" w:hAnsi="Times New Roman"/>
          <w:sz w:val="24"/>
          <w:szCs w:val="24"/>
        </w:rPr>
      </w:pPr>
    </w:p>
    <w:p>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Прошу выдать мне под отчёт денежные документы _________________________</w:t>
      </w:r>
    </w:p>
    <w:p>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(указать наименование)</w:t>
      </w:r>
    </w:p>
    <w:p>
      <w:pPr>
        <w:autoSpaceDE w:val="0"/>
        <w:autoSpaceDN w:val="0"/>
        <w:adjustRightInd w:val="0"/>
        <w:spacing w:after="0" w:line="240" w:lineRule="auto"/>
        <w:jc w:val="both"/>
        <w:rPr>
          <w:rFonts w:ascii="Times New Roman" w:hAnsi="Times New Roman"/>
          <w:sz w:val="24"/>
          <w:szCs w:val="24"/>
        </w:rPr>
      </w:pPr>
      <w:proofErr w:type="gramStart"/>
      <w:r>
        <w:rPr>
          <w:rFonts w:ascii="Times New Roman" w:hAnsi="Times New Roman"/>
          <w:sz w:val="24"/>
          <w:szCs w:val="24"/>
        </w:rPr>
        <w:t>в</w:t>
      </w:r>
      <w:proofErr w:type="gramEnd"/>
      <w:r>
        <w:rPr>
          <w:rFonts w:ascii="Times New Roman" w:hAnsi="Times New Roman"/>
          <w:sz w:val="24"/>
          <w:szCs w:val="24"/>
        </w:rPr>
        <w:t xml:space="preserve"> количестве ____ на ______________________________________________________</w:t>
      </w:r>
    </w:p>
    <w:p>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(указать цель, срок)</w:t>
      </w:r>
    </w:p>
    <w:p>
      <w:pPr>
        <w:autoSpaceDE w:val="0"/>
        <w:autoSpaceDN w:val="0"/>
        <w:adjustRightInd w:val="0"/>
        <w:spacing w:after="0" w:line="240" w:lineRule="auto"/>
        <w:jc w:val="both"/>
        <w:rPr>
          <w:rFonts w:ascii="Times New Roman" w:hAnsi="Times New Roman"/>
          <w:sz w:val="24"/>
          <w:szCs w:val="24"/>
        </w:rPr>
      </w:pPr>
    </w:p>
    <w:p>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"___" ___________ 20__ г.                    ______________________________</w:t>
      </w:r>
    </w:p>
    <w:p>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(подпись работника)</w:t>
      </w:r>
    </w:p>
    <w:p>
      <w:pPr>
        <w:autoSpaceDE w:val="0"/>
        <w:autoSpaceDN w:val="0"/>
        <w:adjustRightInd w:val="0"/>
        <w:spacing w:after="0" w:line="240" w:lineRule="auto"/>
        <w:jc w:val="both"/>
        <w:rPr>
          <w:rFonts w:ascii="Times New Roman" w:hAnsi="Times New Roman"/>
          <w:sz w:val="24"/>
          <w:szCs w:val="24"/>
        </w:rPr>
      </w:pPr>
    </w:p>
    <w:p>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___________________________________________________________________________ (отметка бухгалтерии о наличии задолженности работника по ранеё полученным денежным документам)</w:t>
      </w:r>
    </w:p>
    <w:p>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___________________________________________________________________________</w:t>
      </w:r>
    </w:p>
    <w:p>
      <w:pPr>
        <w:autoSpaceDE w:val="0"/>
        <w:autoSpaceDN w:val="0"/>
        <w:adjustRightInd w:val="0"/>
        <w:spacing w:after="0" w:line="240" w:lineRule="auto"/>
        <w:jc w:val="both"/>
        <w:rPr>
          <w:rFonts w:ascii="Times New Roman" w:hAnsi="Times New Roman"/>
          <w:sz w:val="24"/>
          <w:szCs w:val="24"/>
        </w:rPr>
      </w:pPr>
    </w:p>
    <w:p>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"___" ____________ 20__ г. _______________ __________ _____________________</w:t>
      </w:r>
    </w:p>
    <w:p>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(должность)          (подпись)  (фамилия, инициалы)</w:t>
      </w:r>
    </w:p>
    <w:p>
      <w:pPr>
        <w:autoSpaceDE w:val="0"/>
        <w:autoSpaceDN w:val="0"/>
        <w:adjustRightInd w:val="0"/>
        <w:spacing w:after="0" w:line="240" w:lineRule="auto"/>
        <w:jc w:val="both"/>
        <w:rPr>
          <w:rFonts w:ascii="Times New Roman" w:hAnsi="Times New Roman"/>
          <w:sz w:val="24"/>
          <w:szCs w:val="24"/>
        </w:rPr>
      </w:pPr>
    </w:p>
    <w:p>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___________________________________________________________________________</w:t>
      </w:r>
    </w:p>
    <w:p>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(решение руководителя о выдаче денежных документов под отчёт)</w:t>
      </w:r>
    </w:p>
    <w:p>
      <w:pPr>
        <w:autoSpaceDE w:val="0"/>
        <w:autoSpaceDN w:val="0"/>
        <w:adjustRightInd w:val="0"/>
        <w:spacing w:after="0" w:line="240" w:lineRule="auto"/>
        <w:jc w:val="both"/>
        <w:rPr>
          <w:rFonts w:ascii="Times New Roman" w:hAnsi="Times New Roman"/>
          <w:sz w:val="24"/>
          <w:szCs w:val="24"/>
        </w:rPr>
      </w:pPr>
    </w:p>
    <w:p>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"___" ____________ 20__ г.  __________________   __________________________</w:t>
      </w:r>
    </w:p>
    <w:p>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(подпись)                (фамилия, инициалы)</w:t>
      </w:r>
    </w:p>
    <w:p>
      <w:pPr>
        <w:autoSpaceDE w:val="0"/>
        <w:autoSpaceDN w:val="0"/>
        <w:adjustRightInd w:val="0"/>
        <w:spacing w:after="0" w:line="240" w:lineRule="auto"/>
        <w:jc w:val="both"/>
        <w:rPr>
          <w:rFonts w:ascii="Times New Roman" w:hAnsi="Times New Roman"/>
          <w:sz w:val="24"/>
          <w:szCs w:val="24"/>
        </w:rPr>
      </w:pPr>
    </w:p>
    <w:p>
      <w:pPr>
        <w:rPr>
          <w:sz w:val="24"/>
          <w:szCs w:val="24"/>
        </w:rPr>
      </w:pPr>
      <w:r>
        <w:rPr>
          <w:sz w:val="24"/>
          <w:szCs w:val="24"/>
        </w:rPr>
        <w:br w:type="page"/>
      </w:r>
    </w:p>
    <w:p>
      <w:pPr>
        <w:jc w:val="right"/>
        <w:rPr>
          <w:rFonts w:ascii="Times New Roman" w:hAnsi="Times New Roman"/>
          <w:sz w:val="24"/>
          <w:szCs w:val="24"/>
        </w:rPr>
      </w:pPr>
      <w:r>
        <w:rPr>
          <w:rFonts w:ascii="Times New Roman" w:hAnsi="Times New Roman"/>
          <w:sz w:val="24"/>
          <w:szCs w:val="24"/>
        </w:rPr>
        <w:t xml:space="preserve">Приложение №2 </w:t>
      </w:r>
    </w:p>
    <w:p>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Перечень лиц, имеющих право получать под отчёт</w:t>
      </w:r>
    </w:p>
    <w:p>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денежные документы</w:t>
      </w:r>
    </w:p>
    <w:p>
      <w:pPr>
        <w:autoSpaceDE w:val="0"/>
        <w:autoSpaceDN w:val="0"/>
        <w:adjustRightInd w:val="0"/>
        <w:spacing w:after="0" w:line="240" w:lineRule="auto"/>
        <w:jc w:val="both"/>
        <w:outlineLvl w:val="0"/>
        <w:rPr>
          <w:rFonts w:ascii="Times New Roman" w:hAnsi="Times New Roman"/>
          <w:sz w:val="24"/>
          <w:szCs w:val="24"/>
        </w:rPr>
      </w:pPr>
    </w:p>
    <w:tbl>
      <w:tblPr>
        <w:tblW w:w="9638" w:type="dxa"/>
        <w:tblInd w:w="62" w:type="dxa"/>
        <w:tblLayout w:type="fixed"/>
        <w:tblCellMar>
          <w:top w:w="102" w:type="dxa"/>
          <w:left w:w="62" w:type="dxa"/>
          <w:bottom w:w="102" w:type="dxa"/>
          <w:right w:w="62" w:type="dxa"/>
        </w:tblCellMar>
        <w:tblLook w:val="0000" w:firstRow="0" w:lastRow="0" w:firstColumn="0" w:lastColumn="0" w:noHBand="0" w:noVBand="0"/>
      </w:tblPr>
      <w:tblGrid>
        <w:gridCol w:w="4252"/>
        <w:gridCol w:w="5386"/>
      </w:tblGrid>
      <w:tr>
        <w:tc>
          <w:tcPr>
            <w:tcW w:w="4252" w:type="dxa"/>
            <w:tcBorders>
              <w:top w:val="single" w:sz="4" w:space="0" w:color="auto"/>
              <w:left w:val="single" w:sz="4" w:space="0" w:color="auto"/>
              <w:bottom w:val="single" w:sz="4" w:space="0" w:color="auto"/>
              <w:right w:val="single" w:sz="4" w:space="0" w:color="auto"/>
            </w:tcBorders>
          </w:tcPr>
          <w:p>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Наименование денежных документов</w:t>
            </w:r>
          </w:p>
        </w:tc>
        <w:tc>
          <w:tcPr>
            <w:tcW w:w="5386" w:type="dxa"/>
            <w:tcBorders>
              <w:top w:val="single" w:sz="4" w:space="0" w:color="auto"/>
              <w:left w:val="single" w:sz="4" w:space="0" w:color="auto"/>
              <w:bottom w:val="single" w:sz="4" w:space="0" w:color="auto"/>
              <w:right w:val="single" w:sz="4" w:space="0" w:color="auto"/>
            </w:tcBorders>
          </w:tcPr>
          <w:p>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Наименование должности работников, имеющих право получать под отчёт денежные документы</w:t>
            </w:r>
          </w:p>
        </w:tc>
      </w:tr>
      <w:tr>
        <w:tc>
          <w:tcPr>
            <w:tcW w:w="4252" w:type="dxa"/>
            <w:tcBorders>
              <w:top w:val="single" w:sz="4" w:space="0" w:color="auto"/>
              <w:left w:val="single" w:sz="4" w:space="0" w:color="auto"/>
              <w:bottom w:val="single" w:sz="4" w:space="0" w:color="auto"/>
              <w:right w:val="single" w:sz="4" w:space="0" w:color="auto"/>
            </w:tcBorders>
          </w:tcPr>
          <w:p>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Почтовые конверты с марками</w:t>
            </w:r>
          </w:p>
        </w:tc>
        <w:tc>
          <w:tcPr>
            <w:tcW w:w="5386" w:type="dxa"/>
            <w:tcBorders>
              <w:top w:val="single" w:sz="4" w:space="0" w:color="auto"/>
              <w:left w:val="single" w:sz="4" w:space="0" w:color="auto"/>
              <w:bottom w:val="single" w:sz="4" w:space="0" w:color="auto"/>
              <w:right w:val="single" w:sz="4" w:space="0" w:color="auto"/>
            </w:tcBorders>
          </w:tcPr>
          <w:p>
            <w:pPr>
              <w:autoSpaceDE w:val="0"/>
              <w:autoSpaceDN w:val="0"/>
              <w:adjustRightInd w:val="0"/>
              <w:spacing w:after="0" w:line="240" w:lineRule="auto"/>
              <w:rPr>
                <w:rFonts w:ascii="Times New Roman" w:hAnsi="Times New Roman"/>
                <w:sz w:val="24"/>
                <w:szCs w:val="24"/>
              </w:rPr>
            </w:pPr>
          </w:p>
        </w:tc>
      </w:tr>
      <w:tr>
        <w:tc>
          <w:tcPr>
            <w:tcW w:w="4252" w:type="dxa"/>
            <w:tcBorders>
              <w:top w:val="single" w:sz="4" w:space="0" w:color="auto"/>
              <w:left w:val="single" w:sz="4" w:space="0" w:color="auto"/>
              <w:bottom w:val="single" w:sz="4" w:space="0" w:color="auto"/>
              <w:right w:val="single" w:sz="4" w:space="0" w:color="auto"/>
            </w:tcBorders>
          </w:tcPr>
          <w:p>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Иные денежные документы</w:t>
            </w:r>
          </w:p>
        </w:tc>
        <w:tc>
          <w:tcPr>
            <w:tcW w:w="5386" w:type="dxa"/>
            <w:tcBorders>
              <w:top w:val="single" w:sz="4" w:space="0" w:color="auto"/>
              <w:left w:val="single" w:sz="4" w:space="0" w:color="auto"/>
              <w:bottom w:val="single" w:sz="4" w:space="0" w:color="auto"/>
              <w:right w:val="single" w:sz="4" w:space="0" w:color="auto"/>
            </w:tcBorders>
          </w:tcPr>
          <w:p>
            <w:pPr>
              <w:autoSpaceDE w:val="0"/>
              <w:autoSpaceDN w:val="0"/>
              <w:adjustRightInd w:val="0"/>
              <w:spacing w:after="0" w:line="240" w:lineRule="auto"/>
              <w:rPr>
                <w:rFonts w:ascii="Times New Roman" w:hAnsi="Times New Roman"/>
                <w:sz w:val="24"/>
                <w:szCs w:val="24"/>
              </w:rPr>
            </w:pPr>
          </w:p>
        </w:tc>
      </w:tr>
    </w:tbl>
    <w:p>
      <w:pPr>
        <w:jc w:val="right"/>
        <w:rPr>
          <w:rFonts w:ascii="Times New Roman" w:hAnsi="Times New Roman"/>
          <w:sz w:val="24"/>
          <w:szCs w:val="24"/>
        </w:rPr>
      </w:pPr>
    </w:p>
    <w:p>
      <w:pPr>
        <w:rPr>
          <w:sz w:val="24"/>
          <w:szCs w:val="24"/>
        </w:rPr>
      </w:pPr>
    </w:p>
    <w:sectPr>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88B950A-02C0-4290-97B8-999416247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4">
    <w:name w:val="Верхний колонтитул Знак"/>
    <w:basedOn w:val="a0"/>
    <w:link w:val="a3"/>
    <w:uiPriority w:val="99"/>
    <w:rPr>
      <w:rFonts w:ascii="Times New Roman" w:eastAsia="Times New Roman" w:hAnsi="Times New Roman"/>
      <w:sz w:val="24"/>
      <w:szCs w:val="24"/>
    </w:rPr>
  </w:style>
  <w:style w:type="paragraph" w:styleId="a5">
    <w:name w:val="Balloon Text"/>
    <w:basedOn w:val="a"/>
    <w:link w:val="a6"/>
    <w:uiPriority w:val="99"/>
    <w:semiHidden/>
    <w:unhideWhenUsed/>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F8D087B76DBDFBEDE6E2025226A8438592DCA93C18E0B59FBD44BDB02F2A71E750B2F1737E52A85Ab8S5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F8D087B76DBDFBEDE6E2025226A8438592DCA93C18E0B59FBD44BDB02F2A71E750B2F1737E52A85Db8S7P" TargetMode="External"/><Relationship Id="rId5" Type="http://schemas.openxmlformats.org/officeDocument/2006/relationships/hyperlink" Target="consultantplus://offline/ref=F8D087B76DBDFBEDE6E2025226A8438592D2AF3D1CE0B59FBD44BDB02Fb2SAP" TargetMode="External"/><Relationship Id="rId4" Type="http://schemas.openxmlformats.org/officeDocument/2006/relationships/hyperlink" Target="consultantplus://offline/ref=F8D087B76DBDFBEDE6E2025226A8438592DDAD3E1BEEB59FBD44BDB02F2A71E750B2F1737E52A256b8S1P"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1293</Words>
  <Characters>7376</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Купцова И.О.</cp:lastModifiedBy>
  <cp:revision>2</cp:revision>
  <cp:lastPrinted>2023-04-26T03:42:00Z</cp:lastPrinted>
  <dcterms:created xsi:type="dcterms:W3CDTF">2025-12-11T09:16:00Z</dcterms:created>
  <dcterms:modified xsi:type="dcterms:W3CDTF">2025-12-11T09:16:00Z</dcterms:modified>
</cp:coreProperties>
</file>