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0A0" w:firstRow="1" w:lastRow="0" w:firstColumn="1" w:lastColumn="0" w:noHBand="0" w:noVBand="0"/>
      </w:tblPr>
      <w:tblGrid>
        <w:gridCol w:w="4663"/>
        <w:gridCol w:w="4692"/>
      </w:tblGrid>
      <w:tr>
        <w:tc>
          <w:tcPr>
            <w:tcW w:w="478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№ 14</w:t>
            </w:r>
          </w:p>
          <w:p>
            <w:pPr>
              <w:pStyle w:val="a7"/>
              <w:jc w:val="right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</w:t>
            </w:r>
            <w:proofErr w:type="gramEnd"/>
            <w:r>
              <w:rPr>
                <w:lang w:eastAsia="en-US"/>
              </w:rPr>
              <w:t xml:space="preserve"> Учетной политике</w:t>
            </w:r>
          </w:p>
          <w:p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утвержденной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приказом </w:t>
            </w:r>
          </w:p>
          <w:p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начальника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Финансового управления</w:t>
            </w:r>
          </w:p>
          <w:p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30.12.2021 № 94</w:t>
            </w:r>
          </w:p>
        </w:tc>
      </w:tr>
    </w:tbl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4"/>
          <w:szCs w:val="24"/>
        </w:rPr>
      </w:pP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Положение 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о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порядке проведения инвентаризации кассы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Общие положения</w:t>
      </w:r>
    </w:p>
    <w:p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>
      <w:pPr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Настоящее Положение применяется в соответствии с требованиями ст. 11 Федерального закона РФ от 06.12.2011 № 402-ФЗ «О бухгалтерском учёте» (далее – Закон                о бухгалтерском учёте», раздел </w:t>
      </w:r>
      <w:r>
        <w:rPr>
          <w:rFonts w:ascii="Times New Roman" w:hAnsi="Times New Roman"/>
          <w:sz w:val="24"/>
          <w:szCs w:val="24"/>
          <w:lang w:val="en-US"/>
        </w:rPr>
        <w:t>VIII</w:t>
      </w:r>
      <w:r>
        <w:rPr>
          <w:rFonts w:ascii="Times New Roman" w:hAnsi="Times New Roman"/>
          <w:sz w:val="24"/>
          <w:szCs w:val="24"/>
        </w:rPr>
        <w:t xml:space="preserve"> СГС «Концептуальные основы бухгалтерского учета и отчётности организаций госсектора», утвержденного приказом Минфина России                   от 31.12.2016 № 256н (далее – СГС «Концептуальные основы»), </w:t>
      </w:r>
      <w:bookmarkStart w:id="0" w:name="_GoBack"/>
      <w:r>
        <w:rPr>
          <w:rFonts w:ascii="Times New Roman" w:hAnsi="Times New Roman"/>
          <w:strike/>
          <w:sz w:val="24"/>
          <w:szCs w:val="24"/>
          <w:highlight w:val="yellow"/>
        </w:rPr>
        <w:t>п. 20 приказа Минфина России от 01.12.2010 № 157н «Об утверждении Единого плана счетов бухгалтерского       учета для органов государственной власти (госорганов), органов местного                           самоуправления, органов управления государственными внебюджетными фондами,            государственных академий наук, государственных (муниципальных) учреждений                 и Инструкции по его применению» (далее – ЕПС)</w:t>
      </w:r>
      <w:r>
        <w:rPr>
          <w:rFonts w:ascii="Times New Roman" w:hAnsi="Times New Roman"/>
          <w:sz w:val="24"/>
          <w:szCs w:val="24"/>
        </w:rPr>
        <w:t>,</w:t>
      </w:r>
      <w:bookmarkEnd w:id="0"/>
      <w:r>
        <w:rPr>
          <w:rFonts w:ascii="Times New Roman" w:hAnsi="Times New Roman"/>
          <w:sz w:val="24"/>
          <w:szCs w:val="24"/>
        </w:rPr>
        <w:t xml:space="preserve"> положениями приказа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 Приказ № 61н).</w:t>
      </w:r>
    </w:p>
    <w:p>
      <w:pPr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 Цель Положения – закрепить порядок проведения инвентаризации кассы.</w:t>
      </w:r>
    </w:p>
    <w:p>
      <w:pPr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1.3. Проведение инвентаризации осуществляется постоянно действующей                 инвентаризационной комиссией (далее – инвентаризационная комиссия), назначенной приказом начальника Управления. </w:t>
      </w:r>
    </w:p>
    <w:p>
      <w:pPr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Виды инвентаризации, особенности 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проведения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инвентаризации кассы</w:t>
      </w:r>
    </w:p>
    <w:p>
      <w:pPr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 Инвентаризация может быть плановая и внеплановая (внезапная): 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плановая инвентаризация проводится ежеквартально </w:t>
      </w:r>
      <w:proofErr w:type="gramStart"/>
      <w:r>
        <w:rPr>
          <w:rFonts w:ascii="Times New Roman" w:hAnsi="Times New Roman"/>
          <w:sz w:val="24"/>
          <w:szCs w:val="24"/>
        </w:rPr>
        <w:t>и  ежегодно</w:t>
      </w:r>
      <w:proofErr w:type="gramEnd"/>
      <w:r>
        <w:rPr>
          <w:rFonts w:ascii="Times New Roman" w:hAnsi="Times New Roman"/>
          <w:sz w:val="24"/>
          <w:szCs w:val="24"/>
        </w:rPr>
        <w:t xml:space="preserve"> перед                составлением годовой отчётности;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внеплановая (внезапная) инвентаризация проводится как по решению начальника Управления, так и по требованию контролирующих органов.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 Основными целями инвентаризации являются:</w:t>
      </w:r>
    </w:p>
    <w:p>
      <w:pPr>
        <w:shd w:val="clear" w:color="auto" w:fill="FFFFFF"/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  <w:lang w:eastAsia="ru-RU"/>
        </w:rPr>
        <w:t xml:space="preserve">выявление фактического наличия денежных средств (денежных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документов,   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          бланков строгой отчётности) в кассе Управления;</w:t>
      </w:r>
    </w:p>
    <w:p>
      <w:pPr>
        <w:shd w:val="clear" w:color="auto" w:fill="FFFFFF"/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  <w:lang w:eastAsia="ru-RU"/>
        </w:rPr>
        <w:t>сопоставление фактического наличия денежных средств (денежных документов, бланков строгой отчётности, ценных бумаг) в кассе Управления с данными                             бухгалтерского учёта и выявление отклонений;</w:t>
      </w:r>
    </w:p>
    <w:p>
      <w:pPr>
        <w:shd w:val="clear" w:color="auto" w:fill="FFFFFF"/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  <w:lang w:eastAsia="ru-RU"/>
        </w:rPr>
        <w:t>проверка полноты отражения в учёте кассовых операций и правильности                  оформления кассовых документов.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 Порядок и сроки проведения инвентаризации определяются приказом                      начальника Управления. Проведение обязательно в следующих случаях:</w:t>
      </w:r>
    </w:p>
    <w:p>
      <w:pPr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при установлении фактов хищений или злоупотреблений, а также порчи ценностей;</w:t>
      </w:r>
    </w:p>
    <w:p>
      <w:pPr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в случае стихийных бедствий, пожара, аварий или других чрезвычайных ситуаций, вызванных экстремальными условиями;</w:t>
      </w:r>
    </w:p>
    <w:p>
      <w:pPr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– при смене ответственных лиц (на день приёмки - передачи дел);</w:t>
      </w:r>
    </w:p>
    <w:p>
      <w:pPr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в других случаях, предусмотренных законодательством Российской Федерации или иными нормативными правовыми актами Российской Федерации.</w:t>
      </w:r>
    </w:p>
    <w:p>
      <w:pPr>
        <w:pStyle w:val="a5"/>
        <w:shd w:val="clear" w:color="auto" w:fill="FFFFFF"/>
        <w:spacing w:before="0" w:beforeAutospacing="0" w:after="0" w:afterAutospacing="0"/>
        <w:ind w:firstLine="539"/>
      </w:pPr>
      <w:r>
        <w:t xml:space="preserve">2.4. Инвентаризации подлежат: </w:t>
      </w:r>
    </w:p>
    <w:p>
      <w:pPr>
        <w:shd w:val="clear" w:color="auto" w:fill="FFFFFF"/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  <w:lang w:eastAsia="ru-RU"/>
        </w:rPr>
        <w:t>наличные деньги;</w:t>
      </w:r>
    </w:p>
    <w:p>
      <w:pPr>
        <w:shd w:val="clear" w:color="auto" w:fill="FFFFFF"/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  <w:lang w:eastAsia="ru-RU"/>
        </w:rPr>
        <w:t>бланки строгой отчётности;</w:t>
      </w:r>
    </w:p>
    <w:p>
      <w:pPr>
        <w:shd w:val="clear" w:color="auto" w:fill="FFFFFF"/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  <w:lang w:eastAsia="ru-RU"/>
        </w:rPr>
        <w:t>денежные документы.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2.5. Инвентаризационная комиссия несёт ответственность: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  <w:lang w:eastAsia="ru-RU"/>
        </w:rPr>
        <w:t xml:space="preserve">за своевременность и соблюдение порядка проведения инвентаризации                       в соответствии с приказом начальника;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  <w:lang w:eastAsia="ru-RU"/>
        </w:rPr>
        <w:t>за правильность и своевременность оформления результатов инвентаризации.</w:t>
      </w:r>
    </w:p>
    <w:p>
      <w:pPr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при проведении инвентаризации (ревизии) хотя бы один член инвентаризационной комиссии отсутствует, то результаты инвентаризации признаются                               недействительными.</w:t>
      </w:r>
    </w:p>
    <w:p>
      <w:pPr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время проведения инвентаризации (ревизии) операции по приему и выдаче               денежных средств не производятся.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2.6. В ходе проведения инвентаризации кассы комиссия должна: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  <w:lang w:eastAsia="ru-RU"/>
        </w:rPr>
        <w:t>проверить кассовую книгу, отчёты кассира, приходные и расходные кассовые              ордера, журнал регистрации приходных и расходных кассовых ордеров, доверенности на получение денег, реестр депонированных сумм и другие документы кассовой                         дисциплины;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  <w:lang w:eastAsia="ru-RU"/>
        </w:rPr>
        <w:t xml:space="preserve">сверить суммы, оприходованные в кассу, с суммами, списанными с лицевого         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   (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расчетного) счета;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  <w:lang w:eastAsia="ru-RU"/>
        </w:rPr>
        <w:t>проверить соблюдение кассиром лимита остатка наличных денежных средств, своевременность депонирования невыплаченных сумм зарплаты.</w:t>
      </w:r>
    </w:p>
    <w:p>
      <w:pPr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2.7. </w:t>
      </w:r>
      <w:r>
        <w:rPr>
          <w:rFonts w:ascii="Times New Roman" w:hAnsi="Times New Roman"/>
          <w:sz w:val="24"/>
          <w:szCs w:val="24"/>
        </w:rPr>
        <w:t>До начала проверки фактического наличия денежных средств и денежных              документов инвентаризационной комиссии надлежит получить последние на момент               инвентаризации ПКО, РКО, отчет кассира.</w:t>
      </w:r>
    </w:p>
    <w:p>
      <w:pPr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2.8. Кассир должен дать расписку о том, что к началу проведения инвентаризации все расходные и приходные документы на денежные средства и денежные документы сданы в Отдел и все денежные средства и денежные документы, поступившие на его             ответственность, оприходованы, а выбывшие – списаны в расход.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2.9. При подсчёте фактического наличия денежных знаков пересчитываются как            наличные деньги, денежные документы (почтовые марки, авиабилеты и др.), так и бланки строгой отчётности с учётом начальных и конечных номеров тех или иных бланков.</w:t>
      </w:r>
    </w:p>
    <w:p>
      <w:pPr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2.10.</w:t>
      </w:r>
      <w:r>
        <w:rPr>
          <w:rFonts w:ascii="Times New Roman" w:hAnsi="Times New Roman"/>
          <w:sz w:val="24"/>
          <w:szCs w:val="24"/>
        </w:rPr>
        <w:t xml:space="preserve"> Выдача денег из кассы, не подтвержденная распиской получателя в РКО или другом заменяющем его документе, в оправдание остатка наличных денег в кассе не            принимается. Такая сумма рассматривается как недостача денежных средств в кассе Управления и подлежит взысканию с кассира.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Документальное оформление 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результатов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инвентаризации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3.1. Результаты инвентаризации кассы оформляются: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  <w:lang w:eastAsia="ru-RU"/>
        </w:rPr>
        <w:t>инвентаризационной описью наличных денежных средств (</w:t>
      </w:r>
      <w:hyperlink r:id="rId5" w:anchor="/document/140/26299/" w:tooltip="ОКУД 0504088. Инвентаризационная опись наличных денежных средств" w:history="1">
        <w:r>
          <w:rPr>
            <w:rFonts w:ascii="Times New Roman" w:hAnsi="Times New Roman"/>
            <w:sz w:val="24"/>
            <w:szCs w:val="24"/>
            <w:lang w:eastAsia="ru-RU"/>
          </w:rPr>
          <w:t>ф. 0504088</w:t>
        </w:r>
      </w:hyperlink>
      <w:r>
        <w:rPr>
          <w:rFonts w:ascii="Times New Roman" w:hAnsi="Times New Roman"/>
          <w:sz w:val="24"/>
          <w:szCs w:val="24"/>
          <w:lang w:eastAsia="ru-RU"/>
        </w:rPr>
        <w:t>);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  <w:lang w:eastAsia="ru-RU"/>
        </w:rPr>
        <w:t>инвентаризационной описью (сличительной ведомостью) бланков строгой                  отчётности и денежных документов (</w:t>
      </w:r>
      <w:hyperlink r:id="rId6" w:anchor="/document/140/26297/" w:tooltip="ОКУД 0504086. Инвентаризационная опись бланков строгой отчетности и денежных документов" w:history="1">
        <w:r>
          <w:rPr>
            <w:rFonts w:ascii="Times New Roman" w:hAnsi="Times New Roman"/>
            <w:sz w:val="24"/>
            <w:szCs w:val="24"/>
            <w:lang w:eastAsia="ru-RU"/>
          </w:rPr>
          <w:t>ф. 0504086</w:t>
        </w:r>
      </w:hyperlink>
      <w:r>
        <w:rPr>
          <w:rFonts w:ascii="Times New Roman" w:hAnsi="Times New Roman"/>
          <w:sz w:val="24"/>
          <w:szCs w:val="24"/>
          <w:lang w:eastAsia="ru-RU"/>
        </w:rPr>
        <w:t>):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  <w:lang w:eastAsia="ru-RU"/>
        </w:rPr>
        <w:t xml:space="preserve"> актом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об инвентаризации наличных денежных средств (ф.0510836).</w:t>
      </w:r>
    </w:p>
    <w:p>
      <w:pPr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3.2. </w:t>
      </w:r>
      <w:r>
        <w:rPr>
          <w:rFonts w:ascii="Times New Roman" w:hAnsi="Times New Roman"/>
          <w:sz w:val="24"/>
          <w:szCs w:val="24"/>
        </w:rPr>
        <w:t xml:space="preserve">В Инвентаризационной описи наличных денежных средств </w:t>
      </w:r>
      <w:proofErr w:type="gramStart"/>
      <w:r>
        <w:rPr>
          <w:rFonts w:ascii="Times New Roman" w:hAnsi="Times New Roman"/>
          <w:sz w:val="24"/>
          <w:szCs w:val="24"/>
        </w:rPr>
        <w:t xml:space="preserve">указываются: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сведения о наличии денежных средств в кассе Управления фактически и по учётным             данным цифрами и прописью; сведения о результатах инвентаризации – недостачах            и излишках.</w:t>
      </w:r>
    </w:p>
    <w:p>
      <w:pPr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Результаты инвентаризации фактического наличия денежных </w:t>
      </w:r>
      <w:proofErr w:type="gramStart"/>
      <w:r>
        <w:rPr>
          <w:rFonts w:ascii="Times New Roman" w:hAnsi="Times New Roman"/>
          <w:sz w:val="24"/>
          <w:szCs w:val="24"/>
        </w:rPr>
        <w:t xml:space="preserve">документов,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находящихся в кассе Управления, отражаются в Инвентаризационной описи                         (сличительной ведомости) бланков строгой отчётности и денежных документов.</w:t>
      </w:r>
    </w:p>
    <w:p>
      <w:pPr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Инвентаризационной описи (сличительной ведомости) бланков строгой отчётности и денежных документов указываются: сведения о наличии денежных документов                фактически и по учётным данным с указанием наименования, кода денежного документа, его серии, номера, цены, количества и суммы; сведения о результатах инвентаризации – недостачах и излишках.</w:t>
      </w:r>
    </w:p>
    <w:p>
      <w:pPr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3.3. Инвентаризационная опись оформляется в двух экземплярах и подписывается всеми членами комиссии и кассиром, ответственным за сохранность </w:t>
      </w:r>
      <w:proofErr w:type="gramStart"/>
      <w:r>
        <w:rPr>
          <w:rFonts w:ascii="Times New Roman" w:hAnsi="Times New Roman"/>
          <w:sz w:val="24"/>
          <w:szCs w:val="24"/>
        </w:rPr>
        <w:t xml:space="preserve">ценностей,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и доводится до сведения начальника Управления.</w:t>
      </w:r>
    </w:p>
    <w:p>
      <w:pPr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Один экземпляр Описи передается в Отдел Управления, второй – остается у кассира.</w:t>
      </w:r>
    </w:p>
    <w:p>
      <w:pPr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смене кассира Опись составляется в трёх экземплярах. Один экземпляр                передается кассиру, сдавшему ценности, второй – кассиру, принявшему </w:t>
      </w:r>
      <w:proofErr w:type="gramStart"/>
      <w:r>
        <w:rPr>
          <w:rFonts w:ascii="Times New Roman" w:hAnsi="Times New Roman"/>
          <w:sz w:val="24"/>
          <w:szCs w:val="24"/>
        </w:rPr>
        <w:t xml:space="preserve">ценности,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и третий – в Отдел.</w:t>
      </w:r>
    </w:p>
    <w:p>
      <w:pPr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Подчистки и помарки в Инвентаризационной описи не допускаются.</w:t>
      </w:r>
    </w:p>
    <w:p>
      <w:pPr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Исправления оговариваются и подписываются членами комиссии и кассиром.</w:t>
      </w:r>
    </w:p>
    <w:p>
      <w:pPr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выявлении недостачи или излишков ценностей в кассе в Описи указывается их сумма и обстоятельства возникновения.</w:t>
      </w:r>
    </w:p>
    <w:p>
      <w:pPr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3.4. На основании Инвентаризационной описи (</w:t>
      </w:r>
      <w:hyperlink r:id="rId7" w:anchor="block_4410" w:history="1">
        <w:r>
          <w:rPr>
            <w:rFonts w:ascii="Times New Roman" w:hAnsi="Times New Roman"/>
            <w:sz w:val="24"/>
            <w:szCs w:val="24"/>
          </w:rPr>
          <w:t>ф. 0504088</w:t>
        </w:r>
      </w:hyperlink>
      <w:r>
        <w:rPr>
          <w:rFonts w:ascii="Times New Roman" w:hAnsi="Times New Roman"/>
          <w:sz w:val="24"/>
          <w:szCs w:val="24"/>
        </w:rPr>
        <w:t>) комиссия составляет заключение по результатам проведенной инвентаризации наличных денежных средств по форме Акта о результатах инвентаризации наличных денежных средств (</w:t>
      </w:r>
      <w:hyperlink r:id="rId8" w:anchor="block_2011" w:history="1">
        <w:r>
          <w:rPr>
            <w:rFonts w:ascii="Times New Roman" w:hAnsi="Times New Roman"/>
            <w:sz w:val="24"/>
            <w:szCs w:val="24"/>
          </w:rPr>
          <w:t>ф. 0510836</w:t>
        </w:r>
      </w:hyperlink>
      <w:r>
        <w:rPr>
          <w:rFonts w:ascii="Times New Roman" w:hAnsi="Times New Roman"/>
          <w:sz w:val="24"/>
          <w:szCs w:val="24"/>
        </w:rPr>
        <w:t>). Акт оформляется вне зависимости от наличия выявленных недостач (излишков). 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3.5. Если в результате инвентаризации выявлены </w:t>
      </w:r>
      <w:hyperlink r:id="rId9" w:anchor="/document/11/44340/" w:history="1">
        <w:r>
          <w:rPr>
            <w:rFonts w:ascii="Times New Roman" w:hAnsi="Times New Roman"/>
            <w:sz w:val="24"/>
            <w:szCs w:val="24"/>
            <w:lang w:eastAsia="ru-RU"/>
          </w:rPr>
          <w:t>излишки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или обнаружена                      </w:t>
      </w:r>
      <w:hyperlink r:id="rId10" w:anchor="/document/11/44465/" w:history="1">
        <w:r>
          <w:rPr>
            <w:rFonts w:ascii="Times New Roman" w:hAnsi="Times New Roman"/>
            <w:sz w:val="24"/>
            <w:szCs w:val="24"/>
            <w:lang w:eastAsia="ru-RU"/>
          </w:rPr>
          <w:t>недостача</w:t>
        </w:r>
      </w:hyperlink>
      <w:r>
        <w:rPr>
          <w:rFonts w:ascii="Times New Roman" w:hAnsi="Times New Roman"/>
          <w:sz w:val="24"/>
          <w:szCs w:val="24"/>
          <w:lang w:eastAsia="ru-RU"/>
        </w:rPr>
        <w:t>, оформляется ведомость расхождений по результатам инвентаризации (</w:t>
      </w:r>
      <w:hyperlink r:id="rId11" w:anchor="/document/140/31326/" w:tooltip="ОКУД 0504092. Ведомость расхождений по результатам инвентаризации" w:history="1">
        <w:r>
          <w:rPr>
            <w:rFonts w:ascii="Times New Roman" w:hAnsi="Times New Roman"/>
            <w:sz w:val="24"/>
            <w:szCs w:val="24"/>
            <w:lang w:eastAsia="ru-RU"/>
          </w:rPr>
          <w:t>ф. 0504092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).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3.6.</w:t>
      </w:r>
      <w:r>
        <w:t> </w:t>
      </w:r>
      <w:r>
        <w:rPr>
          <w:rFonts w:ascii="Times New Roman" w:hAnsi="Times New Roman"/>
          <w:sz w:val="24"/>
          <w:szCs w:val="24"/>
          <w:lang w:eastAsia="ru-RU"/>
        </w:rPr>
        <w:t>При наличии расхождений ведомость прилагается к акту о результатах                      инвентаризации (</w:t>
      </w:r>
      <w:hyperlink r:id="rId12" w:anchor="/document/140/31280/" w:tooltip="ОКУД 0504835. Акт о результатах инвентаризации" w:history="1">
        <w:r>
          <w:rPr>
            <w:rFonts w:ascii="Times New Roman" w:hAnsi="Times New Roman"/>
            <w:sz w:val="24"/>
            <w:szCs w:val="24"/>
            <w:lang w:eastAsia="ru-RU"/>
          </w:rPr>
          <w:t>ф. 0504835</w:t>
        </w:r>
      </w:hyperlink>
      <w:r>
        <w:rPr>
          <w:rFonts w:ascii="Times New Roman" w:hAnsi="Times New Roman"/>
          <w:sz w:val="24"/>
          <w:szCs w:val="24"/>
          <w:lang w:eastAsia="ru-RU"/>
        </w:rPr>
        <w:t>).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4. Заключительные положения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4.1. Все изменения и дополнения к настоящему положению утверждаются                         руководителем Управления.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4.2. Если в результате изменения действующего законодательства России отдельные статьи настоящего положения вступят с ним в противоречие, они утрачивают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силу,   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           преимущественную силу имеют положения действующего законодательства России.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390E91"/>
    <w:multiLevelType w:val="multilevel"/>
    <w:tmpl w:val="2B027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545271"/>
    <w:multiLevelType w:val="multilevel"/>
    <w:tmpl w:val="0D640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A162EB4"/>
    <w:multiLevelType w:val="hybridMultilevel"/>
    <w:tmpl w:val="D87A5B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CC906BF"/>
    <w:multiLevelType w:val="multilevel"/>
    <w:tmpl w:val="E0163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DA749D3"/>
    <w:multiLevelType w:val="multilevel"/>
    <w:tmpl w:val="B3D0B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EC64839"/>
    <w:multiLevelType w:val="multilevel"/>
    <w:tmpl w:val="CD889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FFB94B2-DE84-45E4-82A8-3025E1ADF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pPr>
      <w:ind w:left="720"/>
      <w:contextualSpacing/>
    </w:pPr>
  </w:style>
  <w:style w:type="paragraph" w:styleId="a5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fill">
    <w:name w:val="fill"/>
    <w:basedOn w:val="a0"/>
    <w:uiPriority w:val="99"/>
    <w:rPr>
      <w:rFonts w:cs="Times New Roman"/>
    </w:rPr>
  </w:style>
  <w:style w:type="paragraph" w:styleId="HTML">
    <w:name w:val="HTML Preformatted"/>
    <w:basedOn w:val="a"/>
    <w:link w:val="HTML0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x-none" w:eastAsia="ru-RU"/>
    </w:rPr>
  </w:style>
  <w:style w:type="character" w:styleId="a6">
    <w:name w:val="Hyperlink"/>
    <w:basedOn w:val="a0"/>
    <w:uiPriority w:val="99"/>
    <w:semiHidden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509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50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9509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50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400766923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ase.garant.ru/70951956/172a6d689833ce3e42dc0a8a7b3cddf9/" TargetMode="External"/><Relationship Id="rId12" Type="http://schemas.openxmlformats.org/officeDocument/2006/relationships/hyperlink" Target="http://vip.gosfinansy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ip.gosfinansy.ru/" TargetMode="External"/><Relationship Id="rId11" Type="http://schemas.openxmlformats.org/officeDocument/2006/relationships/hyperlink" Target="http://vip.gosfinansy.ru/" TargetMode="External"/><Relationship Id="rId5" Type="http://schemas.openxmlformats.org/officeDocument/2006/relationships/hyperlink" Target="http://vip.gosfinansy.ru/" TargetMode="External"/><Relationship Id="rId10" Type="http://schemas.openxmlformats.org/officeDocument/2006/relationships/hyperlink" Target="http://vip.gosfinansy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ip.gosfinansy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924</Words>
  <Characters>8370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/>
  <LinksUpToDate>false</LinksUpToDate>
  <CharactersWithSpaces>9276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ASUS</dc:creator>
  <cp:keywords/>
  <dc:description/>
  <cp:lastModifiedBy>Купцова И.О.</cp:lastModifiedBy>
  <cp:revision>2</cp:revision>
  <cp:lastPrinted>2022-02-01T08:51:00Z</cp:lastPrinted>
  <dcterms:created xsi:type="dcterms:W3CDTF">2025-12-11T09:15:00Z</dcterms:created>
  <dcterms:modified xsi:type="dcterms:W3CDTF">2025-12-11T09:15:00Z</dcterms:modified>
</cp:coreProperties>
</file>