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0A0" w:firstRow="1" w:lastRow="0" w:firstColumn="1" w:lastColumn="0" w:noHBand="0" w:noVBand="0"/>
      </w:tblPr>
      <w:tblGrid>
        <w:gridCol w:w="4656"/>
        <w:gridCol w:w="4699"/>
      </w:tblGrid>
      <w:tr>
        <w:tc>
          <w:tcPr>
            <w:tcW w:w="4785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 № 13</w:t>
            </w:r>
          </w:p>
        </w:tc>
      </w:tr>
      <w:tr>
        <w:tc>
          <w:tcPr>
            <w:tcW w:w="4785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>
            <w:pPr>
              <w:pStyle w:val="a5"/>
              <w:jc w:val="right"/>
              <w:rPr>
                <w:bCs/>
                <w:spacing w:val="2"/>
              </w:rPr>
            </w:pPr>
            <w:r>
              <w:rPr>
                <w:bCs/>
                <w:spacing w:val="2"/>
              </w:rPr>
              <w:t>к Учетной политике</w:t>
            </w:r>
          </w:p>
        </w:tc>
      </w:tr>
      <w:tr>
        <w:tc>
          <w:tcPr>
            <w:tcW w:w="4785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утвержденной приказом </w:t>
            </w:r>
          </w:p>
        </w:tc>
      </w:tr>
      <w:tr>
        <w:tc>
          <w:tcPr>
            <w:tcW w:w="4785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>
            <w:pPr>
              <w:pStyle w:val="a5"/>
              <w:jc w:val="right"/>
              <w:rPr>
                <w:bCs/>
                <w:spacing w:val="2"/>
              </w:rPr>
            </w:pPr>
            <w:r>
              <w:rPr>
                <w:bCs/>
                <w:spacing w:val="2"/>
              </w:rPr>
              <w:t>начальника Финансового управления</w:t>
            </w:r>
          </w:p>
          <w:p>
            <w:pPr>
              <w:pStyle w:val="a5"/>
              <w:jc w:val="right"/>
              <w:rPr>
                <w:bCs/>
                <w:spacing w:val="2"/>
              </w:rPr>
            </w:pPr>
            <w:r>
              <w:t>от 30.12.2021 № 94</w:t>
            </w:r>
          </w:p>
        </w:tc>
      </w:tr>
    </w:tbl>
    <w:p>
      <w:pPr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ПОЛОЖЕНИЕ</w:t>
      </w:r>
    </w:p>
    <w:p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о внутреннем финансовом контроле </w:t>
      </w:r>
    </w:p>
    <w:p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>
      <w:pPr>
        <w:pStyle w:val="ConsPlusNormal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1. Общие положения</w:t>
      </w:r>
    </w:p>
    <w:p>
      <w:pPr>
        <w:pStyle w:val="ConsPlusNormal"/>
        <w:ind w:left="900"/>
        <w:jc w:val="both"/>
        <w:rPr>
          <w:sz w:val="24"/>
          <w:szCs w:val="24"/>
        </w:rPr>
      </w:pPr>
    </w:p>
    <w:p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 Финансовое управление Администрации ЗАТО Северск (далее - Управление) организовывает внутренний финансовый контроль деятельности в соответствии                          с Бюджетным кодексом РФ, со ст. 19 Федерального закона РФ от  06.12.2011 № 402-ФЗ «О бухгалтерском учёте» (далее – Закон № 402-ФЗ), п. 18 СГС «Концептуальные основы бухгалтерского учёта и отчётности учреждений госсектора», утвержденный приказом Минфина России от 31.12.2016 г. № 256н (далее – СГС «Концептуальные основы»),                </w:t>
      </w:r>
      <w:r>
        <w:rPr>
          <w:strike/>
          <w:sz w:val="24"/>
          <w:szCs w:val="24"/>
          <w:highlight w:val="yellow"/>
        </w:rPr>
        <w:t xml:space="preserve">п. 6 Приказа Минфина РФ от 01.12.2010 г. № 157н «Инструкция по применению Единого плана счетов бухгалтерского учёта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учреждений» (далее – </w:t>
      </w:r>
      <w:bookmarkStart w:id="0" w:name="_GoBack"/>
      <w:r>
        <w:rPr>
          <w:strike/>
          <w:sz w:val="24"/>
          <w:szCs w:val="24"/>
          <w:highlight w:val="yellow"/>
        </w:rPr>
        <w:t>ЕПС</w:t>
      </w:r>
      <w:bookmarkEnd w:id="0"/>
      <w:r>
        <w:rPr>
          <w:strike/>
          <w:sz w:val="24"/>
          <w:szCs w:val="24"/>
          <w:highlight w:val="yellow"/>
        </w:rPr>
        <w:t>).</w:t>
      </w:r>
    </w:p>
    <w:p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1.2 Настоящее положение осуществления внутреннего контроля                               (далее – Положение) в Управлении определяет порядок взаимодействия должностных лиц при осуществлении внутреннего контроля, процедуры подготовки к осуществлению внутреннего контроля, формы систематизации и анализа информации о результатах внутреннего финансового контроля, выявления и разработки предложений по минимизации бюджетных рисков, контроля выполнения решений, принятых по рассмотрении информации о результатах внутреннего контроля.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1.3 В целях настоящего Положения к внутренним бюджетным процедурам относятся процедуры составления и исполнения бюджета, ведения бюджетного учёта, составления бюджетной отчётности, осуществляемые в рамках полномочий Управления</w:t>
      </w:r>
      <w:r>
        <w:rPr>
          <w:rFonts w:ascii="Times New Roman" w:hAnsi="Times New Roman"/>
          <w:i/>
          <w:sz w:val="24"/>
          <w:szCs w:val="24"/>
        </w:rPr>
        <w:t>.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iCs/>
          <w:sz w:val="24"/>
          <w:szCs w:val="24"/>
        </w:rPr>
        <w:t xml:space="preserve">1.3.1 </w:t>
      </w:r>
      <w:r>
        <w:rPr>
          <w:rFonts w:ascii="Times New Roman" w:hAnsi="Times New Roman"/>
          <w:sz w:val="24"/>
          <w:szCs w:val="24"/>
          <w:lang w:eastAsia="ru-RU"/>
        </w:rPr>
        <w:t>Внутренний финансовый контроль, определяемый БК РФ в качестве внутреннего процесса главного администратора (администратора) бюджетных средств и осуществляемый в целях соблюдения установленных правовыми актами, регулирующими бюджетные правоотношения, требований к исполнению своих бюджетных полномочий, является составной частью каждого бюджетного полномочия Управления, как главного администратора (администратора) бюджетных средств.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1.4 Под бюджетным риском понимается возможность наступления события, негативно влияющего на выполнение внутренних бюджетных процедур;</w:t>
      </w:r>
    </w:p>
    <w:p>
      <w:pPr>
        <w:pStyle w:val="ConsPlusNormal"/>
        <w:ind w:firstLine="708"/>
        <w:jc w:val="both"/>
        <w:rPr>
          <w:sz w:val="24"/>
          <w:szCs w:val="24"/>
          <w:lang w:eastAsia="ru-RU"/>
        </w:rPr>
      </w:pPr>
      <w:r>
        <w:rPr>
          <w:sz w:val="24"/>
          <w:szCs w:val="24"/>
        </w:rPr>
        <w:t xml:space="preserve">1.5 </w:t>
      </w:r>
      <w:r>
        <w:rPr>
          <w:sz w:val="24"/>
          <w:szCs w:val="24"/>
          <w:lang w:eastAsia="ru-RU"/>
        </w:rPr>
        <w:t>Задачей внутреннего контроля является повышение экономности                                  и результативности использования бюджетных средств, обеспечение законности выполнения внутренних бюджетных процедур, своевременное выявление недостатков (нарушений), допущенных в ходе исполнения внутренних бюджетных процедур.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1.6 Внутренний контроль направлен: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на соблюдение установленных действующим законодательством РФ, иными нормативными правовыми актами, регулирующими финансово-хозяйственную деятельность Управления, требований к проведению в Управлении внутреннего контроля;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на повышение уровня ведения бюджетного учёта, составления отчётности;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lastRenderedPageBreak/>
        <w:t xml:space="preserve">– </w:t>
      </w:r>
      <w:r>
        <w:rPr>
          <w:rFonts w:ascii="Times New Roman" w:hAnsi="Times New Roman"/>
          <w:sz w:val="24"/>
          <w:szCs w:val="24"/>
        </w:rPr>
        <w:t>на исключение ошибок и нарушений норм законодательства РФ в части ведения бюджетного учёта и составления отчётности;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на повышение результативности использования бюджетных средств.</w:t>
      </w:r>
    </w:p>
    <w:p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1.7 Применительно к ведению бюджетного учёта, в том числе составлению бюджетной отчётности, оценка рисков призвана выявлять риски, которые могут повлиять на достоверность бюджетной отчётности. В ходе такой оценки Управление рассматривает вероятность искажения учётных и отчётных данных исходя из следующих допущений:</w:t>
      </w:r>
    </w:p>
    <w:p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возникновение и существование: факты хозяйственной жизни, отраженные                     в бухгалтерском учёте, имели место в отчётном периоде и относятся к деятельности экономического субъекта;</w:t>
      </w:r>
    </w:p>
    <w:p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 полнота: факты хозяйственной жизни, имевшие место в отчётном периоде                     и подлежащие отнесению к этому периоду, фактически отражены в бухгалтерском учёте;</w:t>
      </w:r>
    </w:p>
    <w:p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 права и обязательства: имущество, имущественные права и обязательства экономического субъекта, отраженные в бухгалтерском учёте, фактически существуют;</w:t>
      </w:r>
    </w:p>
    <w:p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 оценка и распределение: активы, обязательства, доходы и расходы отражены                   в правильном стоимостном измерении на соответствующих счетах бухгалтерского учёта     и в соответствующих регистрах бухгалтерского учёта;</w:t>
      </w:r>
    </w:p>
    <w:p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д) представление и раскрытие: данные бухгалтерского учёта корректно представлены и раскрыты в бухгалтерской отчётности.</w:t>
      </w:r>
    </w:p>
    <w:p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1.8 Должностными лицами, в отделах Управления ответственными за оформление, учёт и хранение журналов внутреннего финансового контроля (Форма 2), за оформление перечня операций (действий по формированию документов, необходимых для выполнения внутренней бюджетной процедуры) (Форма 3) и карты внутреннего финансового контроля (Форма 1) являются начальники отделов.</w:t>
      </w:r>
    </w:p>
    <w:p>
      <w:pPr>
        <w:spacing w:after="0" w:line="240" w:lineRule="auto"/>
        <w:ind w:firstLine="539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</w:t>
      </w:r>
    </w:p>
    <w:p>
      <w:pPr>
        <w:pStyle w:val="ConsPlusNormal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2. Принципы, цели и задачи </w:t>
      </w:r>
    </w:p>
    <w:p>
      <w:pPr>
        <w:pStyle w:val="ConsPlusNormal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внутреннего финансового контроля</w:t>
      </w:r>
    </w:p>
    <w:p>
      <w:pPr>
        <w:pStyle w:val="ConsPlusNormal"/>
        <w:ind w:firstLine="539"/>
        <w:jc w:val="center"/>
        <w:rPr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 Внутренний финансовый контроль основываются на следующих принципах.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Принцип законности</w:t>
      </w:r>
      <w:r>
        <w:rPr>
          <w:rFonts w:ascii="Times New Roman" w:hAnsi="Times New Roman"/>
          <w:sz w:val="24"/>
          <w:szCs w:val="24"/>
        </w:rPr>
        <w:t xml:space="preserve"> – обеспечение Управлением неуклонного и точного соблюдения всех норм и правил, установленных нормативными правовыми актами Российской Федерации.</w:t>
      </w:r>
    </w:p>
    <w:p>
      <w:pPr>
        <w:pStyle w:val="ConsPlusNormal"/>
        <w:ind w:firstLine="539"/>
        <w:jc w:val="both"/>
        <w:rPr>
          <w:sz w:val="24"/>
          <w:szCs w:val="24"/>
        </w:rPr>
      </w:pPr>
      <w:r>
        <w:rPr>
          <w:iCs/>
          <w:sz w:val="24"/>
          <w:szCs w:val="24"/>
        </w:rPr>
        <w:t>Принцип независимости</w:t>
      </w:r>
      <w:r>
        <w:rPr>
          <w:i/>
          <w:sz w:val="24"/>
          <w:szCs w:val="24"/>
        </w:rPr>
        <w:t xml:space="preserve"> – </w:t>
      </w:r>
      <w:r>
        <w:rPr>
          <w:sz w:val="24"/>
          <w:szCs w:val="24"/>
        </w:rPr>
        <w:t>воздействие на проверку, влияние на неё с целью изменения формулируемых мнений и выводов не допускается.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Принцип объективности</w:t>
      </w:r>
      <w:r>
        <w:rPr>
          <w:rFonts w:ascii="Times New Roman" w:hAnsi="Times New Roman"/>
          <w:sz w:val="24"/>
          <w:szCs w:val="24"/>
        </w:rPr>
        <w:t xml:space="preserve"> – осуществление внутреннего финансового контроля             с использованием фактических документальных данных в порядке, установленном нормативными правовыми актами Российской Федерации, путём применения методов, обеспечивающих получение полной и достоверной информации.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Принцип эффективности</w:t>
      </w:r>
      <w:r>
        <w:rPr>
          <w:rFonts w:ascii="Times New Roman" w:hAnsi="Times New Roman"/>
          <w:sz w:val="24"/>
          <w:szCs w:val="24"/>
        </w:rPr>
        <w:t xml:space="preserve"> – обеспечение достижения заданных количественных                    и качественных параметров осуществления внутреннего финансового контроля                         с использованием наименьшего объема средств либо достижения наилучших параметров осуществления внутреннего финансового контроля с использованием объёма средств, определенного для данного вида деятельности.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Принцип профессиональной компетентности</w:t>
      </w:r>
      <w:r>
        <w:rPr>
          <w:rFonts w:ascii="Times New Roman" w:hAnsi="Times New Roman"/>
          <w:sz w:val="24"/>
          <w:szCs w:val="24"/>
        </w:rPr>
        <w:t xml:space="preserve"> – осуществление Управлением своей деятельности добросовестно, на уровне, позволяющем обеспечивать предоставление уполномоченным лицам достоверной, объективной и точной информации о деятельности объекта внутреннего финансового контроля.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Принцип системности</w:t>
      </w:r>
      <w:r>
        <w:rPr>
          <w:rFonts w:ascii="Times New Roman" w:hAnsi="Times New Roman"/>
          <w:sz w:val="24"/>
          <w:szCs w:val="24"/>
        </w:rPr>
        <w:t xml:space="preserve"> – осуществление внутреннего финансового контроля                          в отношении всех направлений деятельности объектов внутреннего финансового контроля с учётом их взаимосвязей.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lastRenderedPageBreak/>
        <w:t>Принцип ответственности</w:t>
      </w:r>
      <w:r>
        <w:rPr>
          <w:rFonts w:ascii="Times New Roman" w:hAnsi="Times New Roman"/>
          <w:sz w:val="24"/>
          <w:szCs w:val="24"/>
        </w:rPr>
        <w:t xml:space="preserve"> – ответственность каждого субъекта внутреннего финансового контроля за ненадлежащеё выполнение контрольных функций                                 в соответствии с законодательством Российской Федерации.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Принцип стандартизации</w:t>
      </w:r>
      <w:r>
        <w:rPr>
          <w:rFonts w:ascii="Times New Roman" w:hAnsi="Times New Roman"/>
          <w:sz w:val="24"/>
          <w:szCs w:val="24"/>
        </w:rPr>
        <w:t xml:space="preserve"> – установление процессов и процедур внутреннего финансового контроля в целях их многократного использования.</w:t>
      </w:r>
    </w:p>
    <w:p>
      <w:pPr>
        <w:pStyle w:val="ConsPlusNormal"/>
        <w:ind w:firstLine="539"/>
        <w:jc w:val="both"/>
        <w:rPr>
          <w:sz w:val="24"/>
          <w:szCs w:val="24"/>
        </w:rPr>
      </w:pPr>
      <w:r>
        <w:rPr>
          <w:sz w:val="24"/>
          <w:szCs w:val="24"/>
        </w:rPr>
        <w:t>2.2. Цели внутреннего финансового контроля:</w:t>
      </w:r>
    </w:p>
    <w:p>
      <w:pPr>
        <w:pStyle w:val="ConsPlusNormal"/>
        <w:ind w:firstLine="539"/>
        <w:jc w:val="both"/>
        <w:rPr>
          <w:sz w:val="24"/>
          <w:szCs w:val="24"/>
        </w:rPr>
      </w:pPr>
      <w:r>
        <w:rPr>
          <w:sz w:val="24"/>
          <w:szCs w:val="24"/>
        </w:rPr>
        <w:t>– оценка надежности и полноты информации;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соответствие совершаемых финансовых операций политике, планам, процедурам, законодательству;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обеспечение сохранности активов;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экономичное и эффективное использование ресурсов;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достижение подразделениями Управления поставленных целей и задач.</w:t>
      </w:r>
    </w:p>
    <w:p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2.3 Управление осуществляет внутренний финансовый контроль, направленный на:</w:t>
      </w:r>
    </w:p>
    <w:p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целевое использование бюджетных средств;</w:t>
      </w:r>
    </w:p>
    <w:p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определение законности исполнения сметы;</w:t>
      </w:r>
    </w:p>
    <w:p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своевременное отражение хозяйственных операций в бюджетном учёте;</w:t>
      </w:r>
    </w:p>
    <w:p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полноту и правильность документального оформления операций;</w:t>
      </w:r>
    </w:p>
    <w:p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повышение экономности, результативности использования бюджетных средств;</w:t>
      </w:r>
    </w:p>
    <w:p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предупреждения нарушений при исполнении бюджетной сметы;</w:t>
      </w:r>
    </w:p>
    <w:p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подтверждение достоверности бюджетного учёта и отчётности;</w:t>
      </w:r>
    </w:p>
    <w:p>
      <w:pPr>
        <w:pStyle w:val="ConsPlusNormal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8)  сохранность финансовых и нефинансовых активов.</w:t>
      </w:r>
    </w:p>
    <w:p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2.3 </w:t>
      </w:r>
      <w:r>
        <w:rPr>
          <w:rFonts w:ascii="Times New Roman" w:hAnsi="Times New Roman"/>
          <w:sz w:val="24"/>
          <w:szCs w:val="24"/>
          <w:lang w:eastAsia="ru-RU"/>
        </w:rPr>
        <w:t>К внутренним бюджетным процедурам Управления, в отношении которых обязательно осуществление внутреннего финансового контроля, относятся:</w:t>
      </w:r>
    </w:p>
    <w:p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составление и представление предусмотренных нормативными правовыми актами документов, необходимых для составления и рассмотрения проекта бюджета ЗАТО Северск, в том числе обоснований бюджетных ассигнований, реестров расходных обязательств;</w:t>
      </w:r>
    </w:p>
    <w:p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составление и представление предусмотренных нормативными правовыми актами документов, необходимых для составления и ведения кассового плана по доходам                       и расходам бюджета и источникам финансирования дефицита бюджета;</w:t>
      </w:r>
    </w:p>
    <w:p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 составление, утверждение и ведение бюджетной росписи;</w:t>
      </w:r>
    </w:p>
    <w:p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составление, утверждение и ведение бюджетной сметы;</w:t>
      </w:r>
    </w:p>
    <w:p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исполнение бюджетной сметы;</w:t>
      </w:r>
    </w:p>
    <w:p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принятие и исполнение бюджетных обязательств;</w:t>
      </w:r>
    </w:p>
    <w:p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 осуществление начисления, учёта и контроля за правильностью исчисления, полнотой и своевременностью осуществления платежей, поступления источников финансирования дефицита в бюджет ЗАТО Северск, пеней и штрафов по ним;</w:t>
      </w:r>
    </w:p>
    <w:p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</w:t>
      </w:r>
      <w:r>
        <w:t> </w:t>
      </w:r>
      <w:r>
        <w:rPr>
          <w:rFonts w:ascii="Times New Roman" w:hAnsi="Times New Roman"/>
          <w:sz w:val="24"/>
          <w:szCs w:val="24"/>
          <w:lang w:eastAsia="ru-RU"/>
        </w:rPr>
        <w:t>принятие решений о возврате излишне уплаченных (взысканных) платежей                       в бюджет ЗАТО Северск, а также процентов за несвоевременное осуществление такого возврата и процентов, начисленных на излишне взысканные суммы;</w:t>
      </w:r>
    </w:p>
    <w:p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принятие решений о зачёте (уточнении) платежей в бюджет ЗАТО Северск;</w:t>
      </w:r>
    </w:p>
    <w:p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процедуры ведения бюджетного учёта, в том числе принятие к учёту первичных учётных документов, отражение информации, указанной в первичных учётных документах, в регистрах бюджетного учёта, проведение оценки имущества и обязательств, проведение инвентаризаций;</w:t>
      </w:r>
    </w:p>
    <w:p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составление и представление бюджетной отчётности.</w:t>
      </w:r>
    </w:p>
    <w:p>
      <w:pPr>
        <w:pStyle w:val="a4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</w:p>
    <w:p>
      <w:pPr>
        <w:pStyle w:val="a4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5. Формы контроля</w:t>
      </w:r>
    </w:p>
    <w:p>
      <w:pPr>
        <w:pStyle w:val="a4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 Внутренний контроль осуществляется в форме предварительного, текущего                и последующего контроля.</w:t>
      </w:r>
    </w:p>
    <w:p>
      <w:pPr>
        <w:pStyle w:val="ConsPlusNormal"/>
        <w:ind w:firstLine="708"/>
        <w:jc w:val="both"/>
        <w:rPr>
          <w:sz w:val="24"/>
          <w:szCs w:val="24"/>
        </w:rPr>
      </w:pPr>
      <w:r>
        <w:rPr>
          <w:bCs/>
          <w:iCs/>
          <w:sz w:val="24"/>
          <w:szCs w:val="24"/>
        </w:rPr>
        <w:lastRenderedPageBreak/>
        <w:t>5.2 Предварительный контроль</w:t>
      </w:r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>осуществляется до момента совершения хозяйственной операции лицами, на которых возложены данные обязанности. Позволяет определить целесообразность той или иной хозяйственной операции. Предварительный контроль проводится перед составлением бюджетной сметы, договоров, учредительных документов и т.п. Это позволяет избежать нарушений законодательства, нерационального использования средств.</w:t>
      </w:r>
    </w:p>
    <w:p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Основными формами предварительного контроля в Управлении являются: </w:t>
      </w:r>
    </w:p>
    <w:p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составление и представление предусмотренных нормативными правовыми актами документов, необходимых для составления и рассмотрения проекта бюджета, в том числе обоснований бюджетных ассигнований, реестра расходных обязательств;</w:t>
      </w:r>
    </w:p>
    <w:p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составление и представление предусмотренных нормативными правовыми актами документов, необходимых для составления и ведения кассового плана бюджета;</w:t>
      </w:r>
    </w:p>
    <w:p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проверка планово-финансовых документов, их визирование, согласование                         и урегулирование разногласий;</w:t>
      </w:r>
    </w:p>
    <w:p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проверка и визирование проектов муниципальных контрактов, анализ                               их соответствия плановым документам;</w:t>
      </w:r>
    </w:p>
    <w:p>
      <w:pPr>
        <w:pStyle w:val="ConsPlusNormal"/>
        <w:ind w:firstLine="539"/>
        <w:jc w:val="both"/>
        <w:rPr>
          <w:sz w:val="24"/>
          <w:szCs w:val="24"/>
        </w:rPr>
      </w:pPr>
      <w:r>
        <w:rPr>
          <w:sz w:val="24"/>
          <w:szCs w:val="24"/>
        </w:rPr>
        <w:t>– проверка бюджетной, финансовой, статистической, налоговой и другой отчётности до её утверждения или подписания;</w:t>
      </w:r>
    </w:p>
    <w:p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предварительная экспертиза документов (решений), связанных с расходованием денежных и материальных средств, осуществляемых сотрудником и (или) начальником отдела по бюджетному учету и отчетности (далее – Отдел, сотрудник Отдела) и другими уполномоченными должностными лицами;</w:t>
      </w:r>
    </w:p>
    <w:p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анализ информации о выявленных нарушениях и выработка рекомендаций                      по недопущению нарушений, выработка предложений по совершенствованию бюджетного процесса, планирования и прогнозирования деятельности Управления;</w:t>
      </w:r>
    </w:p>
    <w:p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оценка законности и обоснованности закупок, совершаемых в рамках ст. 93 Закона о контрактной системе, обоснованности формирования начальной (максимальной) цены контракта на стадии формирования плана закупок и плана-графиков закупок и прогнозов;</w:t>
      </w:r>
    </w:p>
    <w:p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разработка мероприятий по предотвращению возможных нарушений в области финансовой дисциплины, закупочной деятельности с целью предотвращения коррупциогенных факторов;</w:t>
      </w:r>
    </w:p>
    <w:p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санкционирование на стадии формирования плана-графика, сметы, плана закупок, подписания муниципальных контрактов;</w:t>
      </w:r>
    </w:p>
    <w:p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разработка проектов муниципальных контрактов, проверка существенных условий на соответствие требованиям законодательства (правовая экспертиза);</w:t>
      </w:r>
    </w:p>
    <w:p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подготовка и сбор заявок по текущим расходам на очередной финансовый год                  и плановый период;</w:t>
      </w:r>
    </w:p>
    <w:p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разработка и утверждения муниципальной программы;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 проверка финансово-хозяйственных документов на предмет: соответствия оформленного документа характеру совершаемой операции; применения унифицированной формы документа при отражении операции (если такая форма утверждена </w:t>
      </w:r>
      <w:hyperlink r:id="rId7" w:history="1">
        <w:r>
          <w:rPr>
            <w:rFonts w:ascii="Times New Roman" w:hAnsi="Times New Roman"/>
            <w:sz w:val="24"/>
            <w:szCs w:val="24"/>
          </w:rPr>
          <w:t>приказом</w:t>
        </w:r>
      </w:hyperlink>
      <w:r>
        <w:rPr>
          <w:rFonts w:ascii="Times New Roman" w:hAnsi="Times New Roman"/>
          <w:sz w:val="24"/>
          <w:szCs w:val="24"/>
        </w:rPr>
        <w:t xml:space="preserve"> Минфина РФ № 52н); наличия в применяемом документе всех обязательных реквизитов, указанных в </w:t>
      </w:r>
      <w:hyperlink r:id="rId8" w:history="1">
        <w:r>
          <w:rPr>
            <w:rFonts w:ascii="Times New Roman" w:hAnsi="Times New Roman"/>
            <w:sz w:val="24"/>
            <w:szCs w:val="24"/>
          </w:rPr>
          <w:t>ст. 9</w:t>
        </w:r>
      </w:hyperlink>
      <w:r>
        <w:rPr>
          <w:rFonts w:ascii="Times New Roman" w:hAnsi="Times New Roman"/>
          <w:sz w:val="24"/>
          <w:szCs w:val="24"/>
        </w:rPr>
        <w:t xml:space="preserve"> Закона о бухгалтерском учёте, </w:t>
      </w:r>
      <w:hyperlink r:id="rId9" w:history="1">
        <w:r>
          <w:rPr>
            <w:rFonts w:ascii="Times New Roman" w:hAnsi="Times New Roman"/>
            <w:strike/>
            <w:sz w:val="24"/>
            <w:szCs w:val="24"/>
            <w:highlight w:val="yellow"/>
          </w:rPr>
          <w:t>п. 7</w:t>
        </w:r>
      </w:hyperlink>
      <w:r>
        <w:rPr>
          <w:rFonts w:ascii="Times New Roman" w:hAnsi="Times New Roman"/>
          <w:strike/>
          <w:sz w:val="24"/>
          <w:szCs w:val="24"/>
          <w:highlight w:val="yellow"/>
        </w:rPr>
        <w:t xml:space="preserve"> ЕПС</w:t>
      </w:r>
      <w:r>
        <w:rPr>
          <w:rFonts w:ascii="Times New Roman" w:hAnsi="Times New Roman"/>
          <w:sz w:val="24"/>
          <w:szCs w:val="24"/>
        </w:rPr>
        <w:t xml:space="preserve">, </w:t>
      </w:r>
      <w:hyperlink r:id="rId10" w:history="1">
        <w:r>
          <w:rPr>
            <w:rFonts w:ascii="Times New Roman" w:hAnsi="Times New Roman"/>
            <w:sz w:val="24"/>
            <w:szCs w:val="24"/>
          </w:rPr>
          <w:t>п. 25</w:t>
        </w:r>
      </w:hyperlink>
      <w:r>
        <w:rPr>
          <w:rFonts w:ascii="Times New Roman" w:hAnsi="Times New Roman"/>
          <w:sz w:val="24"/>
          <w:szCs w:val="24"/>
        </w:rPr>
        <w:t xml:space="preserve"> ФСБУ «Концептуальные основы» (при применении неунифицированных форм).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проверка и визирование проектов договоров (муниципальных контрактов).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– </w:t>
      </w:r>
      <w:r>
        <w:rPr>
          <w:rFonts w:ascii="Times New Roman" w:hAnsi="Times New Roman"/>
          <w:sz w:val="24"/>
          <w:szCs w:val="24"/>
        </w:rPr>
        <w:t>предварительная экспертиза документов (решений), связанных с расходованием финансовых средств и распоряжением имущества.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5.3 Текущий финансовый контроль</w:t>
      </w:r>
      <w:r>
        <w:rPr>
          <w:rFonts w:ascii="Times New Roman" w:hAnsi="Times New Roman"/>
          <w:sz w:val="24"/>
          <w:szCs w:val="24"/>
        </w:rPr>
        <w:t xml:space="preserve"> осуществляется в момент совершения хозяйственной операции лицами, на которых возложены такие обязанности.</w:t>
      </w:r>
    </w:p>
    <w:p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Оперативный ежедневный контроль позволяет отслеживать и регулировать хозяйственные ситуации, предупреждать потери и убытки, предотвращать совершение финансовых правонарушений, нецелевое использование финансовых средств.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бухгалтерскому учёту принимаются первичные учётные документы, поступившие по результатам внутреннего контроля совершаемых фактов хозяйственной жизни, для регистрации содержащихся в них данных в регистрах бухгалтерского учёта. Указанные документы должны быть надлежащим образом оформлены лицами, ответственными за их оформление (</w:t>
      </w:r>
      <w:hyperlink r:id="rId11" w:history="1">
        <w:r>
          <w:rPr>
            <w:rFonts w:ascii="Times New Roman" w:hAnsi="Times New Roman"/>
            <w:sz w:val="24"/>
            <w:szCs w:val="24"/>
          </w:rPr>
          <w:t>п. 23</w:t>
        </w:r>
      </w:hyperlink>
      <w:r>
        <w:rPr>
          <w:rFonts w:ascii="Times New Roman" w:hAnsi="Times New Roman"/>
          <w:sz w:val="24"/>
          <w:szCs w:val="24"/>
        </w:rPr>
        <w:t xml:space="preserve"> СГС «Концептуальные основы»).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Сотрудник Отдела, на которое возложено ведение бухгалтерского учёта, не несёт ответственность за соответствие составленных другими лицами первичных учётных документов свершившимся фактам хозяйственной жизни (</w:t>
      </w:r>
      <w:hyperlink r:id="rId12" w:history="1">
        <w:r>
          <w:rPr>
            <w:rFonts w:ascii="Times New Roman" w:hAnsi="Times New Roman"/>
            <w:sz w:val="24"/>
            <w:szCs w:val="24"/>
          </w:rPr>
          <w:t>ч. 3 ст. 9</w:t>
        </w:r>
      </w:hyperlink>
      <w:r>
        <w:rPr>
          <w:rFonts w:ascii="Times New Roman" w:hAnsi="Times New Roman"/>
          <w:sz w:val="24"/>
          <w:szCs w:val="24"/>
        </w:rPr>
        <w:t xml:space="preserve"> Закона                                    о бухгалтерском учёте, </w:t>
      </w:r>
      <w:hyperlink r:id="rId13" w:history="1">
        <w:r>
          <w:rPr>
            <w:rFonts w:ascii="Times New Roman" w:hAnsi="Times New Roman"/>
            <w:sz w:val="24"/>
            <w:szCs w:val="24"/>
          </w:rPr>
          <w:t>п. 24</w:t>
        </w:r>
      </w:hyperlink>
      <w:r>
        <w:rPr>
          <w:rFonts w:ascii="Times New Roman" w:hAnsi="Times New Roman"/>
          <w:sz w:val="24"/>
          <w:szCs w:val="24"/>
        </w:rPr>
        <w:t xml:space="preserve"> СГС «Концептуальные основы», </w:t>
      </w:r>
      <w:hyperlink r:id="rId14" w:history="1">
        <w:r>
          <w:rPr>
            <w:rFonts w:ascii="Times New Roman" w:hAnsi="Times New Roman"/>
            <w:strike/>
            <w:sz w:val="24"/>
            <w:szCs w:val="24"/>
            <w:highlight w:val="yellow"/>
          </w:rPr>
          <w:t>п. 9</w:t>
        </w:r>
      </w:hyperlink>
      <w:r>
        <w:rPr>
          <w:rFonts w:ascii="Times New Roman" w:hAnsi="Times New Roman"/>
          <w:strike/>
          <w:sz w:val="24"/>
          <w:szCs w:val="24"/>
          <w:highlight w:val="yellow"/>
        </w:rPr>
        <w:t xml:space="preserve"> ЕПС</w:t>
      </w:r>
      <w:r>
        <w:rPr>
          <w:rFonts w:ascii="Times New Roman" w:hAnsi="Times New Roman"/>
          <w:sz w:val="24"/>
          <w:szCs w:val="24"/>
        </w:rPr>
        <w:t>).</w:t>
      </w:r>
    </w:p>
    <w:p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Внутренний контроль первичных учётных документов, оформленных Управлением, заключается в проверке:</w:t>
      </w:r>
    </w:p>
    <w:p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правильности заполнения обязательных реквизитов;</w:t>
      </w:r>
    </w:p>
    <w:p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– </w:t>
      </w:r>
      <w:r>
        <w:rPr>
          <w:rFonts w:ascii="Times New Roman" w:hAnsi="Times New Roman"/>
          <w:sz w:val="24"/>
          <w:szCs w:val="24"/>
        </w:rPr>
        <w:t>наличия подписей должностных лиц, ответственных за утверждение данных документов;</w:t>
      </w:r>
    </w:p>
    <w:p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– </w:t>
      </w:r>
      <w:r>
        <w:rPr>
          <w:rFonts w:ascii="Times New Roman" w:hAnsi="Times New Roman"/>
          <w:sz w:val="24"/>
          <w:szCs w:val="24"/>
        </w:rPr>
        <w:t>своевременного внесения исправлений (в случае если документы подлежат исправлению), лицом, ответственным за составление документа;</w:t>
      </w:r>
    </w:p>
    <w:p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–</w:t>
      </w:r>
      <w:r>
        <w:t xml:space="preserve"> </w:t>
      </w:r>
      <w:r>
        <w:rPr>
          <w:rFonts w:ascii="Times New Roman" w:hAnsi="Times New Roman"/>
          <w:sz w:val="24"/>
          <w:szCs w:val="24"/>
        </w:rPr>
        <w:t>отсутствия неоговоренных исправлений;</w:t>
      </w:r>
    </w:p>
    <w:p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–</w:t>
      </w:r>
      <w:r>
        <w:t> </w:t>
      </w:r>
      <w:r>
        <w:rPr>
          <w:rFonts w:ascii="Times New Roman" w:hAnsi="Times New Roman"/>
          <w:sz w:val="24"/>
          <w:szCs w:val="24"/>
        </w:rPr>
        <w:t>соответствия данных первичных учётных документов данным бухгалтерской программы.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рамках мероприятий текущего контроля также проводится проверка: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денежных документов до совершения операций по расходованию денежных средств (расчётно-платежных ведомостей, платежных поручений, счетов и т.п.);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наличия денежных средств в кассе;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– </w:t>
      </w:r>
      <w:r>
        <w:rPr>
          <w:rFonts w:ascii="Times New Roman" w:hAnsi="Times New Roman"/>
          <w:sz w:val="24"/>
          <w:szCs w:val="24"/>
        </w:rPr>
        <w:t>контроля за дебиторской и кредиторской задолженностью и правомерностью списания такой задолженности со счетов бюджетного учёта;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осуществления сверки аналитического учёта с синтетическим учётом (оборотная ведомость);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совершения бухгалтерских записей при принятии к учёту первичных учётных документов;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осуществления мониторинга расходования целевых средств по назначению, оценка эффективности и результативности их расходования.</w:t>
      </w:r>
    </w:p>
    <w:p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Формы текущего внутреннего контроля:</w:t>
      </w:r>
    </w:p>
    <w:p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– </w:t>
      </w:r>
      <w:r>
        <w:rPr>
          <w:rFonts w:ascii="Times New Roman" w:hAnsi="Times New Roman"/>
          <w:sz w:val="24"/>
          <w:szCs w:val="24"/>
        </w:rPr>
        <w:t>стыковка данных учёта с первичными учётными документами, данными инвентаризаций, проверка контрольных соотношений внутренних показателей;</w:t>
      </w:r>
    </w:p>
    <w:p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проверка обоснованности проведения расходования бюджетных средств;</w:t>
      </w:r>
    </w:p>
    <w:p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– </w:t>
      </w:r>
      <w:r>
        <w:rPr>
          <w:rFonts w:ascii="Times New Roman" w:hAnsi="Times New Roman"/>
          <w:sz w:val="24"/>
          <w:szCs w:val="24"/>
        </w:rPr>
        <w:t>осуществление мониторингов расходования средств, оценка результативности;</w:t>
      </w:r>
    </w:p>
    <w:p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–</w:t>
      </w:r>
      <w:r>
        <w:t> </w:t>
      </w:r>
      <w:r>
        <w:rPr>
          <w:rFonts w:ascii="Times New Roman" w:hAnsi="Times New Roman"/>
          <w:sz w:val="24"/>
          <w:szCs w:val="24"/>
        </w:rPr>
        <w:t>исполнение бюджетных обязательств, согласно условиям муниципальных контрактов;</w:t>
      </w:r>
    </w:p>
    <w:p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соблюдение графика проведения инвентаризаций;</w:t>
      </w:r>
    </w:p>
    <w:p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проверка наличия оправдательных документов у подотчётных лиц и сверка данных с планом-графиком;</w:t>
      </w:r>
    </w:p>
    <w:p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контроль за своевременным погашением кредиторской задолженности;</w:t>
      </w:r>
    </w:p>
    <w:p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– </w:t>
      </w:r>
      <w:r>
        <w:rPr>
          <w:rFonts w:ascii="Times New Roman" w:hAnsi="Times New Roman"/>
          <w:sz w:val="24"/>
          <w:szCs w:val="24"/>
        </w:rPr>
        <w:t>контроль формирования фонда оплаты труда в соответствии со штатным расписанием Управления.</w:t>
      </w:r>
    </w:p>
    <w:p>
      <w:pPr>
        <w:pStyle w:val="ConsPlusNormal"/>
        <w:ind w:firstLine="539"/>
        <w:jc w:val="both"/>
        <w:rPr>
          <w:sz w:val="24"/>
          <w:szCs w:val="24"/>
        </w:rPr>
      </w:pPr>
      <w:r>
        <w:rPr>
          <w:bCs/>
          <w:iCs/>
          <w:sz w:val="24"/>
          <w:szCs w:val="24"/>
        </w:rPr>
        <w:t>5.3 Последующий контроль</w:t>
      </w:r>
      <w:r>
        <w:rPr>
          <w:sz w:val="24"/>
          <w:szCs w:val="24"/>
        </w:rPr>
        <w:t xml:space="preserve"> осуществляется путем анализа и проверки бухгалтерской документации и отчётности, проведения инвентаризаций и иных необходимых процедур.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рамках мероприятий последующего контроля проводятся: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инвентаризация активов, обязательств, расчётов;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– </w:t>
      </w:r>
      <w:r>
        <w:rPr>
          <w:rFonts w:ascii="Times New Roman" w:hAnsi="Times New Roman"/>
          <w:sz w:val="24"/>
          <w:szCs w:val="24"/>
        </w:rPr>
        <w:t>проверка участков бухгалтерского учёта на предмет соблюдения работниками требований норм законодательства РФ в области бюджетного учёта в отношении завершенных операций финансово-хозяйственной деятельности Управления;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– </w:t>
      </w:r>
      <w:r>
        <w:rPr>
          <w:rFonts w:ascii="Times New Roman" w:hAnsi="Times New Roman"/>
          <w:sz w:val="24"/>
          <w:szCs w:val="24"/>
        </w:rPr>
        <w:t>документальные проверки завершенных операций финансово-хозяйственной деятельности Управления.</w:t>
      </w:r>
    </w:p>
    <w:p>
      <w:pPr>
        <w:pStyle w:val="ConsPlusNormal"/>
        <w:ind w:firstLine="539"/>
        <w:jc w:val="both"/>
        <w:rPr>
          <w:sz w:val="24"/>
          <w:szCs w:val="24"/>
        </w:rPr>
      </w:pPr>
      <w:r>
        <w:rPr>
          <w:sz w:val="24"/>
          <w:szCs w:val="24"/>
        </w:rPr>
        <w:t>– изучаются формирование финансовых ресурсов, обоснованность                                          и целесообразность их расходования при выполнении планов финансово-хозяйственной деятельности.</w:t>
      </w:r>
    </w:p>
    <w:p>
      <w:pPr>
        <w:pStyle w:val="ConsPlusNormal"/>
        <w:ind w:firstLine="539"/>
        <w:jc w:val="both"/>
        <w:rPr>
          <w:sz w:val="24"/>
          <w:szCs w:val="24"/>
        </w:rPr>
      </w:pPr>
      <w:r>
        <w:rPr>
          <w:sz w:val="24"/>
          <w:szCs w:val="24"/>
        </w:rPr>
        <w:t>В результате анализа оценивается финансово-хозяйственная деятельность Управления.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Порядком осуществления внутреннего финансового аудита, утверждённого Приказам начальника Управления № 92 от 01.09.2020 проводятся аудиторские мероприятия в соответствии с годовым планом внутреннего финансового аудита.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</w:p>
    <w:p>
      <w:pPr>
        <w:pStyle w:val="a4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Виды контрольных мероприятий</w:t>
      </w:r>
    </w:p>
    <w:p>
      <w:pPr>
        <w:pStyle w:val="a4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6.1 Управление в целях внутреннего финансового контроля проводит следующие контрольные мероприятия.</w:t>
      </w:r>
    </w:p>
    <w:p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6.2 </w:t>
      </w:r>
      <w:r>
        <w:rPr>
          <w:rFonts w:ascii="Times New Roman" w:hAnsi="Times New Roman"/>
          <w:sz w:val="24"/>
          <w:szCs w:val="24"/>
          <w:lang w:eastAsia="ru-RU"/>
        </w:rPr>
        <w:t>Самоконтроль - осуществляется должностными лицами по совершении ими внутренних бюджетных процедур и составляющих операций.</w:t>
      </w:r>
    </w:p>
    <w:p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6.3 Контроль по уровню подчиненности - осуществляется начальником Управления (заместителем) и начальниками (заместителями) отделов Управления, путем авторизации составляющих операций, осуществляемых подчиненными должностными лицами.</w:t>
      </w:r>
    </w:p>
    <w:p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</w:p>
    <w:p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7. Ведение карты 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внутреннего финансового контроля</w:t>
      </w:r>
    </w:p>
    <w:p>
      <w:pPr>
        <w:pStyle w:val="formattext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7.1 Внутренний финансовый контроль в Управлении осуществляется в соответствии с утвержденными картами внутреннего финансового контроля.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7.2 Карты внутреннего финансового контроля в Управлении утверждаются начальником Управления и подписываются электронной подписью.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7.3 Карты внутреннего финансового контроля формируются в каждом осуществляющем внутренние бюджетные процедуры отделе Управления.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7.4 Процесс формирования (актуализации) карты внутреннего финансового контроля включает следующие этапы: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а) анализ предмета внутреннего финансового контроля в целях определения применяемых к нему методов контроля и контрольных действий (далее - процедуры внутреннего финансового контроля);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б) формирование перечня операций (действий по формированию документов, необходимых для выполнения внутренней бюджетной процедуры) (далее - Перечень) с указанием необходимости или отсутствия необходимости проведения контрольных действий в отношении отдельных операций.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7.5 Актуализация карт внутреннего финансового контроля необходимо проводить: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а) до начала очередного финансового года;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б) при принятии решения начальником Управления (заместителем начальника)                         о внесении изменений в карты внутреннего финансового контроля;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в) в случае внесения изменений в нормативные правовые акты, регулирующие бюджетные правоотношения, предусматривающие изменение внутренних бюджетных процедур.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7.6  При формировании Перечня определяются процессы, составляющие внутреннюю бюджетную процедуру.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При формировании Перечня оцениваются события, негативно влияющие на выполнение внутренних бюджетных процедур (далее - бюджетные риски), связанные                  с проведением указанной в Перечне операции, в целях ее включения в карту внутреннего финансового контроля, определения применяемых к ней контрольных действий.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При проведении оценки бюджетных рисков учитывается информация, указанная                  в актах, заключениях, представлениях и предписаниях органов государственного                        и муниципального финансового контроля, а также информация о результатах внутреннего финансового контроля и внутреннего финансового аудита, доведенная до отдела Управления, ответственного за выполнение внутренней бюджетной процедуры.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7.7 Перечень формируется отделами Управления, ответственными за результаты выполнения внутренних бюджетных процедур, и содержит все составляющие внутреннюю бюджетную процедуру процессы и операции, указанные в порядке их выполнения.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7.8 В случае, если организация и выполнение внутренней бюджетной процедуры                   в Управлении осуществляется несколькими отделами Управления, то в целях формирования Перечня и карты внутреннего финансового контроля, а также ее актуализации отделы Управления направляют в отдел по бюджетному учету и отчетности (далее - Отдел), ответственный за результат выполнения внутренней бюджетной процедуры, информацию о соответствующих процессах и операциях внутренней бюджетной процедуры с указанием необходимости или отсутствия необходимости проведения контрольных действий в отношении отдельных операций, а также информацию для формирования карты внутреннего финансового контроля в целях организации внутреннего финансового контроля по соответствующим операциям.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8. Ведение, учёт и хранение журнала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внутреннего финансового контроля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/>
          <w:b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8.1 Выявленные недостатки и (или) нарушения при исполнении внутренних бюджетных процедур, сведения о причинах рисков возникновения нарушений и (или) недостатков и о предлагаемых мерах по их устранению отражаются в журналах внутреннего финансового контроля (далее - Журнал).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8.2 Ведение Журналов осуществляется в каждом отделе Управления ответственном за выполнение внутренних бюджетных процедур.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Должностными лицами, ответственными за ведение Журналов, должна быть обеспечена защита от внесения несанкционированных исправлений в Журналы, утраты целостности информации в Журналах и сохранность Журналов.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Ведение Журналов осуществляется в электронном виде.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отсутствия выявленных недостатков (нарушений) при выполнении внутренних бюджетных процедур за квартал по состоянию на первое число месяца, следующего за истекшим кварталом, формируется запись об отсутствии недостатков (нарушений).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8.5 По завершении года Журнал распечатывается и брошюруется в хронологическом порядке должностным лицом, ответственным за ведение Журналов и подписывается подписью (электронной подписью) начальником Управления.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обложке необходимо указать: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наименование структурного подразделения, ответственного за выполнение внутренней бюджетной процедуры;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отчётный период;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название и порядковый номер папки (дела);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количество листов в папке (деле).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8.6 Учёт и хранение Журналов осуществляется Отделом, ответственным за выполнение внутренних бюджетных процедур, в порядке, установленном законодательством об архивном деле в Российской Федерации.</w:t>
      </w:r>
    </w:p>
    <w:p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</w:p>
    <w:p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>
      <w:pPr>
        <w:pStyle w:val="a4"/>
        <w:autoSpaceDE w:val="0"/>
        <w:autoSpaceDN w:val="0"/>
        <w:adjustRightInd w:val="0"/>
        <w:spacing w:after="0" w:line="240" w:lineRule="auto"/>
        <w:ind w:left="90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>
      <w:pPr>
        <w:pStyle w:val="a4"/>
        <w:autoSpaceDE w:val="0"/>
        <w:autoSpaceDN w:val="0"/>
        <w:adjustRightInd w:val="0"/>
        <w:spacing w:after="0" w:line="240" w:lineRule="auto"/>
        <w:ind w:left="900"/>
        <w:jc w:val="right"/>
        <w:rPr>
          <w:rFonts w:ascii="Times New Roman" w:hAnsi="Times New Roman"/>
          <w:sz w:val="24"/>
          <w:szCs w:val="24"/>
        </w:rPr>
      </w:pPr>
    </w:p>
    <w:p>
      <w:pPr>
        <w:pStyle w:val="a4"/>
        <w:autoSpaceDE w:val="0"/>
        <w:autoSpaceDN w:val="0"/>
        <w:adjustRightInd w:val="0"/>
        <w:spacing w:after="0" w:line="240" w:lineRule="auto"/>
        <w:ind w:left="900"/>
        <w:jc w:val="right"/>
        <w:rPr>
          <w:rFonts w:ascii="Times New Roman" w:hAnsi="Times New Roman"/>
          <w:sz w:val="24"/>
          <w:szCs w:val="24"/>
        </w:rPr>
      </w:pPr>
    </w:p>
    <w:p>
      <w:pPr>
        <w:pStyle w:val="ConsPlusNormal"/>
        <w:ind w:left="7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</w:t>
      </w:r>
      <w:hyperlink r:id="rId15" w:history="1">
        <w:r>
          <w:rPr>
            <w:sz w:val="24"/>
            <w:szCs w:val="24"/>
          </w:rPr>
          <w:t xml:space="preserve">Форма </w:t>
        </w:r>
      </w:hyperlink>
      <w:r>
        <w:rPr>
          <w:sz w:val="24"/>
          <w:szCs w:val="24"/>
        </w:rPr>
        <w:t>1</w:t>
      </w:r>
    </w:p>
    <w:p>
      <w:pPr>
        <w:pStyle w:val="ConsPlusNormal"/>
        <w:ind w:left="7080"/>
        <w:jc w:val="both"/>
        <w:rPr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к Приложению № 13, утвержденному                                   </w:t>
      </w:r>
    </w:p>
    <w:p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приказом начальника </w:t>
      </w:r>
    </w:p>
    <w:p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Финансового управления </w:t>
      </w:r>
    </w:p>
    <w:p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Администрации ЗАТО Северск </w:t>
      </w:r>
    </w:p>
    <w:p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30.12.2021 № 94</w:t>
      </w:r>
    </w:p>
    <w:p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</w:p>
    <w:p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Карта внутреннего финансового контроля на ____ год</w:t>
      </w:r>
    </w:p>
    <w:p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______________________________________________________________</w:t>
      </w:r>
    </w:p>
    <w:p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(наименование казенного учреждения)</w:t>
      </w:r>
    </w:p>
    <w:p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Ответственные за выполнение внутренних бюджетных процедур:____________________________</w:t>
      </w:r>
    </w:p>
    <w:p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10349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1134"/>
        <w:gridCol w:w="1134"/>
        <w:gridCol w:w="993"/>
        <w:gridCol w:w="992"/>
        <w:gridCol w:w="8"/>
        <w:gridCol w:w="1268"/>
        <w:gridCol w:w="1275"/>
        <w:gridCol w:w="1134"/>
        <w:gridCol w:w="1560"/>
      </w:tblGrid>
      <w:t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Процесс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операции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Должностное лицо, ответственное за выполнение операции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Периодичность выполнения операции</w:t>
            </w:r>
          </w:p>
        </w:tc>
        <w:tc>
          <w:tcPr>
            <w:tcW w:w="10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Должностное лицо, осуществляющее контрольное действие</w:t>
            </w:r>
          </w:p>
        </w:tc>
        <w:tc>
          <w:tcPr>
            <w:tcW w:w="5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Характеристики контрольного действия</w:t>
            </w:r>
          </w:p>
        </w:tc>
      </w:tr>
      <w:t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Метод контроля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Контрольное действие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Вид/способ контроля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Периодичность/срок выполнения контрольного действия</w:t>
            </w:r>
          </w:p>
        </w:tc>
      </w:tr>
      <w:tr>
        <w:trPr>
          <w:trHeight w:val="50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--------------------------------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bookmarkStart w:id="1" w:name="Par174"/>
      <w:bookmarkEnd w:id="1"/>
      <w:r>
        <w:rPr>
          <w:rFonts w:ascii="Times New Roman" w:hAnsi="Times New Roman"/>
          <w:sz w:val="20"/>
          <w:szCs w:val="20"/>
        </w:rPr>
        <w:t xml:space="preserve">&lt;1&gt; В </w:t>
      </w:r>
      <w:hyperlink w:anchor="Par81" w:history="1">
        <w:r>
          <w:rPr>
            <w:rFonts w:ascii="Times New Roman" w:hAnsi="Times New Roman"/>
            <w:sz w:val="20"/>
            <w:szCs w:val="20"/>
          </w:rPr>
          <w:t>графе 3</w:t>
        </w:r>
      </w:hyperlink>
      <w:r>
        <w:rPr>
          <w:rFonts w:ascii="Times New Roman" w:hAnsi="Times New Roman"/>
          <w:sz w:val="20"/>
          <w:szCs w:val="20"/>
        </w:rPr>
        <w:t xml:space="preserve"> указывается должностное лицо, осуществляющее контрольное действие методом самоконтроля. При выполнении несколькими должностными лицами однотипной операции, необходимой для выполнения внутренней бюджетной процедуры, ответственными за выполнение операции в </w:t>
      </w:r>
      <w:hyperlink w:anchor="Par81" w:history="1">
        <w:r>
          <w:rPr>
            <w:rFonts w:ascii="Times New Roman" w:hAnsi="Times New Roman"/>
            <w:sz w:val="20"/>
            <w:szCs w:val="20"/>
          </w:rPr>
          <w:t>графе 3</w:t>
        </w:r>
      </w:hyperlink>
      <w:r>
        <w:rPr>
          <w:rFonts w:ascii="Times New Roman" w:hAnsi="Times New Roman"/>
          <w:sz w:val="20"/>
          <w:szCs w:val="20"/>
        </w:rPr>
        <w:t xml:space="preserve"> указываются все должностные лица, осуществляющие контрольные действия в отношении указанной операции методом самоконтроля.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bookmarkStart w:id="2" w:name="Par175"/>
      <w:bookmarkEnd w:id="2"/>
      <w:r>
        <w:rPr>
          <w:rFonts w:ascii="Times New Roman" w:hAnsi="Times New Roman"/>
          <w:sz w:val="20"/>
          <w:szCs w:val="20"/>
        </w:rPr>
        <w:t xml:space="preserve">&lt;2&gt; В </w:t>
      </w:r>
      <w:hyperlink w:anchor="Par84" w:history="1">
        <w:r>
          <w:rPr>
            <w:rFonts w:ascii="Times New Roman" w:hAnsi="Times New Roman"/>
            <w:sz w:val="20"/>
            <w:szCs w:val="20"/>
          </w:rPr>
          <w:t>графе 6</w:t>
        </w:r>
      </w:hyperlink>
      <w:r>
        <w:rPr>
          <w:rFonts w:ascii="Times New Roman" w:hAnsi="Times New Roman"/>
          <w:sz w:val="20"/>
          <w:szCs w:val="20"/>
        </w:rPr>
        <w:t xml:space="preserve"> указываются методы осуществления контрольных действий: самоконтроль, смежный контроль, контроль по уровню подчиненности.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bookmarkStart w:id="3" w:name="Par176"/>
      <w:bookmarkEnd w:id="3"/>
      <w:r>
        <w:rPr>
          <w:rFonts w:ascii="Times New Roman" w:hAnsi="Times New Roman"/>
          <w:sz w:val="20"/>
          <w:szCs w:val="20"/>
        </w:rPr>
        <w:t xml:space="preserve">&lt;3&gt; В </w:t>
      </w:r>
      <w:hyperlink w:anchor="Par85" w:history="1">
        <w:r>
          <w:rPr>
            <w:rFonts w:ascii="Times New Roman" w:hAnsi="Times New Roman"/>
            <w:sz w:val="20"/>
            <w:szCs w:val="20"/>
          </w:rPr>
          <w:t>графе 7</w:t>
        </w:r>
      </w:hyperlink>
      <w:r>
        <w:rPr>
          <w:rFonts w:ascii="Times New Roman" w:hAnsi="Times New Roman"/>
          <w:sz w:val="20"/>
          <w:szCs w:val="20"/>
        </w:rPr>
        <w:t xml:space="preserve"> указывается один из способов контроля - сплошной или выборочный.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bookmarkStart w:id="4" w:name="Par177"/>
      <w:bookmarkEnd w:id="4"/>
      <w:r>
        <w:rPr>
          <w:rFonts w:ascii="Times New Roman" w:hAnsi="Times New Roman"/>
          <w:sz w:val="20"/>
          <w:szCs w:val="20"/>
        </w:rPr>
        <w:t xml:space="preserve">&lt;4&gt; В </w:t>
      </w:r>
      <w:hyperlink w:anchor="Par86" w:history="1">
        <w:r>
          <w:rPr>
            <w:rFonts w:ascii="Times New Roman" w:hAnsi="Times New Roman"/>
            <w:sz w:val="20"/>
            <w:szCs w:val="20"/>
          </w:rPr>
          <w:t>графе 8</w:t>
        </w:r>
      </w:hyperlink>
      <w:r>
        <w:rPr>
          <w:rFonts w:ascii="Times New Roman" w:hAnsi="Times New Roman"/>
          <w:sz w:val="20"/>
          <w:szCs w:val="20"/>
        </w:rPr>
        <w:t xml:space="preserve"> указываются периодичность «по мере формирования документов, необходимых для выполнения внутренней бюджетной процедуры" в случае осуществления контрольных действий методом самоконтроля и периодичность "по мере поступления документов» - в случае осуществления контрольных действий по уровню подчиненности (подведомственности).</w:t>
      </w:r>
    </w:p>
    <w:p>
      <w:pPr>
        <w:pStyle w:val="a4"/>
        <w:autoSpaceDE w:val="0"/>
        <w:autoSpaceDN w:val="0"/>
        <w:adjustRightInd w:val="0"/>
        <w:spacing w:after="0" w:line="240" w:lineRule="auto"/>
        <w:ind w:left="0" w:firstLine="539"/>
        <w:jc w:val="both"/>
        <w:rPr>
          <w:rFonts w:ascii="Times New Roman" w:hAnsi="Times New Roman"/>
          <w:sz w:val="20"/>
          <w:szCs w:val="20"/>
        </w:rPr>
      </w:pPr>
    </w:p>
    <w:p>
      <w:pPr>
        <w:pStyle w:val="a4"/>
        <w:autoSpaceDE w:val="0"/>
        <w:autoSpaceDN w:val="0"/>
        <w:adjustRightInd w:val="0"/>
        <w:spacing w:after="0" w:line="240" w:lineRule="auto"/>
        <w:ind w:left="0" w:firstLine="539"/>
        <w:jc w:val="both"/>
        <w:rPr>
          <w:rFonts w:ascii="Times New Roman" w:hAnsi="Times New Roman"/>
          <w:sz w:val="20"/>
          <w:szCs w:val="20"/>
        </w:rPr>
      </w:pPr>
    </w:p>
    <w:p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Руководитель (заместитель руководителя) главного администратора ___________</w:t>
      </w:r>
    </w:p>
    <w:p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Руководитель структурного подразделения __________________________________</w:t>
      </w:r>
    </w:p>
    <w:p>
      <w:pPr>
        <w:rPr>
          <w:rFonts w:ascii="Times New Roman" w:hAnsi="Times New Roman"/>
          <w:sz w:val="24"/>
          <w:szCs w:val="24"/>
        </w:rPr>
      </w:pPr>
    </w:p>
    <w:p/>
    <w:p/>
    <w:p/>
    <w:p/>
    <w:p>
      <w:pPr>
        <w:adjustRightInd w:val="0"/>
        <w:spacing w:after="0"/>
        <w:jc w:val="right"/>
        <w:rPr>
          <w:rFonts w:ascii="Times New Roman" w:hAnsi="Times New Roman"/>
          <w:sz w:val="20"/>
          <w:szCs w:val="20"/>
        </w:rPr>
      </w:pPr>
    </w:p>
    <w:p>
      <w:pPr>
        <w:adjustRightInd w:val="0"/>
        <w:spacing w:after="0"/>
        <w:jc w:val="right"/>
        <w:rPr>
          <w:rFonts w:ascii="Times New Roman" w:hAnsi="Times New Roman"/>
          <w:sz w:val="24"/>
          <w:szCs w:val="24"/>
        </w:rPr>
      </w:pPr>
    </w:p>
    <w:p>
      <w:pPr>
        <w:adjustRightInd w:val="0"/>
        <w:spacing w:after="0"/>
        <w:jc w:val="right"/>
        <w:rPr>
          <w:rFonts w:ascii="Times New Roman" w:hAnsi="Times New Roman"/>
          <w:sz w:val="24"/>
          <w:szCs w:val="24"/>
        </w:rPr>
      </w:pPr>
      <w:hyperlink r:id="rId16" w:history="1">
        <w:r>
          <w:rPr>
            <w:rFonts w:ascii="Times New Roman" w:hAnsi="Times New Roman"/>
            <w:sz w:val="24"/>
            <w:szCs w:val="24"/>
          </w:rPr>
          <w:t xml:space="preserve">Форма </w:t>
        </w:r>
      </w:hyperlink>
      <w:r>
        <w:rPr>
          <w:rFonts w:ascii="Times New Roman" w:hAnsi="Times New Roman"/>
          <w:sz w:val="24"/>
          <w:szCs w:val="24"/>
        </w:rPr>
        <w:t>2</w:t>
      </w:r>
    </w:p>
    <w:p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Приложению № 13, утвержденному                                   </w:t>
      </w:r>
    </w:p>
    <w:p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приказом начальника </w:t>
      </w:r>
    </w:p>
    <w:p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Финансового управления </w:t>
      </w:r>
    </w:p>
    <w:p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Администрации ЗАТО Северск </w:t>
      </w:r>
    </w:p>
    <w:p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30.12.2021 № 94</w:t>
      </w:r>
    </w:p>
    <w:p>
      <w:pPr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ЖУРНАЛ</w:t>
      </w:r>
    </w:p>
    <w:p>
      <w:pPr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учета результатов внутреннего финансового контроля</w:t>
      </w:r>
    </w:p>
    <w:p>
      <w:pPr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 ____ год</w:t>
      </w:r>
    </w:p>
    <w:tbl>
      <w:tblPr>
        <w:tblW w:w="969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4"/>
        <w:gridCol w:w="1037"/>
        <w:gridCol w:w="1134"/>
        <w:gridCol w:w="1360"/>
        <w:gridCol w:w="400"/>
        <w:gridCol w:w="792"/>
        <w:gridCol w:w="850"/>
        <w:gridCol w:w="851"/>
        <w:gridCol w:w="347"/>
        <w:gridCol w:w="503"/>
        <w:gridCol w:w="873"/>
        <w:gridCol w:w="544"/>
        <w:gridCol w:w="337"/>
      </w:tblGrid>
      <w:tr>
        <w:trPr>
          <w:trHeight w:val="295"/>
        </w:trPr>
        <w:tc>
          <w:tcPr>
            <w:tcW w:w="7435" w:type="dxa"/>
            <w:gridSpan w:val="9"/>
          </w:tcPr>
          <w:p>
            <w:pPr>
              <w:adjustRightInd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76" w:type="dxa"/>
            <w:gridSpan w:val="2"/>
            <w:tcBorders>
              <w:right w:val="single" w:sz="4" w:space="0" w:color="auto"/>
            </w:tcBorders>
          </w:tcPr>
          <w:p>
            <w:pPr>
              <w:adjustRightInd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Коды</w:t>
            </w:r>
          </w:p>
        </w:tc>
      </w:tr>
      <w:tr>
        <w:tc>
          <w:tcPr>
            <w:tcW w:w="7435" w:type="dxa"/>
            <w:gridSpan w:val="9"/>
          </w:tcPr>
          <w:p>
            <w:pPr>
              <w:adjustRightInd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76" w:type="dxa"/>
            <w:gridSpan w:val="2"/>
            <w:tcBorders>
              <w:right w:val="single" w:sz="4" w:space="0" w:color="auto"/>
            </w:tcBorders>
          </w:tcPr>
          <w:p>
            <w:pPr>
              <w:adjustRightInd w:val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Дата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djustRightInd w:val="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c>
          <w:tcPr>
            <w:tcW w:w="4195" w:type="dxa"/>
            <w:gridSpan w:val="4"/>
            <w:vAlign w:val="bottom"/>
          </w:tcPr>
          <w:p>
            <w:pPr>
              <w:adjustRightInd w:val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Наименование главного администратора бюджетных средств</w:t>
            </w:r>
          </w:p>
        </w:tc>
        <w:tc>
          <w:tcPr>
            <w:tcW w:w="3240" w:type="dxa"/>
            <w:gridSpan w:val="5"/>
            <w:vAlign w:val="bottom"/>
          </w:tcPr>
          <w:p>
            <w:pPr>
              <w:adjustRightInd w:val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_________________________</w:t>
            </w:r>
          </w:p>
        </w:tc>
        <w:tc>
          <w:tcPr>
            <w:tcW w:w="1376" w:type="dxa"/>
            <w:gridSpan w:val="2"/>
            <w:tcBorders>
              <w:right w:val="single" w:sz="4" w:space="0" w:color="auto"/>
            </w:tcBorders>
            <w:vAlign w:val="bottom"/>
          </w:tcPr>
          <w:p>
            <w:pPr>
              <w:adjustRightInd w:val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Глава по БК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djustRightInd w:val="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c>
          <w:tcPr>
            <w:tcW w:w="4195" w:type="dxa"/>
            <w:gridSpan w:val="4"/>
          </w:tcPr>
          <w:p>
            <w:pPr>
              <w:adjustRightInd w:val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Наименование бюджета</w:t>
            </w:r>
          </w:p>
        </w:tc>
        <w:tc>
          <w:tcPr>
            <w:tcW w:w="3240" w:type="dxa"/>
            <w:gridSpan w:val="5"/>
            <w:vAlign w:val="bottom"/>
          </w:tcPr>
          <w:p>
            <w:pPr>
              <w:adjustRightInd w:val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_________________________</w:t>
            </w:r>
          </w:p>
        </w:tc>
        <w:tc>
          <w:tcPr>
            <w:tcW w:w="1376" w:type="dxa"/>
            <w:gridSpan w:val="2"/>
            <w:tcBorders>
              <w:right w:val="single" w:sz="4" w:space="0" w:color="auto"/>
            </w:tcBorders>
            <w:vAlign w:val="bottom"/>
          </w:tcPr>
          <w:p>
            <w:pPr>
              <w:adjustRightInd w:val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по </w:t>
            </w:r>
            <w:hyperlink r:id="rId17" w:history="1">
              <w:r>
                <w:rPr>
                  <w:rFonts w:ascii="Times New Roman" w:hAnsi="Times New Roman"/>
                  <w:color w:val="0000FF"/>
                  <w:sz w:val="18"/>
                  <w:szCs w:val="18"/>
                </w:rPr>
                <w:t>ОКТМО</w:t>
              </w:r>
            </w:hyperlink>
          </w:p>
        </w:tc>
        <w:tc>
          <w:tcPr>
            <w:tcW w:w="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djustRightInd w:val="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c>
          <w:tcPr>
            <w:tcW w:w="4195" w:type="dxa"/>
            <w:gridSpan w:val="4"/>
          </w:tcPr>
          <w:p>
            <w:pPr>
              <w:adjustRightInd w:val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Наименование подразделения, ответственного за выполнение внутренних бюджетных процедур</w:t>
            </w:r>
          </w:p>
        </w:tc>
        <w:tc>
          <w:tcPr>
            <w:tcW w:w="3240" w:type="dxa"/>
            <w:gridSpan w:val="5"/>
            <w:vAlign w:val="bottom"/>
          </w:tcPr>
          <w:p>
            <w:pPr>
              <w:adjustRightInd w:val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_________________________</w:t>
            </w:r>
          </w:p>
        </w:tc>
        <w:tc>
          <w:tcPr>
            <w:tcW w:w="1376" w:type="dxa"/>
            <w:gridSpan w:val="2"/>
            <w:tcBorders>
              <w:right w:val="single" w:sz="4" w:space="0" w:color="auto"/>
            </w:tcBorders>
            <w:vAlign w:val="bottom"/>
          </w:tcPr>
          <w:p>
            <w:pPr>
              <w:adjustRightInd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djustRightInd w:val="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37" w:type="dxa"/>
        </w:trPr>
        <w:tc>
          <w:tcPr>
            <w:tcW w:w="664" w:type="dxa"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Дата</w:t>
            </w:r>
          </w:p>
        </w:tc>
        <w:tc>
          <w:tcPr>
            <w:tcW w:w="1037" w:type="dxa"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Наименование операции</w:t>
            </w:r>
          </w:p>
        </w:tc>
        <w:tc>
          <w:tcPr>
            <w:tcW w:w="1134" w:type="dxa"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Должностное лицо, ответственное за выполнение операции</w:t>
            </w:r>
          </w:p>
        </w:tc>
        <w:tc>
          <w:tcPr>
            <w:tcW w:w="1760" w:type="dxa"/>
            <w:gridSpan w:val="2"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Должностное лицо, осуществляющее контрольное действие</w:t>
            </w:r>
          </w:p>
        </w:tc>
        <w:tc>
          <w:tcPr>
            <w:tcW w:w="792" w:type="dxa"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Характеристики контрольного действия</w:t>
            </w:r>
          </w:p>
        </w:tc>
        <w:tc>
          <w:tcPr>
            <w:tcW w:w="850" w:type="dxa"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Результаты контрольного действия</w:t>
            </w:r>
          </w:p>
        </w:tc>
        <w:tc>
          <w:tcPr>
            <w:tcW w:w="851" w:type="dxa"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Сведения о причинах возникновения недостатков (нарушений)</w:t>
            </w:r>
          </w:p>
        </w:tc>
        <w:tc>
          <w:tcPr>
            <w:tcW w:w="850" w:type="dxa"/>
            <w:gridSpan w:val="2"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Предлагаемые меры по устранению недостатков (нарушений), причин их возникновения</w:t>
            </w:r>
          </w:p>
        </w:tc>
        <w:tc>
          <w:tcPr>
            <w:tcW w:w="1417" w:type="dxa"/>
            <w:gridSpan w:val="2"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Отметка об устранении</w:t>
            </w: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37" w:type="dxa"/>
        </w:trPr>
        <w:tc>
          <w:tcPr>
            <w:tcW w:w="664" w:type="dxa"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037" w:type="dxa"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760" w:type="dxa"/>
            <w:gridSpan w:val="2"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792" w:type="dxa"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850" w:type="dxa"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851" w:type="dxa"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850" w:type="dxa"/>
            <w:gridSpan w:val="2"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1417" w:type="dxa"/>
            <w:gridSpan w:val="2"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37" w:type="dxa"/>
        </w:trPr>
        <w:tc>
          <w:tcPr>
            <w:tcW w:w="664" w:type="dxa"/>
            <w:vAlign w:val="center"/>
          </w:tcPr>
          <w:p>
            <w:pPr>
              <w:adjustRightInd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37" w:type="dxa"/>
            <w:vAlign w:val="center"/>
          </w:tcPr>
          <w:p>
            <w:pPr>
              <w:adjustRightInd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>
            <w:pPr>
              <w:adjustRightInd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60" w:type="dxa"/>
            <w:gridSpan w:val="2"/>
            <w:vAlign w:val="center"/>
          </w:tcPr>
          <w:p>
            <w:pPr>
              <w:adjustRightInd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92" w:type="dxa"/>
            <w:vAlign w:val="center"/>
          </w:tcPr>
          <w:p>
            <w:pPr>
              <w:adjustRightInd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>
            <w:pPr>
              <w:adjustRightInd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>
            <w:pPr>
              <w:adjustRightInd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>
            <w:pPr>
              <w:adjustRightInd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Align w:val="center"/>
          </w:tcPr>
          <w:p>
            <w:pPr>
              <w:adjustRightInd w:val="0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>
      <w:pPr>
        <w:rPr>
          <w:rFonts w:ascii="Times New Roman" w:hAnsi="Times New Roman"/>
          <w:sz w:val="18"/>
          <w:szCs w:val="18"/>
        </w:rPr>
      </w:pP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Финансового управления     _______________________</w:t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Исполнитель</w:t>
      </w:r>
    </w:p>
    <w:p>
      <w:pPr>
        <w:adjustRightInd w:val="0"/>
        <w:spacing w:after="0"/>
        <w:jc w:val="right"/>
        <w:rPr>
          <w:rFonts w:ascii="Times New Roman" w:hAnsi="Times New Roman"/>
          <w:sz w:val="20"/>
          <w:szCs w:val="20"/>
        </w:rPr>
      </w:pPr>
    </w:p>
    <w:p>
      <w:pPr>
        <w:adjustRightInd w:val="0"/>
        <w:spacing w:after="0"/>
        <w:jc w:val="right"/>
        <w:rPr>
          <w:rFonts w:ascii="Times New Roman" w:hAnsi="Times New Roman"/>
          <w:sz w:val="20"/>
          <w:szCs w:val="20"/>
        </w:rPr>
      </w:pPr>
    </w:p>
    <w:p>
      <w:pPr>
        <w:adjustRightInd w:val="0"/>
        <w:spacing w:after="0"/>
        <w:jc w:val="right"/>
        <w:rPr>
          <w:rFonts w:ascii="Times New Roman" w:hAnsi="Times New Roman"/>
          <w:sz w:val="24"/>
          <w:szCs w:val="24"/>
        </w:rPr>
      </w:pPr>
      <w:hyperlink r:id="rId18" w:history="1">
        <w:r>
          <w:rPr>
            <w:rFonts w:ascii="Times New Roman" w:hAnsi="Times New Roman"/>
            <w:sz w:val="24"/>
            <w:szCs w:val="24"/>
          </w:rPr>
          <w:t xml:space="preserve">Форма </w:t>
        </w:r>
      </w:hyperlink>
      <w:r>
        <w:rPr>
          <w:rFonts w:ascii="Times New Roman" w:hAnsi="Times New Roman"/>
          <w:sz w:val="24"/>
          <w:szCs w:val="24"/>
        </w:rPr>
        <w:t>3</w:t>
      </w:r>
    </w:p>
    <w:p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Приложению № 13, утвержденному                                   </w:t>
      </w:r>
    </w:p>
    <w:p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приказом начальника </w:t>
      </w:r>
    </w:p>
    <w:p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Финансового управления </w:t>
      </w:r>
    </w:p>
    <w:p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Администрации ЗАТО Северск </w:t>
      </w:r>
    </w:p>
    <w:p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30.12.2021 № 94</w:t>
      </w:r>
    </w:p>
    <w:tbl>
      <w:tblPr>
        <w:tblW w:w="9639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647"/>
        <w:gridCol w:w="992"/>
      </w:tblGrid>
      <w:tr>
        <w:trPr>
          <w:cantSplit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rPr>
          <w:cantSplit/>
          <w:trHeight w:val="1528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операций (действий по формированию документов, необходимых для выполнения </w:t>
            </w:r>
          </w:p>
          <w:p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внутренней бюджетной процедуры)</w:t>
            </w:r>
          </w:p>
          <w:p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№__________</w:t>
            </w:r>
          </w:p>
          <w:p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состоянию на «______»___________20___г.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Коды</w:t>
            </w:r>
          </w:p>
        </w:tc>
      </w:tr>
      <w:tr>
        <w:trPr>
          <w:cantSplit/>
          <w:trHeight w:val="39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adjustRightInd w:val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Дата             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rPr>
          <w:cantSplit/>
          <w:trHeight w:val="39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adjustRightInd w:val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Наименование главного администратора бюджетных средств_____________                                      Глава по БК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rPr>
          <w:cantSplit/>
          <w:trHeight w:val="39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adjustRightInd w:val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Наименование бюджета  _________________________________________________                            по ОКТМО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rPr>
          <w:cantSplit/>
          <w:trHeight w:val="39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adjustRightInd w:val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Наименование подразделения, ответственного ________________________________</w:t>
            </w:r>
          </w:p>
          <w:p>
            <w:pPr>
              <w:adjustRightInd w:val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 выполнение внутренних бюджетных процедур_______________________________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>
            <w:pPr>
              <w:adjustRightInd w:val="0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>
      <w:pPr>
        <w:adjustRightInd w:val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I._______________________________________________________________________________________</w:t>
      </w:r>
    </w:p>
    <w:p>
      <w:pPr>
        <w:adjustRightInd w:val="0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(наименование внутренней бюджетной процедуры)</w:t>
      </w:r>
    </w:p>
    <w:tbl>
      <w:tblPr>
        <w:tblW w:w="8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62"/>
        <w:gridCol w:w="1134"/>
        <w:gridCol w:w="1276"/>
        <w:gridCol w:w="993"/>
        <w:gridCol w:w="1275"/>
        <w:gridCol w:w="2268"/>
      </w:tblGrid>
      <w:tr>
        <w:trPr>
          <w:cantSplit/>
          <w:trHeight w:val="438"/>
        </w:trPr>
        <w:tc>
          <w:tcPr>
            <w:tcW w:w="1162" w:type="dxa"/>
            <w:vMerge w:val="restart"/>
            <w:vAlign w:val="center"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Процесс</w:t>
            </w:r>
          </w:p>
        </w:tc>
        <w:tc>
          <w:tcPr>
            <w:tcW w:w="1134" w:type="dxa"/>
            <w:vMerge w:val="restart"/>
            <w:vAlign w:val="center"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Операция</w:t>
            </w:r>
          </w:p>
        </w:tc>
        <w:tc>
          <w:tcPr>
            <w:tcW w:w="1276" w:type="dxa"/>
            <w:vMerge w:val="restart"/>
            <w:vAlign w:val="center"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Должностное лицо, ответственное за выполнение операции</w:t>
            </w:r>
          </w:p>
        </w:tc>
        <w:tc>
          <w:tcPr>
            <w:tcW w:w="993" w:type="dxa"/>
            <w:vMerge w:val="restart"/>
            <w:vAlign w:val="center"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Уровень рисков</w:t>
            </w:r>
          </w:p>
        </w:tc>
        <w:tc>
          <w:tcPr>
            <w:tcW w:w="1275" w:type="dxa"/>
            <w:vMerge w:val="restart"/>
            <w:vAlign w:val="center"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Включить в карту ВФК</w:t>
            </w:r>
          </w:p>
        </w:tc>
        <w:tc>
          <w:tcPr>
            <w:tcW w:w="2268" w:type="dxa"/>
            <w:vMerge w:val="restart"/>
            <w:vAlign w:val="center"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Предложения по применению контрольных действий</w:t>
            </w:r>
          </w:p>
        </w:tc>
      </w:tr>
      <w:tr>
        <w:trPr>
          <w:cantSplit/>
          <w:trHeight w:val="438"/>
        </w:trPr>
        <w:tc>
          <w:tcPr>
            <w:tcW w:w="1162" w:type="dxa"/>
            <w:vMerge/>
            <w:vAlign w:val="center"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3" w:type="dxa"/>
            <w:vMerge/>
            <w:vAlign w:val="center"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5" w:type="dxa"/>
            <w:vMerge/>
            <w:vAlign w:val="center"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68" w:type="dxa"/>
            <w:vMerge/>
            <w:vAlign w:val="center"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rPr>
          <w:cantSplit/>
          <w:trHeight w:val="438"/>
        </w:trPr>
        <w:tc>
          <w:tcPr>
            <w:tcW w:w="1162" w:type="dxa"/>
            <w:vMerge/>
            <w:vAlign w:val="center"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3" w:type="dxa"/>
            <w:vMerge/>
            <w:vAlign w:val="center"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5" w:type="dxa"/>
            <w:vMerge/>
            <w:vAlign w:val="center"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68" w:type="dxa"/>
            <w:vMerge/>
            <w:vAlign w:val="center"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rPr>
          <w:cantSplit/>
        </w:trPr>
        <w:tc>
          <w:tcPr>
            <w:tcW w:w="1162" w:type="dxa"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993" w:type="dxa"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275" w:type="dxa"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2268" w:type="dxa"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</w:tr>
      <w:tr>
        <w:trPr>
          <w:cantSplit/>
        </w:trPr>
        <w:tc>
          <w:tcPr>
            <w:tcW w:w="1162" w:type="dxa"/>
            <w:vAlign w:val="center"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>
      <w:pPr>
        <w:adjustRightInd w:val="0"/>
        <w:jc w:val="center"/>
        <w:rPr>
          <w:rFonts w:ascii="Times New Roman" w:hAnsi="Times New Roman"/>
          <w:sz w:val="18"/>
          <w:szCs w:val="1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32"/>
        <w:gridCol w:w="2268"/>
        <w:gridCol w:w="284"/>
        <w:gridCol w:w="1418"/>
        <w:gridCol w:w="284"/>
        <w:gridCol w:w="2268"/>
      </w:tblGrid>
      <w:tr>
        <w:tc>
          <w:tcPr>
            <w:tcW w:w="32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структурного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323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подразделения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(должность)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(расшифровка подписи)</w:t>
            </w:r>
          </w:p>
        </w:tc>
      </w:tr>
    </w:tbl>
    <w:p>
      <w:pPr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«______»__________20___г.</w:t>
      </w:r>
    </w:p>
    <w:p>
      <w:pPr>
        <w:adjustRightInd w:val="0"/>
        <w:jc w:val="center"/>
        <w:rPr>
          <w:rFonts w:ascii="Times New Roman" w:hAnsi="Times New Roman"/>
          <w:sz w:val="18"/>
          <w:szCs w:val="18"/>
        </w:rPr>
      </w:pPr>
    </w:p>
    <w:p>
      <w:pPr>
        <w:adjustRightInd w:val="0"/>
        <w:jc w:val="center"/>
        <w:rPr>
          <w:rFonts w:ascii="Times New Roman" w:hAnsi="Times New Roman"/>
          <w:sz w:val="18"/>
          <w:szCs w:val="18"/>
        </w:rPr>
      </w:pPr>
    </w:p>
    <w:tbl>
      <w:tblPr>
        <w:tblW w:w="29684" w:type="dxa"/>
        <w:tblInd w:w="99" w:type="dxa"/>
        <w:tblLayout w:type="fixed"/>
        <w:tblLook w:val="04A0" w:firstRow="1" w:lastRow="0" w:firstColumn="1" w:lastColumn="0" w:noHBand="0" w:noVBand="1"/>
      </w:tblPr>
      <w:tblGrid>
        <w:gridCol w:w="2151"/>
        <w:gridCol w:w="732"/>
        <w:gridCol w:w="1980"/>
        <w:gridCol w:w="7454"/>
        <w:gridCol w:w="2050"/>
        <w:gridCol w:w="2310"/>
        <w:gridCol w:w="2501"/>
        <w:gridCol w:w="9209"/>
        <w:gridCol w:w="1297"/>
      </w:tblGrid>
      <w:tr>
        <w:trPr>
          <w:trHeight w:val="312"/>
        </w:trPr>
        <w:tc>
          <w:tcPr>
            <w:tcW w:w="21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54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2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Форма 2 </w:t>
            </w: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rPr>
          <w:trHeight w:val="480"/>
        </w:trPr>
        <w:tc>
          <w:tcPr>
            <w:tcW w:w="21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54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2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к Приложению № 13 положения о   </w:t>
            </w: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rPr>
          <w:trHeight w:val="312"/>
        </w:trPr>
        <w:tc>
          <w:tcPr>
            <w:tcW w:w="21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54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2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внутреннем контроле бюджетного учёта и финансовой отчётности , утвержденного </w:t>
            </w: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>
            <w:pPr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>
      <w:pPr>
        <w:adjustRightInd w:val="0"/>
        <w:jc w:val="center"/>
        <w:rPr>
          <w:rFonts w:ascii="Times New Roman" w:hAnsi="Times New Roman"/>
          <w:sz w:val="18"/>
          <w:szCs w:val="18"/>
        </w:rPr>
      </w:pPr>
    </w:p>
    <w:p>
      <w:pPr>
        <w:adjustRightInd w:val="0"/>
        <w:jc w:val="center"/>
        <w:rPr>
          <w:rFonts w:ascii="Times New Roman" w:hAnsi="Times New Roman"/>
          <w:sz w:val="18"/>
          <w:szCs w:val="18"/>
        </w:rPr>
        <w:sectPr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>
      <w:pPr>
        <w:adjustRightInd w:val="0"/>
        <w:spacing w:after="0"/>
        <w:jc w:val="right"/>
        <w:rPr>
          <w:rFonts w:ascii="Times New Roman" w:hAnsi="Times New Roman"/>
          <w:sz w:val="24"/>
          <w:szCs w:val="24"/>
        </w:rPr>
      </w:pPr>
      <w:hyperlink r:id="rId19" w:history="1">
        <w:r>
          <w:rPr>
            <w:rFonts w:ascii="Times New Roman" w:hAnsi="Times New Roman"/>
            <w:sz w:val="24"/>
            <w:szCs w:val="24"/>
          </w:rPr>
          <w:t xml:space="preserve">Форма </w:t>
        </w:r>
      </w:hyperlink>
      <w:r>
        <w:rPr>
          <w:rFonts w:ascii="Times New Roman" w:hAnsi="Times New Roman"/>
          <w:sz w:val="24"/>
          <w:szCs w:val="24"/>
        </w:rPr>
        <w:t>4</w:t>
      </w:r>
    </w:p>
    <w:p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Приложению № 13, утвержденному                                   </w:t>
      </w:r>
    </w:p>
    <w:p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приказом начальника </w:t>
      </w:r>
    </w:p>
    <w:p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Финансового управления </w:t>
      </w:r>
    </w:p>
    <w:p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Администрации ЗАТО Северск </w:t>
      </w:r>
    </w:p>
    <w:p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30.12.2021 № 94</w:t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Реестр бюджетных рисков</w:t>
      </w:r>
    </w:p>
    <w:p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(наименование главного администратора бюджетных средств (администратора бюджетных средств))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644"/>
        <w:gridCol w:w="397"/>
        <w:gridCol w:w="255"/>
        <w:gridCol w:w="1418"/>
        <w:gridCol w:w="340"/>
        <w:gridCol w:w="397"/>
        <w:gridCol w:w="284"/>
      </w:tblGrid>
      <w:tr>
        <w:trPr>
          <w:jc w:val="center"/>
        </w:trPr>
        <w:tc>
          <w:tcPr>
            <w:tcW w:w="1644" w:type="dxa"/>
            <w:vAlign w:val="bottom"/>
          </w:tcPr>
          <w:p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 состоянию на 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" w:type="dxa"/>
            <w:vAlign w:val="bottom"/>
          </w:tcPr>
          <w:p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vAlign w:val="bottom"/>
          </w:tcPr>
          <w:p>
            <w:pPr>
              <w:ind w:left="57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г.</w:t>
            </w:r>
          </w:p>
        </w:tc>
      </w:tr>
    </w:tbl>
    <w:p>
      <w:pPr>
        <w:rPr>
          <w:rFonts w:ascii="Times New Roman" w:hAnsi="Times New Roman"/>
          <w:sz w:val="18"/>
          <w:szCs w:val="18"/>
        </w:rPr>
      </w:pPr>
    </w:p>
    <w:tbl>
      <w:tblPr>
        <w:tblW w:w="150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454"/>
        <w:gridCol w:w="141"/>
        <w:gridCol w:w="426"/>
        <w:gridCol w:w="850"/>
        <w:gridCol w:w="992"/>
        <w:gridCol w:w="851"/>
        <w:gridCol w:w="709"/>
        <w:gridCol w:w="141"/>
        <w:gridCol w:w="143"/>
        <w:gridCol w:w="708"/>
        <w:gridCol w:w="850"/>
        <w:gridCol w:w="427"/>
        <w:gridCol w:w="284"/>
        <w:gridCol w:w="140"/>
        <w:gridCol w:w="709"/>
        <w:gridCol w:w="992"/>
        <w:gridCol w:w="1134"/>
        <w:gridCol w:w="881"/>
        <w:gridCol w:w="253"/>
        <w:gridCol w:w="1417"/>
        <w:gridCol w:w="993"/>
        <w:gridCol w:w="708"/>
        <w:gridCol w:w="851"/>
      </w:tblGrid>
      <w:tr>
        <w:trPr>
          <w:trHeight w:val="944"/>
        </w:trPr>
        <w:tc>
          <w:tcPr>
            <w:tcW w:w="454" w:type="dxa"/>
            <w:vMerge w:val="restart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№</w:t>
            </w:r>
            <w:r>
              <w:rPr>
                <w:rFonts w:ascii="Times New Roman" w:hAnsi="Times New Roman"/>
                <w:sz w:val="18"/>
                <w:szCs w:val="18"/>
              </w:rPr>
              <w:br/>
              <w:t>п/п</w:t>
            </w:r>
          </w:p>
        </w:tc>
        <w:tc>
          <w:tcPr>
            <w:tcW w:w="567" w:type="dxa"/>
            <w:gridSpan w:val="2"/>
            <w:vMerge w:val="restart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</w:t>
            </w:r>
            <w:r>
              <w:rPr>
                <w:rFonts w:ascii="Times New Roman" w:hAnsi="Times New Roman"/>
                <w:sz w:val="18"/>
                <w:szCs w:val="18"/>
              </w:rPr>
              <w:softHyphen/>
              <w:t>ная проце</w:t>
            </w:r>
            <w:r>
              <w:rPr>
                <w:rFonts w:ascii="Times New Roman" w:hAnsi="Times New Roman"/>
                <w:sz w:val="18"/>
                <w:szCs w:val="18"/>
              </w:rPr>
              <w:softHyphen/>
              <w:t>дура</w:t>
            </w:r>
          </w:p>
        </w:tc>
        <w:tc>
          <w:tcPr>
            <w:tcW w:w="850" w:type="dxa"/>
            <w:vMerge w:val="restart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Наиме</w:t>
            </w:r>
            <w:r>
              <w:rPr>
                <w:rFonts w:ascii="Times New Roman" w:hAnsi="Times New Roman"/>
                <w:sz w:val="18"/>
                <w:szCs w:val="18"/>
              </w:rPr>
              <w:softHyphen/>
              <w:t>нование операции (действия) по выпол</w:t>
            </w:r>
            <w:r>
              <w:rPr>
                <w:rFonts w:ascii="Times New Roman" w:hAnsi="Times New Roman"/>
                <w:sz w:val="18"/>
                <w:szCs w:val="18"/>
              </w:rPr>
              <w:softHyphen/>
              <w:t>нению бюджет</w:t>
            </w:r>
            <w:r>
              <w:rPr>
                <w:rFonts w:ascii="Times New Roman" w:hAnsi="Times New Roman"/>
                <w:sz w:val="18"/>
                <w:szCs w:val="18"/>
              </w:rPr>
              <w:softHyphen/>
              <w:t>ной проце</w:t>
            </w:r>
            <w:r>
              <w:rPr>
                <w:rFonts w:ascii="Times New Roman" w:hAnsi="Times New Roman"/>
                <w:sz w:val="18"/>
                <w:szCs w:val="18"/>
              </w:rPr>
              <w:softHyphen/>
              <w:t>дуры</w:t>
            </w:r>
          </w:p>
        </w:tc>
        <w:tc>
          <w:tcPr>
            <w:tcW w:w="992" w:type="dxa"/>
            <w:vMerge w:val="restart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Выяв</w:t>
            </w:r>
            <w:r>
              <w:rPr>
                <w:rFonts w:ascii="Times New Roman" w:hAnsi="Times New Roman"/>
                <w:sz w:val="18"/>
                <w:szCs w:val="18"/>
              </w:rPr>
              <w:softHyphen/>
              <w:t>ленный бюджет</w:t>
            </w:r>
            <w:r>
              <w:rPr>
                <w:rFonts w:ascii="Times New Roman" w:hAnsi="Times New Roman"/>
                <w:sz w:val="18"/>
                <w:szCs w:val="18"/>
              </w:rPr>
              <w:softHyphen/>
              <w:t>ный риск</w:t>
            </w:r>
          </w:p>
        </w:tc>
        <w:tc>
          <w:tcPr>
            <w:tcW w:w="851" w:type="dxa"/>
            <w:vMerge w:val="restart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Причины бюджет</w:t>
            </w:r>
            <w:r>
              <w:rPr>
                <w:rFonts w:ascii="Times New Roman" w:hAnsi="Times New Roman"/>
                <w:sz w:val="18"/>
                <w:szCs w:val="18"/>
              </w:rPr>
              <w:softHyphen/>
              <w:t>ного риска</w:t>
            </w:r>
          </w:p>
        </w:tc>
        <w:tc>
          <w:tcPr>
            <w:tcW w:w="850" w:type="dxa"/>
            <w:gridSpan w:val="2"/>
            <w:vMerge w:val="restart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Возмож</w:t>
            </w:r>
            <w:r>
              <w:rPr>
                <w:rFonts w:ascii="Times New Roman" w:hAnsi="Times New Roman"/>
                <w:sz w:val="18"/>
                <w:szCs w:val="18"/>
              </w:rPr>
              <w:softHyphen/>
              <w:t>ные послед</w:t>
            </w:r>
            <w:r>
              <w:rPr>
                <w:rFonts w:ascii="Times New Roman" w:hAnsi="Times New Roman"/>
                <w:sz w:val="18"/>
                <w:szCs w:val="18"/>
              </w:rPr>
              <w:softHyphen/>
              <w:t>ствия реали</w:t>
            </w:r>
            <w:r>
              <w:rPr>
                <w:rFonts w:ascii="Times New Roman" w:hAnsi="Times New Roman"/>
                <w:sz w:val="18"/>
                <w:szCs w:val="18"/>
              </w:rPr>
              <w:softHyphen/>
              <w:t>зации бюджет</w:t>
            </w:r>
            <w:r>
              <w:rPr>
                <w:rFonts w:ascii="Times New Roman" w:hAnsi="Times New Roman"/>
                <w:sz w:val="18"/>
                <w:szCs w:val="18"/>
              </w:rPr>
              <w:softHyphen/>
              <w:t>ного риска</w:t>
            </w:r>
          </w:p>
        </w:tc>
        <w:tc>
          <w:tcPr>
            <w:tcW w:w="851" w:type="dxa"/>
            <w:gridSpan w:val="2"/>
            <w:vMerge w:val="restart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Оценка критерия «вероят</w:t>
            </w:r>
            <w:r>
              <w:rPr>
                <w:rFonts w:ascii="Times New Roman" w:hAnsi="Times New Roman"/>
                <w:sz w:val="18"/>
                <w:szCs w:val="18"/>
              </w:rPr>
              <w:softHyphen/>
              <w:t>ность» («вероят</w:t>
            </w:r>
            <w:r>
              <w:rPr>
                <w:rFonts w:ascii="Times New Roman" w:hAnsi="Times New Roman"/>
                <w:sz w:val="18"/>
                <w:szCs w:val="18"/>
              </w:rPr>
              <w:softHyphen/>
              <w:t>ность допу</w:t>
            </w:r>
            <w:r>
              <w:rPr>
                <w:rFonts w:ascii="Times New Roman" w:hAnsi="Times New Roman"/>
                <w:sz w:val="18"/>
                <w:szCs w:val="18"/>
              </w:rPr>
              <w:softHyphen/>
              <w:t>щения ошибки»)</w:t>
            </w:r>
          </w:p>
        </w:tc>
        <w:tc>
          <w:tcPr>
            <w:tcW w:w="850" w:type="dxa"/>
            <w:vMerge w:val="restart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Оценка критерия «степень влияния» («сущест</w:t>
            </w:r>
            <w:r>
              <w:rPr>
                <w:rFonts w:ascii="Times New Roman" w:hAnsi="Times New Roman"/>
                <w:sz w:val="18"/>
                <w:szCs w:val="18"/>
              </w:rPr>
              <w:softHyphen/>
              <w:t>венность ошибки»)</w:t>
            </w:r>
          </w:p>
        </w:tc>
        <w:tc>
          <w:tcPr>
            <w:tcW w:w="851" w:type="dxa"/>
            <w:gridSpan w:val="3"/>
            <w:vMerge w:val="restart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Значи</w:t>
            </w:r>
            <w:r>
              <w:rPr>
                <w:rFonts w:ascii="Times New Roman" w:hAnsi="Times New Roman"/>
                <w:sz w:val="18"/>
                <w:szCs w:val="18"/>
              </w:rPr>
              <w:softHyphen/>
              <w:t>мость (уровень) бюджет</w:t>
            </w:r>
            <w:r>
              <w:rPr>
                <w:rFonts w:ascii="Times New Roman" w:hAnsi="Times New Roman"/>
                <w:sz w:val="18"/>
                <w:szCs w:val="18"/>
              </w:rPr>
              <w:softHyphen/>
              <w:t>ного риска</w:t>
            </w:r>
          </w:p>
        </w:tc>
        <w:tc>
          <w:tcPr>
            <w:tcW w:w="1701" w:type="dxa"/>
            <w:gridSpan w:val="2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Владельцы бюджетного риска</w:t>
            </w:r>
          </w:p>
        </w:tc>
        <w:tc>
          <w:tcPr>
            <w:tcW w:w="1134" w:type="dxa"/>
            <w:vMerge w:val="restart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Необхо</w:t>
            </w:r>
            <w:r>
              <w:rPr>
                <w:rFonts w:ascii="Times New Roman" w:hAnsi="Times New Roman"/>
                <w:sz w:val="18"/>
                <w:szCs w:val="18"/>
              </w:rPr>
              <w:softHyphen/>
              <w:t>димость (отсут</w:t>
            </w:r>
            <w:r>
              <w:rPr>
                <w:rFonts w:ascii="Times New Roman" w:hAnsi="Times New Roman"/>
                <w:sz w:val="18"/>
                <w:szCs w:val="18"/>
              </w:rPr>
              <w:softHyphen/>
              <w:t>ствие необхо</w:t>
            </w:r>
            <w:r>
              <w:rPr>
                <w:rFonts w:ascii="Times New Roman" w:hAnsi="Times New Roman"/>
                <w:sz w:val="18"/>
                <w:szCs w:val="18"/>
              </w:rPr>
              <w:softHyphen/>
              <w:t>димости) принятия мер по миними</w:t>
            </w:r>
            <w:r>
              <w:rPr>
                <w:rFonts w:ascii="Times New Roman" w:hAnsi="Times New Roman"/>
                <w:sz w:val="18"/>
                <w:szCs w:val="18"/>
              </w:rPr>
              <w:softHyphen/>
              <w:t>зации (устра</w:t>
            </w:r>
            <w:r>
              <w:rPr>
                <w:rFonts w:ascii="Times New Roman" w:hAnsi="Times New Roman"/>
                <w:sz w:val="18"/>
                <w:szCs w:val="18"/>
              </w:rPr>
              <w:softHyphen/>
              <w:t>нению) бюджет</w:t>
            </w:r>
            <w:r>
              <w:rPr>
                <w:rFonts w:ascii="Times New Roman" w:hAnsi="Times New Roman"/>
                <w:sz w:val="18"/>
                <w:szCs w:val="18"/>
              </w:rPr>
              <w:softHyphen/>
              <w:t>ного риска</w:t>
            </w:r>
          </w:p>
        </w:tc>
        <w:tc>
          <w:tcPr>
            <w:tcW w:w="2551" w:type="dxa"/>
            <w:gridSpan w:val="3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Предложения по мерам минимизации (устранения) бюджетного риска </w:t>
            </w:r>
            <w:r>
              <w:rPr>
                <w:rStyle w:val="a9"/>
                <w:rFonts w:ascii="Times New Roman" w:hAnsi="Times New Roman"/>
                <w:sz w:val="18"/>
                <w:szCs w:val="18"/>
              </w:rPr>
              <w:footnoteReference w:customMarkFollows="1" w:id="1"/>
              <w:t>1</w:t>
            </w:r>
          </w:p>
        </w:tc>
        <w:tc>
          <w:tcPr>
            <w:tcW w:w="993" w:type="dxa"/>
            <w:vMerge w:val="restart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Приори</w:t>
            </w:r>
            <w:r>
              <w:rPr>
                <w:rFonts w:ascii="Times New Roman" w:hAnsi="Times New Roman"/>
                <w:sz w:val="18"/>
                <w:szCs w:val="18"/>
              </w:rPr>
              <w:softHyphen/>
              <w:t>тетность принятия мер по миними</w:t>
            </w:r>
            <w:r>
              <w:rPr>
                <w:rFonts w:ascii="Times New Roman" w:hAnsi="Times New Roman"/>
                <w:sz w:val="18"/>
                <w:szCs w:val="18"/>
              </w:rPr>
              <w:softHyphen/>
              <w:t>зации (устране</w:t>
            </w:r>
            <w:r>
              <w:rPr>
                <w:rFonts w:ascii="Times New Roman" w:hAnsi="Times New Roman"/>
                <w:sz w:val="18"/>
                <w:szCs w:val="18"/>
              </w:rPr>
              <w:softHyphen/>
              <w:t>нию) бюджет</w:t>
            </w:r>
            <w:r>
              <w:rPr>
                <w:rFonts w:ascii="Times New Roman" w:hAnsi="Times New Roman"/>
                <w:sz w:val="18"/>
                <w:szCs w:val="18"/>
              </w:rPr>
              <w:softHyphen/>
              <w:t>ного риска</w:t>
            </w:r>
          </w:p>
        </w:tc>
        <w:tc>
          <w:tcPr>
            <w:tcW w:w="708" w:type="dxa"/>
            <w:vMerge w:val="restart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Срок испол</w:t>
            </w:r>
            <w:r>
              <w:rPr>
                <w:rFonts w:ascii="Times New Roman" w:hAnsi="Times New Roman"/>
                <w:sz w:val="18"/>
                <w:szCs w:val="18"/>
              </w:rPr>
              <w:softHyphen/>
              <w:t>нения меры по миними</w:t>
            </w:r>
            <w:r>
              <w:rPr>
                <w:rFonts w:ascii="Times New Roman" w:hAnsi="Times New Roman"/>
                <w:sz w:val="18"/>
                <w:szCs w:val="18"/>
              </w:rPr>
              <w:softHyphen/>
              <w:t>зации (устра</w:t>
            </w:r>
            <w:r>
              <w:rPr>
                <w:rFonts w:ascii="Times New Roman" w:hAnsi="Times New Roman"/>
                <w:sz w:val="18"/>
                <w:szCs w:val="18"/>
              </w:rPr>
              <w:softHyphen/>
              <w:t>нению) бюджет</w:t>
            </w:r>
            <w:r>
              <w:rPr>
                <w:rFonts w:ascii="Times New Roman" w:hAnsi="Times New Roman"/>
                <w:sz w:val="18"/>
                <w:szCs w:val="18"/>
              </w:rPr>
              <w:softHyphen/>
              <w:t>ного риска</w:t>
            </w:r>
          </w:p>
        </w:tc>
        <w:tc>
          <w:tcPr>
            <w:tcW w:w="851" w:type="dxa"/>
            <w:vMerge w:val="restart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Отметка об исполне</w:t>
            </w:r>
            <w:r>
              <w:rPr>
                <w:rFonts w:ascii="Times New Roman" w:hAnsi="Times New Roman"/>
                <w:sz w:val="18"/>
                <w:szCs w:val="18"/>
              </w:rPr>
              <w:softHyphen/>
              <w:t>нии меры по миними</w:t>
            </w:r>
            <w:r>
              <w:rPr>
                <w:rFonts w:ascii="Times New Roman" w:hAnsi="Times New Roman"/>
                <w:sz w:val="18"/>
                <w:szCs w:val="18"/>
              </w:rPr>
              <w:softHyphen/>
              <w:t>зации (устра</w:t>
            </w:r>
            <w:r>
              <w:rPr>
                <w:rFonts w:ascii="Times New Roman" w:hAnsi="Times New Roman"/>
                <w:sz w:val="18"/>
                <w:szCs w:val="18"/>
              </w:rPr>
              <w:softHyphen/>
              <w:t>нению) бюджет</w:t>
            </w:r>
            <w:r>
              <w:rPr>
                <w:rFonts w:ascii="Times New Roman" w:hAnsi="Times New Roman"/>
                <w:sz w:val="18"/>
                <w:szCs w:val="18"/>
              </w:rPr>
              <w:softHyphen/>
              <w:t>ного риска</w:t>
            </w:r>
          </w:p>
        </w:tc>
      </w:tr>
      <w:tr>
        <w:tc>
          <w:tcPr>
            <w:tcW w:w="454" w:type="dxa"/>
            <w:vMerge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Merge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vMerge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Ф.И.О.</w:t>
            </w:r>
          </w:p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Должность</w:t>
            </w:r>
          </w:p>
        </w:tc>
        <w:tc>
          <w:tcPr>
            <w:tcW w:w="992" w:type="dxa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Струк</w:t>
            </w:r>
            <w:r>
              <w:rPr>
                <w:rFonts w:ascii="Times New Roman" w:hAnsi="Times New Roman"/>
                <w:sz w:val="18"/>
                <w:szCs w:val="18"/>
              </w:rPr>
              <w:softHyphen/>
              <w:t>турное подраз</w:t>
            </w:r>
            <w:r>
              <w:rPr>
                <w:rFonts w:ascii="Times New Roman" w:hAnsi="Times New Roman"/>
                <w:sz w:val="18"/>
                <w:szCs w:val="18"/>
              </w:rPr>
              <w:softHyphen/>
              <w:t>деление</w:t>
            </w:r>
          </w:p>
        </w:tc>
        <w:tc>
          <w:tcPr>
            <w:tcW w:w="1134" w:type="dxa"/>
            <w:vMerge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Меры, не связан</w:t>
            </w:r>
            <w:r>
              <w:rPr>
                <w:rFonts w:ascii="Times New Roman" w:hAnsi="Times New Roman"/>
                <w:sz w:val="18"/>
                <w:szCs w:val="18"/>
              </w:rPr>
              <w:softHyphen/>
              <w:t>ные с контроль</w:t>
            </w:r>
            <w:r>
              <w:rPr>
                <w:rFonts w:ascii="Times New Roman" w:hAnsi="Times New Roman"/>
                <w:sz w:val="18"/>
                <w:szCs w:val="18"/>
              </w:rPr>
              <w:softHyphen/>
              <w:t>ными дейст</w:t>
            </w:r>
            <w:r>
              <w:rPr>
                <w:rFonts w:ascii="Times New Roman" w:hAnsi="Times New Roman"/>
                <w:sz w:val="18"/>
                <w:szCs w:val="18"/>
              </w:rPr>
              <w:softHyphen/>
              <w:t>виями</w:t>
            </w:r>
          </w:p>
        </w:tc>
        <w:tc>
          <w:tcPr>
            <w:tcW w:w="1417" w:type="dxa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Меры по органи</w:t>
            </w:r>
            <w:r>
              <w:rPr>
                <w:rFonts w:ascii="Times New Roman" w:hAnsi="Times New Roman"/>
                <w:sz w:val="18"/>
                <w:szCs w:val="18"/>
              </w:rPr>
              <w:softHyphen/>
              <w:t>зации внутрен</w:t>
            </w:r>
            <w:r>
              <w:rPr>
                <w:rFonts w:ascii="Times New Roman" w:hAnsi="Times New Roman"/>
                <w:sz w:val="18"/>
                <w:szCs w:val="18"/>
              </w:rPr>
              <w:softHyphen/>
              <w:t>него финан</w:t>
            </w:r>
            <w:r>
              <w:rPr>
                <w:rFonts w:ascii="Times New Roman" w:hAnsi="Times New Roman"/>
                <w:sz w:val="18"/>
                <w:szCs w:val="18"/>
              </w:rPr>
              <w:softHyphen/>
              <w:t>сового контроля (рекомен</w:t>
            </w:r>
            <w:r>
              <w:rPr>
                <w:rFonts w:ascii="Times New Roman" w:hAnsi="Times New Roman"/>
                <w:sz w:val="18"/>
                <w:szCs w:val="18"/>
              </w:rPr>
              <w:softHyphen/>
              <w:t>дуемые контроль</w:t>
            </w:r>
            <w:r>
              <w:rPr>
                <w:rFonts w:ascii="Times New Roman" w:hAnsi="Times New Roman"/>
                <w:sz w:val="18"/>
                <w:szCs w:val="18"/>
              </w:rPr>
              <w:softHyphen/>
              <w:t>ные действия)</w:t>
            </w:r>
          </w:p>
        </w:tc>
        <w:tc>
          <w:tcPr>
            <w:tcW w:w="993" w:type="dxa"/>
            <w:vMerge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rPr>
          <w:trHeight w:val="285"/>
        </w:trPr>
        <w:tc>
          <w:tcPr>
            <w:tcW w:w="454" w:type="dxa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851" w:type="dxa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850" w:type="dxa"/>
            <w:gridSpan w:val="2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851" w:type="dxa"/>
            <w:gridSpan w:val="2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850" w:type="dxa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851" w:type="dxa"/>
            <w:gridSpan w:val="3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709" w:type="dxa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992" w:type="dxa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134" w:type="dxa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134" w:type="dxa"/>
            <w:gridSpan w:val="2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417" w:type="dxa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993" w:type="dxa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</w:t>
            </w:r>
          </w:p>
        </w:tc>
        <w:tc>
          <w:tcPr>
            <w:tcW w:w="708" w:type="dxa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</w:t>
            </w:r>
          </w:p>
        </w:tc>
        <w:tc>
          <w:tcPr>
            <w:tcW w:w="851" w:type="dxa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</w:t>
            </w:r>
          </w:p>
        </w:tc>
      </w:tr>
      <w:tr>
        <w:trPr>
          <w:trHeight w:val="264"/>
        </w:trPr>
        <w:tc>
          <w:tcPr>
            <w:tcW w:w="45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1.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vAlign w:val="center"/>
          </w:tcPr>
          <w:p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Align w:val="center"/>
          </w:tcPr>
          <w:p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2"/>
          <w:gridAfter w:val="5"/>
          <w:wBefore w:w="595" w:type="dxa"/>
          <w:wAfter w:w="4222" w:type="dxa"/>
        </w:trPr>
        <w:tc>
          <w:tcPr>
            <w:tcW w:w="3828" w:type="dxa"/>
            <w:gridSpan w:val="5"/>
            <w:tcBorders>
              <w:bottom w:val="single" w:sz="4" w:space="0" w:color="auto"/>
            </w:tcBorders>
            <w:vAlign w:val="bottom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субъекта внутреннего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финансового аудита    </w:t>
            </w:r>
          </w:p>
        </w:tc>
        <w:tc>
          <w:tcPr>
            <w:tcW w:w="284" w:type="dxa"/>
            <w:gridSpan w:val="2"/>
            <w:vAlign w:val="bottom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3"/>
            <w:tcBorders>
              <w:bottom w:val="single" w:sz="4" w:space="0" w:color="auto"/>
            </w:tcBorders>
            <w:vAlign w:val="bottom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" w:type="dxa"/>
            <w:vAlign w:val="bottom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6" w:type="dxa"/>
            <w:gridSpan w:val="5"/>
            <w:tcBorders>
              <w:bottom w:val="single" w:sz="4" w:space="0" w:color="auto"/>
            </w:tcBorders>
            <w:vAlign w:val="bottom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2"/>
          <w:gridAfter w:val="5"/>
          <w:wBefore w:w="595" w:type="dxa"/>
          <w:wAfter w:w="4222" w:type="dxa"/>
        </w:trPr>
        <w:tc>
          <w:tcPr>
            <w:tcW w:w="3828" w:type="dxa"/>
            <w:gridSpan w:val="5"/>
            <w:tcBorders>
              <w:top w:val="single" w:sz="4" w:space="0" w:color="auto"/>
            </w:tcBorders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(должность)</w:t>
            </w:r>
          </w:p>
        </w:tc>
        <w:tc>
          <w:tcPr>
            <w:tcW w:w="284" w:type="dxa"/>
            <w:gridSpan w:val="2"/>
          </w:tcPr>
          <w:p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</w:tcBorders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(подпись)</w:t>
            </w:r>
          </w:p>
        </w:tc>
        <w:tc>
          <w:tcPr>
            <w:tcW w:w="284" w:type="dxa"/>
          </w:tcPr>
          <w:p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56" w:type="dxa"/>
            <w:gridSpan w:val="5"/>
            <w:tcBorders>
              <w:top w:val="single" w:sz="4" w:space="0" w:color="auto"/>
            </w:tcBorders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(фамилия, имя, отчество (при наличии)</w:t>
            </w:r>
          </w:p>
        </w:tc>
      </w:tr>
    </w:tbl>
    <w:p>
      <w:pPr>
        <w:rPr>
          <w:rFonts w:ascii="Times New Roman" w:hAnsi="Times New Roman"/>
          <w:sz w:val="18"/>
          <w:szCs w:val="18"/>
        </w:rPr>
      </w:pPr>
    </w:p>
    <w:p>
      <w:pPr>
        <w:jc w:val="right"/>
        <w:rPr>
          <w:rFonts w:ascii="Times New Roman" w:hAnsi="Times New Roman"/>
          <w:bCs/>
          <w:sz w:val="18"/>
          <w:szCs w:val="18"/>
        </w:rPr>
      </w:pPr>
    </w:p>
    <w:sectPr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  <w:footnote w:id="1">
    <w:p>
      <w:pPr>
        <w:pStyle w:val="a7"/>
        <w:ind w:firstLine="567"/>
        <w:jc w:val="both"/>
      </w:pPr>
      <w:r>
        <w:rPr>
          <w:rStyle w:val="a9"/>
          <w:sz w:val="18"/>
          <w:szCs w:val="18"/>
        </w:rPr>
        <w:t>1</w:t>
      </w:r>
      <w:r>
        <w:rPr>
          <w:sz w:val="18"/>
          <w:szCs w:val="18"/>
        </w:rPr>
        <w:t> Предложения по мерам минимизации (устранения) бюджетного риска указываются в случае возможности и (или) необходимости (целесообразности) принятия главным администратором (администратором) бюджетных средств мер по минимизации (устранению) соответствующего бюджетного риска и (или) мер по его предупреждению.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F6258B"/>
    <w:multiLevelType w:val="hybridMultilevel"/>
    <w:tmpl w:val="0C72CF1A"/>
    <w:lvl w:ilvl="0" w:tplc="0419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220F4CA8"/>
    <w:multiLevelType w:val="hybridMultilevel"/>
    <w:tmpl w:val="F5D8018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2E97C78"/>
    <w:multiLevelType w:val="hybridMultilevel"/>
    <w:tmpl w:val="4D96D786"/>
    <w:lvl w:ilvl="0" w:tplc="C12AE85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74443268"/>
    <w:multiLevelType w:val="hybridMultilevel"/>
    <w:tmpl w:val="F280BA28"/>
    <w:lvl w:ilvl="0" w:tplc="9C84F3F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5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4846198-656F-44DA-B2B8-C2721CA61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pPr>
      <w:spacing w:after="0" w:line="240" w:lineRule="auto"/>
    </w:pPr>
    <w:rPr>
      <w:rFonts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  <w:lang w:eastAsia="en-US"/>
    </w:rPr>
  </w:style>
  <w:style w:type="paragraph" w:styleId="a4">
    <w:name w:val="List Paragraph"/>
    <w:basedOn w:val="a"/>
    <w:uiPriority w:val="34"/>
    <w:qFormat/>
    <w:pPr>
      <w:ind w:left="720"/>
      <w:contextualSpacing/>
    </w:pPr>
  </w:style>
  <w:style w:type="paragraph" w:customStyle="1" w:styleId="formattext">
    <w:name w:val="formattext"/>
    <w:basedOn w:val="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Pr>
      <w:rFonts w:ascii="Times New Roman" w:hAnsi="Times New Roman" w:cs="Times New Roman"/>
      <w:sz w:val="24"/>
      <w:szCs w:val="24"/>
    </w:rPr>
  </w:style>
  <w:style w:type="paragraph" w:styleId="a7">
    <w:name w:val="footnote text"/>
    <w:basedOn w:val="a"/>
    <w:link w:val="a8"/>
    <w:uiPriority w:val="99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8">
    <w:name w:val="Текст сноски Знак"/>
    <w:basedOn w:val="a0"/>
    <w:link w:val="a7"/>
    <w:uiPriority w:val="99"/>
    <w:locked/>
    <w:rPr>
      <w:rFonts w:ascii="Times New Roman" w:hAnsi="Times New Roman" w:cs="Times New Roman"/>
      <w:sz w:val="20"/>
      <w:szCs w:val="20"/>
    </w:rPr>
  </w:style>
  <w:style w:type="character" w:styleId="a9">
    <w:name w:val="footnote reference"/>
    <w:basedOn w:val="a0"/>
    <w:uiPriority w:val="99"/>
    <w:rPr>
      <w:rFonts w:cs="Times New Roman"/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Pr>
      <w:rFonts w:ascii="Tahoma" w:hAnsi="Tahoma" w:cs="Tahoma"/>
      <w:sz w:val="16"/>
      <w:szCs w:val="16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6999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85AB3370BD94652C3214E13F716D0612368A228F050D1D5EC0C22330CB5A6DC1ADD8CA3FCD9DCDF10d8D" TargetMode="External"/><Relationship Id="rId13" Type="http://schemas.openxmlformats.org/officeDocument/2006/relationships/hyperlink" Target="consultantplus://offline/ref=3D33E7CAB622010932B0CC12912E5390BE6377FECBFED31D4386F9A995BA335A98F18D0FFF424D032EV9D" TargetMode="External"/><Relationship Id="rId18" Type="http://schemas.openxmlformats.org/officeDocument/2006/relationships/hyperlink" Target="consultantplus://offline/ref=FEA925D4AB2373D804522E5F51A204C088221CF9BAAE1E1F89B49FB4B99F398C56107C742DF338C4i3DBE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D85AB3370BD94652C3214E13F716D0612368A125F253D1D5EC0C22330C1Bd5D" TargetMode="External"/><Relationship Id="rId12" Type="http://schemas.openxmlformats.org/officeDocument/2006/relationships/hyperlink" Target="consultantplus://offline/ref=3D33E7CAB622010932B0CC12912E5390BE6A77F6CEF9D31D4386F9A995BA335A98F18D0FFF424E062EVFD" TargetMode="External"/><Relationship Id="rId17" Type="http://schemas.openxmlformats.org/officeDocument/2006/relationships/hyperlink" Target="consultantplus://offline/ref=65B33E7538238026297BBF1F23F0E7E77F98B1E6B7AC55DDEB0EC0D53FS5v5D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FEA925D4AB2373D804522E5F51A204C088221CF9BAAE1E1F89B49FB4B99F398C56107C742DF338C4i3DBE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D0F7BDD0CE383929953CBD9825C4C1787760CA691D277A3A8FCC2A211D3BE9FDC1E8BB0D6BA61C90j8TCD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FEA925D4AB2373D804522E5F51A204C088221CF9BAAE1E1F89B49FB4B99F398C56107C742DF338C4i3DBE" TargetMode="External"/><Relationship Id="rId10" Type="http://schemas.openxmlformats.org/officeDocument/2006/relationships/hyperlink" Target="consultantplus://offline/ref=D85AB3370BD94652C3214E13F716D0612361A220F557D1D5EC0C22330CB5A6DC1ADD8CA3FCD9DCD010dAD" TargetMode="External"/><Relationship Id="rId19" Type="http://schemas.openxmlformats.org/officeDocument/2006/relationships/hyperlink" Target="consultantplus://offline/ref=FEA925D4AB2373D804522E5F51A204C088221CF9BAAE1E1F89B49FB4B99F398C56107C742DF338C4i3DB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85AB3370BD94652C3214E13F716D0612368A426FF5ED1D5EC0C22330CB5A6DC1ADD8CA3FCD9D8D510d9D" TargetMode="External"/><Relationship Id="rId14" Type="http://schemas.openxmlformats.org/officeDocument/2006/relationships/hyperlink" Target="consultantplus://offline/ref=3D33E7CAB622010932B0CC12912E5390BE6A71F8C1F7D31D4386F9A995BA335A98F18D0D2FV9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2974</Words>
  <Characters>26852</Characters>
  <Application>Microsoft Office Word</Application>
  <DocSecurity>0</DocSecurity>
  <Lines>223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/>
  <LinksUpToDate>false</LinksUpToDate>
  <CharactersWithSpaces>29767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ASUS</dc:creator>
  <cp:keywords/>
  <dc:description/>
  <cp:lastModifiedBy>Купцова И.О.</cp:lastModifiedBy>
  <cp:revision>2</cp:revision>
  <cp:lastPrinted>2022-02-02T09:35:00Z</cp:lastPrinted>
  <dcterms:created xsi:type="dcterms:W3CDTF">2025-12-11T09:13:00Z</dcterms:created>
  <dcterms:modified xsi:type="dcterms:W3CDTF">2025-12-11T09:13:00Z</dcterms:modified>
</cp:coreProperties>
</file>