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656"/>
        <w:gridCol w:w="4699"/>
      </w:tblGrid>
      <w:tr>
        <w:tc>
          <w:tcPr>
            <w:tcW w:w="4785" w:type="dxa"/>
          </w:tcPr>
          <w:p>
            <w:pPr>
              <w:spacing w:after="0" w:line="240" w:lineRule="auto"/>
              <w:rPr>
                <w:rFonts w:ascii="Times New Roman" w:hAnsi="Times New Roman"/>
                <w:sz w:val="24"/>
                <w:szCs w:val="24"/>
              </w:rPr>
            </w:pPr>
          </w:p>
        </w:tc>
        <w:tc>
          <w:tcPr>
            <w:tcW w:w="4786" w:type="dxa"/>
          </w:tcPr>
          <w:p>
            <w:pPr>
              <w:pStyle w:val="a5"/>
              <w:jc w:val="right"/>
              <w:rPr>
                <w:bCs/>
                <w:spacing w:val="2"/>
              </w:rPr>
            </w:pPr>
          </w:p>
          <w:p>
            <w:pPr>
              <w:pStyle w:val="a5"/>
              <w:jc w:val="right"/>
              <w:rPr>
                <w:bCs/>
                <w:spacing w:val="2"/>
              </w:rPr>
            </w:pPr>
          </w:p>
          <w:p>
            <w:pPr>
              <w:pStyle w:val="a5"/>
              <w:jc w:val="right"/>
              <w:rPr>
                <w:bCs/>
                <w:spacing w:val="2"/>
              </w:rPr>
            </w:pPr>
            <w:r>
              <w:rPr>
                <w:bCs/>
                <w:spacing w:val="2"/>
              </w:rPr>
              <w:t>Приложение № 12</w:t>
            </w:r>
          </w:p>
          <w:p>
            <w:pPr>
              <w:pStyle w:val="a5"/>
              <w:jc w:val="right"/>
              <w:rPr>
                <w:bCs/>
                <w:spacing w:val="2"/>
              </w:rPr>
            </w:pPr>
            <w:proofErr w:type="gramStart"/>
            <w:r>
              <w:rPr>
                <w:bCs/>
                <w:spacing w:val="2"/>
              </w:rPr>
              <w:t>к</w:t>
            </w:r>
            <w:proofErr w:type="gramEnd"/>
            <w:r>
              <w:rPr>
                <w:bCs/>
                <w:spacing w:val="2"/>
              </w:rPr>
              <w:t xml:space="preserve"> Учетной политике</w:t>
            </w:r>
          </w:p>
          <w:p>
            <w:pPr>
              <w:pStyle w:val="a5"/>
              <w:jc w:val="right"/>
              <w:rPr>
                <w:bCs/>
                <w:spacing w:val="2"/>
              </w:rPr>
            </w:pPr>
            <w:proofErr w:type="gramStart"/>
            <w:r>
              <w:rPr>
                <w:bCs/>
                <w:spacing w:val="2"/>
              </w:rPr>
              <w:t>утвержденной</w:t>
            </w:r>
            <w:proofErr w:type="gramEnd"/>
            <w:r>
              <w:rPr>
                <w:bCs/>
                <w:spacing w:val="2"/>
              </w:rPr>
              <w:t xml:space="preserve"> приказом </w:t>
            </w:r>
          </w:p>
          <w:p>
            <w:pPr>
              <w:pStyle w:val="a5"/>
              <w:jc w:val="right"/>
              <w:rPr>
                <w:bCs/>
                <w:spacing w:val="2"/>
              </w:rPr>
            </w:pPr>
            <w:proofErr w:type="gramStart"/>
            <w:r>
              <w:rPr>
                <w:bCs/>
                <w:spacing w:val="2"/>
              </w:rPr>
              <w:t>начальника</w:t>
            </w:r>
            <w:proofErr w:type="gramEnd"/>
            <w:r>
              <w:rPr>
                <w:bCs/>
                <w:spacing w:val="2"/>
              </w:rPr>
              <w:t xml:space="preserve"> Финансового управления</w:t>
            </w:r>
          </w:p>
          <w:p>
            <w:pPr>
              <w:pStyle w:val="a5"/>
              <w:jc w:val="right"/>
              <w:rPr>
                <w:bCs/>
                <w:spacing w:val="2"/>
              </w:rPr>
            </w:pPr>
            <w:proofErr w:type="gramStart"/>
            <w:r>
              <w:rPr>
                <w:bCs/>
                <w:spacing w:val="2"/>
              </w:rPr>
              <w:t>от</w:t>
            </w:r>
            <w:proofErr w:type="gramEnd"/>
            <w:r>
              <w:rPr>
                <w:bCs/>
                <w:spacing w:val="2"/>
              </w:rPr>
              <w:t xml:space="preserve"> </w:t>
            </w:r>
            <w:r>
              <w:t>30.12.2021 № 94</w:t>
            </w:r>
          </w:p>
        </w:tc>
      </w:tr>
    </w:tbl>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eastAsia="ru-RU"/>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 xml:space="preserve">Положение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proofErr w:type="gramStart"/>
      <w:r>
        <w:rPr>
          <w:rFonts w:ascii="Times New Roman" w:hAnsi="Times New Roman"/>
          <w:b/>
          <w:bCs/>
          <w:sz w:val="24"/>
          <w:szCs w:val="24"/>
          <w:lang w:eastAsia="ru-RU"/>
        </w:rPr>
        <w:t>о</w:t>
      </w:r>
      <w:proofErr w:type="gramEnd"/>
      <w:r>
        <w:rPr>
          <w:rFonts w:ascii="Times New Roman" w:hAnsi="Times New Roman"/>
          <w:b/>
          <w:bCs/>
          <w:sz w:val="24"/>
          <w:szCs w:val="24"/>
          <w:lang w:eastAsia="ru-RU"/>
        </w:rPr>
        <w:t xml:space="preserve"> порядке проведения инвентаризации материальных запасов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 </w:t>
      </w:r>
    </w:p>
    <w:p>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center"/>
        <w:rPr>
          <w:rFonts w:ascii="Times New Roman" w:hAnsi="Times New Roman"/>
          <w:b/>
          <w:sz w:val="24"/>
          <w:szCs w:val="24"/>
        </w:rPr>
      </w:pPr>
      <w:r>
        <w:rPr>
          <w:rFonts w:ascii="Times New Roman" w:hAnsi="Times New Roman"/>
          <w:sz w:val="24"/>
          <w:szCs w:val="24"/>
        </w:rPr>
        <w:t>1</w:t>
      </w:r>
      <w:r>
        <w:rPr>
          <w:rFonts w:ascii="Times New Roman" w:hAnsi="Times New Roman"/>
          <w:b/>
          <w:sz w:val="24"/>
          <w:szCs w:val="24"/>
        </w:rPr>
        <w:t>. Общие положения</w:t>
      </w:r>
    </w:p>
    <w:p>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39"/>
        <w:jc w:val="both"/>
        <w:rPr>
          <w:rFonts w:ascii="Times New Roman" w:hAnsi="Times New Roman"/>
          <w:sz w:val="24"/>
          <w:szCs w:val="24"/>
        </w:rPr>
      </w:pPr>
    </w:p>
    <w:p>
      <w:pPr>
        <w:spacing w:after="0" w:line="240" w:lineRule="auto"/>
        <w:ind w:firstLine="539"/>
        <w:jc w:val="both"/>
        <w:rPr>
          <w:rFonts w:ascii="Times New Roman" w:hAnsi="Times New Roman"/>
          <w:sz w:val="24"/>
          <w:szCs w:val="24"/>
        </w:rPr>
      </w:pPr>
      <w:r>
        <w:rPr>
          <w:rFonts w:ascii="Times New Roman" w:hAnsi="Times New Roman"/>
          <w:sz w:val="24"/>
          <w:szCs w:val="24"/>
        </w:rPr>
        <w:t xml:space="preserve">1.1. Настоящее Положение применяется в соответствии с требованиями ст.11 Федерального закона РФ от 06.12.2011 № 402-ФЗ «О бухгалтерском учёте» (далее – Закон о бухгалтерском учёте), раздел </w:t>
      </w:r>
      <w:r>
        <w:rPr>
          <w:rFonts w:ascii="Times New Roman" w:hAnsi="Times New Roman"/>
          <w:sz w:val="24"/>
          <w:szCs w:val="24"/>
          <w:lang w:val="en-US"/>
        </w:rPr>
        <w:t>VIII</w:t>
      </w:r>
      <w:r>
        <w:rPr>
          <w:rFonts w:ascii="Times New Roman" w:hAnsi="Times New Roman"/>
          <w:sz w:val="24"/>
          <w:szCs w:val="24"/>
        </w:rPr>
        <w:t xml:space="preserve">  СГС «Концептуальные основы бухгалтерского учёта и отчётности организаций госсектора», утвержденного приказом Минфина России от 31.12.2016г. № 256н (далее – СГС «Концептуальные основы»), </w:t>
      </w:r>
      <w:r>
        <w:rPr>
          <w:rFonts w:ascii="Times New Roman" w:hAnsi="Times New Roman"/>
          <w:strike/>
          <w:sz w:val="24"/>
          <w:szCs w:val="24"/>
          <w:highlight w:val="yellow"/>
        </w:rPr>
        <w:t>п.20  приказа Минфина России от 01.12.2010г. № 157н «Об утверждении Единого плана счетов бухгалтерского учёта для органов государственной власти (госорганов),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ЕПС)</w:t>
      </w:r>
      <w:r>
        <w:rPr>
          <w:rFonts w:ascii="Times New Roman" w:hAnsi="Times New Roman"/>
          <w:sz w:val="24"/>
          <w:szCs w:val="24"/>
        </w:rPr>
        <w:t>, ФСБУ «Запасы», утвержденный приказом Минфина России от 07.12.2018 № 256н, 1.2. Цель Положения – закрепить порядок проведения инвентаризации материальных запасов.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1.3. Основные цели инвентаризации – выявление фактического наличия имущества, сопоставление его фактического наличия с данными бухгалтерского учёта, а также проверка полноты отражения в учёте обязательств.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1.4. Проведение инвентаризации осуществляется постоянно действующей инвентаризационной комиссией (далее – инвентаризационная комиссия), назначенной приказом начальника Управления. </w:t>
      </w:r>
    </w:p>
    <w:p>
      <w:pPr>
        <w:autoSpaceDE w:val="0"/>
        <w:autoSpaceDN w:val="0"/>
        <w:adjustRightInd w:val="0"/>
        <w:spacing w:after="0" w:line="240" w:lineRule="auto"/>
        <w:ind w:firstLine="539"/>
        <w:jc w:val="both"/>
        <w:rPr>
          <w:rFonts w:ascii="Times New Roman" w:hAnsi="Times New Roman"/>
          <w:sz w:val="24"/>
          <w:szCs w:val="24"/>
        </w:rPr>
      </w:pPr>
    </w:p>
    <w:p>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2. Виды инвентаризации, особенности проведения</w:t>
      </w:r>
      <w:r>
        <w:rPr>
          <w:rFonts w:ascii="Times New Roman" w:hAnsi="Times New Roman"/>
          <w:b/>
          <w:sz w:val="24"/>
          <w:szCs w:val="24"/>
        </w:rPr>
        <w:br/>
        <w:t>инвентаризации материальных запасов</w:t>
      </w:r>
    </w:p>
    <w:p>
      <w:pPr>
        <w:autoSpaceDE w:val="0"/>
        <w:autoSpaceDN w:val="0"/>
        <w:adjustRightInd w:val="0"/>
        <w:spacing w:after="0" w:line="240" w:lineRule="auto"/>
        <w:ind w:firstLine="539"/>
        <w:jc w:val="both"/>
        <w:rPr>
          <w:rFonts w:ascii="Times New Roman" w:hAnsi="Times New Roman"/>
          <w:sz w:val="24"/>
          <w:szCs w:val="24"/>
        </w:rPr>
      </w:pP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2.1. Инвентаризация может быть плановая и внеплановая (внезапная):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плановая инвентаризация проводится ежегодно перед составлением годовой отчётности;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внеплановая (внезапная) инвентаризация проводится как по решению начальника Управления, так и по требованию контролирующих органов.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2.2. Основными целями инвентаризации являются:</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выявление фактического наличия материальных запасов Управления                                  и определение статуса и целевой функции, отнесение имущества к активам;</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 принятие решений о несоответствии материальных запасов критериям актива                   и отнесении на </w:t>
      </w:r>
      <w:proofErr w:type="spellStart"/>
      <w:r>
        <w:rPr>
          <w:rFonts w:ascii="Times New Roman" w:hAnsi="Times New Roman"/>
          <w:sz w:val="24"/>
          <w:szCs w:val="24"/>
        </w:rPr>
        <w:t>забалансовый</w:t>
      </w:r>
      <w:proofErr w:type="spellEnd"/>
      <w:r>
        <w:rPr>
          <w:rFonts w:ascii="Times New Roman" w:hAnsi="Times New Roman"/>
          <w:sz w:val="24"/>
          <w:szCs w:val="24"/>
        </w:rPr>
        <w:t xml:space="preserve"> счет 02 «Материальные ценности на хранении»;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 выявление пересортицы и принятие решение по её учёту;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сопоставление фактического наличия материальных запасов Управления с данными бухгалтерского учёта, числящихся на балансовых и забалансовых счетах и выявление отклонений;</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lastRenderedPageBreak/>
        <w:t>– проверка полноты отражения в учёте операций с нефинансовыми активами                     и правильность оформления первичных учетных документов.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2.3. Порядок и сроки проведения инвентаризации определяются приказом начальника Управления. Проведение обязательно в следующих случаях:</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установлении фактов хищений или злоупотреблений, а также порчи ценностей;</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в случае стихийных бедствий, пожара, аварий или других чрезвычайных ситуаций, вызванных экстремальными условиями;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смене ответственных лиц (на день приёмки – передачи дел);</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в других случаях, предусмотренных законодательством Российской Федерации или иными нормативными правовыми актами Российской Федерации.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2.4. Инвентаризации подлежат: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материальные запасы используемые для управленческих нужд Управления;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числящиеся на забалансовых счетах.</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2.5. Применение Управлением программных продуктов по учёту запасов должно обеспечить получение необходимой информации на бумажных носителях, включая показатели, содержащиеся в регистрах бухгалтерского учёта, внутренней отчётности организации и других документах.</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2.8. Проверка фактического наличия имущества производится при обязательном участии ответственных лиц.</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2.9. Комиссия вправе проводить инвентаризацию с помощью видео и </w:t>
      </w:r>
      <w:proofErr w:type="spellStart"/>
      <w:r>
        <w:rPr>
          <w:rFonts w:ascii="Times New Roman" w:hAnsi="Times New Roman"/>
          <w:sz w:val="24"/>
          <w:szCs w:val="24"/>
        </w:rPr>
        <w:t>фотофиксации</w:t>
      </w:r>
      <w:proofErr w:type="spellEnd"/>
      <w:r>
        <w:rPr>
          <w:rFonts w:ascii="Times New Roman" w:hAnsi="Times New Roman"/>
          <w:sz w:val="24"/>
          <w:szCs w:val="24"/>
        </w:rPr>
        <w:t xml:space="preserve"> с присутствием отдельных членов комиссии. </w:t>
      </w:r>
      <w:proofErr w:type="spellStart"/>
      <w:r>
        <w:rPr>
          <w:rFonts w:ascii="Times New Roman" w:hAnsi="Times New Roman"/>
          <w:sz w:val="24"/>
          <w:szCs w:val="24"/>
        </w:rPr>
        <w:t>Фотофиксация</w:t>
      </w:r>
      <w:proofErr w:type="spellEnd"/>
      <w:r>
        <w:rPr>
          <w:rFonts w:ascii="Times New Roman" w:hAnsi="Times New Roman"/>
          <w:sz w:val="24"/>
          <w:szCs w:val="24"/>
        </w:rPr>
        <w:t xml:space="preserve"> является вспомогательным средством инвентаризации. </w:t>
      </w:r>
      <w:proofErr w:type="spellStart"/>
      <w:r>
        <w:rPr>
          <w:rFonts w:ascii="Times New Roman" w:hAnsi="Times New Roman"/>
          <w:sz w:val="24"/>
          <w:szCs w:val="24"/>
        </w:rPr>
        <w:t>Видеофиксация</w:t>
      </w:r>
      <w:proofErr w:type="spellEnd"/>
      <w:r>
        <w:rPr>
          <w:rFonts w:ascii="Times New Roman" w:hAnsi="Times New Roman"/>
          <w:sz w:val="24"/>
          <w:szCs w:val="24"/>
        </w:rPr>
        <w:t xml:space="preserve"> должна осуществляться в режиме реального времени с помощью переносной системы видеозаписи с возможностью дальнейшей передачи сохраненных данных. Срок хранения аудио- и видеозаписи проверки составляет 1 год со дня проведения проверки.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Технологии хранения данных вне информационных систем персональных данных должны обеспечивать:</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доступ к информации, содержащейся на материальном носителе, для уполномоченных лиц;</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применение средств электронной подписи или иных информационных технологий, позволяющих сохранить целостность и неизменность информации, записанной на материальный носитель.</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Председатель инвентаризационной комиссии в день инвентаризации не позднее чем за 2 часа до начала дает указание техническим специалистам проверить работоспособность средств фото- и </w:t>
      </w:r>
      <w:proofErr w:type="spellStart"/>
      <w:r>
        <w:rPr>
          <w:rFonts w:ascii="Times New Roman" w:hAnsi="Times New Roman"/>
          <w:sz w:val="24"/>
          <w:szCs w:val="24"/>
        </w:rPr>
        <w:t>видеофиксации</w:t>
      </w:r>
      <w:proofErr w:type="spellEnd"/>
      <w:r>
        <w:rPr>
          <w:rFonts w:ascii="Times New Roman" w:hAnsi="Times New Roman"/>
          <w:sz w:val="24"/>
          <w:szCs w:val="24"/>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Председатель инвентаризационной комиссии сообщает всем присутствующим, что при проведении инвентаризации ведется фото- и видеозапись (трансляция).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Видеозапись должна содержать указание на дату и время ее совершения.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Видеозапись инвентаризации сдается техническим специалистам в течение 1 часа после завершения проверки. Технические специалисты в течение 30 минут после получения видеозаписи осуществляют передачу материалов фото- и </w:t>
      </w:r>
      <w:proofErr w:type="spellStart"/>
      <w:r>
        <w:rPr>
          <w:rFonts w:ascii="Times New Roman" w:hAnsi="Times New Roman"/>
          <w:sz w:val="24"/>
          <w:szCs w:val="24"/>
        </w:rPr>
        <w:t>видеофиксации</w:t>
      </w:r>
      <w:proofErr w:type="spellEnd"/>
      <w:r>
        <w:rPr>
          <w:rFonts w:ascii="Times New Roman" w:hAnsi="Times New Roman"/>
          <w:sz w:val="24"/>
          <w:szCs w:val="24"/>
        </w:rPr>
        <w:t xml:space="preserve">                   в Отдел Управления.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2.10.</w:t>
      </w:r>
      <w:r>
        <w:t> </w:t>
      </w:r>
      <w:r>
        <w:rPr>
          <w:rFonts w:ascii="Times New Roman" w:hAnsi="Times New Roman"/>
          <w:sz w:val="24"/>
          <w:szCs w:val="24"/>
        </w:rPr>
        <w:t>При отсутствии хотя бы одного члена комиссии при проведении инвентаризации использовать видео и фотофиксацию.</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2.11. Инвентаризационная комиссия несёт ответственность:</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 за своевременность и соблюдение порядка проведения инвентаризации в соответствии с приказом начальника Управления;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за правильность и своевременность оформления результатов инвентаризации.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2.12. До начала инвентаризации инвентаризационной комиссии надлежит получить последние на момент инвентаризации приходные и расходные документы.</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Председатель инвентаризационной комиссии визирует все приходные и расходные документы, приложенные к реестрам (отчетам), с указанием «до инвентаризации на </w:t>
      </w:r>
      <w:r>
        <w:rPr>
          <w:rFonts w:ascii="Times New Roman" w:hAnsi="Times New Roman"/>
          <w:sz w:val="24"/>
          <w:szCs w:val="24"/>
        </w:rPr>
        <w:lastRenderedPageBreak/>
        <w:t>«__________» (дата)», что должно служить Отделу основанием для определения остатков имущества к началу инвентаризации по учетным данным.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Ответственные лица дают расписки о том, что к началу инвентаризации все расходные и приходные документы на имущество сданы в Отдел или переданы комиссии и все ценности, поступившие на их ответственность, оприходованы, а выбывшие списаны в расход.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При отсутствии документов необходимо обеспечить их получение или оформление.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При обнаружении расхождений и неточностей в регистрах бухгалтерского учёта или технической документации должны быть внесены соответствующие исправления                       и уточнения.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2.13.</w:t>
      </w:r>
      <w:r>
        <w:t> </w:t>
      </w:r>
      <w:r>
        <w:rPr>
          <w:rFonts w:ascii="Times New Roman" w:hAnsi="Times New Roman"/>
          <w:sz w:val="24"/>
          <w:szCs w:val="24"/>
        </w:rPr>
        <w:t>При инвентаризации материальных запасов комиссия производит инвентаризацию отдельно по каждому счёту, входящему в состав материальных запасов.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2.14. При выявлении объектов, не принятых на учёт, а также объектов, по которым                 в регистрах бухгалтерского учёта отсутствуют или указаны неправильные данные, характеризующие их, комиссия должна включить в опись правильные сведения.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Оценка выявленных инвентаризацией неучтённых объектов должна быть произведена с учётом метода рыночных цен.</w:t>
      </w:r>
    </w:p>
    <w:p>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Оценка выявленных инвентаризацией неучтённых объектов должна быть произведена по т</w:t>
      </w:r>
      <w:r>
        <w:rPr>
          <w:rFonts w:ascii="Times New Roman" w:hAnsi="Times New Roman"/>
          <w:sz w:val="24"/>
          <w:szCs w:val="24"/>
          <w:lang w:eastAsia="ru-RU"/>
        </w:rPr>
        <w:t xml:space="preserve">екущей оценочной стоимости в соответствии с п.25 ЕПС. Сведения                  о такой стоимости, количестве и общей сумме неучтенных объектов отражаются в </w:t>
      </w:r>
      <w:hyperlink r:id="rId5" w:history="1">
        <w:r>
          <w:rPr>
            <w:rFonts w:ascii="Times New Roman" w:hAnsi="Times New Roman"/>
            <w:sz w:val="24"/>
            <w:szCs w:val="24"/>
            <w:lang w:eastAsia="ru-RU"/>
          </w:rPr>
          <w:t>графах 5</w:t>
        </w:r>
      </w:hyperlink>
      <w:r>
        <w:rPr>
          <w:rFonts w:ascii="Times New Roman" w:hAnsi="Times New Roman"/>
          <w:sz w:val="24"/>
          <w:szCs w:val="24"/>
          <w:lang w:eastAsia="ru-RU"/>
        </w:rPr>
        <w:t xml:space="preserve">, </w:t>
      </w:r>
      <w:hyperlink r:id="rId6" w:history="1">
        <w:r>
          <w:rPr>
            <w:rFonts w:ascii="Times New Roman" w:hAnsi="Times New Roman"/>
            <w:sz w:val="24"/>
            <w:szCs w:val="24"/>
            <w:lang w:eastAsia="ru-RU"/>
          </w:rPr>
          <w:t>6</w:t>
        </w:r>
      </w:hyperlink>
      <w:r>
        <w:rPr>
          <w:rFonts w:ascii="Times New Roman" w:hAnsi="Times New Roman"/>
          <w:sz w:val="24"/>
          <w:szCs w:val="24"/>
          <w:lang w:eastAsia="ru-RU"/>
        </w:rPr>
        <w:t xml:space="preserve">, </w:t>
      </w:r>
      <w:hyperlink r:id="rId7" w:history="1">
        <w:r>
          <w:rPr>
            <w:rFonts w:ascii="Times New Roman" w:hAnsi="Times New Roman"/>
            <w:sz w:val="24"/>
            <w:szCs w:val="24"/>
            <w:lang w:eastAsia="ru-RU"/>
          </w:rPr>
          <w:t>7</w:t>
        </w:r>
      </w:hyperlink>
      <w:r>
        <w:rPr>
          <w:rFonts w:ascii="Times New Roman" w:hAnsi="Times New Roman"/>
          <w:sz w:val="24"/>
          <w:szCs w:val="24"/>
          <w:lang w:eastAsia="ru-RU"/>
        </w:rPr>
        <w:t xml:space="preserve">, </w:t>
      </w:r>
      <w:hyperlink r:id="rId8" w:history="1">
        <w:r>
          <w:rPr>
            <w:rFonts w:ascii="Times New Roman" w:hAnsi="Times New Roman"/>
            <w:sz w:val="24"/>
            <w:szCs w:val="24"/>
            <w:lang w:eastAsia="ru-RU"/>
          </w:rPr>
          <w:t>15</w:t>
        </w:r>
      </w:hyperlink>
      <w:r>
        <w:rPr>
          <w:rFonts w:ascii="Times New Roman" w:hAnsi="Times New Roman"/>
          <w:sz w:val="24"/>
          <w:szCs w:val="24"/>
          <w:lang w:eastAsia="ru-RU"/>
        </w:rPr>
        <w:t xml:space="preserve">, </w:t>
      </w:r>
      <w:hyperlink r:id="rId9" w:history="1">
        <w:r>
          <w:rPr>
            <w:rFonts w:ascii="Times New Roman" w:hAnsi="Times New Roman"/>
            <w:sz w:val="24"/>
            <w:szCs w:val="24"/>
            <w:lang w:eastAsia="ru-RU"/>
          </w:rPr>
          <w:t>16</w:t>
        </w:r>
      </w:hyperlink>
      <w:r>
        <w:rPr>
          <w:rFonts w:ascii="Times New Roman" w:hAnsi="Times New Roman"/>
          <w:sz w:val="24"/>
          <w:szCs w:val="24"/>
          <w:lang w:eastAsia="ru-RU"/>
        </w:rPr>
        <w:t xml:space="preserve"> инвентаризационной описи.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2.15. Поступившие во время проведения инвентаризации материальные запасы заносятся в отдельные инвентаризационные описи (сличительные ведомости), где указываются дата поступления, наименование поставщика, дата и номер приходного документа, наименование материальных запасов, количество, цена и сумма. На приходном документе за подписью председателя инвентаризационной комиссии (или по его поручению члена инвентаризационной комиссии) делается отметка «после инвентаризации» со ссылкой на дату инвентаризационной описи (сличительной ведомости), в которую записаны эти ценности.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2.21.</w:t>
      </w:r>
      <w:r>
        <w:t> </w:t>
      </w:r>
      <w:r>
        <w:rPr>
          <w:rFonts w:ascii="Times New Roman" w:hAnsi="Times New Roman"/>
          <w:sz w:val="24"/>
          <w:szCs w:val="24"/>
        </w:rPr>
        <w:t>Инвентаризационная комиссия обеспечивает полноту и точность внесения                  в описи данных о фактических остатках материальных запасов.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2.22.</w:t>
      </w:r>
      <w:r>
        <w:t> </w:t>
      </w:r>
      <w:r>
        <w:rPr>
          <w:rFonts w:ascii="Times New Roman" w:hAnsi="Times New Roman"/>
          <w:sz w:val="24"/>
          <w:szCs w:val="24"/>
        </w:rPr>
        <w:t>Инвентаризационная комиссия определяет отнесение объекта к активу. Материальным запасам присваивается код статуса объекта и целевой функции.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Код статуса объекта материального запаса: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01 – в запасе (для использования);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02 – в запасе (на хранении);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03 – ненадлежащего качества;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04 – поврежден;</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05 – истек срок хранения.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Код целевой функции: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01 – использовать;</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02 – продолжить хранение;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03 – списание;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04 – ремонт.</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В случае выявления материальных запасов, не соответствующих критериям «актива», они подлежат списанию с балансового учёта с переносом на </w:t>
      </w:r>
      <w:proofErr w:type="spellStart"/>
      <w:r>
        <w:rPr>
          <w:rFonts w:ascii="Times New Roman" w:hAnsi="Times New Roman"/>
          <w:sz w:val="24"/>
          <w:szCs w:val="24"/>
        </w:rPr>
        <w:t>забалансовый</w:t>
      </w:r>
      <w:proofErr w:type="spellEnd"/>
      <w:r>
        <w:rPr>
          <w:rFonts w:ascii="Times New Roman" w:hAnsi="Times New Roman"/>
          <w:sz w:val="24"/>
          <w:szCs w:val="24"/>
        </w:rPr>
        <w:t xml:space="preserve"> счёт 02 в условной оценке – 1 руб.</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2.23. При определении размера ущерба, причиненного недостачами, следует исходить из текущей восстановительной стоимости материальных ценностей на день обнаружения ущерба. Под текущей восстановительной стоимостью понимается сумма денежных средств, которая необходима для восстановления указанных активов.</w:t>
      </w:r>
    </w:p>
    <w:p>
      <w:pPr>
        <w:autoSpaceDE w:val="0"/>
        <w:autoSpaceDN w:val="0"/>
        <w:adjustRightInd w:val="0"/>
        <w:spacing w:after="0" w:line="240" w:lineRule="auto"/>
        <w:ind w:firstLine="539"/>
        <w:jc w:val="both"/>
        <w:rPr>
          <w:rFonts w:ascii="Times New Roman" w:hAnsi="Times New Roman"/>
          <w:sz w:val="24"/>
          <w:szCs w:val="24"/>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3. Документальное оформление результатов инвентаризации</w:t>
      </w:r>
    </w:p>
    <w:p>
      <w:pPr>
        <w:spacing w:after="0" w:line="240" w:lineRule="auto"/>
        <w:ind w:firstLine="539"/>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3.1. Результаты инвентаризации основных средств оформляются: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Инвентаризационной описью (сличительной ведомостью) по объектам нефинансовых активов </w:t>
      </w:r>
      <w:hyperlink r:id="rId10" w:history="1">
        <w:r>
          <w:rPr>
            <w:rFonts w:ascii="Times New Roman" w:hAnsi="Times New Roman"/>
            <w:sz w:val="24"/>
            <w:szCs w:val="24"/>
          </w:rPr>
          <w:t>(ф. 0510466)</w:t>
        </w:r>
      </w:hyperlink>
      <w:r>
        <w:rPr>
          <w:rFonts w:ascii="Times New Roman" w:hAnsi="Times New Roman"/>
          <w:sz w:val="24"/>
          <w:szCs w:val="24"/>
        </w:rPr>
        <w:t>;</w:t>
      </w:r>
    </w:p>
    <w:p>
      <w:pPr>
        <w:spacing w:after="0" w:line="240" w:lineRule="auto"/>
        <w:ind w:firstLine="539"/>
        <w:jc w:val="both"/>
        <w:rPr>
          <w:rFonts w:ascii="Times New Roman" w:hAnsi="Times New Roman"/>
          <w:sz w:val="24"/>
          <w:szCs w:val="24"/>
        </w:rPr>
      </w:pPr>
      <w:r>
        <w:rPr>
          <w:rFonts w:ascii="Times New Roman" w:hAnsi="Times New Roman"/>
          <w:sz w:val="24"/>
          <w:szCs w:val="24"/>
        </w:rPr>
        <w:t>Если в результате инвентаризации выявлены </w:t>
      </w:r>
      <w:hyperlink r:id="rId11" w:anchor="/document/11/44340/" w:history="1">
        <w:r>
          <w:rPr>
            <w:rFonts w:ascii="Times New Roman" w:hAnsi="Times New Roman"/>
            <w:sz w:val="24"/>
            <w:szCs w:val="24"/>
          </w:rPr>
          <w:t>излишки</w:t>
        </w:r>
      </w:hyperlink>
      <w:r>
        <w:rPr>
          <w:rFonts w:ascii="Times New Roman" w:hAnsi="Times New Roman"/>
          <w:sz w:val="24"/>
          <w:szCs w:val="24"/>
        </w:rPr>
        <w:t> или обнаружена </w:t>
      </w:r>
      <w:hyperlink r:id="rId12" w:anchor="/document/11/44465/" w:history="1">
        <w:r>
          <w:rPr>
            <w:rFonts w:ascii="Times New Roman" w:hAnsi="Times New Roman"/>
            <w:sz w:val="24"/>
            <w:szCs w:val="24"/>
          </w:rPr>
          <w:t>недостача</w:t>
        </w:r>
      </w:hyperlink>
      <w:r>
        <w:rPr>
          <w:rFonts w:ascii="Times New Roman" w:hAnsi="Times New Roman"/>
          <w:sz w:val="24"/>
          <w:szCs w:val="24"/>
        </w:rPr>
        <w:t>, оформляется ведомость расхождений по результатам инвентаризации (</w:t>
      </w:r>
      <w:hyperlink r:id="rId13" w:anchor="/document/140/26303/" w:tooltip="ОКУД 0504092. Ведомость расхождений по результатам инвентаризации" w:history="1">
        <w:r>
          <w:rPr>
            <w:rFonts w:ascii="Times New Roman" w:hAnsi="Times New Roman"/>
            <w:sz w:val="24"/>
            <w:szCs w:val="24"/>
          </w:rPr>
          <w:t>ф. 0504092</w:t>
        </w:r>
      </w:hyperlink>
      <w:r>
        <w:rPr>
          <w:rFonts w:ascii="Times New Roman" w:hAnsi="Times New Roman"/>
          <w:sz w:val="24"/>
          <w:szCs w:val="24"/>
        </w:rPr>
        <w:t xml:space="preserve">).                При наличии расхождений ведомость прилагается к акту о результатах инвентаризации </w:t>
      </w:r>
      <w:r>
        <w:rPr>
          <w:rFonts w:ascii="Times New Roman" w:hAnsi="Times New Roman"/>
          <w:sz w:val="24"/>
          <w:szCs w:val="24"/>
        </w:rPr>
        <w:br/>
        <w:t>(ф. 0510463).</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3.2. Инвентаризационные описи могут быть заполнены как с использованием средств вычислительной и другой организационной техники, так и ручным способом.</w:t>
      </w:r>
    </w:p>
    <w:p>
      <w:pPr>
        <w:pStyle w:val="a9"/>
        <w:shd w:val="clear" w:color="auto" w:fill="FFFFFF"/>
        <w:spacing w:before="0" w:beforeAutospacing="0" w:after="0" w:afterAutospacing="0"/>
        <w:ind w:firstLine="709"/>
        <w:jc w:val="both"/>
        <w:rPr>
          <w:lang w:eastAsia="en-US"/>
        </w:rPr>
      </w:pPr>
      <w:r>
        <w:rPr>
          <w:lang w:eastAsia="en-US"/>
        </w:rPr>
        <w:t>Инвентаризационные описи составляются не менее чем в двух экземплярах. Один экземпляр передают в бухгалтерию для отражения результатов инвентаризации в учёте, второй – остаётся у материально ответственного лица.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Исправление ошибок в описях производится путем зачеркивания неправильных записей и проставления над зачеркнутыми правильных данных. Таким способом исправления делаются во всех экземплярах описей. При этом нужно иметь в виду, что исправления должны быть оговорены и подписаны всеми членами инвентаризационной комиссии, а также ответственными лицами.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описях запрещено оставлять незаполненные строки, на последних страницах такие строки обязательно прочеркиваются.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 Подпис</w:t>
      </w:r>
      <w:bookmarkStart w:id="0" w:name="_GoBack"/>
      <w:bookmarkEnd w:id="0"/>
      <w:r>
        <w:rPr>
          <w:rFonts w:ascii="Times New Roman" w:hAnsi="Times New Roman"/>
          <w:sz w:val="24"/>
          <w:szCs w:val="24"/>
        </w:rPr>
        <w:t>ываются описи всеми членами инвентаризационной комиссии                               и ответственным лицом.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конце описи ответственные лица дают расписку, подтверждающую проверку комиссией имущества в их присутствии, об отсутствии к членам комиссии каких-либо претензий и принятии перечисленного в описи имущества на ответственное хранение.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3.4.</w:t>
      </w:r>
      <w:r>
        <w:t> </w:t>
      </w:r>
      <w:r>
        <w:rPr>
          <w:rFonts w:ascii="Times New Roman" w:hAnsi="Times New Roman"/>
          <w:sz w:val="24"/>
          <w:szCs w:val="24"/>
        </w:rPr>
        <w:t>В инвентаризационную опись заносятся материалы с указанием отдельных групп, видов и других необходимых данных по каждому наименованию.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Записи в опись вносятся на основании проверки фактического наличия материальных ценностей путём их пересчёта. Не допускается вносить в описи данные об остатках ценностей со слов ответственных лиц или по данным учёта без проверки их фактического наличия.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Материальные запасы заносятся в описи по каждому отдельному наименованию                с указанием вида, группы, количества и других необходимых данных.</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3.5. Если причиной инвентаризации является смена ответственного лица, то при проверке фактического наличия имущества в описи расписываются оба ответственных лица, как сдающий имущество, так и получающий его на хранение.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3.6. На имущество, находящееся на ответственном хранении, арендованное или полученное для переработки, составляются отдельные описи.</w:t>
      </w:r>
    </w:p>
    <w:p>
      <w:pPr>
        <w:autoSpaceDE w:val="0"/>
        <w:autoSpaceDN w:val="0"/>
        <w:adjustRightInd w:val="0"/>
        <w:spacing w:after="0" w:line="240" w:lineRule="auto"/>
        <w:ind w:firstLine="539"/>
        <w:jc w:val="both"/>
        <w:rPr>
          <w:rFonts w:ascii="Times New Roman" w:hAnsi="Times New Roman"/>
          <w:sz w:val="24"/>
          <w:szCs w:val="24"/>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eastAsia="ru-RU"/>
        </w:rPr>
      </w:pPr>
      <w:r>
        <w:rPr>
          <w:rFonts w:ascii="Times New Roman" w:hAnsi="Times New Roman"/>
          <w:b/>
          <w:bCs/>
          <w:sz w:val="24"/>
          <w:szCs w:val="24"/>
          <w:lang w:eastAsia="ru-RU"/>
        </w:rPr>
        <w:t>4. Заключительные положения</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rPr>
          <w:rFonts w:ascii="Times New Roman" w:hAnsi="Times New Roman"/>
          <w:sz w:val="24"/>
          <w:szCs w:val="24"/>
          <w:lang w:eastAsia="ru-RU"/>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4.1. Все изменения и дополнения к настоящему положению утверждаются начальником Управления.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pPr>
        <w:spacing w:after="0" w:line="240" w:lineRule="auto"/>
        <w:jc w:val="both"/>
        <w:rPr>
          <w:rFonts w:ascii="Times New Roman" w:hAnsi="Times New Roman"/>
          <w:sz w:val="24"/>
          <w:szCs w:val="24"/>
        </w:rPr>
      </w:pPr>
    </w:p>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162EB4"/>
    <w:multiLevelType w:val="hybridMultilevel"/>
    <w:tmpl w:val="D87A5BC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A40190-6E59-47F0-AAA7-50E716DE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pPr>
      <w:ind w:left="720"/>
      <w:contextualSpacing/>
    </w:pPr>
  </w:style>
  <w:style w:type="paragraph" w:styleId="a5">
    <w:name w:val="header"/>
    <w:basedOn w:val="a"/>
    <w:link w:val="a6"/>
    <w:uiPriority w:val="99"/>
    <w:pPr>
      <w:tabs>
        <w:tab w:val="center" w:pos="4677"/>
        <w:tab w:val="right" w:pos="9355"/>
      </w:tabs>
      <w:spacing w:after="0" w:line="240" w:lineRule="auto"/>
    </w:pPr>
    <w:rPr>
      <w:rFonts w:ascii="Times New Roman" w:hAnsi="Times New Roman"/>
      <w:sz w:val="24"/>
      <w:szCs w:val="24"/>
      <w:lang w:eastAsia="ru-RU"/>
    </w:rPr>
  </w:style>
  <w:style w:type="character" w:customStyle="1" w:styleId="a6">
    <w:name w:val="Верхний колонтитул Знак"/>
    <w:basedOn w:val="a0"/>
    <w:link w:val="a5"/>
    <w:uiPriority w:val="99"/>
    <w:locked/>
    <w:rPr>
      <w:rFonts w:ascii="Times New Roman" w:hAnsi="Times New Roman" w:cs="Times New Roman"/>
      <w:sz w:val="24"/>
      <w:szCs w:val="24"/>
    </w:rPr>
  </w:style>
  <w:style w:type="paragraph" w:styleId="a7">
    <w:name w:val="Balloon Text"/>
    <w:basedOn w:val="a"/>
    <w:link w:val="a8"/>
    <w:uiPriority w:val="99"/>
    <w:semiHidden/>
    <w:unhideWhenUse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Pr>
      <w:rFonts w:ascii="Tahoma" w:hAnsi="Tahoma" w:cs="Tahoma"/>
      <w:sz w:val="16"/>
      <w:szCs w:val="16"/>
      <w:lang w:val="x-none" w:eastAsia="en-US"/>
    </w:rPr>
  </w:style>
  <w:style w:type="paragraph" w:styleId="a9">
    <w:name w:val="Normal (Web)"/>
    <w:basedOn w:val="a"/>
    <w:uiPriority w:val="99"/>
    <w:unhideWhenUsed/>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3B43272C856634C8B8B4F0199CD480E55B9A076CD37AF0D869C35932BC7378CBBB509E28640934EA1CE624EEF81A84B4AFFF20D5hFG" TargetMode="External"/><Relationship Id="rId13" Type="http://schemas.openxmlformats.org/officeDocument/2006/relationships/hyperlink" Target="http://vip.gosfinansy.ru/" TargetMode="External"/><Relationship Id="rId3" Type="http://schemas.openxmlformats.org/officeDocument/2006/relationships/settings" Target="settings.xml"/><Relationship Id="rId7" Type="http://schemas.openxmlformats.org/officeDocument/2006/relationships/hyperlink" Target="consultantplus://offline/ref=DB3B43272C856634C8B8B4F0199CD480E55B9A076CD37AF0D869C35932BC7378CBBB50932B640934EA1CE624EEF81A84B4AFFF20D5hFG" TargetMode="External"/><Relationship Id="rId12" Type="http://schemas.openxmlformats.org/officeDocument/2006/relationships/hyperlink" Target="http://vip.gosfinans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B3B43272C856634C8B8B4F0199CD480E55B9A076CD37AF0D869C35932BC7378CBBB50932A640934EA1CE624EEF81A84B4AFFF20D5hFG" TargetMode="External"/><Relationship Id="rId11" Type="http://schemas.openxmlformats.org/officeDocument/2006/relationships/hyperlink" Target="http://vip.gosfinansy.ru/" TargetMode="External"/><Relationship Id="rId5" Type="http://schemas.openxmlformats.org/officeDocument/2006/relationships/hyperlink" Target="consultantplus://offline/ref=DB3B43272C856634C8B8B4F0199CD480E55B9A076CD37AF0D869C35932BC7378CBBB509329640934EA1CE624EEF81A84B4AFFF20D5hFG" TargetMode="External"/><Relationship Id="rId15" Type="http://schemas.openxmlformats.org/officeDocument/2006/relationships/theme" Target="theme/theme1.xml"/><Relationship Id="rId10" Type="http://schemas.openxmlformats.org/officeDocument/2006/relationships/hyperlink" Target="consultantplus://offline/ref=ADE3885E636CF45D5655DDCF78361C6930EB2199E1DC675EE10D2F0C14690DCE8E613F2F579BEF6914m5E" TargetMode="External"/><Relationship Id="rId4" Type="http://schemas.openxmlformats.org/officeDocument/2006/relationships/webSettings" Target="webSettings.xml"/><Relationship Id="rId9" Type="http://schemas.openxmlformats.org/officeDocument/2006/relationships/hyperlink" Target="consultantplus://offline/ref=DB3B43272C856634C8B8B4F0199CD480E55B9A076CD37AF0D869C35932BC7378CBBB509E29640934EA1CE624EEF81A84B4AFFF20D5hF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1371</Words>
  <Characters>11624</Characters>
  <Application>Microsoft Office Word</Application>
  <DocSecurity>0</DocSecurity>
  <Lines>96</Lines>
  <Paragraphs>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ASUS</dc:creator>
  <cp:keywords/>
  <dc:description/>
  <cp:lastModifiedBy>Купцова И.О.</cp:lastModifiedBy>
  <cp:revision>2</cp:revision>
  <cp:lastPrinted>2022-02-01T08:50:00Z</cp:lastPrinted>
  <dcterms:created xsi:type="dcterms:W3CDTF">2025-12-11T09:04:00Z</dcterms:created>
  <dcterms:modified xsi:type="dcterms:W3CDTF">2025-12-11T09:04:00Z</dcterms:modified>
</cp:coreProperties>
</file>