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0A0" w:firstRow="1" w:lastRow="0" w:firstColumn="1" w:lastColumn="0" w:noHBand="0" w:noVBand="0"/>
      </w:tblPr>
      <w:tblGrid>
        <w:gridCol w:w="4663"/>
        <w:gridCol w:w="4692"/>
      </w:tblGrid>
      <w:tr>
        <w:tc>
          <w:tcPr>
            <w:tcW w:w="4785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11</w:t>
            </w:r>
          </w:p>
          <w:p>
            <w:pPr>
              <w:pStyle w:val="a6"/>
              <w:jc w:val="right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Учетной политике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утвержденной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приказом 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начальника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Финансового управления</w:t>
            </w:r>
          </w:p>
          <w:p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30.12.2021 № 94</w:t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Положение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о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порядке проведения инвентаризации забалансовых счетов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Общие положения</w:t>
      </w:r>
    </w:p>
    <w:p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ind w:firstLine="539"/>
        <w:jc w:val="both"/>
        <w:rPr>
          <w:rFonts w:ascii="Times New Roman" w:hAnsi="Times New Roman"/>
          <w:strike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1.1. Настоящее Положение применяется в соответствии с требованиями ст.11                  Федерального закона РФ от 06.12.2011 № 402-ФЗ «О бухгалтерском учёте» (далее – Закон о бухгалтерском учёте), раздел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>
        <w:rPr>
          <w:rFonts w:ascii="Times New Roman" w:hAnsi="Times New Roman"/>
          <w:sz w:val="24"/>
          <w:szCs w:val="24"/>
        </w:rPr>
        <w:t xml:space="preserve">  СГС «Концептуальные основы бухгалтерского учёта и отчётности организаций госсектора», утвержденного приказом Минфина России от 31.12.2016 № 256н (далее – СГС «Концептуальные основы»), п.9 приказа Минфина РФ от 30.12.2017 №274н «Об утверждении федерального стандарта бухгалтерского учёта для организаций государственного сектора «Учетная политика, оценочное значение и ошибки» (далее – СГС «Учетная политика, оценочные значения и ошибки», </w:t>
      </w:r>
      <w:r>
        <w:rPr>
          <w:rFonts w:ascii="Times New Roman" w:hAnsi="Times New Roman"/>
          <w:strike/>
          <w:sz w:val="24"/>
          <w:szCs w:val="24"/>
          <w:highlight w:val="yellow"/>
        </w:rPr>
        <w:t>п.20 приказа Минфина России от 01.12.2010 № 157н «Об утверждении Единого плана счетов                бухгалтерского учёта для органов государственной власти (госорганов), органов местного самоуправления, органов управления государственными внебюджетными фондами,              государственных академий наук, государственных (муниципальных) учреждений                       и Инструкции по его применению» (далее – ЕПС).</w:t>
      </w:r>
    </w:p>
    <w:p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Цель Положения – закрепить порядок проведения инвентаризации забалансовых счетов.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 Проведение инвентаризации осуществляется постоянно действующей                       инвентаризационной комиссией (далее – инвентаризационная комиссия), назначенной приказом начальника Управления. 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Виды инвентаризации, особенности проведения </w:t>
      </w:r>
      <w:r>
        <w:rPr>
          <w:rFonts w:ascii="Times New Roman" w:hAnsi="Times New Roman"/>
          <w:b/>
          <w:sz w:val="24"/>
          <w:szCs w:val="24"/>
        </w:rPr>
        <w:br/>
        <w:t>инвентаризации забалансовых счетов</w:t>
      </w:r>
    </w:p>
    <w:p>
      <w:pPr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 Инвентаризация может быть плановая – проводится ежеквартально и ежегодно перед составлением годовой отчётности. Сроки проведения инвентаризации забалансовых счетов устанавливаются в период проведения инвентаризации на балансовых счетах.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 Основными целями инвентаризации является проверка обоснованности сумм                 и объектов, числящихся на соответствующих счетах бухгалтерского учёта.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 Порядок и сроки проведения инвентаризации определяются приказом                        начальника Управления. Проведение обязательно в случаях подтверждения данных                 забалансовых счетов при составлении форм бухгалтерского учёта.</w:t>
      </w:r>
    </w:p>
    <w:p>
      <w:pPr>
        <w:pStyle w:val="a5"/>
        <w:shd w:val="clear" w:color="auto" w:fill="FFFFFF"/>
        <w:spacing w:before="0" w:beforeAutospacing="0" w:after="0" w:afterAutospacing="0"/>
        <w:ind w:firstLine="539"/>
      </w:pPr>
      <w:r>
        <w:t xml:space="preserve">2.4. Инвентаризации подлежат следующие </w:t>
      </w:r>
      <w:proofErr w:type="spellStart"/>
      <w:r>
        <w:t>забалансовые</w:t>
      </w:r>
      <w:proofErr w:type="spellEnd"/>
      <w:r>
        <w:t xml:space="preserve"> счета:  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01 «Имущество, полученное в пользование»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02 «Материальные ценности на хранении»</w:t>
      </w:r>
      <w:r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03 «Бланки строгой отчётности»;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hyperlink r:id="rId5" w:history="1">
        <w:r>
          <w:rPr>
            <w:rFonts w:ascii="Times New Roman" w:hAnsi="Times New Roman"/>
            <w:sz w:val="24"/>
            <w:szCs w:val="24"/>
          </w:rPr>
          <w:t>04</w:t>
        </w:r>
      </w:hyperlink>
      <w:r>
        <w:rPr>
          <w:rFonts w:ascii="Times New Roman" w:hAnsi="Times New Roman"/>
          <w:sz w:val="24"/>
          <w:szCs w:val="24"/>
        </w:rPr>
        <w:t xml:space="preserve"> «Сомнительная задолженность»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hyperlink r:id="rId6" w:history="1">
        <w:r>
          <w:rPr>
            <w:rFonts w:ascii="Times New Roman" w:hAnsi="Times New Roman"/>
            <w:sz w:val="24"/>
            <w:szCs w:val="24"/>
          </w:rPr>
          <w:t>21</w:t>
        </w:r>
      </w:hyperlink>
      <w:r>
        <w:rPr>
          <w:rFonts w:ascii="Times New Roman" w:hAnsi="Times New Roman"/>
          <w:sz w:val="24"/>
          <w:szCs w:val="24"/>
        </w:rPr>
        <w:t xml:space="preserve"> «Основные средства в эксплуатации»;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 «Имущество, переданное в безвозмездное пользование»;</w:t>
      </w:r>
    </w:p>
    <w:p>
      <w:pPr>
        <w:shd w:val="clear" w:color="auto" w:fill="FFFFFF"/>
        <w:spacing w:after="0" w:line="24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 «Материальные ценности, выданные в личное пользование работникам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</w:rPr>
        <w:t>сотрудникам)».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2.5. Инвентаризационная комиссия несёт ответственность: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 xml:space="preserve">за своевременность и соблюдение порядка проведения инвентаризации                              в соответствии с приказом начальника;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  <w:lang w:eastAsia="ru-RU"/>
        </w:rPr>
        <w:t>за правильность и своевременность оформления результатов инвентаризации.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2.6. Инвентаризационная комиссия проводит документальную проверку состояния и обоснованности числящихся на забалансовых счетах сумм и объектов.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 инвентаризации используются данные аналитического учёта                 первичные документы.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2.7. Инвентаризационная комиссия проводит проверку числящихся объектов учёта на забалансовых счетах: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– 01 «Имущество, полученное в пользование» – </w:t>
      </w:r>
      <w:r>
        <w:rPr>
          <w:rFonts w:ascii="Times New Roman" w:hAnsi="Times New Roman"/>
          <w:sz w:val="24"/>
          <w:szCs w:val="24"/>
          <w:lang w:eastAsia="ru-RU"/>
        </w:rPr>
        <w:t xml:space="preserve">имущества, полученного Управлением в пользование, не являющегося объектами аренды (имущества казны и иного               имущества, полученного на безвозмездной основе; имущества, которым по решению              собственника пользуется орган власти при выполнении возложенных на него функций (полномочий), без закрепления права оперативного управления); имущества, полученного в безвозмездное пользование в силу обязанности его предоставления (получения),                 возникающей в соответствии с действующим законодательством Российской Федерации.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Целью инвентаризации является: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выявление объектов, необоснованно отнесенных на забалансовых счет;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договоров аренды или безвозмездного пользования, и их проверка на                             исключение из СГС «Аренда» в соответствии с п.4 СГС «Аренда»;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проверка оснований передачи имущества в субаренду или иное пользование.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02 «Материальные ценности на хранении» – отражаются объекты, не                      соответствующие критериям «актива» до момента выбытия имущества, либо                           восстановление на балансе.  Проверяется наличие имущества, полученного на                      ответственное хранение по договорам хранения, материальные запасы, до момента                 определения использования.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счёте отражаются материальные запасы в случае выявления их несоответствия нормативной документации до момента возвращения поставщику (письмо Минфина              России от </w:t>
      </w:r>
      <w:r>
        <w:rPr>
          <w:rFonts w:ascii="Times New Roman" w:hAnsi="Times New Roman"/>
          <w:sz w:val="24"/>
          <w:szCs w:val="24"/>
          <w:lang w:eastAsia="ru-RU"/>
        </w:rPr>
        <w:t>12.10.2018 г. № 02-06-10/73415).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03 «Бланки строгой отчётности» инвентаризационная комиссия учитывает                        в разрезе ответственных за их хранение и (или) выдачу лиц по видам бланков, мест            хранения в условной оценке: один бланк, один рубль, а в случаях, установленных                     Управлением в рамках формирования учётной политики: по стоимости приобретения бланков. проверка фактического наличия бланков строгой отчётности (далее – БСО)                               осуществляется одновременно с инвентаризацией денежных средств и документов,               находящихся в кассе Управления. Проверка производится по видам бланков с учетом        начальных и конечных номеров тех или иных бланков, а также по каждому месту хранения и ответственным лицам путём сопоставления фактического наличия документов с данными бухгалтерского учёта. 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Выявленные по результатам инвентаризации излишки бланков строгой отчётности подлежат принятию к учету на забалансовом счёте 03.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выявлении недостачи бланков, одновременно со списанием недостающих              бланков с забалансового учёта на балансе Управления отражается задолженность лица                    виновного в этой недостаче.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бланки строгой отчётности, поступившие в учреждение после 01 января 2019 года проверяется их соответствие данным счета 010536349 «Материальные запасы                                     однократного применения».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Выявленные по результатам инвентаризации излишки БСО подлежат принятию к учёту на забалансовом счёте 03 с одновременным отражением на балансовом счёте 010536349 «Увеличение стоимости материальных запасов однократного применения».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Результат проверки фактического наличия БСО сверяется с данными книги учёта бланков строгой отчётности </w:t>
      </w:r>
      <w:hyperlink r:id="rId7" w:history="1">
        <w:r>
          <w:rPr>
            <w:rFonts w:ascii="Times New Roman" w:hAnsi="Times New Roman"/>
            <w:sz w:val="24"/>
            <w:szCs w:val="24"/>
            <w:lang w:eastAsia="ru-RU"/>
          </w:rPr>
          <w:t>(ф. 0504045)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и забалансового </w:t>
      </w:r>
      <w:hyperlink r:id="rId8" w:history="1">
        <w:r>
          <w:rPr>
            <w:rFonts w:ascii="Times New Roman" w:hAnsi="Times New Roman"/>
            <w:sz w:val="24"/>
            <w:szCs w:val="24"/>
            <w:lang w:eastAsia="ru-RU"/>
          </w:rPr>
          <w:t>счета 03</w:t>
        </w:r>
      </w:hyperlink>
      <w:r>
        <w:rPr>
          <w:rFonts w:ascii="Times New Roman" w:hAnsi="Times New Roman"/>
          <w:sz w:val="24"/>
          <w:szCs w:val="24"/>
          <w:lang w:eastAsia="ru-RU"/>
        </w:rPr>
        <w:t>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04 «Сомнительная задолженность» – инвентаризационная комиссия проверяет               правомерность отнесения на </w:t>
      </w:r>
      <w:proofErr w:type="spellStart"/>
      <w:r>
        <w:rPr>
          <w:rFonts w:ascii="Times New Roman" w:hAnsi="Times New Roman"/>
          <w:sz w:val="24"/>
          <w:szCs w:val="24"/>
        </w:rPr>
        <w:t>забалансовый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счёт, принимает решение о списании                                  с забалансового счёта либо о восстановлении её на балансовом учёте при возобновлении процедуры взыскания, готовит предложения для начальника об урегулировании                       дебиторской задолженности, проверяет документальное основание отнесения дебиторской задолженности к сомнительной, </w:t>
      </w:r>
      <w:proofErr w:type="spellStart"/>
      <w:r>
        <w:rPr>
          <w:rFonts w:ascii="Times New Roman" w:hAnsi="Times New Roman"/>
          <w:sz w:val="24"/>
          <w:szCs w:val="24"/>
        </w:rPr>
        <w:t>переклассифицирует</w:t>
      </w:r>
      <w:proofErr w:type="spellEnd"/>
      <w:r>
        <w:rPr>
          <w:rFonts w:ascii="Times New Roman" w:hAnsi="Times New Roman"/>
          <w:sz w:val="24"/>
          <w:szCs w:val="24"/>
        </w:rPr>
        <w:t xml:space="preserve"> сомнительную задолженность                    в безнадежную либо текущую.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инвентаризации является подтверждение их фактического наличия и сопоставления с данными бухгалтерского учёта.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счёте учитывается сомнительная дебиторская задолженность в сумме резерва по сомнительным долгам (письма Минфина России от </w:t>
      </w:r>
      <w:r>
        <w:rPr>
          <w:rFonts w:ascii="Times New Roman" w:hAnsi="Times New Roman"/>
          <w:sz w:val="24"/>
          <w:szCs w:val="24"/>
          <w:lang w:eastAsia="ru-RU"/>
        </w:rPr>
        <w:t>18.10.2019 г. № 02-07-10/80328, от 14.06.2019 г. № 02-07-10/43339).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- 20 «Задолженность, невостребованная кредиторами» предназначен для </w:t>
      </w:r>
      <w:r>
        <w:rPr>
          <w:rFonts w:ascii="Times New Roman" w:hAnsi="Times New Roman"/>
          <w:sz w:val="24"/>
          <w:szCs w:val="24"/>
          <w:lang w:eastAsia="ru-RU"/>
        </w:rPr>
        <w:t xml:space="preserve"> учёта сумм не предъявленных кредиторами требований, вытекающих из условий договора, контракта, в том числе сумм кредиторской задолженности, не подтвержденных по результатам               инвентаризации кредитором, а также сумм кредиторской задолженности, образовавшейся в связи с переплатами в бюджет, в том числе налогов (далее - задолженность Управления, не востребованная кредиторами) </w:t>
      </w:r>
      <w:r>
        <w:rPr>
          <w:rFonts w:ascii="Times New Roman" w:hAnsi="Times New Roman"/>
          <w:strike/>
          <w:sz w:val="24"/>
          <w:szCs w:val="24"/>
          <w:highlight w:val="yellow"/>
          <w:lang w:eastAsia="ru-RU"/>
        </w:rPr>
        <w:t>(</w:t>
      </w:r>
      <w:hyperlink r:id="rId9" w:history="1">
        <w:r>
          <w:rPr>
            <w:rFonts w:ascii="Times New Roman" w:hAnsi="Times New Roman"/>
            <w:strike/>
            <w:sz w:val="24"/>
            <w:szCs w:val="24"/>
            <w:highlight w:val="yellow"/>
            <w:lang w:eastAsia="ru-RU"/>
          </w:rPr>
          <w:t>п. 371</w:t>
        </w:r>
      </w:hyperlink>
      <w:r>
        <w:rPr>
          <w:rFonts w:ascii="Times New Roman" w:hAnsi="Times New Roman"/>
          <w:strike/>
          <w:sz w:val="24"/>
          <w:szCs w:val="24"/>
          <w:highlight w:val="yellow"/>
          <w:lang w:eastAsia="ru-RU"/>
        </w:rPr>
        <w:t xml:space="preserve"> ЕПС).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Инвентаризационная комиссия определяет правомерность переноса кредиторской задолженности на </w:t>
      </w:r>
      <w:proofErr w:type="spellStart"/>
      <w:r>
        <w:rPr>
          <w:rFonts w:ascii="Times New Roman" w:hAnsi="Times New Roman"/>
          <w:sz w:val="24"/>
          <w:szCs w:val="24"/>
        </w:rPr>
        <w:t>забалансовый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счёт и правомерность списания с него, готовит                       предложения для начальника Управления по отражению в учёте кредиторской задолженности.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hyperlink r:id="rId10" w:history="1">
        <w:r>
          <w:rPr>
            <w:rFonts w:ascii="Times New Roman" w:hAnsi="Times New Roman"/>
            <w:sz w:val="24"/>
            <w:szCs w:val="24"/>
          </w:rPr>
          <w:t>21</w:t>
        </w:r>
      </w:hyperlink>
      <w:r>
        <w:rPr>
          <w:rFonts w:ascii="Times New Roman" w:hAnsi="Times New Roman"/>
          <w:sz w:val="24"/>
          <w:szCs w:val="24"/>
        </w:rPr>
        <w:t xml:space="preserve"> «Основные средства в эксплуатации». На счёте учитываются малоценные                основные средства, стоимостью до 10 000 руб., кроме недвижимого </w:t>
      </w:r>
      <w:proofErr w:type="gramStart"/>
      <w:r>
        <w:rPr>
          <w:rFonts w:ascii="Times New Roman" w:hAnsi="Times New Roman"/>
          <w:sz w:val="24"/>
          <w:szCs w:val="24"/>
        </w:rPr>
        <w:t>имущества  библиотечного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фонда. При передаче основных средств другому учреждению, имущество восстанавливается на балансе для последующей передачи.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Инвентаризационная комиссия проверяет правомерность отнесения на </w:t>
      </w:r>
      <w:proofErr w:type="spellStart"/>
      <w:r>
        <w:rPr>
          <w:rFonts w:ascii="Times New Roman" w:hAnsi="Times New Roman"/>
          <w:sz w:val="24"/>
          <w:szCs w:val="24"/>
        </w:rPr>
        <w:t>забалансовый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счет основных средств, их фактическое наличие по местах хранения в разрезе ответственных лиц.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26 «Имущество, переданное в безвозмездное пользование». Инвентаризационная комиссия проводит инвентаризацию договоров безвозмездного пользования, заключаемых с ссудополучателями. Производит сверку данных счета 26 и бухгалтерскую запись дебет 121005560 кредит 14014118х, 14014918х по количеству заключенных договоров.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Информация о факте предоставления имущества (его отдельных частей) на время оказания услуги при отсутствии передаточного документа не может отражаться на                               забалансовом </w:t>
      </w:r>
      <w:hyperlink r:id="rId11" w:history="1">
        <w:r>
          <w:rPr>
            <w:rFonts w:ascii="Times New Roman" w:hAnsi="Times New Roman"/>
            <w:sz w:val="24"/>
            <w:szCs w:val="24"/>
            <w:lang w:eastAsia="ru-RU"/>
          </w:rPr>
          <w:t>счёте 26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«Имущество, переданное в безвозмездное пользование» (при этом положения </w:t>
      </w:r>
      <w:hyperlink r:id="rId12" w:history="1">
        <w:r>
          <w:rPr>
            <w:rFonts w:ascii="Times New Roman" w:hAnsi="Times New Roman"/>
            <w:sz w:val="24"/>
            <w:szCs w:val="24"/>
            <w:lang w:eastAsia="ru-RU"/>
          </w:rPr>
          <w:t>СГС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«Аренда» не применяются) (письмо Минфина РФ от 22.01.2021 г.                    № 02-07-10/3638).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– 27 «Материальные ценности, выданные в личное пользование работникам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</w:rPr>
        <w:t xml:space="preserve">сотрудникам)». На счёте ведется учет имущества, выданного Управлением в личное пользование сотрудникам для выполнения ими служебных (должностных) </w:t>
      </w:r>
      <w:proofErr w:type="gramStart"/>
      <w:r>
        <w:rPr>
          <w:rFonts w:ascii="Times New Roman" w:hAnsi="Times New Roman"/>
          <w:sz w:val="24"/>
          <w:szCs w:val="24"/>
        </w:rPr>
        <w:t xml:space="preserve">обязанностей,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br/>
        <w:t>в целях обеспечения контроля за его сохранностью, целевым использованием и движением. Инвентаризационная комиссия проверяет фактическое наличие имущества в разрезе       пользователей, мест его нахождения, по видам, его количеству и стоимости.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2.8. </w:t>
      </w:r>
      <w:r>
        <w:rPr>
          <w:rFonts w:ascii="Times New Roman" w:hAnsi="Times New Roman"/>
          <w:sz w:val="24"/>
          <w:szCs w:val="24"/>
        </w:rPr>
        <w:t>Инвентаризационная комиссия несёт ответственность: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за своевременность и соблюдение порядка проведения инвентаризации                     </w:t>
      </w:r>
      <w:r>
        <w:rPr>
          <w:rFonts w:ascii="Times New Roman" w:hAnsi="Times New Roman"/>
          <w:sz w:val="24"/>
          <w:szCs w:val="24"/>
        </w:rPr>
        <w:br/>
        <w:t xml:space="preserve">в соответствии с приказом начальника;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за правильность и своевременность оформления результатов инвентаризации.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Документальное оформление результатов инвентаризации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cs="Calibri"/>
        </w:rPr>
      </w:pP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</w:t>
      </w:r>
      <w:r>
        <w:rPr>
          <w:rFonts w:cs="Calibri"/>
        </w:rPr>
        <w:t xml:space="preserve"> </w:t>
      </w:r>
      <w:r>
        <w:rPr>
          <w:rFonts w:ascii="Times New Roman" w:hAnsi="Times New Roman"/>
          <w:sz w:val="24"/>
          <w:szCs w:val="24"/>
        </w:rPr>
        <w:t>Для оформления результатов инвентаризации имущества, числящегося за               балансом, используются следующие документы: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инвентаризационные описи, в которых отражаются сведения о фактическом            наличии имущества, которые сопоставляются с данными бухгалтерского учёта. В зависимости от видов инвентаризируемых объектов применяются следующие формы описей: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hyperlink r:id="rId13" w:history="1">
        <w:r>
          <w:rPr>
            <w:rFonts w:ascii="Times New Roman" w:hAnsi="Times New Roman"/>
            <w:sz w:val="24"/>
            <w:szCs w:val="24"/>
          </w:rPr>
          <w:t>ф. 0504086</w:t>
        </w:r>
      </w:hyperlink>
      <w:r>
        <w:rPr>
          <w:rFonts w:ascii="Times New Roman" w:hAnsi="Times New Roman"/>
          <w:sz w:val="24"/>
          <w:szCs w:val="24"/>
        </w:rPr>
        <w:t xml:space="preserve"> – по бланкам строгой отчётности и денежным документам;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0510464-  по остаткам денежных средств на счетах Управления;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0510466 – по объектам нефинансовых активов;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0510467 - по наличным денежным средствам;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0510468-  по расчётам по поступлениям;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0510469 - по расчетам с покупателями, поставщиками и прочими дебиторами и кредиторами;</w:t>
      </w:r>
    </w:p>
    <w:p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0510471 - по задолженности по кредитам, займам (ссудам).</w:t>
      </w:r>
      <w:r>
        <w:rPr>
          <w:rFonts w:ascii="Times New Roman" w:hAnsi="Times New Roman"/>
          <w:sz w:val="24"/>
          <w:szCs w:val="24"/>
        </w:rPr>
        <w:t xml:space="preserve">2) ведомость расхождений по результатам инвентаризации </w:t>
      </w:r>
      <w:hyperlink r:id="rId14" w:history="1">
        <w:r>
          <w:rPr>
            <w:rFonts w:ascii="Times New Roman" w:hAnsi="Times New Roman"/>
            <w:sz w:val="24"/>
            <w:szCs w:val="24"/>
          </w:rPr>
          <w:t>(ф. 0504092)</w:t>
        </w:r>
      </w:hyperlink>
      <w:r>
        <w:rPr>
          <w:rFonts w:ascii="Times New Roman" w:hAnsi="Times New Roman"/>
          <w:sz w:val="24"/>
          <w:szCs w:val="24"/>
        </w:rPr>
        <w:t>, в которой фиксируются установленные расхождения с данными бухгалтерского учёта: недостачи или излишки по каждому объекту учёта в количественном и стоимостном выражении.   Составляется такая ведомость на основании инвентаризационных описей;</w:t>
      </w:r>
    </w:p>
    <w:p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акт о результатах инвентаризации (ф. 0510463), формируемый по инвентаризационным описям. При выявлении по результатам инвентаризации расхождений к акту прилагается ведомость расхождений.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 Заключительные Положения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 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Все изменения и дополнения к настоящему положению утверждаются                 </w:t>
      </w:r>
      <w:r>
        <w:rPr>
          <w:rFonts w:ascii="Times New Roman" w:hAnsi="Times New Roman"/>
          <w:sz w:val="24"/>
          <w:szCs w:val="24"/>
          <w:lang w:eastAsia="ru-RU"/>
        </w:rPr>
        <w:br/>
        <w:t xml:space="preserve">руководителем Управления.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Если в результате изменения действующего законодательства России отдельные статьи настоящего положения вступят с ним в противоречие, они утрачивают силу,      </w:t>
      </w:r>
      <w:r>
        <w:rPr>
          <w:rFonts w:ascii="Times New Roman" w:hAnsi="Times New Roman"/>
          <w:sz w:val="24"/>
          <w:szCs w:val="24"/>
          <w:lang w:eastAsia="ru-RU"/>
        </w:rPr>
        <w:br/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>преимущественную силу имеют положения действующего законодательства России.</w:t>
      </w:r>
    </w:p>
    <w:p/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2554"/>
    <w:multiLevelType w:val="hybridMultilevel"/>
    <w:tmpl w:val="E0E0B61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A162EB4"/>
    <w:multiLevelType w:val="hybridMultilevel"/>
    <w:tmpl w:val="D87A5B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7E4A270-E99F-4D7A-8F0C-E9E55BD80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pPr>
      <w:ind w:left="720"/>
      <w:contextualSpacing/>
    </w:pPr>
  </w:style>
  <w:style w:type="paragraph" w:styleId="a5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Pr>
      <w:rFonts w:ascii="Arial" w:hAnsi="Arial" w:cs="Arial"/>
      <w:lang w:val="ru-RU" w:eastAsia="ru-RU" w:bidi="ar-SA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Segoe UI" w:hAnsi="Segoe UI" w:cs="Segoe UI"/>
      <w:sz w:val="18"/>
      <w:szCs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6E948A6880EAE5124FD41D8A16654A1C92B4DB7D249A4210A7EE810FEE95AE4452CCA39CA4B587ADF6BDDD3AF7D857E7BB0568D88B1EA91oEFEO" TargetMode="External"/><Relationship Id="rId13" Type="http://schemas.openxmlformats.org/officeDocument/2006/relationships/hyperlink" Target="consultantplus://offline/ref=C96856CE54A39478948EE26963D0196BB936A0F65AA07F21FA1024A10271C65597E1E9FA61D9D8E0F175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E948A6880EAE5124FD41D8A16654A1C8224FB2D648A4210A7EE810FEE95AE4452CCA39CA495D7CDF6BDDD3AF7D857E7BB0568D88B1EA91oEFEO" TargetMode="External"/><Relationship Id="rId12" Type="http://schemas.openxmlformats.org/officeDocument/2006/relationships/hyperlink" Target="consultantplus://offline/ref=679908378780B8957746715D5A11D999B29A8C56EC9A7C9537DA0CF52FB17F5C21B6E57CD3414AEB6E992D3DE580386781B343F035EB96B0w3X8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042B2DCF062E5265B8B3B14FA78B6885224E563321893CF4F49478D286A161CBDF366F01DB05BABU7kCM" TargetMode="External"/><Relationship Id="rId11" Type="http://schemas.openxmlformats.org/officeDocument/2006/relationships/hyperlink" Target="consultantplus://offline/ref=679908378780B8957746715D5A11D999B2988F5AEC9C7C9537DA0CF52FB17F5C21B6E57CD3404DEA67992D3DE580386781B343F035EB96B0w3X8X" TargetMode="External"/><Relationship Id="rId5" Type="http://schemas.openxmlformats.org/officeDocument/2006/relationships/hyperlink" Target="consultantplus://offline/ref=11444CB5F2147C0398BBFA54BED01E9C54413EC5B1305614A5BFC2A053B10A183C60DAF9q9t4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042B2DCF062E5265B8B3B14FA78B6885224E563321893CF4F49478D286A161CBDF366F01DB05BABU7k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3590545E37FAD25D22735310FAEB376A5CC80697CB00D7EB32BF2941C19BC89D8C0840C51A012047988677B9732A9889CDE4186E03C4e0X" TargetMode="External"/><Relationship Id="rId14" Type="http://schemas.openxmlformats.org/officeDocument/2006/relationships/hyperlink" Target="consultantplus://offline/ref=C96856CE54A39478948EE26963D0196BB936A0F65AA07F21FA1024A10271C65597E1E9FA61D8D1EFF17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1291</Words>
  <Characters>12109</Characters>
  <Application>Microsoft Office Word</Application>
  <DocSecurity>0</DocSecurity>
  <Lines>100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13374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ASUS</dc:creator>
  <cp:keywords/>
  <dc:description/>
  <cp:lastModifiedBy>Купцова И.О.</cp:lastModifiedBy>
  <cp:revision>4</cp:revision>
  <cp:lastPrinted>2023-04-25T10:13:00Z</cp:lastPrinted>
  <dcterms:created xsi:type="dcterms:W3CDTF">2025-12-11T04:51:00Z</dcterms:created>
  <dcterms:modified xsi:type="dcterms:W3CDTF">2025-12-11T04:53:00Z</dcterms:modified>
</cp:coreProperties>
</file>