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after="0" w:line="240" w:lineRule="auto"/>
        <w:jc w:val="right"/>
        <w:rPr>
          <w:rFonts w:ascii="Times New Roman" w:hAnsi="Times New Roman"/>
          <w:sz w:val="24"/>
          <w:szCs w:val="24"/>
        </w:rPr>
      </w:pPr>
      <w:r>
        <w:rPr>
          <w:rFonts w:ascii="Times New Roman" w:hAnsi="Times New Roman"/>
          <w:sz w:val="24"/>
          <w:szCs w:val="24"/>
        </w:rPr>
        <w:t>Приложение № 9</w:t>
      </w:r>
    </w:p>
    <w:p>
      <w:pPr>
        <w:pStyle w:val="a7"/>
        <w:jc w:val="right"/>
        <w:rPr>
          <w:bCs/>
          <w:spacing w:val="2"/>
        </w:rPr>
      </w:pPr>
      <w:proofErr w:type="gramStart"/>
      <w:r>
        <w:rPr>
          <w:bCs/>
          <w:spacing w:val="2"/>
        </w:rPr>
        <w:t>к</w:t>
      </w:r>
      <w:proofErr w:type="gramEnd"/>
      <w:r>
        <w:rPr>
          <w:bCs/>
          <w:spacing w:val="2"/>
        </w:rPr>
        <w:t xml:space="preserve"> Учетной политике</w:t>
      </w:r>
    </w:p>
    <w:p>
      <w:pPr>
        <w:spacing w:after="0" w:line="240" w:lineRule="auto"/>
        <w:jc w:val="right"/>
        <w:rPr>
          <w:rFonts w:ascii="Times New Roman" w:hAnsi="Times New Roman"/>
          <w:sz w:val="24"/>
          <w:szCs w:val="24"/>
        </w:rPr>
      </w:pPr>
      <w:proofErr w:type="gramStart"/>
      <w:r>
        <w:rPr>
          <w:rFonts w:ascii="Times New Roman" w:hAnsi="Times New Roman"/>
          <w:sz w:val="24"/>
          <w:szCs w:val="24"/>
        </w:rPr>
        <w:t>утвержденной</w:t>
      </w:r>
      <w:proofErr w:type="gramEnd"/>
      <w:r>
        <w:rPr>
          <w:rFonts w:ascii="Times New Roman" w:hAnsi="Times New Roman"/>
          <w:sz w:val="24"/>
          <w:szCs w:val="24"/>
        </w:rPr>
        <w:t xml:space="preserve"> приказом </w:t>
      </w:r>
    </w:p>
    <w:p>
      <w:pPr>
        <w:spacing w:after="0" w:line="240" w:lineRule="auto"/>
        <w:jc w:val="right"/>
        <w:rPr>
          <w:rFonts w:ascii="Times New Roman" w:hAnsi="Times New Roman"/>
          <w:sz w:val="24"/>
          <w:szCs w:val="24"/>
        </w:rPr>
      </w:pPr>
      <w:proofErr w:type="gramStart"/>
      <w:r>
        <w:rPr>
          <w:rFonts w:ascii="Times New Roman" w:hAnsi="Times New Roman"/>
          <w:sz w:val="24"/>
          <w:szCs w:val="24"/>
        </w:rPr>
        <w:t>начальника</w:t>
      </w:r>
      <w:proofErr w:type="gramEnd"/>
      <w:r>
        <w:rPr>
          <w:rFonts w:ascii="Times New Roman" w:hAnsi="Times New Roman"/>
          <w:sz w:val="24"/>
          <w:szCs w:val="24"/>
        </w:rPr>
        <w:t xml:space="preserve"> Финансового управления</w:t>
      </w:r>
    </w:p>
    <w:p>
      <w:pPr>
        <w:pStyle w:val="a7"/>
        <w:jc w:val="right"/>
        <w:rPr>
          <w:bCs/>
          <w:spacing w:val="2"/>
        </w:rPr>
      </w:pPr>
      <w:proofErr w:type="gramStart"/>
      <w:r>
        <w:rPr>
          <w:bCs/>
          <w:spacing w:val="2"/>
        </w:rPr>
        <w:t>от</w:t>
      </w:r>
      <w:proofErr w:type="gramEnd"/>
      <w:r>
        <w:rPr>
          <w:bCs/>
          <w:spacing w:val="2"/>
        </w:rPr>
        <w:t xml:space="preserve"> </w:t>
      </w:r>
      <w:r>
        <w:t>30.12.2021 № 94</w:t>
      </w:r>
    </w:p>
    <w:p>
      <w:pPr>
        <w:jc w:val="center"/>
        <w:rPr>
          <w:rFonts w:ascii="Times New Roman" w:hAnsi="Times New Roman"/>
          <w:b/>
          <w:sz w:val="24"/>
          <w:szCs w:val="24"/>
        </w:rPr>
      </w:pPr>
    </w:p>
    <w:p>
      <w:pPr>
        <w:jc w:val="center"/>
        <w:rPr>
          <w:rFonts w:ascii="Times New Roman" w:hAnsi="Times New Roman"/>
          <w:b/>
          <w:sz w:val="24"/>
          <w:szCs w:val="24"/>
        </w:rPr>
      </w:pPr>
      <w:r>
        <w:rPr>
          <w:rFonts w:ascii="Times New Roman" w:hAnsi="Times New Roman"/>
          <w:b/>
          <w:sz w:val="24"/>
          <w:szCs w:val="24"/>
        </w:rPr>
        <w:t>Порядок о применяемых методах оценки имущества и обязательств</w:t>
      </w:r>
    </w:p>
    <w:p>
      <w:pPr>
        <w:numPr>
          <w:ilvl w:val="0"/>
          <w:numId w:val="7"/>
        </w:numPr>
        <w:autoSpaceDE w:val="0"/>
        <w:autoSpaceDN w:val="0"/>
        <w:adjustRightInd w:val="0"/>
        <w:spacing w:after="0" w:line="240" w:lineRule="auto"/>
        <w:jc w:val="center"/>
        <w:outlineLvl w:val="1"/>
        <w:rPr>
          <w:rFonts w:ascii="Times New Roman" w:hAnsi="Times New Roman"/>
          <w:b/>
          <w:sz w:val="24"/>
          <w:szCs w:val="24"/>
        </w:rPr>
      </w:pPr>
      <w:r>
        <w:rPr>
          <w:rFonts w:ascii="Times New Roman" w:hAnsi="Times New Roman"/>
          <w:b/>
          <w:sz w:val="24"/>
          <w:szCs w:val="24"/>
        </w:rPr>
        <w:t>Общие положения</w:t>
      </w:r>
    </w:p>
    <w:p>
      <w:pPr>
        <w:autoSpaceDE w:val="0"/>
        <w:autoSpaceDN w:val="0"/>
        <w:adjustRightInd w:val="0"/>
        <w:spacing w:after="0" w:line="240" w:lineRule="auto"/>
        <w:ind w:left="720"/>
        <w:outlineLvl w:val="1"/>
        <w:rPr>
          <w:rFonts w:ascii="Times New Roman" w:hAnsi="Times New Roman"/>
          <w:b/>
          <w:sz w:val="24"/>
          <w:szCs w:val="24"/>
        </w:rPr>
      </w:pPr>
    </w:p>
    <w:p>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1.1 Настоящий Порядок применяется в соответствии с требованиями раздел </w:t>
      </w:r>
      <w:r>
        <w:rPr>
          <w:rFonts w:ascii="Times New Roman" w:hAnsi="Times New Roman"/>
          <w:sz w:val="24"/>
          <w:szCs w:val="24"/>
          <w:lang w:val="en-US"/>
        </w:rPr>
        <w:t>V</w:t>
      </w:r>
      <w:r>
        <w:rPr>
          <w:rFonts w:ascii="Times New Roman" w:hAnsi="Times New Roman"/>
          <w:sz w:val="24"/>
          <w:szCs w:val="24"/>
        </w:rPr>
        <w:t xml:space="preserve">  СГС «Концептуальные основы бухгалтерского учета и отчетности организаций госсектора», утвержденного приказом Минфина России от 31.12.2016 г. № 256н (далее – СГС «Концептуальные основы»), СГС «Основные средства», утвержденного приказом Минфина России от 31.12.2016 № 257н (далее – СГС «ОС»), СГС «Аренда», утвержденного приказом Минфина России от 31.12.2016 № 258н (далее – СГС «Аренда»), СГС «Обесценение активов», утвержденного приказом Минфина России от 31.12.2016 </w:t>
      </w:r>
      <w:r>
        <w:rPr>
          <w:rFonts w:ascii="Times New Roman" w:hAnsi="Times New Roman"/>
          <w:sz w:val="24"/>
          <w:szCs w:val="24"/>
        </w:rPr>
        <w:br/>
        <w:t>№ 259н (далее – СГС «Обесценение активов»), ФСБУ «Доходы», утвержденный приказом Минфина России от 27.02.2018 № 32н (далее – СГС «Доходы»), ФСБУ «События после отчетной даты», утвержденного приказом Минфина России от 30.12.2017 № 275н (далее – СГС «События после отчетной даты»), ФСБУ «Учетная политика, оценочные значения и ошибки», утвержденного приказом Минфина России от 30.12.2017 №274н (далее – СГС «Учетная политика, оценочные значения и ошибки»), ФСБУ «Резервы. Раскрытие информации об условных обязательствах и условных активах», утвержденный приказом Минфина России от 30.05.2018 № 124н (далее – СГС «Резервы»), ФСБУ «Запасы», утвержденного приказом Минфина России от 07.12.2018г. № 32н (далее – СГС «Запасы»), ФСБУ «Долгосрочные договоры», утвержденного приказом Минфина России от 29.06.2018 № 145н (далее – СГС «Долгосрочные договоры»), ФСБУ «Нематериальные активы», утвержденного приказом Минфина России от 15.11.2019 № 181н (далее – СГС «Нематериальные активы»), ФСБУ «Затраты по заимствованиям», утвержденного приказом Минфина РФ от 15.11.2019 №182н (далее – СГС «Затраты по заимствованиям»),  ФСБУ «Выплаты персоналу», утвержденного приказом Минфина РФ от 15.11.2019 № 184н (далее – СГС «Выплаты персоналу»), ФСБУ «Финансовые инструменты», утвержденного приказом Минфина РФ от 30.06.2020 № 129н (далее – СГС «Финансовые инструменты»).</w:t>
      </w:r>
    </w:p>
    <w:p>
      <w:pPr>
        <w:spacing w:after="0" w:line="240" w:lineRule="auto"/>
        <w:ind w:firstLine="709"/>
        <w:jc w:val="both"/>
        <w:rPr>
          <w:rFonts w:ascii="Times New Roman" w:hAnsi="Times New Roman"/>
          <w:sz w:val="24"/>
          <w:szCs w:val="24"/>
        </w:rPr>
      </w:pPr>
      <w:r>
        <w:rPr>
          <w:rFonts w:ascii="Times New Roman" w:hAnsi="Times New Roman"/>
          <w:sz w:val="24"/>
          <w:szCs w:val="24"/>
        </w:rPr>
        <w:t>1.2 Цель Положения – определить особенности формирования методов оценки имущества и обязательств при ведении бухгалтерского учета.</w:t>
      </w:r>
    </w:p>
    <w:p>
      <w:pPr>
        <w:spacing w:after="0" w:line="240" w:lineRule="auto"/>
        <w:ind w:firstLine="709"/>
        <w:jc w:val="both"/>
        <w:rPr>
          <w:rFonts w:ascii="Times New Roman" w:hAnsi="Times New Roman"/>
          <w:sz w:val="24"/>
          <w:szCs w:val="24"/>
        </w:rPr>
      </w:pPr>
      <w:r>
        <w:rPr>
          <w:rFonts w:ascii="Times New Roman" w:hAnsi="Times New Roman"/>
          <w:sz w:val="24"/>
          <w:szCs w:val="24"/>
        </w:rPr>
        <w:t>1.3 Задачи – закрепить методы оценки, которые позволяют наиболее достоверно оценить стоимость соответствующего объекта учета, либо тот метод, который предусмотрен специально для оценки такого объекта.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1.4 Принципы оценки имущества и обязательств: </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оценка имущества и обязательств должна производиться Финансовым управлением Администрации ЗАТО Северск (далее – Управление или субъект учёта) для их отражения в бухгалтерском учете и бухгалтерской отчетности в денежном выражении. Денежное измерение объектов бухгалтерского учета производится в валюте РФ;</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информация в денежном выражении о состоянии активов, обязательств, иного имущества, об операциях, их изменяющих, и финансовых результатах указанных операций </w:t>
      </w:r>
      <w:r>
        <w:rPr>
          <w:rFonts w:ascii="Times New Roman" w:hAnsi="Times New Roman"/>
          <w:sz w:val="24"/>
          <w:szCs w:val="24"/>
        </w:rPr>
        <w:lastRenderedPageBreak/>
        <w:t xml:space="preserve">(доходах, расходах, источниках финансирования деятельности экономического субъекта), отражаемая на соответствующих счетах, в том числе на забалансовых, рабочего плана счетов учреждения, должна быть полной с учетом существенности ее влияния на экономические (финансовые) решения учредителей учреждения (заинтересованных пользователей информации) и существенности затрат на ее формирование. </w:t>
      </w:r>
    </w:p>
    <w:p>
      <w:pPr>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rPr>
        <w:t xml:space="preserve">Критерий существенности определяется в размере 10 процентов показателя, выраженного в денежном выражении (Федеральный закон от 30.03.2016 № 77-ФЗ                  </w:t>
      </w:r>
      <w:proofErr w:type="gramStart"/>
      <w:r>
        <w:rPr>
          <w:rFonts w:ascii="Times New Roman" w:hAnsi="Times New Roman"/>
          <w:sz w:val="24"/>
          <w:szCs w:val="24"/>
        </w:rPr>
        <w:t xml:space="preserve">   «</w:t>
      </w:r>
      <w:proofErr w:type="gramEnd"/>
      <w:r>
        <w:rPr>
          <w:rFonts w:ascii="Times New Roman" w:hAnsi="Times New Roman"/>
          <w:sz w:val="24"/>
          <w:szCs w:val="24"/>
          <w:lang w:eastAsia="ru-RU"/>
        </w:rPr>
        <w:t xml:space="preserve">О внесении изменений в Кодекс Российской Федерации об административных правонарушениях», п. 17 СГС «Концептуальные основы»). </w:t>
      </w:r>
    </w:p>
    <w:p>
      <w:pPr>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rPr>
        <w:t>При ведении бухгалтерского учета, формировании бухгалтерской отчетности, показатель существенности информации определяется степенью влияния пропуска или искажения такой информации в бухгалтерском учете и (или) бухгалтерской отчетности</w:t>
      </w:r>
      <w:r>
        <w:rPr>
          <w:rFonts w:ascii="Times New Roman" w:hAnsi="Times New Roman"/>
          <w:sz w:val="24"/>
          <w:szCs w:val="24"/>
          <w:lang w:eastAsia="ru-RU"/>
        </w:rPr>
        <w:t xml:space="preserve"> на принятие начальником Управления, иным пользователем бухгалтерской (финансовой) отчетности экономического решения, основанного на данных бухгалтерского учета                   и (или) бухгалтерской (финансовой) отчетности.</w:t>
      </w:r>
    </w:p>
    <w:p>
      <w:pPr>
        <w:autoSpaceDE w:val="0"/>
        <w:autoSpaceDN w:val="0"/>
        <w:adjustRightInd w:val="0"/>
        <w:spacing w:after="0" w:line="240" w:lineRule="auto"/>
        <w:ind w:firstLine="539"/>
        <w:jc w:val="both"/>
        <w:rPr>
          <w:rFonts w:ascii="Times New Roman" w:hAnsi="Times New Roman"/>
          <w:sz w:val="24"/>
          <w:szCs w:val="24"/>
          <w:lang w:eastAsia="ru-RU"/>
        </w:rPr>
      </w:pPr>
      <w:bookmarkStart w:id="0" w:name="_Hlk69040726"/>
      <w:r>
        <w:rPr>
          <w:rFonts w:ascii="Times New Roman" w:hAnsi="Times New Roman"/>
          <w:sz w:val="24"/>
          <w:szCs w:val="24"/>
          <w:lang w:eastAsia="ru-RU"/>
        </w:rPr>
        <w:t>К методам оценки, рассматриваемым в Положении относятся:</w:t>
      </w:r>
    </w:p>
    <w:bookmarkEnd w:id="0"/>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оценка имущества, полученного в рамках обменной операции, осуществляется путем суммирования фактически произведенных вложений;</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оценка имущества, полученного безвозмездно от юридических и физических лиц (кроме учреждений госсектора), – по справедливой стоимости на дату оприходования;</w:t>
      </w:r>
    </w:p>
    <w:p>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rPr>
        <w:t xml:space="preserve">- если </w:t>
      </w:r>
      <w:r>
        <w:rPr>
          <w:rFonts w:ascii="Times New Roman" w:hAnsi="Times New Roman"/>
          <w:sz w:val="24"/>
          <w:szCs w:val="24"/>
          <w:lang w:eastAsia="ru-RU"/>
        </w:rPr>
        <w:t>данные о стоимости приобретаемых в результате необменных операций предыдущего правообладателя (балансодержателя) по каким-либо причинам недоступны, в целях обеспечения непрерывного ведения бухгалтерского учета и полноты отражения              в бухгалтерском учете свершившихся фактов хозяйственной деятельности первоначальная стоимость таких объектов бухгалтерского учета признается в условной оценке - один объект, один рубль;</w:t>
      </w:r>
    </w:p>
    <w:p>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оценка имущества, подлежащего отчуждению не в пользу бюджетной сферы, осуществляется по справедливой стоимости;</w:t>
      </w:r>
    </w:p>
    <w:p>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в случае если обменная операция не носит коммерческий характер или справедливую стоимость ни полученного актива, ни переданного актива невозможно достоверно оценить, оценка первоначальной стоимости полученного актива производится на основании остаточной стоимости переданного взамен актива;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если иное не установлено законодательством РФ, стоимость объектов бухгалтерского учета, выраженная в иностранной валюте, подлежит пересчету в валюту РФ.</w:t>
      </w:r>
    </w:p>
    <w:p>
      <w:pPr>
        <w:pStyle w:val="a4"/>
        <w:spacing w:after="0" w:line="240" w:lineRule="auto"/>
        <w:ind w:left="0"/>
        <w:contextualSpacing w:val="0"/>
        <w:jc w:val="center"/>
        <w:rPr>
          <w:rFonts w:ascii="Times New Roman" w:hAnsi="Times New Roman"/>
          <w:b/>
          <w:sz w:val="24"/>
          <w:szCs w:val="24"/>
        </w:rPr>
      </w:pPr>
      <w:r>
        <w:rPr>
          <w:rFonts w:ascii="Times New Roman" w:hAnsi="Times New Roman"/>
          <w:b/>
          <w:sz w:val="24"/>
          <w:szCs w:val="24"/>
        </w:rPr>
        <w:t>2. Методы оценки имущества</w:t>
      </w:r>
    </w:p>
    <w:p>
      <w:pPr>
        <w:pStyle w:val="a4"/>
        <w:spacing w:after="0" w:line="240" w:lineRule="auto"/>
        <w:ind w:left="0" w:firstLine="709"/>
        <w:contextualSpacing w:val="0"/>
        <w:jc w:val="both"/>
        <w:rPr>
          <w:rFonts w:ascii="Times New Roman" w:hAnsi="Times New Roman"/>
          <w:b/>
          <w:sz w:val="24"/>
          <w:szCs w:val="24"/>
        </w:rPr>
      </w:pP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2.1 Объекты нефинансовых активов принимаются к бухгалтерскому учету по их первоначальной (фактической) стоимости. Первоначальной стоимостью объектов нефинансовых активов признается сумма фактических вложений в их приобретение, сооружение или изготовление (создание), с учетом сумм НДС, предъявленных Управлению поставщиками и (или) подрядчиками (кроме их приобретения, сооружения и изготовления в рамках деятельности, облагаемой НДС, если иное не предусмотрено налоговым законодательством Российской Федерации) (п. 15 СГС «ОС», п.11 СГС «Нематериальные активы», п.24 СГС «Непроизведенные активы», п. 19 СГС «Запасы»).</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Передача нефинансовых активов должна осуществляться в полном объеме всех проведенных капитальных вложений, формирующих их первоначальную стоимость.</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2.2 Изменение первоначальной (балансовой) стоимости происходит в результате достройки, дооборудования, реконструкции, в том числе с элементами реставрации, технического перевооружения, модернизации, частичной ликвидации (</w:t>
      </w:r>
      <w:proofErr w:type="spellStart"/>
      <w:r>
        <w:rPr>
          <w:rFonts w:ascii="Times New Roman" w:hAnsi="Times New Roman"/>
          <w:sz w:val="24"/>
          <w:szCs w:val="24"/>
        </w:rPr>
        <w:t>разукомплектации</w:t>
      </w:r>
      <w:proofErr w:type="spellEnd"/>
      <w:r>
        <w:rPr>
          <w:rFonts w:ascii="Times New Roman" w:hAnsi="Times New Roman"/>
          <w:sz w:val="24"/>
          <w:szCs w:val="24"/>
        </w:rPr>
        <w:t xml:space="preserve">), замещения (частичной замены в рамках капитального ремонта в целях реконструкции, </w:t>
      </w:r>
      <w:r>
        <w:rPr>
          <w:rFonts w:ascii="Times New Roman" w:hAnsi="Times New Roman"/>
          <w:sz w:val="24"/>
          <w:szCs w:val="24"/>
        </w:rPr>
        <w:lastRenderedPageBreak/>
        <w:t>технического перевооружения, модернизации) объекта или его составной части, а также переоценки объектов основных средств.</w:t>
      </w:r>
    </w:p>
    <w:p>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xml:space="preserve">Обязательным условием признания объекта бухгалтерского учета, отражения                   в бухгалтерском учете фактов хозяйственной жизни является наличие надежных стоимостных оценок, в частности, объекта, заменяемого в результате проведения ремонтных работ, реализация положений </w:t>
      </w:r>
      <w:hyperlink r:id="rId5" w:history="1">
        <w:proofErr w:type="spellStart"/>
        <w:r>
          <w:rPr>
            <w:rFonts w:ascii="Times New Roman" w:hAnsi="Times New Roman"/>
            <w:sz w:val="24"/>
            <w:szCs w:val="24"/>
          </w:rPr>
          <w:t>абз</w:t>
        </w:r>
        <w:proofErr w:type="spellEnd"/>
        <w:r>
          <w:rPr>
            <w:rFonts w:ascii="Times New Roman" w:hAnsi="Times New Roman"/>
            <w:sz w:val="24"/>
            <w:szCs w:val="24"/>
          </w:rPr>
          <w:t>. 2 п. 27</w:t>
        </w:r>
      </w:hyperlink>
      <w:r>
        <w:rPr>
          <w:rFonts w:ascii="Times New Roman" w:hAnsi="Times New Roman"/>
          <w:sz w:val="24"/>
          <w:szCs w:val="24"/>
        </w:rPr>
        <w:t xml:space="preserve"> СГС «ОС», предусматривающего уменьшение стоимости объекта основных средств на стоимость заменяемых (</w:t>
      </w:r>
      <w:proofErr w:type="spellStart"/>
      <w:r>
        <w:rPr>
          <w:rFonts w:ascii="Times New Roman" w:hAnsi="Times New Roman"/>
          <w:sz w:val="24"/>
          <w:szCs w:val="24"/>
        </w:rPr>
        <w:t>выбываемых</w:t>
      </w:r>
      <w:proofErr w:type="spellEnd"/>
      <w:r>
        <w:rPr>
          <w:rFonts w:ascii="Times New Roman" w:hAnsi="Times New Roman"/>
          <w:sz w:val="24"/>
          <w:szCs w:val="24"/>
        </w:rPr>
        <w:t>) частей в соответствии с положениями СГС «ОС» о прекращении признания (выбытии с бухгалтерского учета) объектов основных средств, возможна только при наличии соответствующих оценок по заменяемой части.</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когда надежно определить стоимость заменяемого объекта не представляется возможным, а также если в результате такой замены не создан самостоятельный объект, удовлетворяющий критериям актива, стоимость ремонтируемого объекта, не уменьшается (письмо Минфина России от 25.05.2018 № 02-06-10/35540).</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2.3 Объекты недвижимого имущества принимаются к учету по кадастровой стоимости, если они до 01 января 2018 года не признавались таковыми в составе основных средств (в случае ее наличия). При отсутствии кадастровой стоимости - в условной оценке либо по балансовой стоимости. </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2.4</w:t>
      </w:r>
      <w:r>
        <w:t xml:space="preserve"> </w:t>
      </w:r>
      <w:r>
        <w:rPr>
          <w:rFonts w:ascii="Times New Roman" w:hAnsi="Times New Roman"/>
          <w:sz w:val="24"/>
          <w:szCs w:val="24"/>
        </w:rPr>
        <w:t>Передача (получение) объектов муниципального имущества между учреждениями, а также между субъектами учета и иными созданными на базе муниципального имущества муниципальными организациями в связи с прекращением (закреплением) имущественных прав (в том числе права оперативного управления) осуществляется по балансовой (фактической) стоимости объектов учета с одновременной передачей (принятием к учету) в случае наличия суммы начисленной на объект нефинансового актива амортизации.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2.6 В соответствии с п. 53 СГС «Концептуальные основы» для оценки различных видов активов и обязательств применяется с</w:t>
      </w:r>
      <w:r>
        <w:rPr>
          <w:rFonts w:ascii="Times New Roman" w:hAnsi="Times New Roman"/>
          <w:bCs/>
          <w:sz w:val="24"/>
          <w:szCs w:val="24"/>
        </w:rPr>
        <w:t>праведливая стоимость, которая определяется</w:t>
      </w:r>
      <w:r>
        <w:rPr>
          <w:rFonts w:ascii="Times New Roman" w:hAnsi="Times New Roman"/>
          <w:sz w:val="24"/>
          <w:szCs w:val="24"/>
        </w:rPr>
        <w:t>:</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bCs/>
          <w:sz w:val="24"/>
          <w:szCs w:val="24"/>
        </w:rPr>
        <w:t>1) методом рыночных цен</w:t>
      </w:r>
      <w:r>
        <w:rPr>
          <w:rFonts w:ascii="Times New Roman" w:hAnsi="Times New Roman"/>
          <w:sz w:val="24"/>
          <w:szCs w:val="24"/>
        </w:rPr>
        <w:t xml:space="preserve"> (применяется в отношении активов или обязательств). </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Метод рыночных цен применяется при: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оприходовании излишков, выявленных при инвентаризации;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отражении недостач, оценки причинённого имуществу ущерба;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оприходовании имущества, полученного по договорам дарения (пожертвования), иного безвозмездного получения;</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оприходовании материальных запасов, полученных от разборки объектов основных средств, частичной разборки, ликвидации.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Справедливая стоимость при методе рыночных цен определяется на основании текущих рыночных цен, данных независимого эксперта (оценщика), данных о недавних сделках с аналогичными или схожими активами (обязательствами), совершенных без отсрочки платежа.</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При определении справедливой стоимости используются документально подтвержденные данные о рыночных ценах, сформированные комиссией по поступлению и выбытию активов субъекта учета самостоятельно путем изучения в отношении приобретенных (поступивших) материальных запасов рыночных цен в открытом доступе.</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В случае если данные о стоимости передаваемых в результате необменной операции материальных запасов по каким-либо причинам не предоставляются передающей стороной, либо определение справедливой стоимости материальных запасов на дату получения не представляется возможным, такие активы отражаются в составе запасов в условной оценке, равной один объект - один рубль (п.22 СГС «Запасы»).</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Справедливая стоимость объектов основных средств определяется методом рыночных цен (приказ Минфина РФ и Федерального казначейства от 02.04.2020 № 17н).</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bCs/>
          <w:sz w:val="24"/>
          <w:szCs w:val="24"/>
        </w:rPr>
        <w:t>Рыночная цена</w:t>
      </w:r>
      <w:r>
        <w:rPr>
          <w:rFonts w:ascii="Times New Roman" w:hAnsi="Times New Roman"/>
          <w:sz w:val="24"/>
          <w:szCs w:val="24"/>
        </w:rPr>
        <w:t xml:space="preserve"> – это цена, которая может быть получена (уплачена) при продаже актива (обязательства) между независимыми сторонами сделки, осведомленными                       о предмете сделки и желающими ее совершить.</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bCs/>
          <w:sz w:val="24"/>
          <w:szCs w:val="24"/>
        </w:rPr>
        <w:t>Рыночной не может быть цена</w:t>
      </w:r>
      <w:r>
        <w:rPr>
          <w:rFonts w:ascii="Times New Roman" w:hAnsi="Times New Roman"/>
          <w:sz w:val="24"/>
          <w:szCs w:val="24"/>
        </w:rPr>
        <w:t>, рассчитанная с учетом завышения или занижения              в результате особых условий или обстоятельств, специальных условий или скидок (вычетов, премий, льгот), которые предоставляются любой стороной, связанной с фактом хозяйственной жизни;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bCs/>
          <w:sz w:val="24"/>
          <w:szCs w:val="24"/>
        </w:rPr>
        <w:t>2) методом амортизированной стоимости замещения</w:t>
      </w:r>
      <w:r>
        <w:rPr>
          <w:rFonts w:ascii="Times New Roman" w:hAnsi="Times New Roman"/>
          <w:sz w:val="24"/>
          <w:szCs w:val="24"/>
        </w:rPr>
        <w:t xml:space="preserve"> (применяется в отношении активов), применяется при определении целесообразности восстановительных работ по имуществу.</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При применении данного метода справедливая стоимость определяется как разница между стоимостью восстановления (воспроизводства) актива или стоимостью замены актива, в зависимости от того, какая из этих величин меньше, и суммой накопленной амортизации, рассчитанной на основе такой стоимости.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Стоимость восстановления (воспроизводства) актива определяется как стоимость полного восстановления (воспроизводства) полезного потенциала актива.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Стоимость замены актива рассчитывается на основе рыночной цены покупки аналогичного актива с сопоставимым оставшимся сроком его полезного использования.</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2.6.1 Оценка объектов имущества, полученных в результате необменных операций, осуществляется следующим образом.</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Первоначальной стоимостью активов или обязательств, приобретенных (полученных) в результате необменной операции, является их справедливая стоимость на дату приобретения либо стоимость, отраженная в документах, подтверждающих переход прав на активы (возникновение обязательств).</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В случае если объекты бухгалтерского учета, возникшие в результате необменных операций, не могут быть оценены по справедливой стоимости и документы, подтверждающие поступление объектов бухгалтерского учета, не содержат информацию об их стоимости, а также в случаях, предусмотренных законодательством Российской Федерации, оценка указанных объектов бухгалтерского учета при признании в бухгалтерском учете осуществляется по стоимости, по которой данные объекты учитывались у предыдущего правообладателя (балансодержателя) (п.52 СГС «Концептуальные основы», п.22 СГС «Запасы»).</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ab/>
        <w:t>Если данные о стоимости приобретаемых в результате необменных операций предыдущего правообладателя (балансодержателя) по каким-либо причинам недоступны, в целях обеспечения непрерывного ведения бухгалтерского учета и полноты отражения                в бухгалтерском учете свершившихся фактов хозяйственной деятельности первоначальная стоимость таких объектов бухгалтерского учета признается в условной оценке - один объект, один рубль (п.52 СГС «Концептуальные основы», п.23 СГС «Основные средства», п.22 СГС «Запасы», п.17 СГС «Нематериальные активы»).</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2.6.2 В случае, если объект нематериальных активов, приобретенный путем необменной операции, не может быть оценен по справедливой стоимости и передаточные документы не содержат информации о его стоимости, его первоначальной стоимостью признается текущая оценочная стоимость.</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Определение текущей оценочной стоимости нематериального актива осуществляется методом рыночных цен на основании данных о сделках с аналогичным или схожим активом, совершенных без отсрочки платежа, и определяется в сумме денежных средств, необходимых при продаже (приобретении) указанных активов на дату принятия к учету.</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Определение текущей оценочной стоимости в целях принятия к бухгалтерскому учету объекта нематериального актива производится на основе цены, действующей на дату принятия к учету указанного актива, полученного безвозмездно, на данный или аналогичный вид нематериального актива. Данные о действующей цене должны быть подтверждены документально, а в случаях невозможности документального подтверждения - экспертным путем (п.17 СГС «Нематериальные активы»).</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2.7 Справедливая стоимость применяется:</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при приобретении объекта основных средств, приобретенного путем обменной операции в обмен на иные активы, за исключением денежных средств (их эквивалентов) (п. 21 СГС «ОС», п. 16 СГС «Запасы» п. 15 СГС «Нематериальные активы»);</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при приобретении основного средства в результате необменной операции              </w:t>
      </w:r>
      <w:proofErr w:type="gramStart"/>
      <w:r>
        <w:rPr>
          <w:rFonts w:ascii="Times New Roman" w:hAnsi="Times New Roman"/>
          <w:sz w:val="24"/>
          <w:szCs w:val="24"/>
        </w:rPr>
        <w:t xml:space="preserve">   (</w:t>
      </w:r>
      <w:proofErr w:type="gramEnd"/>
      <w:r>
        <w:rPr>
          <w:rFonts w:ascii="Times New Roman" w:hAnsi="Times New Roman"/>
          <w:sz w:val="24"/>
          <w:szCs w:val="24"/>
        </w:rPr>
        <w:t>п. 22 СГ «ОС»);</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при оценке имущества, предназначенного для отчуждения не в пользу муниципальных организаций – в данном случае применяется справедливая стоимость, определяемая методом рыночных цен (п. 29 СГС «ОС», п. 29 СГС «Запасы», п.24 СГС «Нематериальные активы»); </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при переоценке основных средств (п. 30 СГС «ОС», п.29 СГС «Запасы», п. 25 СГС «Нематериальные активы»);</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при возникновении объектов учета аренды, возникающих в рамках договоров безвозмездного пользования или в рамках договоров аренды (имущественного найма), предусматривающих предоставление имущества в возмездное пользование по цене значительно ниже рыночной стоимости. Данные объекты отражаются в бухгалтерском учете по их справедливой стоимости, определяемой на дату классификации объектов учета аренды методом рыночных цен – как если бы право пользования имуществом было предоставлено на коммерческих (рыночных) условиях (п. 26 СГС «Аренда);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при определении дохода от предоставления права пользования активом (п. 29.1 СГС «Аренда»);</w:t>
      </w:r>
    </w:p>
    <w:p>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rPr>
        <w:t xml:space="preserve">- </w:t>
      </w:r>
      <w:r>
        <w:rPr>
          <w:rFonts w:ascii="Times New Roman" w:hAnsi="Times New Roman"/>
          <w:sz w:val="24"/>
          <w:szCs w:val="24"/>
          <w:lang w:eastAsia="ru-RU"/>
        </w:rPr>
        <w:t>сумма возмещения причиненного ущерба, подлежащая взысканию с виновного лица (п.38 СГС «Запасы»).</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2.8 При определении суммы ущерба применяется текущая восстановительная стоимость. В связи с отсутствием определения текущей восстановительной стоимости                в </w:t>
      </w:r>
      <w:r>
        <w:rPr>
          <w:rFonts w:ascii="Times New Roman" w:hAnsi="Times New Roman"/>
          <w:strike/>
          <w:sz w:val="24"/>
          <w:szCs w:val="24"/>
          <w:highlight w:val="yellow"/>
        </w:rPr>
        <w:t>ЕПС</w:t>
      </w:r>
      <w:r>
        <w:rPr>
          <w:rFonts w:ascii="Times New Roman" w:hAnsi="Times New Roman"/>
          <w:sz w:val="24"/>
          <w:szCs w:val="24"/>
        </w:rPr>
        <w:t>, использовать понятие «текущей оценочной стоимости».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Под текущей оценочной стоимостью, в соответствии с </w:t>
      </w:r>
      <w:hyperlink r:id="rId6" w:history="1">
        <w:r>
          <w:rPr>
            <w:rFonts w:ascii="Times New Roman" w:hAnsi="Times New Roman"/>
            <w:strike/>
            <w:sz w:val="24"/>
            <w:szCs w:val="24"/>
            <w:highlight w:val="yellow"/>
          </w:rPr>
          <w:t>п. 25</w:t>
        </w:r>
      </w:hyperlink>
      <w:r>
        <w:rPr>
          <w:rFonts w:ascii="Times New Roman" w:hAnsi="Times New Roman"/>
          <w:strike/>
          <w:sz w:val="24"/>
          <w:szCs w:val="24"/>
          <w:highlight w:val="yellow"/>
        </w:rPr>
        <w:t xml:space="preserve"> </w:t>
      </w:r>
      <w:proofErr w:type="gramStart"/>
      <w:r>
        <w:rPr>
          <w:rFonts w:ascii="Times New Roman" w:hAnsi="Times New Roman"/>
          <w:strike/>
          <w:sz w:val="24"/>
          <w:szCs w:val="24"/>
          <w:highlight w:val="yellow"/>
        </w:rPr>
        <w:t>ЕПС</w:t>
      </w:r>
      <w:r>
        <w:rPr>
          <w:rFonts w:ascii="Times New Roman" w:hAnsi="Times New Roman"/>
          <w:strike/>
          <w:sz w:val="24"/>
          <w:szCs w:val="24"/>
        </w:rPr>
        <w:t xml:space="preserve">  </w:t>
      </w:r>
      <w:hyperlink r:id="rId7" w:history="1">
        <w:r>
          <w:rPr>
            <w:rFonts w:ascii="Times New Roman" w:eastAsiaTheme="minorHAnsi" w:hAnsi="Times New Roman"/>
            <w:sz w:val="24"/>
            <w:szCs w:val="24"/>
          </w:rPr>
          <w:t>п.</w:t>
        </w:r>
        <w:proofErr w:type="gramEnd"/>
        <w:r>
          <w:rPr>
            <w:rFonts w:ascii="Times New Roman" w:eastAsiaTheme="minorHAnsi" w:hAnsi="Times New Roman"/>
            <w:sz w:val="24"/>
            <w:szCs w:val="24"/>
          </w:rPr>
          <w:t xml:space="preserve"> 52</w:t>
        </w:r>
      </w:hyperlink>
      <w:r>
        <w:rPr>
          <w:rFonts w:ascii="Times New Roman" w:eastAsiaTheme="minorHAnsi" w:hAnsi="Times New Roman"/>
          <w:sz w:val="24"/>
          <w:szCs w:val="24"/>
        </w:rPr>
        <w:t xml:space="preserve"> </w:t>
      </w:r>
      <w:r>
        <w:rPr>
          <w:rFonts w:ascii="Times New Roman" w:hAnsi="Times New Roman"/>
          <w:sz w:val="24"/>
          <w:szCs w:val="24"/>
        </w:rPr>
        <w:t>СГС «Концептуальные основы»</w:t>
      </w:r>
      <w:r>
        <w:rPr>
          <w:rFonts w:ascii="Times New Roman" w:hAnsi="Times New Roman"/>
          <w:sz w:val="24"/>
          <w:szCs w:val="24"/>
        </w:rPr>
        <w:t xml:space="preserve"> понимается сумма денежных средств, которая может быть получена в результате продажи активов на дату принятия к учету. Определение текущей оценочной стоимости в целях принятия к бухгалтерскому учету объекта нефинансового актива производится на основе цены, действующей на дату принятия к учету (оприходования) имущества, полученного безвозмездно, на данный или аналогичный вид имущества. Данные о действующей цене должны быть подтверждены документально, а в случаях невозможности документального подтверждения – экспертным путем.</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При определении текущей оценочной стоимости в целях принятия  к бухгалтерскому учету объекта нефинансового актива комиссией по поступлению и выбытию активов, созданной в Управлении на постоянной основе, используются данные о ценах на аналогичные материальные ценности, полученные в письменной форме от организаций-изготовителей; сведения об уровне цен, имеющиеся у органов государственной статистики, а также в средствах массовой информации и специальной литературе, экспертные заключения (в том числе экспертов, привлеченных на добровольных началах к работе в комиссии по поступлению и выбытию активов) о стоимости отдельных (аналогичных) объектов нефинансовых активов.</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2.9 По активам учреждения, не имеющим аналогов и не являющимся предметами договоров купли-продажи, по которым информация о стоимости изготовления отсутствует, применяется условная оценка: один объект, один рубль. К таким активам в учреждении относятся:</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активы, не имеющие полезный потенциал и не проносящие экономические выгоды;</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объекты, по которым на дату принятия к учету, стоимость не определена;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бланки строгой отчетности, учитываемые на забалансовом счете 03;</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программное обеспечение, полученное в составе технического комплекса;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активы, не имеющие аналогов;</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периодические издания для пользования;</w:t>
      </w:r>
    </w:p>
    <w:p>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w:t>
      </w:r>
      <w:r>
        <w:t> </w:t>
      </w:r>
      <w:r>
        <w:rPr>
          <w:rFonts w:ascii="Times New Roman" w:hAnsi="Times New Roman"/>
          <w:sz w:val="24"/>
          <w:szCs w:val="24"/>
        </w:rPr>
        <w:t>имущество, полученное по договорам безвозмездного пользования, в соответствии с СГС «Аренда» в случае невозможности (отсутствия) получения данных о стоимости замещения объектов учета. При этом после получения данных о ценах на аналогичные либо схожие материальные ценности по объекту нефинансового актива (материальной ценности), отраженному на дату признания в условной оценке, комиссией субъекта учета осуществляется пересмотр балансовой (справедливой) стоимости такого объекта (п. 26 СГС «Аренда», письмо Минфина России от 14.01.2019 № 02-07-10/1982);</w:t>
      </w:r>
    </w:p>
    <w:p>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объекты, полученные в результате списания, до момента демонтажа, утилизации.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2.10 Выбранный метод начисления амортизации применяется относительно объекта основных средств последовательно от периода к периоду, кроме случаев изменения ожидаемого способа получения будущих экономических выгод или полезного потенциала от использования объекта основных средств.</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Управление применяет метод начисления амортизации, который наиболее точно отражает предполагаемый способ получения будущих экономических выгод или полезный потенциал, заключенный в активе. При одинаковых способах получения выгод или полезном потенциале объектов, входящих в одну группу ОС, возможно применение одного метода начисления амортизации к группе в целом.</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2.11 Неучтенные объекты нефинансовых активов, выявленные при проведении проверок и (или) инвентаризаций активов, принимаются к бухгалтерскому учету по их текущей оценочной стоимости, установленной для целей бухгалтерского учета на дату принятия к бухгалтерскому учету.</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2.12 Показатели активов раскрываются в нетто-оценке, то есть за вычетом любой накопленной амортизации амортизируемых активов, убытков от обесценения, резервов под снижение стоимости материальных запасов и резервов по сомнительным долгам.</w:t>
      </w:r>
    </w:p>
    <w:p>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xml:space="preserve">Исходя из </w:t>
      </w:r>
      <w:hyperlink r:id="rId8" w:history="1">
        <w:r>
          <w:rPr>
            <w:rFonts w:ascii="Times New Roman" w:hAnsi="Times New Roman"/>
            <w:sz w:val="24"/>
            <w:szCs w:val="24"/>
            <w:lang w:eastAsia="ru-RU"/>
          </w:rPr>
          <w:t>пункта 10</w:t>
        </w:r>
      </w:hyperlink>
      <w:r>
        <w:rPr>
          <w:rFonts w:ascii="Times New Roman" w:hAnsi="Times New Roman"/>
          <w:sz w:val="24"/>
          <w:szCs w:val="24"/>
          <w:lang w:eastAsia="ru-RU"/>
        </w:rPr>
        <w:t xml:space="preserve"> СГС «Обесценение активов» решение о необходимости определения справедливой стоимости актива принимается субъектом учета в случае выявления признаков обесценения актива, которые ранее не являлись основанием для признания обесценения актива, с учетом существенности влияния на нее выявленных признаков обесценения.</w:t>
      </w:r>
    </w:p>
    <w:p>
      <w:pPr>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Таким образом, для признания в бюджетном учете обесценения актива требуется анализ наличия признаков, указывающих на возможное существенное обесценение актива. При этом под обесценением понимается снижение ценности самого актива и возможности его полезного использования, зависящее в том числе от целей использования актива и условий деятельности, а не от каких-либо показателей деятельности субъекта учета в целом</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rPr>
        <w:t xml:space="preserve">2.13 </w:t>
      </w:r>
      <w:r>
        <w:rPr>
          <w:rFonts w:ascii="Times New Roman" w:hAnsi="Times New Roman"/>
          <w:sz w:val="24"/>
          <w:szCs w:val="24"/>
          <w:lang w:eastAsia="ru-RU"/>
        </w:rPr>
        <w:t xml:space="preserve">В соответствии с положениями </w:t>
      </w:r>
      <w:hyperlink r:id="rId9" w:history="1">
        <w:r>
          <w:rPr>
            <w:rFonts w:ascii="Times New Roman" w:hAnsi="Times New Roman"/>
            <w:sz w:val="24"/>
            <w:szCs w:val="24"/>
            <w:lang w:eastAsia="ru-RU"/>
          </w:rPr>
          <w:t>ФСБУ</w:t>
        </w:r>
      </w:hyperlink>
      <w:r>
        <w:rPr>
          <w:rFonts w:ascii="Times New Roman" w:hAnsi="Times New Roman"/>
          <w:sz w:val="24"/>
          <w:szCs w:val="24"/>
          <w:lang w:eastAsia="ru-RU"/>
        </w:rPr>
        <w:t xml:space="preserve"> «Обесценение активов» при выявлении             в ходе инвентаризации признаков снижения убытка от обесценения актива, который был признан в предыдущие периоды, необходимо учитывать следующее.</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t> </w:t>
      </w:r>
      <w:r>
        <w:rPr>
          <w:rFonts w:ascii="Times New Roman" w:hAnsi="Times New Roman"/>
          <w:sz w:val="24"/>
          <w:szCs w:val="24"/>
          <w:lang w:eastAsia="ru-RU"/>
        </w:rPr>
        <w:t xml:space="preserve">Убыток от обесценения актива не подлежит восстановлению, если с момента последнего признания убытка метод определения справедливой стоимости в отношении данного актива не изменился. В этом случае комиссией принимается решение только                 о корректировке оставшегося срока полезного использования актива </w:t>
      </w:r>
      <w:hyperlink r:id="rId10" w:history="1">
        <w:r>
          <w:rPr>
            <w:rFonts w:ascii="Times New Roman" w:hAnsi="Times New Roman"/>
            <w:sz w:val="24"/>
            <w:szCs w:val="24"/>
            <w:lang w:eastAsia="ru-RU"/>
          </w:rPr>
          <w:t>(п. 23)</w:t>
        </w:r>
      </w:hyperlink>
      <w:r>
        <w:rPr>
          <w:rFonts w:ascii="Times New Roman" w:hAnsi="Times New Roman"/>
          <w:sz w:val="24"/>
          <w:szCs w:val="24"/>
          <w:lang w:eastAsia="ru-RU"/>
        </w:rPr>
        <w:t>.</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2.</w:t>
      </w:r>
      <w:r>
        <w:t> </w:t>
      </w:r>
      <w:r>
        <w:rPr>
          <w:rFonts w:ascii="Times New Roman" w:hAnsi="Times New Roman"/>
          <w:sz w:val="24"/>
          <w:szCs w:val="24"/>
          <w:lang w:eastAsia="ru-RU"/>
        </w:rPr>
        <w:t xml:space="preserve">Убыток от обесценения актива, признанный в предыдущие периоды, восстанавливается в случае изменения метода определения справедливой стоимости актива с момента последнего признания убытка от обесценения </w:t>
      </w:r>
      <w:hyperlink r:id="rId11" w:history="1">
        <w:r>
          <w:rPr>
            <w:rFonts w:ascii="Times New Roman" w:hAnsi="Times New Roman"/>
            <w:sz w:val="24"/>
            <w:szCs w:val="24"/>
            <w:lang w:eastAsia="ru-RU"/>
          </w:rPr>
          <w:t>(п. 24)</w:t>
        </w:r>
      </w:hyperlink>
      <w:r>
        <w:rPr>
          <w:rFonts w:ascii="Times New Roman" w:hAnsi="Times New Roman"/>
          <w:sz w:val="24"/>
          <w:szCs w:val="24"/>
          <w:lang w:eastAsia="ru-RU"/>
        </w:rPr>
        <w:t>.</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Восстановление убытка от обесценения актива отражается в составе доходов текущего финансового года. Наряду с этим по данному активу корректируются нормы амортизации, чтобы его измененная остаточная стоимость списывалась равномерно                   в течение оставшегося срока его полезного использования (</w:t>
      </w:r>
      <w:hyperlink r:id="rId12" w:history="1">
        <w:r>
          <w:rPr>
            <w:rFonts w:ascii="Times New Roman" w:hAnsi="Times New Roman"/>
            <w:sz w:val="24"/>
            <w:szCs w:val="24"/>
            <w:lang w:eastAsia="ru-RU"/>
          </w:rPr>
          <w:t>п. 25</w:t>
        </w:r>
      </w:hyperlink>
      <w:r>
        <w:rPr>
          <w:rFonts w:ascii="Times New Roman" w:hAnsi="Times New Roman"/>
          <w:sz w:val="24"/>
          <w:szCs w:val="24"/>
          <w:lang w:eastAsia="ru-RU"/>
        </w:rPr>
        <w:t xml:space="preserve">, </w:t>
      </w:r>
      <w:hyperlink r:id="rId13" w:history="1">
        <w:r>
          <w:rPr>
            <w:rFonts w:ascii="Times New Roman" w:hAnsi="Times New Roman"/>
            <w:sz w:val="24"/>
            <w:szCs w:val="24"/>
            <w:lang w:eastAsia="ru-RU"/>
          </w:rPr>
          <w:t>26</w:t>
        </w:r>
      </w:hyperlink>
      <w:r>
        <w:rPr>
          <w:rFonts w:ascii="Times New Roman" w:hAnsi="Times New Roman"/>
          <w:sz w:val="24"/>
          <w:szCs w:val="24"/>
          <w:lang w:eastAsia="ru-RU"/>
        </w:rPr>
        <w:t>).</w:t>
      </w:r>
    </w:p>
    <w:p>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2.14 При переоценке объекта основных средств (в том числе объектов основных средств, отчуждаемых не в пользу организаций бюджетной сферы) сумма накопленной амортизации, исчисленная на дату переоценки, учитывается:</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пересчет</w:t>
      </w:r>
      <w:proofErr w:type="gramEnd"/>
      <w:r>
        <w:rPr>
          <w:rFonts w:ascii="Times New Roman" w:hAnsi="Times New Roman"/>
          <w:sz w:val="24"/>
          <w:szCs w:val="24"/>
          <w:lang w:eastAsia="ru-RU"/>
        </w:rPr>
        <w:t xml:space="preserve"> накопленной амортизации, при котором накопленная амортизация, исчисленная на дату переоценки, пересчитывается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стоимости. Указанный способ предусматривает увеличение (умножение) балансовой стоимости и накопленной амортизации на одинаковый коэффициент таким образом, чтобы при их суммировании получить переоцененную стоимость на дату проведения переоценки;</w:t>
      </w:r>
    </w:p>
    <w:p>
      <w:pPr>
        <w:autoSpaceDE w:val="0"/>
        <w:autoSpaceDN w:val="0"/>
        <w:adjustRightInd w:val="0"/>
        <w:spacing w:after="0" w:line="240" w:lineRule="auto"/>
        <w:ind w:firstLine="709"/>
        <w:jc w:val="both"/>
        <w:rPr>
          <w:rFonts w:ascii="Times New Roman" w:hAnsi="Times New Roman"/>
          <w:i/>
          <w:color w:val="FF0000"/>
          <w:sz w:val="24"/>
          <w:szCs w:val="24"/>
        </w:rPr>
      </w:pPr>
      <w:r>
        <w:rPr>
          <w:rFonts w:ascii="Times New Roman" w:hAnsi="Times New Roman"/>
          <w:sz w:val="24"/>
          <w:szCs w:val="24"/>
        </w:rPr>
        <w:t xml:space="preserve">2.15 Списание материальных запасов при выдаче в эксплуатации осуществляется по фактической стоимости каждой единицы. </w:t>
      </w:r>
    </w:p>
    <w:p>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rPr>
        <w:t xml:space="preserve">2.16 </w:t>
      </w:r>
      <w:r>
        <w:rPr>
          <w:rFonts w:ascii="Times New Roman" w:hAnsi="Times New Roman"/>
          <w:sz w:val="24"/>
          <w:szCs w:val="24"/>
          <w:lang w:eastAsia="ru-RU"/>
        </w:rPr>
        <w:t>Запасы, полученные путем обмена некоммерческого характера, оцениваются по первоначальной стоимости полученных запасов, на основании остаточной стоимости переданных взамен материальных запасов или остаточной стоимости переданных в результате обменной операции ОС (нематериальных активов). Это же правило действует, когда справедливую стоимость полученных и переданных активов невозможно надежно оценить.</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Если стоимость неизвестна либо равна нулю, то Управление </w:t>
      </w:r>
      <w:hyperlink r:id="rId14" w:history="1">
        <w:r>
          <w:rPr>
            <w:rFonts w:ascii="Times New Roman" w:hAnsi="Times New Roman"/>
            <w:sz w:val="24"/>
            <w:szCs w:val="24"/>
            <w:lang w:eastAsia="ru-RU"/>
          </w:rPr>
          <w:t>отражает</w:t>
        </w:r>
      </w:hyperlink>
      <w:r>
        <w:rPr>
          <w:rFonts w:ascii="Times New Roman" w:hAnsi="Times New Roman"/>
          <w:sz w:val="24"/>
          <w:szCs w:val="24"/>
          <w:lang w:eastAsia="ru-RU"/>
        </w:rPr>
        <w:t xml:space="preserve"> запасы в условной оценке: один объект - один рубль</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2.17 Фактическая стоимость материальных запасов, остающихся у </w:t>
      </w:r>
      <w:r>
        <w:rPr>
          <w:rFonts w:ascii="Times New Roman" w:hAnsi="Times New Roman"/>
          <w:sz w:val="24"/>
          <w:szCs w:val="24"/>
          <w:lang w:eastAsia="ru-RU"/>
        </w:rPr>
        <w:t>Управлени</w:t>
      </w:r>
      <w:r>
        <w:rPr>
          <w:rFonts w:ascii="Times New Roman" w:hAnsi="Times New Roman"/>
          <w:sz w:val="24"/>
          <w:szCs w:val="24"/>
        </w:rPr>
        <w:t xml:space="preserve">я в результате разборки, утилизации (ликвидации), основных средств или иного имущества, определяется исходя из их текущей оценочной стоимости на дату принятия к бухгалтерскому учету, а также сумм, уплачиваемых учреждением за доставку материальных запасов и приведение их в состояние, пригодное для использования </w:t>
      </w:r>
      <w:r>
        <w:rPr>
          <w:rFonts w:ascii="Times New Roman" w:hAnsi="Times New Roman"/>
          <w:strike/>
          <w:sz w:val="24"/>
          <w:szCs w:val="24"/>
          <w:highlight w:val="yellow"/>
        </w:rPr>
        <w:t>(п. 106 ЕПС)</w:t>
      </w:r>
      <w:r>
        <w:rPr>
          <w:rFonts w:ascii="Times New Roman" w:hAnsi="Times New Roman"/>
          <w:sz w:val="24"/>
          <w:szCs w:val="24"/>
        </w:rPr>
        <w:t>.</w:t>
      </w:r>
    </w:p>
    <w:p>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rPr>
        <w:t xml:space="preserve">2.18 В результате </w:t>
      </w:r>
      <w:proofErr w:type="spellStart"/>
      <w:r>
        <w:rPr>
          <w:rFonts w:ascii="Times New Roman" w:hAnsi="Times New Roman"/>
          <w:sz w:val="24"/>
          <w:szCs w:val="24"/>
        </w:rPr>
        <w:t>реклассификации</w:t>
      </w:r>
      <w:proofErr w:type="spellEnd"/>
      <w:r>
        <w:rPr>
          <w:rFonts w:ascii="Times New Roman" w:hAnsi="Times New Roman"/>
          <w:sz w:val="24"/>
          <w:szCs w:val="24"/>
        </w:rPr>
        <w:t xml:space="preserve"> нефинансовых активов не происходит изменение их стоимости. </w:t>
      </w:r>
      <w:r>
        <w:rPr>
          <w:rFonts w:ascii="Times New Roman" w:hAnsi="Times New Roman"/>
          <w:sz w:val="24"/>
          <w:szCs w:val="24"/>
          <w:lang w:eastAsia="ru-RU"/>
        </w:rPr>
        <w:t xml:space="preserve">Выбытие нефинансовых активов из одной группы и перенос их в </w:t>
      </w:r>
      <w:proofErr w:type="gramStart"/>
      <w:r>
        <w:rPr>
          <w:rFonts w:ascii="Times New Roman" w:hAnsi="Times New Roman"/>
          <w:sz w:val="24"/>
          <w:szCs w:val="24"/>
          <w:lang w:eastAsia="ru-RU"/>
        </w:rPr>
        <w:t xml:space="preserve">другую </w:t>
      </w:r>
      <w:hyperlink r:id="rId15" w:history="1">
        <w:r>
          <w:rPr>
            <w:rFonts w:ascii="Times New Roman" w:hAnsi="Times New Roman"/>
            <w:sz w:val="24"/>
            <w:szCs w:val="24"/>
            <w:lang w:eastAsia="ru-RU"/>
          </w:rPr>
          <w:t xml:space="preserve"> отражать</w:t>
        </w:r>
        <w:proofErr w:type="gramEnd"/>
      </w:hyperlink>
      <w:r>
        <w:rPr>
          <w:rFonts w:ascii="Times New Roman" w:hAnsi="Times New Roman"/>
          <w:sz w:val="24"/>
          <w:szCs w:val="24"/>
          <w:lang w:eastAsia="ru-RU"/>
        </w:rPr>
        <w:t xml:space="preserve"> в бухучете одновременно.</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3.</w:t>
      </w:r>
      <w:r>
        <w:rPr>
          <w:rFonts w:ascii="Times New Roman" w:hAnsi="Times New Roman"/>
          <w:sz w:val="24"/>
          <w:szCs w:val="24"/>
        </w:rPr>
        <w:t xml:space="preserve"> </w:t>
      </w:r>
      <w:r>
        <w:rPr>
          <w:rFonts w:ascii="Times New Roman" w:hAnsi="Times New Roman"/>
          <w:b/>
          <w:sz w:val="24"/>
          <w:szCs w:val="24"/>
        </w:rPr>
        <w:t>Методы оценки активов и обязательств</w:t>
      </w:r>
    </w:p>
    <w:p>
      <w:pPr>
        <w:autoSpaceDE w:val="0"/>
        <w:autoSpaceDN w:val="0"/>
        <w:adjustRightInd w:val="0"/>
        <w:spacing w:after="0" w:line="240" w:lineRule="auto"/>
        <w:ind w:firstLine="709"/>
        <w:jc w:val="both"/>
        <w:rPr>
          <w:rFonts w:ascii="Times New Roman" w:hAnsi="Times New Roman"/>
          <w:sz w:val="24"/>
          <w:szCs w:val="24"/>
        </w:rPr>
      </w:pP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3.1 Активы и обязательства в балансе делятся на долгосрочные (</w:t>
      </w:r>
      <w:proofErr w:type="spellStart"/>
      <w:proofErr w:type="gramStart"/>
      <w:r>
        <w:rPr>
          <w:rFonts w:ascii="Times New Roman" w:hAnsi="Times New Roman"/>
          <w:sz w:val="24"/>
          <w:szCs w:val="24"/>
        </w:rPr>
        <w:t>внеоборотные</w:t>
      </w:r>
      <w:proofErr w:type="spellEnd"/>
      <w:r>
        <w:rPr>
          <w:rFonts w:ascii="Times New Roman" w:hAnsi="Times New Roman"/>
          <w:sz w:val="24"/>
          <w:szCs w:val="24"/>
        </w:rPr>
        <w:t xml:space="preserve">)   </w:t>
      </w:r>
      <w:proofErr w:type="gramEnd"/>
      <w:r>
        <w:rPr>
          <w:rFonts w:ascii="Times New Roman" w:hAnsi="Times New Roman"/>
          <w:sz w:val="24"/>
          <w:szCs w:val="24"/>
        </w:rPr>
        <w:t xml:space="preserve">              и краткосрочные (оборотные) (</w:t>
      </w:r>
      <w:hyperlink r:id="rId16" w:history="1">
        <w:r>
          <w:rPr>
            <w:rFonts w:ascii="Times New Roman" w:hAnsi="Times New Roman"/>
            <w:sz w:val="24"/>
            <w:szCs w:val="24"/>
          </w:rPr>
          <w:t>п. 26</w:t>
        </w:r>
      </w:hyperlink>
      <w:r>
        <w:rPr>
          <w:rFonts w:ascii="Times New Roman" w:hAnsi="Times New Roman"/>
          <w:sz w:val="24"/>
          <w:szCs w:val="24"/>
        </w:rPr>
        <w:t xml:space="preserve"> СГС «Концептуальные основы»). </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Актив является краткосрочным, если он удовлетворяет хотя бы одному из следующих критериев (</w:t>
      </w:r>
      <w:hyperlink r:id="rId17" w:history="1">
        <w:r>
          <w:rPr>
            <w:rFonts w:ascii="Times New Roman" w:hAnsi="Times New Roman"/>
            <w:sz w:val="24"/>
            <w:szCs w:val="24"/>
          </w:rPr>
          <w:t>п. 27</w:t>
        </w:r>
      </w:hyperlink>
      <w:r>
        <w:rPr>
          <w:rFonts w:ascii="Times New Roman" w:hAnsi="Times New Roman"/>
          <w:sz w:val="24"/>
          <w:szCs w:val="24"/>
        </w:rPr>
        <w:t xml:space="preserve"> СГС «Концептуальные основы»):</w:t>
      </w:r>
    </w:p>
    <w:p>
      <w:pPr>
        <w:autoSpaceDE w:val="0"/>
        <w:autoSpaceDN w:val="0"/>
        <w:adjustRightInd w:val="0"/>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а</w:t>
      </w:r>
      <w:proofErr w:type="gramEnd"/>
      <w:r>
        <w:rPr>
          <w:rFonts w:ascii="Times New Roman" w:hAnsi="Times New Roman"/>
          <w:sz w:val="24"/>
          <w:szCs w:val="24"/>
        </w:rPr>
        <w:t>) предназначен для потребления, передачи или обращения в денежные средства (иные активы) в течение 12 месяцев после отчетной даты;</w:t>
      </w:r>
    </w:p>
    <w:p>
      <w:pPr>
        <w:autoSpaceDE w:val="0"/>
        <w:autoSpaceDN w:val="0"/>
        <w:adjustRightInd w:val="0"/>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б</w:t>
      </w:r>
      <w:proofErr w:type="gramEnd"/>
      <w:r>
        <w:rPr>
          <w:rFonts w:ascii="Times New Roman" w:hAnsi="Times New Roman"/>
          <w:sz w:val="24"/>
          <w:szCs w:val="24"/>
        </w:rPr>
        <w:t>) представляет собой финансовый актив, классифицируемый в соответствии                         с нормативными правовыми актами, регулирующими ведение бухгалтерского учета                    и составление бухгалтерской отчетности, как краткосрочный актив;</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Все прочие активы Управления, как субъекта отчетности, включая материальные, нематериальные и финансовые активы, относятся к долгосрочным.</w:t>
      </w:r>
    </w:p>
    <w:p>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К долгосрочной задолженности относится задолженность, срок исполнения которой на отчетную дату превышает 12 месяцев (п. 167 Приказа № 191н).</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lang w:eastAsia="ru-RU"/>
        </w:rPr>
        <w:t>К долгосрочной задолженности не относится задолженность, срок действия которой не превышает 12 месяцев, но даты начала и окончания исполнения обязательств которой приходятся на разные финансовые годы.</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Обязательство является краткосрочным, если оно удовлетворяет хотя бы одному из следующих критериев (</w:t>
      </w:r>
      <w:hyperlink r:id="rId18" w:history="1">
        <w:r>
          <w:rPr>
            <w:rFonts w:ascii="Times New Roman" w:hAnsi="Times New Roman"/>
            <w:sz w:val="24"/>
            <w:szCs w:val="24"/>
          </w:rPr>
          <w:t>п. 28</w:t>
        </w:r>
      </w:hyperlink>
      <w:r>
        <w:rPr>
          <w:rFonts w:ascii="Times New Roman" w:hAnsi="Times New Roman"/>
          <w:sz w:val="24"/>
          <w:szCs w:val="24"/>
        </w:rPr>
        <w:t xml:space="preserve"> СГС «Концептуальные основы»):</w:t>
      </w:r>
    </w:p>
    <w:p>
      <w:pPr>
        <w:autoSpaceDE w:val="0"/>
        <w:autoSpaceDN w:val="0"/>
        <w:adjustRightInd w:val="0"/>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а</w:t>
      </w:r>
      <w:proofErr w:type="gramEnd"/>
      <w:r>
        <w:rPr>
          <w:rFonts w:ascii="Times New Roman" w:hAnsi="Times New Roman"/>
          <w:sz w:val="24"/>
          <w:szCs w:val="24"/>
        </w:rPr>
        <w:t>) предполагается его погашение в течение 12 месяцев после отчетной даты (даже если первоначальный срок погашения превышал 12 месяцев);</w:t>
      </w:r>
    </w:p>
    <w:p>
      <w:pPr>
        <w:autoSpaceDE w:val="0"/>
        <w:autoSpaceDN w:val="0"/>
        <w:adjustRightInd w:val="0"/>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б</w:t>
      </w:r>
      <w:proofErr w:type="gramEnd"/>
      <w:r>
        <w:rPr>
          <w:rFonts w:ascii="Times New Roman" w:hAnsi="Times New Roman"/>
          <w:sz w:val="24"/>
          <w:szCs w:val="24"/>
        </w:rPr>
        <w:t>) это финансовое обязательство, классифицируемое в соответствии с нормативными правовыми актами, регулирующими ведение бухгалтерского учета и составление бухгалтерской отчетности, как краткосрочное;</w:t>
      </w:r>
    </w:p>
    <w:p>
      <w:pPr>
        <w:autoSpaceDE w:val="0"/>
        <w:autoSpaceDN w:val="0"/>
        <w:adjustRightInd w:val="0"/>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в</w:t>
      </w:r>
      <w:proofErr w:type="gramEnd"/>
      <w:r>
        <w:rPr>
          <w:rFonts w:ascii="Times New Roman" w:hAnsi="Times New Roman"/>
          <w:sz w:val="24"/>
          <w:szCs w:val="24"/>
        </w:rPr>
        <w:t>) у Управления отсутствует безусловное право отсрочить погашение обязательства как минимум на 12 месяцев после отчетной даты.</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Все прочие обязательства квалифицируются как долгосрочные.</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3.2 Обязательство, возникшее в результате нарушения условий финансирования и подлежащее исполнению по требованию кредитора, считается краткосрочным, даже если требования кредитора не предусматривают его исполнение в течение 12 месяцев после отчетной даты и на отчетную дату у Управления отсутствовало право отсрочить исполнение требования на срок более 12 месяцев после отчетной даты (</w:t>
      </w:r>
      <w:hyperlink r:id="rId19" w:history="1">
        <w:r>
          <w:rPr>
            <w:rFonts w:ascii="Times New Roman" w:hAnsi="Times New Roman"/>
            <w:sz w:val="24"/>
            <w:szCs w:val="24"/>
          </w:rPr>
          <w:t>п. 30</w:t>
        </w:r>
      </w:hyperlink>
      <w:r>
        <w:rPr>
          <w:rFonts w:ascii="Times New Roman" w:hAnsi="Times New Roman"/>
          <w:sz w:val="24"/>
          <w:szCs w:val="24"/>
        </w:rPr>
        <w:t xml:space="preserve"> СГС «Концептуальные основы»).</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Если до отчетной даты либо после нее, но до даты утверждения бухгалтерской отчетности по соглашению с кредитором у Управления возникло право на отсрочку погашения обязательства на срок более года, а кредитор не вправе требовать исполнении обязательства в этом периоде, такое обязательство классифицируется как долгосрочное.</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rPr>
        <w:t xml:space="preserve">3.2.1 К финансовым активам относятся активы, </w:t>
      </w:r>
      <w:r>
        <w:rPr>
          <w:rFonts w:ascii="Times New Roman" w:hAnsi="Times New Roman"/>
          <w:sz w:val="24"/>
          <w:szCs w:val="24"/>
          <w:lang w:eastAsia="ru-RU"/>
        </w:rPr>
        <w:t>являющиеся (п.6 СГС «Финансовые активы»):</w:t>
      </w:r>
    </w:p>
    <w:p>
      <w:pPr>
        <w:autoSpaceDE w:val="0"/>
        <w:autoSpaceDN w:val="0"/>
        <w:adjustRightInd w:val="0"/>
        <w:spacing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а</w:t>
      </w:r>
      <w:proofErr w:type="gramEnd"/>
      <w:r>
        <w:rPr>
          <w:rFonts w:ascii="Times New Roman" w:hAnsi="Times New Roman"/>
          <w:sz w:val="24"/>
          <w:szCs w:val="24"/>
          <w:lang w:eastAsia="ru-RU"/>
        </w:rPr>
        <w:t>) денежными средствами и (или) их эквивалентами;</w:t>
      </w:r>
    </w:p>
    <w:p>
      <w:pPr>
        <w:autoSpaceDE w:val="0"/>
        <w:autoSpaceDN w:val="0"/>
        <w:adjustRightInd w:val="0"/>
        <w:spacing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б</w:t>
      </w:r>
      <w:proofErr w:type="gramEnd"/>
      <w:r>
        <w:rPr>
          <w:rFonts w:ascii="Times New Roman" w:hAnsi="Times New Roman"/>
          <w:sz w:val="24"/>
          <w:szCs w:val="24"/>
          <w:lang w:eastAsia="ru-RU"/>
        </w:rPr>
        <w:t>) правом по договору (соглашению) на получение денежных средств или иного финансового актива от другой стороны договора (соглашения);</w:t>
      </w:r>
    </w:p>
    <w:p>
      <w:pPr>
        <w:autoSpaceDE w:val="0"/>
        <w:autoSpaceDN w:val="0"/>
        <w:adjustRightInd w:val="0"/>
        <w:spacing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в</w:t>
      </w:r>
      <w:proofErr w:type="gramEnd"/>
      <w:r>
        <w:rPr>
          <w:rFonts w:ascii="Times New Roman" w:hAnsi="Times New Roman"/>
          <w:sz w:val="24"/>
          <w:szCs w:val="24"/>
          <w:lang w:eastAsia="ru-RU"/>
        </w:rPr>
        <w:t>) правом по договору (соглашению) на обмен финансовыми активами или финансовыми обязательствами с другой стороной договора (соглашения) на условиях, определенных договором (соглашением).</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Финансовое обязательство - обязательство, возникающее согласно договору (соглашению) по:</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а</w:t>
      </w:r>
      <w:proofErr w:type="gramEnd"/>
      <w:r>
        <w:rPr>
          <w:rFonts w:ascii="Times New Roman" w:hAnsi="Times New Roman"/>
          <w:sz w:val="24"/>
          <w:szCs w:val="24"/>
          <w:lang w:eastAsia="ru-RU"/>
        </w:rPr>
        <w:t>) передаче денежных средств, их эквивалентов или иного финансового актива другой стороне договора (соглашения);</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б</w:t>
      </w:r>
      <w:proofErr w:type="gramEnd"/>
      <w:r>
        <w:rPr>
          <w:rFonts w:ascii="Times New Roman" w:hAnsi="Times New Roman"/>
          <w:sz w:val="24"/>
          <w:szCs w:val="24"/>
          <w:lang w:eastAsia="ru-RU"/>
        </w:rPr>
        <w:t>) обмену финансовыми активами или финансовыми обязательствами с другой стороной договора (соглашения) на условиях, предполагающих уменьшение экономических выгод.</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3.2.2 Не относятся к группе финансовых активов «Денежные средства» денежные средства, в отношении которых имеются ограничения к их использованию (денежные средства на счетах, операции по которым приостановлены, денежные средства на счетах, в отношении которых применены меры по замораживанию (блокированию) денежных средств, иные ограничения по операциям с денежными средствами).</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3.2.3 К группе финансовых активов «Финансовая дебиторская задолженность» не относится дебиторская задолженность, оцениваемая при признании в сумме ожидаемого поступления полезного потенциала и (или) экономических выгод, либо переданных в порядке предварительной оплаты (авансов) активов, в том числе денежных средств, по (п.11 СГС «Финансовые инструменты»:</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а</w:t>
      </w:r>
      <w:proofErr w:type="gramEnd"/>
      <w:r>
        <w:rPr>
          <w:rFonts w:ascii="Times New Roman" w:hAnsi="Times New Roman"/>
          <w:sz w:val="24"/>
          <w:szCs w:val="24"/>
          <w:lang w:eastAsia="ru-RU"/>
        </w:rPr>
        <w:t>) оплате штрафов, пеней, неустоек, возмещений ущерба;</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б</w:t>
      </w:r>
      <w:proofErr w:type="gramEnd"/>
      <w:r>
        <w:rPr>
          <w:rFonts w:ascii="Times New Roman" w:hAnsi="Times New Roman"/>
          <w:sz w:val="24"/>
          <w:szCs w:val="24"/>
          <w:lang w:eastAsia="ru-RU"/>
        </w:rPr>
        <w:t>) безвозмездным денежным поступлениям текущего (капитального) характера;</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в</w:t>
      </w:r>
      <w:proofErr w:type="gramEnd"/>
      <w:r>
        <w:rPr>
          <w:rFonts w:ascii="Times New Roman" w:hAnsi="Times New Roman"/>
          <w:sz w:val="24"/>
          <w:szCs w:val="24"/>
          <w:lang w:eastAsia="ru-RU"/>
        </w:rPr>
        <w:t>) выданным авансам;</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г</w:t>
      </w:r>
      <w:proofErr w:type="gramEnd"/>
      <w:r>
        <w:rPr>
          <w:rFonts w:ascii="Times New Roman" w:hAnsi="Times New Roman"/>
          <w:sz w:val="24"/>
          <w:szCs w:val="24"/>
          <w:lang w:eastAsia="ru-RU"/>
        </w:rPr>
        <w:t>) расчетам с подотчетными лицами;</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д</w:t>
      </w:r>
      <w:proofErr w:type="gramEnd"/>
      <w:r>
        <w:rPr>
          <w:rFonts w:ascii="Times New Roman" w:hAnsi="Times New Roman"/>
          <w:sz w:val="24"/>
          <w:szCs w:val="24"/>
          <w:lang w:eastAsia="ru-RU"/>
        </w:rPr>
        <w:t>)</w:t>
      </w:r>
      <w:r>
        <w:rPr>
          <w:rFonts w:ascii="Times New Roman" w:hAnsi="Times New Roman"/>
        </w:rPr>
        <w:t> </w:t>
      </w:r>
      <w:r>
        <w:rPr>
          <w:rFonts w:ascii="Times New Roman" w:hAnsi="Times New Roman"/>
          <w:sz w:val="24"/>
          <w:szCs w:val="24"/>
          <w:lang w:eastAsia="ru-RU"/>
        </w:rPr>
        <w:t>ущербу и иным доходам, погашаемая не денежными средствами (не предусмотрено погашение (исполнение) задолженности денежными средствами и (или) их эквивалентами);</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е</w:t>
      </w:r>
      <w:proofErr w:type="gramEnd"/>
      <w:r>
        <w:rPr>
          <w:rFonts w:ascii="Times New Roman" w:hAnsi="Times New Roman"/>
          <w:sz w:val="24"/>
          <w:szCs w:val="24"/>
          <w:lang w:eastAsia="ru-RU"/>
        </w:rPr>
        <w:t>) платежам в бюджеты;</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ж</w:t>
      </w:r>
      <w:proofErr w:type="gramEnd"/>
      <w:r>
        <w:rPr>
          <w:rFonts w:ascii="Times New Roman" w:hAnsi="Times New Roman"/>
          <w:sz w:val="24"/>
          <w:szCs w:val="24"/>
          <w:lang w:eastAsia="ru-RU"/>
        </w:rPr>
        <w:t>) консолидируемым (внутриведомственным) расчетам;</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з</w:t>
      </w:r>
      <w:proofErr w:type="gramEnd"/>
      <w:r>
        <w:rPr>
          <w:rFonts w:ascii="Times New Roman" w:hAnsi="Times New Roman"/>
          <w:sz w:val="24"/>
          <w:szCs w:val="24"/>
          <w:lang w:eastAsia="ru-RU"/>
        </w:rPr>
        <w:t>) прочим расчетам с дебиторами, погашаемым не денежными средствами.</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3.2.4 Финансовая дебиторская задолженность при признании оценивается (п.12 СГС «Финансовые инструменты»):</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а</w:t>
      </w:r>
      <w:proofErr w:type="gramEnd"/>
      <w:r>
        <w:rPr>
          <w:rFonts w:ascii="Times New Roman" w:hAnsi="Times New Roman"/>
          <w:sz w:val="24"/>
          <w:szCs w:val="24"/>
          <w:lang w:eastAsia="ru-RU"/>
        </w:rPr>
        <w:t>) финансовая дебиторская задолженность, относящаяся к краткосрочным активам, - в размере ожидаемых согласно условиям соответствующих договоров (соглашений) сумм поступлений денежных средств и (или) их эквивалентов;</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б</w:t>
      </w:r>
      <w:proofErr w:type="gramEnd"/>
      <w:r>
        <w:rPr>
          <w:rFonts w:ascii="Times New Roman" w:hAnsi="Times New Roman"/>
          <w:sz w:val="24"/>
          <w:szCs w:val="24"/>
          <w:lang w:eastAsia="ru-RU"/>
        </w:rPr>
        <w:t>) финансовая дебиторская задолженность, возникающая по договорам (соглашениям) между бюджетами и (или) организациями бюджетной сферы, договорам операционной аренды и иным долгосрочным договорам подряда, оказания услуг, относящаяся к долгосрочным активам, - в размере ожидаемых денежных поступлений, установленных соответствующим договором (соглашением).</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3.2.5 Финансовая дебиторская задолженность после признания учитывается (п.13 СГС «Финансовые инструменты»):</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а</w:t>
      </w:r>
      <w:proofErr w:type="gramEnd"/>
      <w:r>
        <w:rPr>
          <w:rFonts w:ascii="Times New Roman" w:hAnsi="Times New Roman"/>
          <w:sz w:val="24"/>
          <w:szCs w:val="24"/>
          <w:lang w:eastAsia="ru-RU"/>
        </w:rPr>
        <w:t>) относящаяся к краткосрочным финансовым активам и (или) возникающая по договорам (соглашениям) между бюджетами и (или) организациями бюджетной сферы, относящаяся к долгосрочным финансовым активам, - по первоначальной стоимости, уменьшенной на суммы ее погашения (исполнения);</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б</w:t>
      </w:r>
      <w:proofErr w:type="gramEnd"/>
      <w:r>
        <w:rPr>
          <w:rFonts w:ascii="Times New Roman" w:hAnsi="Times New Roman"/>
          <w:sz w:val="24"/>
          <w:szCs w:val="24"/>
          <w:lang w:eastAsia="ru-RU"/>
        </w:rPr>
        <w:t>) долгосрочная финансовая дебиторская задолженность - по первоначальной стоимости, уменьшенной на суммы ее погашения (исполнения) и увеличенной на суммы процентных доходов, начисленных на конец отчетного периода.</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3.2.6. К признакам обесценения финансовых активов относятся (п.28 СГС «Финансовые инструменты»):</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а</w:t>
      </w:r>
      <w:proofErr w:type="gramEnd"/>
      <w:r>
        <w:rPr>
          <w:rFonts w:ascii="Times New Roman" w:hAnsi="Times New Roman"/>
          <w:sz w:val="24"/>
          <w:szCs w:val="24"/>
          <w:lang w:eastAsia="ru-RU"/>
        </w:rPr>
        <w:t>) полученная субъектом учета информация о значительном ухудшении финансовых (экономических) результатов деятельности эмитента или лица, принявшего на себя обязательства;</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б</w:t>
      </w:r>
      <w:proofErr w:type="gramEnd"/>
      <w:r>
        <w:rPr>
          <w:rFonts w:ascii="Times New Roman" w:hAnsi="Times New Roman"/>
          <w:sz w:val="24"/>
          <w:szCs w:val="24"/>
          <w:lang w:eastAsia="ru-RU"/>
        </w:rPr>
        <w:t>) нарушение условий договора (соглашения), в том числе отказ от выполнения обязательств или нарушение сроков уплаты процентов или основной суммы долга;</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в</w:t>
      </w:r>
      <w:proofErr w:type="gramEnd"/>
      <w:r>
        <w:rPr>
          <w:rFonts w:ascii="Times New Roman" w:hAnsi="Times New Roman"/>
          <w:sz w:val="24"/>
          <w:szCs w:val="24"/>
          <w:lang w:eastAsia="ru-RU"/>
        </w:rPr>
        <w:t>) полученная субъектом учета информация о вероятности банкротства или иного рода финансовой реорганизации эмитента или лица, принявшего на себя обязательства.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3.3 Задолженность признается безнадежной к взысканию в случаях:</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возвращения исполнительного документа взыскателю в связи с невозможностью его исполнения;</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наличия суммы, не подтвержденной должником в течение срока исковой давности;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наличия суммы, не востребованной кредитором в течение срока исковой давности;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прекращения обязательств в случае ликвидации (смерти) дебитора.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3.4 Первоначальное признание объекта учета операционной аренды – право пользования активом производится на дату классификации объектов учета аренды в сумме арендных платежей за весь срок пользования имуществом, предусмотренный договором аренды (имущественного найма) или договором безвозмездного пользования с одновременным отражением арендных обязательств пользователя (арендатора) (кредиторской задолженности по аренде).</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3.5 Дебиторская задолженность по арендным обязательствам пользователя (арендатора) признается в сумме дисконтированной стоимости арендных платежей (п.22 СГС «Аренда»).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3.6 Оценка доходов производится по продажной цене, сумме сделки, указанной в договоре, признание доходов осуществляется по методу начисления, дата признания определяется по дате перехода права собственности на услугу, товар, готовую продукцию, работу </w:t>
      </w:r>
      <w:bookmarkStart w:id="1" w:name="_GoBack"/>
      <w:r>
        <w:rPr>
          <w:rFonts w:ascii="Times New Roman" w:hAnsi="Times New Roman"/>
          <w:strike/>
          <w:sz w:val="24"/>
          <w:szCs w:val="24"/>
          <w:highlight w:val="yellow"/>
        </w:rPr>
        <w:t>(п.295 ЕПС).</w:t>
      </w:r>
    </w:p>
    <w:bookmarkEnd w:id="1"/>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3.7 К расходам будущих периодов относятся расходы, связанные:</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со страхованием имущества, гражданской ответственности;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с выплатой отпускных;</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с приобретением неисключительного права пользования нематериальными активами в течение нескольких отчетных периодов;</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с неравномерно производимым ремонтом основных средств.</w:t>
      </w:r>
    </w:p>
    <w:p>
      <w:pPr>
        <w:autoSpaceDE w:val="0"/>
        <w:autoSpaceDN w:val="0"/>
        <w:adjustRightInd w:val="0"/>
        <w:spacing w:after="0" w:line="240" w:lineRule="auto"/>
        <w:jc w:val="center"/>
        <w:rPr>
          <w:rFonts w:ascii="Times New Roman" w:hAnsi="Times New Roman"/>
          <w:sz w:val="24"/>
          <w:szCs w:val="24"/>
        </w:rPr>
      </w:pPr>
    </w:p>
    <w:p>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4. Методы оценки резервов</w:t>
      </w:r>
    </w:p>
    <w:p>
      <w:pPr>
        <w:autoSpaceDE w:val="0"/>
        <w:autoSpaceDN w:val="0"/>
        <w:adjustRightInd w:val="0"/>
        <w:spacing w:after="0" w:line="240" w:lineRule="auto"/>
        <w:jc w:val="center"/>
        <w:rPr>
          <w:rFonts w:ascii="Times New Roman" w:hAnsi="Times New Roman"/>
          <w:sz w:val="24"/>
          <w:szCs w:val="24"/>
        </w:rPr>
      </w:pP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4.1. Признание в учете расходов, в отношении которых сформирован резерв предстоящих расходов, осуществлять за счет суммы созданного резерва.</w:t>
      </w:r>
    </w:p>
    <w:p>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xml:space="preserve">Относить созданные резервы в бухгалтерском учете к оценочным значения. Под оценочным значением понимать значение какого-либо показателя, которое рассчитано или приблизительно определено при отсутствии точного способа его определения (п. 6 СГС </w:t>
      </w:r>
      <w:r>
        <w:rPr>
          <w:rFonts w:ascii="Times New Roman" w:hAnsi="Times New Roman"/>
          <w:sz w:val="24"/>
          <w:szCs w:val="24"/>
        </w:rPr>
        <w:br/>
        <w:t>«Учетная политика, оценочное значение, ошибки», п. 10 письма Минфина России от 31.08.2018 № 02-06-07/62480).</w:t>
      </w:r>
    </w:p>
    <w:p>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Обоснованные оценочные значения (оценки) резервов подтверждать расчетом, прогнозом, оценочным экспертным суждением (в частности, заключением оценщика, решением комиссии по поступлению и выбытию нефинансовых активов) и т.д.).</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Списание сумм резервов производить при признании затрат и (или) при признании кредиторской задолженности по выполнению обязательства, по которому резерв был создан (</w:t>
      </w:r>
      <w:hyperlink r:id="rId20" w:history="1">
        <w:r>
          <w:rPr>
            <w:rFonts w:ascii="Times New Roman" w:hAnsi="Times New Roman"/>
            <w:sz w:val="24"/>
            <w:szCs w:val="24"/>
          </w:rPr>
          <w:t>п. 28</w:t>
        </w:r>
      </w:hyperlink>
      <w:r>
        <w:rPr>
          <w:rFonts w:ascii="Times New Roman" w:hAnsi="Times New Roman"/>
          <w:sz w:val="24"/>
          <w:szCs w:val="24"/>
        </w:rPr>
        <w:t xml:space="preserve"> СГС «Резервы»). При этом в случае:</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избыточности суммы признанного резерва или в случае прекращения выполнения условий признания резерва - неиспользованная сумма резерва списывается с отнесением на уменьшение расходов (финансового результата) текущего периода;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недостаточности суммы признанного резерва - разница между суммой признанного резерва и затратами по исполнению обязательства признается расходами (затратами) текущего периода.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4.2. В соответствии с п. 6 СГС «Выплаты персоналу», учреждение формирует отложенные выплаты персоналу в виде резерва предстоящей оплаты отпусков. </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Отложенные выплаты персоналу - выплаты персоналу, обусловленные обязанностью субъекта учета по их осуществлению, величина которых на момент их принятия представляет собой </w:t>
      </w:r>
      <w:proofErr w:type="spellStart"/>
      <w:r>
        <w:rPr>
          <w:rFonts w:ascii="Times New Roman" w:hAnsi="Times New Roman"/>
          <w:sz w:val="24"/>
          <w:szCs w:val="24"/>
          <w:lang w:eastAsia="ru-RU"/>
        </w:rPr>
        <w:t>расчетно</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документарно</w:t>
      </w:r>
      <w:proofErr w:type="spellEnd"/>
      <w:r>
        <w:rPr>
          <w:rFonts w:ascii="Times New Roman" w:hAnsi="Times New Roman"/>
          <w:sz w:val="24"/>
          <w:szCs w:val="24"/>
          <w:lang w:eastAsia="ru-RU"/>
        </w:rPr>
        <w:t>) обоснованную оценку обязательства с неопределенным временем (финансовым периодом) их исполнения.</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Объектами учета отложенных выплат персоналу в части предстоящих расходов на оплату отпусков признаются обязательства субъекта учета перед физическим лицом:</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в сумме денежных обязательств по оплате отпусков за фактически отработанное время;</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в сумме компенсации за неиспользованный отпуск, в том числе при увольнении;</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платежи на обязательное социальное страхование.</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Оценочное обязательство по резерву на оплату отпусков за фактически отработанное время формируется ежемесячно на последнее число каждого месяца, исходя из данных количества дней неиспользованного отпуска по сотрудникам на указанную дату, предоставленных Комитетом по кадрам и муниципальной службы Администрации ЗАТО Северск.</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В величину резерва на оплату отпусков включается сумма оплаты отпусков сотрудникам за фактически отработанное время на дату расчёта резерва и начисленная на отпускные сумма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обязательное медицинское страхование, обязательное социальное страхование от несчастных случаев на производстве и профессиональных заболеваний.</w:t>
      </w:r>
    </w:p>
    <w:p>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Расчёт резерва рассчитывается по среднедневной заработной плате по каждому сотруднику за последние 12 месяцев, предшествующих дате расчёта резерва. </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Сумма расходов на оплату предстоящих отпусков определяется в целом исходя из следующей формулы:</w:t>
      </w:r>
    </w:p>
    <w:p>
      <w:pPr>
        <w:autoSpaceDE w:val="0"/>
        <w:autoSpaceDN w:val="0"/>
        <w:adjustRightInd w:val="0"/>
        <w:spacing w:after="0" w:line="240" w:lineRule="auto"/>
        <w:ind w:firstLine="567"/>
        <w:jc w:val="center"/>
        <w:rPr>
          <w:rFonts w:ascii="Times New Roman" w:hAnsi="Times New Roman"/>
          <w:sz w:val="24"/>
          <w:szCs w:val="24"/>
          <w:lang w:eastAsia="ru-RU"/>
        </w:rPr>
      </w:pPr>
      <w:r>
        <w:rPr>
          <w:rFonts w:ascii="Times New Roman" w:hAnsi="Times New Roman"/>
          <w:sz w:val="24"/>
          <w:szCs w:val="24"/>
          <w:lang w:eastAsia="ru-RU"/>
        </w:rPr>
        <w:t xml:space="preserve">Резерв отпусков = К * </w:t>
      </w:r>
      <w:proofErr w:type="spellStart"/>
      <w:r>
        <w:rPr>
          <w:rFonts w:ascii="Times New Roman" w:hAnsi="Times New Roman"/>
          <w:sz w:val="24"/>
          <w:szCs w:val="24"/>
          <w:lang w:eastAsia="ru-RU"/>
        </w:rPr>
        <w:t>ЗПср</w:t>
      </w:r>
      <w:proofErr w:type="spellEnd"/>
      <w:r>
        <w:rPr>
          <w:rFonts w:ascii="Times New Roman" w:hAnsi="Times New Roman"/>
          <w:sz w:val="24"/>
          <w:szCs w:val="24"/>
          <w:lang w:eastAsia="ru-RU"/>
        </w:rPr>
        <w:t>,</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где</w:t>
      </w:r>
      <w:proofErr w:type="gramEnd"/>
      <w:r>
        <w:rPr>
          <w:rFonts w:ascii="Times New Roman" w:hAnsi="Times New Roman"/>
          <w:sz w:val="24"/>
          <w:szCs w:val="24"/>
          <w:lang w:eastAsia="ru-RU"/>
        </w:rPr>
        <w:t>: К - общее количество неиспользованных всеми работниками (служащими) дней отпуска за период с начала работы на дату расчета (начало года);</w:t>
      </w:r>
    </w:p>
    <w:p>
      <w:pPr>
        <w:autoSpaceDE w:val="0"/>
        <w:autoSpaceDN w:val="0"/>
        <w:adjustRightInd w:val="0"/>
        <w:spacing w:after="0" w:line="240" w:lineRule="auto"/>
        <w:ind w:firstLine="567"/>
        <w:jc w:val="both"/>
        <w:rPr>
          <w:rFonts w:ascii="Times New Roman" w:hAnsi="Times New Roman"/>
          <w:sz w:val="24"/>
          <w:szCs w:val="24"/>
          <w:lang w:eastAsia="ru-RU"/>
        </w:rPr>
      </w:pPr>
      <w:proofErr w:type="spellStart"/>
      <w:r>
        <w:rPr>
          <w:rFonts w:ascii="Times New Roman" w:hAnsi="Times New Roman"/>
          <w:sz w:val="24"/>
          <w:szCs w:val="24"/>
          <w:lang w:eastAsia="ru-RU"/>
        </w:rPr>
        <w:t>ЗПср</w:t>
      </w:r>
      <w:proofErr w:type="spellEnd"/>
      <w:r>
        <w:rPr>
          <w:rFonts w:ascii="Times New Roman" w:hAnsi="Times New Roman"/>
          <w:sz w:val="24"/>
          <w:szCs w:val="24"/>
          <w:lang w:eastAsia="ru-RU"/>
        </w:rPr>
        <w:t xml:space="preserve"> - среднедневная заработная плата по всем работникам (служащим).</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При этом среднедневной заработок для расчета резерва определяется следующим образом:</w:t>
      </w:r>
    </w:p>
    <w:p>
      <w:pPr>
        <w:autoSpaceDE w:val="0"/>
        <w:autoSpaceDN w:val="0"/>
        <w:adjustRightInd w:val="0"/>
        <w:spacing w:after="0" w:line="240" w:lineRule="auto"/>
        <w:ind w:firstLine="567"/>
        <w:jc w:val="center"/>
        <w:rPr>
          <w:rFonts w:ascii="Times New Roman" w:hAnsi="Times New Roman"/>
          <w:sz w:val="24"/>
          <w:szCs w:val="24"/>
          <w:lang w:eastAsia="ru-RU"/>
        </w:rPr>
      </w:pPr>
      <w:proofErr w:type="spellStart"/>
      <w:r>
        <w:rPr>
          <w:rFonts w:ascii="Times New Roman" w:hAnsi="Times New Roman"/>
          <w:sz w:val="24"/>
          <w:szCs w:val="24"/>
          <w:lang w:eastAsia="ru-RU"/>
        </w:rPr>
        <w:t>ЗПср</w:t>
      </w:r>
      <w:proofErr w:type="spellEnd"/>
      <w:r>
        <w:rPr>
          <w:rFonts w:ascii="Times New Roman" w:hAnsi="Times New Roman"/>
          <w:sz w:val="24"/>
          <w:szCs w:val="24"/>
          <w:lang w:eastAsia="ru-RU"/>
        </w:rPr>
        <w:t xml:space="preserve"> = ФОТ / (12 * 29,3 * Ч)</w:t>
      </w: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где</w:t>
      </w:r>
      <w:proofErr w:type="gramEnd"/>
      <w:r>
        <w:rPr>
          <w:rFonts w:ascii="Times New Roman" w:hAnsi="Times New Roman"/>
          <w:sz w:val="24"/>
          <w:szCs w:val="24"/>
          <w:lang w:eastAsia="ru-RU"/>
        </w:rPr>
        <w:t>: ФОТ - сумма фактически начисленной заработной платы за предшествующие 12 месяцев в целом по учреждению;</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12 - количество месяцев в году;</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29,3 - среднемесячное число календарных дней;</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Ч - среднесписочная численность работников (служащих).</w:t>
      </w:r>
    </w:p>
    <w:p>
      <w:pPr>
        <w:pStyle w:val="ConsPlusNormal"/>
        <w:ind w:firstLine="567"/>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обязательное медицинское страхование, обязательное социальное страхование от несчастных случаев на производстве и профессиональных заболеваний при формировании резерва рассчитывается по каждому работнику индивидуально.</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Сумма страховых взносов при формировании резерва рассчитывается в среднем по субъекту учета:</w:t>
      </w:r>
    </w:p>
    <w:p>
      <w:pPr>
        <w:autoSpaceDE w:val="0"/>
        <w:autoSpaceDN w:val="0"/>
        <w:adjustRightInd w:val="0"/>
        <w:spacing w:after="0" w:line="240" w:lineRule="auto"/>
        <w:ind w:firstLine="567"/>
        <w:jc w:val="both"/>
        <w:rPr>
          <w:rFonts w:ascii="Times New Roman" w:hAnsi="Times New Roman"/>
          <w:sz w:val="24"/>
          <w:szCs w:val="24"/>
          <w:lang w:eastAsia="ru-RU"/>
        </w:rPr>
      </w:pPr>
    </w:p>
    <w:p>
      <w:pPr>
        <w:autoSpaceDE w:val="0"/>
        <w:autoSpaceDN w:val="0"/>
        <w:adjustRightInd w:val="0"/>
        <w:spacing w:after="0" w:line="240" w:lineRule="auto"/>
        <w:ind w:firstLine="567"/>
        <w:jc w:val="center"/>
        <w:rPr>
          <w:rFonts w:ascii="Times New Roman" w:hAnsi="Times New Roman"/>
          <w:sz w:val="24"/>
          <w:szCs w:val="24"/>
          <w:lang w:eastAsia="ru-RU"/>
        </w:rPr>
      </w:pPr>
      <w:r>
        <w:rPr>
          <w:rFonts w:ascii="Times New Roman" w:hAnsi="Times New Roman"/>
          <w:sz w:val="24"/>
          <w:szCs w:val="24"/>
          <w:lang w:eastAsia="ru-RU"/>
        </w:rPr>
        <w:t xml:space="preserve">Резерв </w:t>
      </w:r>
      <w:proofErr w:type="spellStart"/>
      <w:r>
        <w:rPr>
          <w:rFonts w:ascii="Times New Roman" w:hAnsi="Times New Roman"/>
          <w:sz w:val="24"/>
          <w:szCs w:val="24"/>
          <w:lang w:eastAsia="ru-RU"/>
        </w:rPr>
        <w:t>стр.взн</w:t>
      </w:r>
      <w:proofErr w:type="spellEnd"/>
      <w:r>
        <w:rPr>
          <w:rFonts w:ascii="Times New Roman" w:hAnsi="Times New Roman"/>
          <w:sz w:val="24"/>
          <w:szCs w:val="24"/>
          <w:lang w:eastAsia="ru-RU"/>
        </w:rPr>
        <w:t xml:space="preserve">. = К * </w:t>
      </w:r>
      <w:proofErr w:type="spellStart"/>
      <w:r>
        <w:rPr>
          <w:rFonts w:ascii="Times New Roman" w:hAnsi="Times New Roman"/>
          <w:sz w:val="24"/>
          <w:szCs w:val="24"/>
          <w:lang w:eastAsia="ru-RU"/>
        </w:rPr>
        <w:t>ЗПср</w:t>
      </w:r>
      <w:proofErr w:type="spellEnd"/>
      <w:r>
        <w:rPr>
          <w:rFonts w:ascii="Times New Roman" w:hAnsi="Times New Roman"/>
          <w:sz w:val="24"/>
          <w:szCs w:val="24"/>
          <w:lang w:eastAsia="ru-RU"/>
        </w:rPr>
        <w:t xml:space="preserve"> * С,</w:t>
      </w:r>
    </w:p>
    <w:p>
      <w:pPr>
        <w:autoSpaceDE w:val="0"/>
        <w:autoSpaceDN w:val="0"/>
        <w:adjustRightInd w:val="0"/>
        <w:spacing w:after="0" w:line="240" w:lineRule="auto"/>
        <w:ind w:firstLine="567"/>
        <w:jc w:val="both"/>
        <w:rPr>
          <w:rFonts w:ascii="Times New Roman" w:hAnsi="Times New Roman"/>
          <w:sz w:val="24"/>
          <w:szCs w:val="24"/>
          <w:lang w:eastAsia="ru-RU"/>
        </w:rPr>
      </w:pPr>
    </w:p>
    <w:p>
      <w:pPr>
        <w:autoSpaceDE w:val="0"/>
        <w:autoSpaceDN w:val="0"/>
        <w:adjustRightInd w:val="0"/>
        <w:spacing w:after="0" w:line="240" w:lineRule="auto"/>
        <w:ind w:firstLine="567"/>
        <w:jc w:val="both"/>
        <w:rPr>
          <w:rFonts w:ascii="Times New Roman" w:hAnsi="Times New Roman"/>
          <w:sz w:val="24"/>
          <w:szCs w:val="24"/>
          <w:lang w:eastAsia="ru-RU"/>
        </w:rPr>
      </w:pPr>
      <w:proofErr w:type="gramStart"/>
      <w:r>
        <w:rPr>
          <w:rFonts w:ascii="Times New Roman" w:hAnsi="Times New Roman"/>
          <w:sz w:val="24"/>
          <w:szCs w:val="24"/>
          <w:lang w:eastAsia="ru-RU"/>
        </w:rPr>
        <w:t>где</w:t>
      </w:r>
      <w:proofErr w:type="gramEnd"/>
      <w:r>
        <w:rPr>
          <w:rFonts w:ascii="Times New Roman" w:hAnsi="Times New Roman"/>
          <w:sz w:val="24"/>
          <w:szCs w:val="24"/>
          <w:lang w:eastAsia="ru-RU"/>
        </w:rPr>
        <w:t>: С - ставка страховых взносов.</w:t>
      </w:r>
    </w:p>
    <w:p>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Резерв на оплату страховых взносов рассчитывается с учётом методики расчёта резерва на оплату отпусков. При этом сумма страховых взносов рассчитывается с учётом предельной величины базы для начисления страховых взносов на обязательное социальное страхование на случай временной нетрудоспособности и в связи с материнством, уплачиваемых в Фонд социального страхования Российской Федерации на основании информации за предшествующий период, а также применяемого к нему повышающего коэффициента.</w:t>
      </w:r>
    </w:p>
    <w:p>
      <w:pPr>
        <w:pStyle w:val="ConsPlusNormal"/>
        <w:jc w:val="both"/>
        <w:rPr>
          <w:rFonts w:ascii="Times New Roman" w:hAnsi="Times New Roman" w:cs="Times New Roman"/>
          <w:sz w:val="24"/>
          <w:szCs w:val="24"/>
          <w:lang w:eastAsia="en-US"/>
        </w:rPr>
      </w:pPr>
      <w:r>
        <w:rPr>
          <w:rFonts w:ascii="Times New Roman" w:hAnsi="Times New Roman" w:cs="Times New Roman"/>
          <w:sz w:val="24"/>
          <w:szCs w:val="24"/>
          <w:lang w:eastAsia="en-US"/>
        </w:rPr>
        <w:t>Резерв должен использоваться только на покрытие тех затрат, в отношении которых этот резерв был изначально создан.</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Стоимостная оценка объектов учета отложенных выплат персоналу подлежит пересмотру не реже чем на годовую отчетную дату и при необходимости подлежит корректировке до текущей обоснованной оценки.</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4.3. Резерв, возникающий из претензионных требований и исков по результатам фактов хозяйственной жизни, в том числе в рамках досудебного (внесудебного) рассмотрения претензий. Формируется в размере сумм, предъявленных к Управлению штрафных санкций (пеней), иных компенсаций по причиненным ущербам (убыткам), в том числе вытекающим из условий гражданско-правовых договоров (контрактов), а также ожидаемых судебных расходов (издержек), в случае предъявления Управлению согласно законодательству РФ претензий (исков), иных аналогичных ожидаемых расходов (письмо Минфина РФ от 19.10.2018 № 02-07-10/75145).</w:t>
      </w:r>
    </w:p>
    <w:p>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Создается в случае, когда Управлению является стороной судебного разбирательства. Формируется в размере </w:t>
      </w:r>
      <w:r>
        <w:rPr>
          <w:rFonts w:ascii="Times New Roman" w:hAnsi="Times New Roman"/>
          <w:sz w:val="24"/>
          <w:szCs w:val="24"/>
          <w:lang w:eastAsia="ru-RU"/>
        </w:rPr>
        <w:t>признается в полной сумме претензионных требований и исков (п.22 СГС «Резерв»)</w:t>
      </w:r>
      <w:r>
        <w:rPr>
          <w:rFonts w:ascii="Times New Roman" w:hAnsi="Times New Roman"/>
          <w:sz w:val="24"/>
          <w:szCs w:val="24"/>
        </w:rPr>
        <w:t>.</w:t>
      </w:r>
    </w:p>
    <w:p>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Момент признания требования на основании предъявленных претензий и исков:</w:t>
      </w:r>
    </w:p>
    <w:p>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дата получения претензионного требования, по которому предполагается досудебное урегулирование;</w:t>
      </w:r>
    </w:p>
    <w:p>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дата уведомления Управления о принятии иска к судебному производству по требованиям, по которым предполагается досудебное урегулирование.</w:t>
      </w:r>
    </w:p>
    <w:p>
      <w:pPr>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Резерв по претензиям, искам, предъявленным к публично-правовому образованию и удовлетворяемым за счет соответствующей казны, признается в бухгалтерском учете в случае претензионного (досудебного) урегулирования предъявленных требований и (или) при наличии оснований для обжалования судебного акта (п.12 СГС «Резервы», письмо Минфина РФ от 21.08.2020 г. № 02-05-10/73494).</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4.4. Резерв по обязательствам Управления, возникающим по фактам хозяйственной деятельности (сделкам, операциям), по начислению которых существует на отчетную дату неопределенность по их размеру ввиду отсутствия первичных учетных документов. Оценивается по состоянию на 31 декабря в сумме разницы между исполненной и не исполненной суммой по договору (контракту), подлежащей оплате на момент поступления документов в январе следующего года.</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4.5. Резерв по сомнительным долгам. Создавать по решению комиссии по поступлению и выбытию активов.</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Информация о суммах сомнительного долга в целях наблюдения в течение срока возможного возобновления согласно законодательству Российской Федерации процедуры взыскания задолженности, в том числе в случае изменения имущественного положения должников, либо до поступления в указанный срок в погашение сомнительной задолженности денежных средств, до исполнения (прекращения) задолженности иным не противоречащим законодательству Российской Федерации способом, отражается (в пределах сформированного резерва по сомнительной задолженности) на забалансовом </w:t>
      </w:r>
      <w:hyperlink r:id="rId21" w:history="1">
        <w:r>
          <w:rPr>
            <w:rFonts w:ascii="Times New Roman" w:hAnsi="Times New Roman"/>
            <w:sz w:val="24"/>
            <w:szCs w:val="24"/>
            <w:lang w:eastAsia="ru-RU"/>
          </w:rPr>
          <w:t>счете 04</w:t>
        </w:r>
      </w:hyperlink>
      <w:r>
        <w:rPr>
          <w:rFonts w:ascii="Times New Roman" w:hAnsi="Times New Roman"/>
          <w:sz w:val="24"/>
          <w:szCs w:val="24"/>
          <w:lang w:eastAsia="ru-RU"/>
        </w:rPr>
        <w:t xml:space="preserve"> «Сомнительная задолженность» (письмо Минфина России от 18.10.2019 № 02-07-10/80328, от 14.06.2019 № 02-07-10/43339).</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rPr>
        <w:t>Резерв по сомнительным долгам создается в конце каждого отчётного периода не позднее последнего дня отчётного периода.</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Величина резерва равна величине выявленной сомнительной задолженности.</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Если в отношении сомнительной задолженности принято решение о признании ее безнадежной к взысканию, то сомнительный долг списывается с учета с одновременным уменьшением доходов текущего отчетного периода (уменьшением резерва по сомнительным долгам).</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4.6 Стоимостная оценка резервов подлежит ежегодному пересмотру и корректировке до текущей обоснованной оценки на отчетную дату.</w:t>
      </w:r>
    </w:p>
    <w:p>
      <w:pPr>
        <w:autoSpaceDE w:val="0"/>
        <w:autoSpaceDN w:val="0"/>
        <w:adjustRightInd w:val="0"/>
        <w:spacing w:after="0" w:line="240" w:lineRule="auto"/>
        <w:ind w:firstLine="567"/>
        <w:jc w:val="both"/>
        <w:rPr>
          <w:rFonts w:ascii="Times New Roman" w:hAnsi="Times New Roman"/>
          <w:b/>
          <w:sz w:val="24"/>
          <w:szCs w:val="24"/>
        </w:rPr>
      </w:pPr>
      <w:r>
        <w:rPr>
          <w:rFonts w:ascii="Times New Roman" w:hAnsi="Times New Roman"/>
          <w:sz w:val="24"/>
          <w:szCs w:val="24"/>
          <w:lang w:eastAsia="ru-RU"/>
        </w:rPr>
        <w:t>Резерв списывается при признании затрат и (или) при признании кредиторской задолженности по выполнению обязательства, по которому резерв был создан.</w:t>
      </w:r>
    </w:p>
    <w:p>
      <w:pPr>
        <w:autoSpaceDE w:val="0"/>
        <w:autoSpaceDN w:val="0"/>
        <w:adjustRightInd w:val="0"/>
        <w:spacing w:after="0" w:line="240" w:lineRule="auto"/>
        <w:jc w:val="center"/>
        <w:rPr>
          <w:rFonts w:ascii="Times New Roman" w:hAnsi="Times New Roman"/>
          <w:b/>
          <w:sz w:val="24"/>
          <w:szCs w:val="24"/>
        </w:rPr>
      </w:pP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center"/>
        <w:rPr>
          <w:rFonts w:ascii="Times New Roman" w:hAnsi="Times New Roman"/>
          <w:sz w:val="24"/>
          <w:szCs w:val="24"/>
        </w:rPr>
      </w:pPr>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69179D"/>
    <w:multiLevelType w:val="hybridMultilevel"/>
    <w:tmpl w:val="8F5C3D56"/>
    <w:lvl w:ilvl="0" w:tplc="9D66FA6C">
      <w:start w:val="1"/>
      <w:numFmt w:val="decimal"/>
      <w:lvlText w:val="%1)"/>
      <w:lvlJc w:val="left"/>
      <w:pPr>
        <w:ind w:left="361" w:hanging="360"/>
      </w:pPr>
      <w:rPr>
        <w:rFonts w:cs="Times New Roman" w:hint="default"/>
      </w:rPr>
    </w:lvl>
    <w:lvl w:ilvl="1" w:tplc="04190019" w:tentative="1">
      <w:start w:val="1"/>
      <w:numFmt w:val="lowerLetter"/>
      <w:lvlText w:val="%2."/>
      <w:lvlJc w:val="left"/>
      <w:pPr>
        <w:ind w:left="1081" w:hanging="360"/>
      </w:pPr>
      <w:rPr>
        <w:rFonts w:cs="Times New Roman"/>
      </w:rPr>
    </w:lvl>
    <w:lvl w:ilvl="2" w:tplc="0419001B" w:tentative="1">
      <w:start w:val="1"/>
      <w:numFmt w:val="lowerRoman"/>
      <w:lvlText w:val="%3."/>
      <w:lvlJc w:val="right"/>
      <w:pPr>
        <w:ind w:left="1801" w:hanging="180"/>
      </w:pPr>
      <w:rPr>
        <w:rFonts w:cs="Times New Roman"/>
      </w:rPr>
    </w:lvl>
    <w:lvl w:ilvl="3" w:tplc="0419000F" w:tentative="1">
      <w:start w:val="1"/>
      <w:numFmt w:val="decimal"/>
      <w:lvlText w:val="%4."/>
      <w:lvlJc w:val="left"/>
      <w:pPr>
        <w:ind w:left="2521" w:hanging="360"/>
      </w:pPr>
      <w:rPr>
        <w:rFonts w:cs="Times New Roman"/>
      </w:rPr>
    </w:lvl>
    <w:lvl w:ilvl="4" w:tplc="04190019" w:tentative="1">
      <w:start w:val="1"/>
      <w:numFmt w:val="lowerLetter"/>
      <w:lvlText w:val="%5."/>
      <w:lvlJc w:val="left"/>
      <w:pPr>
        <w:ind w:left="3241" w:hanging="360"/>
      </w:pPr>
      <w:rPr>
        <w:rFonts w:cs="Times New Roman"/>
      </w:rPr>
    </w:lvl>
    <w:lvl w:ilvl="5" w:tplc="0419001B" w:tentative="1">
      <w:start w:val="1"/>
      <w:numFmt w:val="lowerRoman"/>
      <w:lvlText w:val="%6."/>
      <w:lvlJc w:val="right"/>
      <w:pPr>
        <w:ind w:left="3961" w:hanging="180"/>
      </w:pPr>
      <w:rPr>
        <w:rFonts w:cs="Times New Roman"/>
      </w:rPr>
    </w:lvl>
    <w:lvl w:ilvl="6" w:tplc="0419000F" w:tentative="1">
      <w:start w:val="1"/>
      <w:numFmt w:val="decimal"/>
      <w:lvlText w:val="%7."/>
      <w:lvlJc w:val="left"/>
      <w:pPr>
        <w:ind w:left="4681" w:hanging="360"/>
      </w:pPr>
      <w:rPr>
        <w:rFonts w:cs="Times New Roman"/>
      </w:rPr>
    </w:lvl>
    <w:lvl w:ilvl="7" w:tplc="04190019" w:tentative="1">
      <w:start w:val="1"/>
      <w:numFmt w:val="lowerLetter"/>
      <w:lvlText w:val="%8."/>
      <w:lvlJc w:val="left"/>
      <w:pPr>
        <w:ind w:left="5401" w:hanging="360"/>
      </w:pPr>
      <w:rPr>
        <w:rFonts w:cs="Times New Roman"/>
      </w:rPr>
    </w:lvl>
    <w:lvl w:ilvl="8" w:tplc="0419001B" w:tentative="1">
      <w:start w:val="1"/>
      <w:numFmt w:val="lowerRoman"/>
      <w:lvlText w:val="%9."/>
      <w:lvlJc w:val="right"/>
      <w:pPr>
        <w:ind w:left="6121" w:hanging="180"/>
      </w:pPr>
      <w:rPr>
        <w:rFonts w:cs="Times New Roman"/>
      </w:rPr>
    </w:lvl>
  </w:abstractNum>
  <w:abstractNum w:abstractNumId="1">
    <w:nsid w:val="3B306174"/>
    <w:multiLevelType w:val="hybridMultilevel"/>
    <w:tmpl w:val="A328B7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3E20226"/>
    <w:multiLevelType w:val="hybridMultilevel"/>
    <w:tmpl w:val="212CF2D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FF83257"/>
    <w:multiLevelType w:val="hybridMultilevel"/>
    <w:tmpl w:val="2578DB44"/>
    <w:lvl w:ilvl="0" w:tplc="0419000F">
      <w:start w:val="2"/>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nsid w:val="54EA4D99"/>
    <w:multiLevelType w:val="hybridMultilevel"/>
    <w:tmpl w:val="ED2079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5EC623AC"/>
    <w:multiLevelType w:val="hybridMultilevel"/>
    <w:tmpl w:val="F5B8399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6D96EA0"/>
    <w:multiLevelType w:val="hybridMultilevel"/>
    <w:tmpl w:val="9138B60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num>
  <w:num w:numId="4">
    <w:abstractNumId w:val="3"/>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3ADA0C-A09D-42DD-96A9-A851FEB86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pPr>
      <w:spacing w:after="0" w:line="240" w:lineRule="auto"/>
    </w:pPr>
    <w:rPr>
      <w:rFont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pPr>
      <w:ind w:left="720"/>
      <w:contextualSpacing/>
    </w:p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Pr>
      <w:rFonts w:ascii="Tahoma" w:hAnsi="Tahoma" w:cs="Tahoma"/>
      <w:sz w:val="16"/>
      <w:szCs w:val="16"/>
      <w:lang w:val="x-none" w:eastAsia="en-US"/>
    </w:rPr>
  </w:style>
  <w:style w:type="paragraph" w:customStyle="1" w:styleId="ConsPlusNormal">
    <w:name w:val="ConsPlusNormal"/>
    <w:link w:val="ConsPlusNormal0"/>
    <w:pPr>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locked/>
    <w:rPr>
      <w:rFonts w:ascii="Arial" w:hAnsi="Arial"/>
      <w:sz w:val="20"/>
    </w:rPr>
  </w:style>
  <w:style w:type="paragraph" w:customStyle="1" w:styleId="Style4">
    <w:name w:val="Style4"/>
    <w:basedOn w:val="a"/>
    <w:pPr>
      <w:widowControl w:val="0"/>
      <w:autoSpaceDE w:val="0"/>
      <w:autoSpaceDN w:val="0"/>
      <w:adjustRightInd w:val="0"/>
      <w:spacing w:after="0" w:line="277" w:lineRule="exact"/>
      <w:ind w:firstLine="674"/>
      <w:jc w:val="both"/>
    </w:pPr>
    <w:rPr>
      <w:rFonts w:ascii="Times New Roman" w:hAnsi="Times New Roman"/>
      <w:sz w:val="24"/>
      <w:szCs w:val="24"/>
      <w:lang w:eastAsia="ru-RU"/>
    </w:rPr>
  </w:style>
  <w:style w:type="character" w:customStyle="1" w:styleId="FontStyle14">
    <w:name w:val="Font Style14"/>
    <w:rPr>
      <w:rFonts w:ascii="Times New Roman" w:hAnsi="Times New Roman"/>
      <w:sz w:val="22"/>
    </w:rPr>
  </w:style>
  <w:style w:type="paragraph" w:styleId="a7">
    <w:name w:val="header"/>
    <w:basedOn w:val="a"/>
    <w:link w:val="a8"/>
    <w:uiPriority w:val="99"/>
    <w:pPr>
      <w:tabs>
        <w:tab w:val="center" w:pos="4677"/>
        <w:tab w:val="right" w:pos="9355"/>
      </w:tabs>
      <w:spacing w:after="0" w:line="240" w:lineRule="auto"/>
    </w:pPr>
    <w:rPr>
      <w:rFonts w:ascii="Times New Roman" w:hAnsi="Times New Roman"/>
      <w:sz w:val="24"/>
      <w:szCs w:val="24"/>
      <w:lang w:eastAsia="ru-RU"/>
    </w:rPr>
  </w:style>
  <w:style w:type="character" w:customStyle="1" w:styleId="a8">
    <w:name w:val="Верхний колонтитул Знак"/>
    <w:basedOn w:val="a0"/>
    <w:link w:val="a7"/>
    <w:uiPriority w:val="99"/>
    <w:locke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068E26221E15DC22583A506574C270DFC2BA0D7044E720526ABD0428BB63956271ABEE47D08A8EE99B7C6D167F3AEAFFCA71A7F688F95EnBt4I" TargetMode="External"/><Relationship Id="rId13" Type="http://schemas.openxmlformats.org/officeDocument/2006/relationships/hyperlink" Target="consultantplus://offline/ref=04240ACBBB23317F89860477FD3A0A3751D75E02304CB3BE6B6FBCD6626C1CEA7CA9E1502ED43002C491246F96457D611E914855535F17EEX6c8L" TargetMode="External"/><Relationship Id="rId18" Type="http://schemas.openxmlformats.org/officeDocument/2006/relationships/hyperlink" Target="consultantplus://offline/ref=2675D6C2A60C1AAB31FC6859DC9FE3E7B1A04D5498B25572FEB9D9C019FAD186E5B82F94FD0B4F19H8XFN" TargetMode="External"/><Relationship Id="rId3" Type="http://schemas.openxmlformats.org/officeDocument/2006/relationships/settings" Target="settings.xml"/><Relationship Id="rId21" Type="http://schemas.openxmlformats.org/officeDocument/2006/relationships/hyperlink" Target="consultantplus://offline/ref=C9754D8A55D89E434849A2C0801EFD330D50B2377E48435567245C71453CA922A9F6C443F37E98C1C0D2EFE87C7F9402F3E7D89F70FF6FE0J" TargetMode="External"/><Relationship Id="rId7" Type="http://schemas.openxmlformats.org/officeDocument/2006/relationships/hyperlink" Target="https://login.consultant.ru/link/?req=doc&amp;base=LAW&amp;n=460116&amp;dst=100137" TargetMode="External"/><Relationship Id="rId12" Type="http://schemas.openxmlformats.org/officeDocument/2006/relationships/hyperlink" Target="consultantplus://offline/ref=04240ACBBB23317F89860477FD3A0A3751D75E02304CB3BE6B6FBCD6626C1CEA7CA9E1502ED4310BCD91246F96457D611E914855535F17EEX6c8L" TargetMode="External"/><Relationship Id="rId17" Type="http://schemas.openxmlformats.org/officeDocument/2006/relationships/hyperlink" Target="consultantplus://offline/ref=708E6347FE2E27C5F7B5C36485C90DA641945463EE9CBB8272DD2721A70BCE417DE74B7A7322145Ez9V5N" TargetMode="External"/><Relationship Id="rId2" Type="http://schemas.openxmlformats.org/officeDocument/2006/relationships/styles" Target="styles.xml"/><Relationship Id="rId16" Type="http://schemas.openxmlformats.org/officeDocument/2006/relationships/hyperlink" Target="consultantplus://offline/ref=708E6347FE2E27C5F7B5C36485C90DA641945463EE9CBB8272DD2721A70BCE417DE74B7A73221557z9VCN" TargetMode="External"/><Relationship Id="rId20" Type="http://schemas.openxmlformats.org/officeDocument/2006/relationships/hyperlink" Target="consultantplus://offline/ref=9EE833699289A2B2595E1662AFEEA32D2C22FD8FA27FB9F4C6E5D84B4522DCF692C7B9722FF32F2876466A2F0DD754E7DA9823AE039A8733w8H7G" TargetMode="External"/><Relationship Id="rId1" Type="http://schemas.openxmlformats.org/officeDocument/2006/relationships/numbering" Target="numbering.xml"/><Relationship Id="rId6" Type="http://schemas.openxmlformats.org/officeDocument/2006/relationships/hyperlink" Target="consultantplus://offline/ref=048F9AAB31344FC29FF17508DCF8C1DF8C7403029737646DE1F2FF212BB459F3DF43A596957ArEG" TargetMode="External"/><Relationship Id="rId11" Type="http://schemas.openxmlformats.org/officeDocument/2006/relationships/hyperlink" Target="consultantplus://offline/ref=04240ACBBB23317F89860477FD3A0A3751D75E02304CB3BE6B6FBCD6626C1CEA7CA9E1502ED4310BC391246F96457D611E914855535F17EEX6c8L" TargetMode="External"/><Relationship Id="rId5" Type="http://schemas.openxmlformats.org/officeDocument/2006/relationships/hyperlink" Target="consultantplus://offline/ref=5676616261ADD89B1934827390CE0D6CAFC6570C93D68310793E0842F1003ED3CE7BFF63986AB43D33C9C8276DEDD1E3EFB0B0F7A26A9217xCW6C" TargetMode="External"/><Relationship Id="rId15" Type="http://schemas.openxmlformats.org/officeDocument/2006/relationships/hyperlink" Target="consultantplus://offline/ref=FC6488DEAA47702708465BCBC8B6E8C945AEE5DDDCD197B7010BF9E8C5AAD3D7F97D526155F1F5E78140AD66A42A786651F65DED4D2A69DFZ1X4I" TargetMode="External"/><Relationship Id="rId23" Type="http://schemas.openxmlformats.org/officeDocument/2006/relationships/theme" Target="theme/theme1.xml"/><Relationship Id="rId10" Type="http://schemas.openxmlformats.org/officeDocument/2006/relationships/hyperlink" Target="consultantplus://offline/ref=04240ACBBB23317F89860477FD3A0A3751D75E02304CB3BE6B6FBCD6626C1CEA7CA9E1502ED4310BC291246F96457D611E914855535F17EEX6c8L" TargetMode="External"/><Relationship Id="rId19" Type="http://schemas.openxmlformats.org/officeDocument/2006/relationships/hyperlink" Target="consultantplus://offline/ref=62F705E34EA2E7BF062F8D5B47E30D1D0E3D8F39D324F9E80F79C676BD7980C98F942A4370B381E9vEcAN" TargetMode="External"/><Relationship Id="rId4" Type="http://schemas.openxmlformats.org/officeDocument/2006/relationships/webSettings" Target="webSettings.xml"/><Relationship Id="rId9" Type="http://schemas.openxmlformats.org/officeDocument/2006/relationships/hyperlink" Target="consultantplus://offline/ref=04240ACBBB23317F89860477FD3A0A3751D75E02304CB3BE6B6FBCD6626C1CEA7CA9E1502ED43103C591246F96457D611E914855535F17EEX6c8L" TargetMode="External"/><Relationship Id="rId14" Type="http://schemas.openxmlformats.org/officeDocument/2006/relationships/hyperlink" Target="consultantplus://offline/ref=9673D3BAD8E0D9C980B52F2E88F02D21C495E2A5F49E9183345203C2DB8CD7CA33C0D920C961C91BBE5D2E0F4AEDBE0E00FE0Cj0R3I"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4837</Words>
  <Characters>37374</Characters>
  <Application>Microsoft Office Word</Application>
  <DocSecurity>0</DocSecurity>
  <Lines>311</Lines>
  <Paragraphs>84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Extreme Edition</Company>
  <LinksUpToDate>false</LinksUpToDate>
  <CharactersWithSpaces>42127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ASUS</dc:creator>
  <cp:keywords/>
  <dc:description/>
  <cp:lastModifiedBy>Купцова И.О.</cp:lastModifiedBy>
  <cp:revision>2</cp:revision>
  <cp:lastPrinted>2018-12-05T06:46:00Z</cp:lastPrinted>
  <dcterms:created xsi:type="dcterms:W3CDTF">2025-12-11T04:06:00Z</dcterms:created>
  <dcterms:modified xsi:type="dcterms:W3CDTF">2025-12-11T04:06:00Z</dcterms:modified>
</cp:coreProperties>
</file>