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cs="Courier New"/>
          <w:b/>
          <w:bCs/>
          <w:sz w:val="18"/>
          <w:szCs w:val="18"/>
        </w:rPr>
      </w:pP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p>
    <w:p>
      <w:pPr>
        <w:spacing w:after="0" w:line="240" w:lineRule="auto"/>
        <w:jc w:val="right"/>
        <w:rPr>
          <w:rFonts w:ascii="Times New Roman" w:hAnsi="Times New Roman"/>
          <w:sz w:val="24"/>
          <w:szCs w:val="24"/>
        </w:rPr>
      </w:pPr>
      <w:bookmarkStart w:id="0" w:name="_GoBack"/>
      <w:r>
        <w:rPr>
          <w:rFonts w:ascii="Times New Roman" w:hAnsi="Times New Roman"/>
          <w:sz w:val="24"/>
          <w:szCs w:val="24"/>
        </w:rPr>
        <w:t>Приложение № 7</w:t>
      </w:r>
    </w:p>
    <w:bookmarkEnd w:id="0"/>
    <w:p>
      <w:pPr>
        <w:pStyle w:val="a5"/>
        <w:jc w:val="right"/>
        <w:rPr>
          <w:bCs/>
          <w:spacing w:val="2"/>
        </w:rPr>
      </w:pPr>
      <w:proofErr w:type="gramStart"/>
      <w:r>
        <w:rPr>
          <w:bCs/>
          <w:spacing w:val="2"/>
        </w:rPr>
        <w:t>к</w:t>
      </w:r>
      <w:proofErr w:type="gramEnd"/>
      <w:r>
        <w:rPr>
          <w:bCs/>
          <w:spacing w:val="2"/>
        </w:rPr>
        <w:t xml:space="preserve"> Учетной политике</w:t>
      </w:r>
    </w:p>
    <w:p>
      <w:pPr>
        <w:spacing w:after="0" w:line="240" w:lineRule="auto"/>
        <w:jc w:val="right"/>
        <w:rPr>
          <w:rFonts w:ascii="Times New Roman" w:hAnsi="Times New Roman"/>
          <w:sz w:val="24"/>
          <w:szCs w:val="24"/>
        </w:rPr>
      </w:pPr>
      <w:proofErr w:type="gramStart"/>
      <w:r>
        <w:rPr>
          <w:rFonts w:ascii="Times New Roman" w:hAnsi="Times New Roman"/>
          <w:sz w:val="24"/>
          <w:szCs w:val="24"/>
        </w:rPr>
        <w:t>утвержденной</w:t>
      </w:r>
      <w:proofErr w:type="gramEnd"/>
      <w:r>
        <w:rPr>
          <w:rFonts w:ascii="Times New Roman" w:hAnsi="Times New Roman"/>
          <w:sz w:val="24"/>
          <w:szCs w:val="24"/>
        </w:rPr>
        <w:t xml:space="preserve"> приказом </w:t>
      </w:r>
    </w:p>
    <w:p>
      <w:pPr>
        <w:spacing w:after="0" w:line="240" w:lineRule="auto"/>
        <w:jc w:val="right"/>
        <w:rPr>
          <w:rFonts w:ascii="Times New Roman" w:hAnsi="Times New Roman"/>
          <w:sz w:val="24"/>
          <w:szCs w:val="24"/>
        </w:rPr>
      </w:pPr>
      <w:proofErr w:type="gramStart"/>
      <w:r>
        <w:rPr>
          <w:rFonts w:ascii="Times New Roman" w:hAnsi="Times New Roman"/>
          <w:sz w:val="24"/>
          <w:szCs w:val="24"/>
        </w:rPr>
        <w:t>начальника</w:t>
      </w:r>
      <w:proofErr w:type="gramEnd"/>
      <w:r>
        <w:rPr>
          <w:rFonts w:ascii="Times New Roman" w:hAnsi="Times New Roman"/>
          <w:sz w:val="24"/>
          <w:szCs w:val="24"/>
        </w:rPr>
        <w:t xml:space="preserve"> Финансового управления</w:t>
      </w:r>
    </w:p>
    <w:p>
      <w:pPr>
        <w:spacing w:after="0" w:line="240" w:lineRule="auto"/>
        <w:jc w:val="right"/>
        <w:rPr>
          <w:rFonts w:ascii="Times New Roman" w:hAnsi="Times New Roman"/>
          <w:sz w:val="24"/>
          <w:szCs w:val="24"/>
        </w:rPr>
      </w:pPr>
      <w:proofErr w:type="gramStart"/>
      <w:r>
        <w:rPr>
          <w:rFonts w:ascii="Times New Roman" w:hAnsi="Times New Roman"/>
          <w:sz w:val="24"/>
          <w:szCs w:val="24"/>
        </w:rPr>
        <w:t>от</w:t>
      </w:r>
      <w:proofErr w:type="gramEnd"/>
      <w:r>
        <w:rPr>
          <w:rFonts w:ascii="Times New Roman" w:hAnsi="Times New Roman"/>
          <w:sz w:val="24"/>
          <w:szCs w:val="24"/>
        </w:rPr>
        <w:t xml:space="preserve"> 30.12.2021 № 94</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rPr>
      </w:pPr>
      <w:r>
        <w:rPr>
          <w:rFonts w:ascii="Times New Roman" w:hAnsi="Times New Roman"/>
          <w:b/>
          <w:bCs/>
          <w:sz w:val="24"/>
          <w:szCs w:val="24"/>
        </w:rPr>
        <w:t xml:space="preserve">Положение </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proofErr w:type="gramStart"/>
      <w:r>
        <w:rPr>
          <w:rFonts w:ascii="Times New Roman" w:hAnsi="Times New Roman"/>
          <w:b/>
          <w:bCs/>
          <w:sz w:val="24"/>
          <w:szCs w:val="24"/>
        </w:rPr>
        <w:t>о</w:t>
      </w:r>
      <w:proofErr w:type="gramEnd"/>
      <w:r>
        <w:rPr>
          <w:rFonts w:ascii="Times New Roman" w:hAnsi="Times New Roman"/>
          <w:b/>
          <w:bCs/>
          <w:sz w:val="24"/>
          <w:szCs w:val="24"/>
        </w:rPr>
        <w:t xml:space="preserve"> порядке проведения инвентаризации основных средств </w:t>
      </w:r>
      <w:r>
        <w:rPr>
          <w:rFonts w:ascii="Times New Roman" w:hAnsi="Times New Roman"/>
          <w:b/>
          <w:bCs/>
          <w:sz w:val="24"/>
          <w:szCs w:val="24"/>
        </w:rPr>
        <w:br/>
        <w:t>и нематериальных активов</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Pr>
          <w:rFonts w:ascii="Times New Roman" w:hAnsi="Times New Roman"/>
          <w:sz w:val="24"/>
          <w:szCs w:val="24"/>
        </w:rPr>
        <w:t> </w:t>
      </w:r>
    </w:p>
    <w:p>
      <w:pPr>
        <w:pStyle w:val="a4"/>
        <w:numPr>
          <w:ilvl w:val="0"/>
          <w:numId w:val="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 xml:space="preserve"> Общие положения</w:t>
      </w:r>
    </w:p>
    <w:p>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pPr>
        <w:spacing w:after="0" w:line="240" w:lineRule="auto"/>
        <w:ind w:firstLine="539"/>
        <w:jc w:val="both"/>
        <w:rPr>
          <w:rFonts w:ascii="Times New Roman" w:hAnsi="Times New Roman"/>
          <w:strike/>
          <w:sz w:val="24"/>
          <w:szCs w:val="24"/>
        </w:rPr>
      </w:pPr>
      <w:r>
        <w:rPr>
          <w:rFonts w:ascii="Times New Roman" w:hAnsi="Times New Roman"/>
          <w:sz w:val="24"/>
          <w:szCs w:val="24"/>
        </w:rPr>
        <w:t xml:space="preserve">1.1. Настоящее Положение применяется в соответствии с требованиями ст. 11 Федерального закона РФ от 06.12.2011 № 402-ФЗ «О бухгалтерском учёте» (далее – Закон о бухгалтерском учёте), раздел </w:t>
      </w:r>
      <w:r>
        <w:rPr>
          <w:rFonts w:ascii="Times New Roman" w:hAnsi="Times New Roman"/>
          <w:sz w:val="24"/>
          <w:szCs w:val="24"/>
          <w:lang w:val="en-US"/>
        </w:rPr>
        <w:t>VIII</w:t>
      </w:r>
      <w:r>
        <w:rPr>
          <w:rFonts w:ascii="Times New Roman" w:hAnsi="Times New Roman"/>
          <w:sz w:val="24"/>
          <w:szCs w:val="24"/>
        </w:rPr>
        <w:t xml:space="preserve">  СГС «Концептуальные основы бухгалтерского учёта и отчётности организаций госсектора», утвержденного приказом Минфина России от 31.12.2016г. № 256н (далее – СГС «Концептуальные основы»), п.9 приказа Минфина РФ от 30.12.2017 № 274н «Об утверждении федерального стандарта бухгалтерского учёта для организаций государственного сектора «Учётная политика, оценочные значения и ошибки» (далее – СГС «Учётная политика, оценочные значения и ошибки»), приказ Минфина РФ от </w:t>
      </w:r>
      <w:r>
        <w:rPr>
          <w:rFonts w:ascii="Times New Roman" w:hAnsi="Times New Roman"/>
          <w:sz w:val="24"/>
          <w:szCs w:val="24"/>
          <w:lang w:eastAsia="ru-RU"/>
        </w:rPr>
        <w:t xml:space="preserve">31.12.2016 № 259н «Об утверждении федерального стандарта бухгалтерского учёта для организаций государственного сектора «Обесценение активов» (далее – СГС «Обесценение активов»), приказ Минфина РФ от 15.11.2019 № 181н «Об утверждении федерального стандарта бухгалтерского учёта государственных финансов «Нематериальные активы» (далее – СГС «Нематериальные активы»), </w:t>
      </w:r>
      <w:r>
        <w:rPr>
          <w:rFonts w:ascii="Times New Roman" w:hAnsi="Times New Roman"/>
          <w:sz w:val="24"/>
          <w:szCs w:val="24"/>
        </w:rPr>
        <w:t xml:space="preserve">положениями приказа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 61н), </w:t>
      </w:r>
      <w:r>
        <w:rPr>
          <w:rFonts w:ascii="Times New Roman" w:hAnsi="Times New Roman"/>
          <w:strike/>
          <w:sz w:val="24"/>
          <w:szCs w:val="24"/>
          <w:highlight w:val="yellow"/>
        </w:rPr>
        <w:t>п.20 приказа Минфина России от 01.12.2010г. № 157н «Об утверждении Единого плана счетов бухгалтерского учёта для органов государственной власти (</w:t>
      </w:r>
      <w:r>
        <w:rPr>
          <w:rFonts w:ascii="Times New Roman" w:hAnsi="Times New Roman"/>
          <w:bCs/>
          <w:strike/>
          <w:sz w:val="24"/>
          <w:szCs w:val="24"/>
          <w:highlight w:val="yellow"/>
        </w:rPr>
        <w:t>госорганов),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(далее – ЕПС)», «</w:t>
      </w:r>
      <w:hyperlink r:id="rId5" w:history="1">
        <w:r>
          <w:rPr>
            <w:rFonts w:ascii="Times New Roman" w:hAnsi="Times New Roman"/>
            <w:bCs/>
            <w:strike/>
            <w:sz w:val="24"/>
            <w:szCs w:val="24"/>
            <w:highlight w:val="yellow"/>
          </w:rPr>
          <w:t>приказа</w:t>
        </w:r>
      </w:hyperlink>
      <w:r>
        <w:rPr>
          <w:rFonts w:ascii="Times New Roman" w:hAnsi="Times New Roman"/>
          <w:bCs/>
          <w:strike/>
          <w:sz w:val="24"/>
          <w:szCs w:val="24"/>
          <w:highlight w:val="yellow"/>
        </w:rPr>
        <w:t xml:space="preserve"> Минфина России от 13.06.1995 № 49 «Об утверждении Методических указаний по инвентаризации имущества и финансовых обязательств» (далее – приказ Минфин России о проведении инвентаризации № 49)</w:t>
      </w:r>
      <w:r>
        <w:rPr>
          <w:rFonts w:ascii="Times New Roman" w:hAnsi="Times New Roman"/>
          <w:strike/>
          <w:sz w:val="24"/>
          <w:szCs w:val="24"/>
          <w:highlight w:val="yellow"/>
        </w:rPr>
        <w:t>.</w:t>
      </w:r>
    </w:p>
    <w:p>
      <w:pPr>
        <w:spacing w:after="0" w:line="240" w:lineRule="auto"/>
        <w:ind w:firstLine="539"/>
        <w:jc w:val="both"/>
        <w:rPr>
          <w:rFonts w:ascii="Times New Roman" w:hAnsi="Times New Roman"/>
          <w:sz w:val="24"/>
          <w:szCs w:val="24"/>
        </w:rPr>
      </w:pPr>
      <w:r>
        <w:rPr>
          <w:rFonts w:ascii="Times New Roman" w:hAnsi="Times New Roman"/>
          <w:sz w:val="24"/>
          <w:szCs w:val="24"/>
        </w:rPr>
        <w:t>1.2. Цель Положения – закрепить порядок проведения инвентаризации основных средств и нематериальных активов.</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1.3. Основные цели инвентаризации – выявление фактического наличия имущества, сопоставление его фактического наличия с данными бухгалтерского учёта, а также проверка полноты отражения в учёте обязательств.</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1.4. Проведение инвентаризации осуществляется постоянно действующей инвентаризационной комиссией (далее – инвентаризационная комиссия), назначенной приказом начальника Управления. </w:t>
      </w:r>
    </w:p>
    <w:p>
      <w:pPr>
        <w:autoSpaceDE w:val="0"/>
        <w:autoSpaceDN w:val="0"/>
        <w:adjustRightInd w:val="0"/>
        <w:spacing w:after="0" w:line="240" w:lineRule="auto"/>
        <w:ind w:firstLine="539"/>
        <w:jc w:val="both"/>
        <w:rPr>
          <w:rFonts w:ascii="Times New Roman" w:hAnsi="Times New Roman"/>
          <w:sz w:val="24"/>
          <w:szCs w:val="24"/>
          <w:lang w:eastAsia="ru-RU"/>
        </w:rPr>
      </w:pPr>
      <w:r>
        <w:rPr>
          <w:rFonts w:ascii="Times New Roman" w:hAnsi="Times New Roman"/>
          <w:sz w:val="24"/>
          <w:szCs w:val="24"/>
        </w:rPr>
        <w:t xml:space="preserve">1.5. </w:t>
      </w:r>
      <w:r>
        <w:rPr>
          <w:rFonts w:ascii="Times New Roman" w:hAnsi="Times New Roman"/>
          <w:sz w:val="24"/>
          <w:szCs w:val="24"/>
          <w:lang w:eastAsia="ru-RU"/>
        </w:rPr>
        <w:t>Независимость суждений и мнений членов комиссии обеспечивается принятием коллегиального решения большинством голосов. При их равенстве решающим является голос председателя комиссии (</w:t>
      </w:r>
      <w:hyperlink r:id="rId6" w:history="1">
        <w:r>
          <w:rPr>
            <w:rFonts w:ascii="Times New Roman" w:hAnsi="Times New Roman"/>
            <w:sz w:val="24"/>
            <w:szCs w:val="24"/>
            <w:lang w:eastAsia="ru-RU"/>
          </w:rPr>
          <w:t>письмо</w:t>
        </w:r>
      </w:hyperlink>
      <w:r>
        <w:rPr>
          <w:rFonts w:ascii="Times New Roman" w:hAnsi="Times New Roman"/>
          <w:sz w:val="24"/>
          <w:szCs w:val="24"/>
          <w:lang w:eastAsia="ru-RU"/>
        </w:rPr>
        <w:t xml:space="preserve"> Минфина России от 24.12.2020 № 02-07-07/113668).</w:t>
      </w:r>
    </w:p>
    <w:p>
      <w:pPr>
        <w:autoSpaceDE w:val="0"/>
        <w:autoSpaceDN w:val="0"/>
        <w:adjustRightInd w:val="0"/>
        <w:spacing w:after="0" w:line="240" w:lineRule="auto"/>
        <w:jc w:val="both"/>
        <w:rPr>
          <w:rFonts w:ascii="Times New Roman" w:hAnsi="Times New Roman"/>
          <w:sz w:val="24"/>
          <w:szCs w:val="24"/>
        </w:rPr>
      </w:pPr>
    </w:p>
    <w:p>
      <w:pPr>
        <w:numPr>
          <w:ilvl w:val="0"/>
          <w:numId w:val="4"/>
        </w:num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Виды инвентаризации, особенности проведения</w:t>
      </w:r>
    </w:p>
    <w:p>
      <w:pPr>
        <w:autoSpaceDE w:val="0"/>
        <w:autoSpaceDN w:val="0"/>
        <w:adjustRightInd w:val="0"/>
        <w:spacing w:after="0" w:line="240" w:lineRule="auto"/>
        <w:ind w:left="1080"/>
        <w:jc w:val="center"/>
        <w:rPr>
          <w:rFonts w:ascii="Times New Roman" w:hAnsi="Times New Roman"/>
          <w:b/>
          <w:sz w:val="24"/>
          <w:szCs w:val="24"/>
        </w:rPr>
      </w:pPr>
      <w:proofErr w:type="gramStart"/>
      <w:r>
        <w:rPr>
          <w:rFonts w:ascii="Times New Roman" w:hAnsi="Times New Roman"/>
          <w:b/>
          <w:sz w:val="24"/>
          <w:szCs w:val="24"/>
        </w:rPr>
        <w:t>инвентаризации</w:t>
      </w:r>
      <w:proofErr w:type="gramEnd"/>
      <w:r>
        <w:rPr>
          <w:rFonts w:ascii="Times New Roman" w:hAnsi="Times New Roman"/>
          <w:b/>
          <w:sz w:val="24"/>
          <w:szCs w:val="24"/>
        </w:rPr>
        <w:t xml:space="preserve"> основных средств и нематериальных активов</w:t>
      </w: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2.1. Инвентаризация может быть плановая и внеплановая (внезапная): </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плановая инвентаризация проводится ежегодно перед составлением годовой отчётности;</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внеплановая (внезапная) инвентаризация проводится как по решению начальника Управления, так и по требованию контролирующих органов.</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2.2. Основными целями инвентаризации являются:</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lastRenderedPageBreak/>
        <w:t>– выявление фактического наличия имущества Управления и определение статуса и целевой функции каждого объекта основных средств и нематериальных активов, соответствие имущества критериям «актива»;</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сопоставление фактического наличия основных средств Управления с данными бухгалтерского учёта, числящихся на балансовых и забалансовых счетах и выявление отклонений;</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проверка полноты отражения в учёте операций с нефинансовыми активами и правильность оформления первичных учётных документов.</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2.3. Порядок и сроки проведения инвентаризации определяются приказом начальника Управления. Проведение обязательно в следующих случаях:</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при установлении фактов хищений или злоупотреблений, а также порчи ценностей;</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в случае стихийных бедствий, пожара, аварий или других чрезвычайных ситуаций, вызванных экстремальными условиями;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при смене ответственных лиц (на день приёмки – передачи дел);</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при передаче имущества Управления в аренду, управление, безвозмездное пользование;</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в других случаях, предусмотренных законодательством Российской Федерации или иными нормативными правовыми актами Российской Федерации.</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xml:space="preserve">2.4. Инвентаризации подлежат: </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движимое имущество, числящееся на балансовых и забалансовых счетах Управления;</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имущество, находящееся в аренде, в безвозмездном пользовании, на ответственном хранении;</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имущество, не соответствующее понятию актива;</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нематериальные активы;</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proofErr w:type="gramStart"/>
      <w:r>
        <w:rPr>
          <w:rFonts w:ascii="Times New Roman" w:hAnsi="Times New Roman"/>
          <w:sz w:val="24"/>
          <w:szCs w:val="24"/>
        </w:rPr>
        <w:t>–  права</w:t>
      </w:r>
      <w:proofErr w:type="gramEnd"/>
      <w:r>
        <w:rPr>
          <w:rFonts w:ascii="Times New Roman" w:hAnsi="Times New Roman"/>
          <w:sz w:val="24"/>
          <w:szCs w:val="24"/>
        </w:rPr>
        <w:t xml:space="preserve"> пользования нефинансовыми активами;</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proofErr w:type="gramStart"/>
      <w:r>
        <w:rPr>
          <w:rFonts w:ascii="Times New Roman" w:hAnsi="Times New Roman"/>
          <w:sz w:val="24"/>
          <w:szCs w:val="24"/>
        </w:rPr>
        <w:t>–  права</w:t>
      </w:r>
      <w:proofErr w:type="gramEnd"/>
      <w:r>
        <w:rPr>
          <w:rFonts w:ascii="Times New Roman" w:hAnsi="Times New Roman"/>
          <w:sz w:val="24"/>
          <w:szCs w:val="24"/>
        </w:rPr>
        <w:t xml:space="preserve"> пользования нематериальными активами.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2.5. Инвентаризация имущества организации производится по его местонахождению и каждому ответственному лицу.</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2.6. Проверка фактического наличия имущества производится при обязательном участии ответственных лиц.</w:t>
      </w:r>
    </w:p>
    <w:p>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2.7. При отсутствии хотя бы одного члена комиссии при проведении инвентаризации использовать видео и фотофиксацию.</w:t>
      </w:r>
    </w:p>
    <w:p>
      <w:pPr>
        <w:autoSpaceDE w:val="0"/>
        <w:autoSpaceDN w:val="0"/>
        <w:adjustRightInd w:val="0"/>
        <w:spacing w:after="0" w:line="240" w:lineRule="auto"/>
        <w:ind w:firstLine="708"/>
        <w:jc w:val="both"/>
        <w:rPr>
          <w:rFonts w:ascii="Times New Roman" w:hAnsi="Times New Roman"/>
          <w:sz w:val="24"/>
          <w:szCs w:val="24"/>
        </w:rPr>
      </w:pPr>
      <w:r>
        <w:rPr>
          <w:rFonts w:ascii="Times New Roman" w:hAnsi="Times New Roman"/>
          <w:sz w:val="24"/>
          <w:szCs w:val="24"/>
        </w:rPr>
        <w:t xml:space="preserve">2.8. Комиссия вправе проводить инвентаризацию с помощью видео и </w:t>
      </w:r>
      <w:proofErr w:type="spellStart"/>
      <w:r>
        <w:rPr>
          <w:rFonts w:ascii="Times New Roman" w:hAnsi="Times New Roman"/>
          <w:sz w:val="24"/>
          <w:szCs w:val="24"/>
        </w:rPr>
        <w:t>фотофиксации</w:t>
      </w:r>
      <w:proofErr w:type="spellEnd"/>
      <w:r>
        <w:rPr>
          <w:rFonts w:ascii="Times New Roman" w:hAnsi="Times New Roman"/>
          <w:sz w:val="24"/>
          <w:szCs w:val="24"/>
        </w:rPr>
        <w:t xml:space="preserve"> с присутствием отдельных членов комиссии. </w:t>
      </w:r>
      <w:proofErr w:type="spellStart"/>
      <w:r>
        <w:rPr>
          <w:rFonts w:ascii="Times New Roman" w:hAnsi="Times New Roman"/>
          <w:sz w:val="24"/>
          <w:szCs w:val="24"/>
        </w:rPr>
        <w:t>Фотофиксация</w:t>
      </w:r>
      <w:proofErr w:type="spellEnd"/>
      <w:r>
        <w:rPr>
          <w:rFonts w:ascii="Times New Roman" w:hAnsi="Times New Roman"/>
          <w:sz w:val="24"/>
          <w:szCs w:val="24"/>
        </w:rPr>
        <w:t xml:space="preserve"> является вспомогательным средством инвентаризации. </w:t>
      </w:r>
      <w:proofErr w:type="spellStart"/>
      <w:r>
        <w:rPr>
          <w:rFonts w:ascii="Times New Roman" w:hAnsi="Times New Roman"/>
          <w:sz w:val="24"/>
          <w:szCs w:val="24"/>
        </w:rPr>
        <w:t>Видеофиксация</w:t>
      </w:r>
      <w:proofErr w:type="spellEnd"/>
      <w:r>
        <w:rPr>
          <w:rFonts w:ascii="Times New Roman" w:hAnsi="Times New Roman"/>
          <w:sz w:val="24"/>
          <w:szCs w:val="24"/>
        </w:rPr>
        <w:t xml:space="preserve"> должна осуществляться в режиме реального времени с помощью переносной системы видеозаписи с возможностью дальнейшей передачи сохраненных данных. Срок хранения аудио- и видеозаписи инвентаризации составляет 1 год со дня проведения инвентаризации. </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Технологии хранения данных вне информационных систем персональных данных должны обеспечивать:</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доступ к информации, содержащейся на материальном носителе, для уполномоченных лиц;</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применение средств электронной подписи или иных информационных технологий, позволяющих сохранить целостность и неизменность информации, записанной на материальный носитель.</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Председатель инвентаризационной комиссии в день инвентаризации не позднее чем за 2 часа до начала даёт указание проверить работоспособность средств фото-                              и </w:t>
      </w:r>
      <w:proofErr w:type="spellStart"/>
      <w:r>
        <w:rPr>
          <w:rFonts w:ascii="Times New Roman" w:hAnsi="Times New Roman"/>
          <w:sz w:val="24"/>
          <w:szCs w:val="24"/>
        </w:rPr>
        <w:t>видеофиксации</w:t>
      </w:r>
      <w:proofErr w:type="spellEnd"/>
      <w:r>
        <w:rPr>
          <w:rFonts w:ascii="Times New Roman" w:hAnsi="Times New Roman"/>
          <w:sz w:val="24"/>
          <w:szCs w:val="24"/>
        </w:rPr>
        <w:t>.</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Председатель инвентаризационной комиссии сообщает всем присутствующим, что при проведении инвентаризации ведётся фото- и видеозапись (трансляция).</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Видеозапись должна содержать указание на дату и время её совершения. </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lastRenderedPageBreak/>
        <w:t xml:space="preserve">Видеозапись инвентаризации сдаётся техническим специалистам в течение 1 часа после завершения проверки. Технические специалисты в течение 30 минут после получения видеозаписи осуществляют передачу материалов фото- и </w:t>
      </w:r>
      <w:proofErr w:type="spellStart"/>
      <w:r>
        <w:rPr>
          <w:rFonts w:ascii="Times New Roman" w:hAnsi="Times New Roman"/>
          <w:sz w:val="24"/>
          <w:szCs w:val="24"/>
        </w:rPr>
        <w:t>видеофиксации</w:t>
      </w:r>
      <w:proofErr w:type="spellEnd"/>
      <w:r>
        <w:rPr>
          <w:rFonts w:ascii="Times New Roman" w:hAnsi="Times New Roman"/>
          <w:sz w:val="24"/>
          <w:szCs w:val="24"/>
        </w:rPr>
        <w:t xml:space="preserve">                      в отдел по бюджетному учёту и отчётности (далее –Отдел) Управления.</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2.9. Инвентаризационная комиссия несёт ответственность:</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xml:space="preserve">– за своевременность и соблюдение порядка проведения инвентаризации                             в соответствии с приказом начальника; </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за правильность и своевременность оформления результатов инвентаризации;</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за принятие решения о несоответствии имущества критериям «актива».</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2.10. До начала инвентаризации инвентаризационной комиссии надлежит получить последние на момент инвентаризации приходные и расходные документы.</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Председатель инвентаризационной комиссии визирует все приходные и расходные документы, приложенные к реестрам (отчетам), с указанием «до инвентаризации на «__» (дата)», что должно служить Отделу основанием для определения остатков имущества                   к началу инвентаризации по учётным данным.</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Ответственные лица дают расписки о том, что к началу инвентаризации все расходные и приходные документы на имущество сданы в Отдел или переданы комиссии и все ценности, поступившие на их ответственность, оприходованы, а выбывшие списаны в расход. </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2.11. В ходе проведения инвентаризации основных средств комиссия должна:</w:t>
      </w:r>
    </w:p>
    <w:p>
      <w:pPr>
        <w:autoSpaceDE w:val="0"/>
        <w:autoSpaceDN w:val="0"/>
        <w:adjustRightInd w:val="0"/>
        <w:spacing w:after="0" w:line="240" w:lineRule="auto"/>
        <w:ind w:firstLine="539"/>
        <w:jc w:val="both"/>
        <w:rPr>
          <w:rFonts w:ascii="Times New Roman" w:hAnsi="Times New Roman"/>
          <w:sz w:val="24"/>
          <w:szCs w:val="24"/>
        </w:rPr>
      </w:pPr>
      <w:proofErr w:type="gramStart"/>
      <w:r>
        <w:rPr>
          <w:rFonts w:ascii="Times New Roman" w:hAnsi="Times New Roman"/>
          <w:sz w:val="24"/>
          <w:szCs w:val="24"/>
        </w:rPr>
        <w:t>а</w:t>
      </w:r>
      <w:proofErr w:type="gramEnd"/>
      <w:r>
        <w:rPr>
          <w:rFonts w:ascii="Times New Roman" w:hAnsi="Times New Roman"/>
          <w:sz w:val="24"/>
          <w:szCs w:val="24"/>
        </w:rPr>
        <w:t>) проверить наличие и состояние инвентарных карточек, инвентарных книг, описей и других регистров аналитического учёта;</w:t>
      </w:r>
    </w:p>
    <w:p>
      <w:pPr>
        <w:autoSpaceDE w:val="0"/>
        <w:autoSpaceDN w:val="0"/>
        <w:adjustRightInd w:val="0"/>
        <w:spacing w:after="0" w:line="240" w:lineRule="auto"/>
        <w:ind w:firstLine="539"/>
        <w:jc w:val="both"/>
        <w:rPr>
          <w:rFonts w:ascii="Times New Roman" w:hAnsi="Times New Roman"/>
          <w:sz w:val="24"/>
          <w:szCs w:val="24"/>
        </w:rPr>
      </w:pPr>
      <w:proofErr w:type="gramStart"/>
      <w:r>
        <w:rPr>
          <w:rFonts w:ascii="Times New Roman" w:hAnsi="Times New Roman"/>
          <w:sz w:val="24"/>
          <w:szCs w:val="24"/>
        </w:rPr>
        <w:t>б</w:t>
      </w:r>
      <w:proofErr w:type="gramEnd"/>
      <w:r>
        <w:rPr>
          <w:rFonts w:ascii="Times New Roman" w:hAnsi="Times New Roman"/>
          <w:sz w:val="24"/>
          <w:szCs w:val="24"/>
        </w:rPr>
        <w:t>) проверить наличие и состояние технических паспортов или другой технической документации;</w:t>
      </w:r>
    </w:p>
    <w:p>
      <w:pPr>
        <w:autoSpaceDE w:val="0"/>
        <w:autoSpaceDN w:val="0"/>
        <w:adjustRightInd w:val="0"/>
        <w:spacing w:after="0" w:line="240" w:lineRule="auto"/>
        <w:ind w:firstLine="539"/>
        <w:jc w:val="both"/>
        <w:rPr>
          <w:rFonts w:ascii="Times New Roman" w:hAnsi="Times New Roman"/>
          <w:sz w:val="24"/>
          <w:szCs w:val="24"/>
        </w:rPr>
      </w:pPr>
      <w:proofErr w:type="gramStart"/>
      <w:r>
        <w:rPr>
          <w:rFonts w:ascii="Times New Roman" w:hAnsi="Times New Roman"/>
          <w:sz w:val="24"/>
          <w:szCs w:val="24"/>
        </w:rPr>
        <w:t>в</w:t>
      </w:r>
      <w:proofErr w:type="gramEnd"/>
      <w:r>
        <w:rPr>
          <w:rFonts w:ascii="Times New Roman" w:hAnsi="Times New Roman"/>
          <w:sz w:val="24"/>
          <w:szCs w:val="24"/>
        </w:rPr>
        <w:t>) проверить наличие документов на основные средства, сданные или принятые Управлением в аренду и на хранение;</w:t>
      </w:r>
    </w:p>
    <w:p>
      <w:pPr>
        <w:autoSpaceDE w:val="0"/>
        <w:autoSpaceDN w:val="0"/>
        <w:adjustRightInd w:val="0"/>
        <w:spacing w:after="0" w:line="240" w:lineRule="auto"/>
        <w:ind w:firstLine="539"/>
        <w:jc w:val="both"/>
        <w:rPr>
          <w:rFonts w:ascii="Times New Roman" w:hAnsi="Times New Roman"/>
          <w:sz w:val="24"/>
          <w:szCs w:val="24"/>
          <w:lang w:eastAsia="ru-RU"/>
        </w:rPr>
      </w:pPr>
      <w:proofErr w:type="gramStart"/>
      <w:r>
        <w:rPr>
          <w:rFonts w:ascii="Times New Roman" w:hAnsi="Times New Roman"/>
          <w:sz w:val="24"/>
          <w:szCs w:val="24"/>
        </w:rPr>
        <w:t>г</w:t>
      </w:r>
      <w:proofErr w:type="gramEnd"/>
      <w:r>
        <w:rPr>
          <w:rFonts w:ascii="Times New Roman" w:hAnsi="Times New Roman"/>
          <w:sz w:val="24"/>
          <w:szCs w:val="24"/>
        </w:rPr>
        <w:t>) наличие документов, подтверждающих право оперативного управления на недвижимое имущество, нематериальные активы (патенты, свидетельства и т.д.). Выявление ф</w:t>
      </w:r>
      <w:r>
        <w:rPr>
          <w:rFonts w:ascii="Times New Roman" w:hAnsi="Times New Roman"/>
          <w:sz w:val="24"/>
          <w:szCs w:val="24"/>
          <w:lang w:eastAsia="ru-RU"/>
        </w:rPr>
        <w:t>акта отсутствия первичных учётных документов, обосновывающих расхождение между фактическим наличием активов и обязательств и данными регистров бухгалтерского учёта, не является основанием для прекращения признания в учёте объектов бухгалтерского учёта (письмо Минфина РФ от 24.04.2020 г. № 02-06-10/33612);</w:t>
      </w:r>
    </w:p>
    <w:p>
      <w:pPr>
        <w:autoSpaceDE w:val="0"/>
        <w:autoSpaceDN w:val="0"/>
        <w:adjustRightInd w:val="0"/>
        <w:spacing w:after="0" w:line="240" w:lineRule="auto"/>
        <w:ind w:firstLine="539"/>
        <w:jc w:val="both"/>
        <w:rPr>
          <w:rFonts w:ascii="Times New Roman" w:hAnsi="Times New Roman"/>
          <w:sz w:val="24"/>
          <w:szCs w:val="24"/>
        </w:rPr>
      </w:pPr>
      <w:proofErr w:type="gramStart"/>
      <w:r>
        <w:rPr>
          <w:rFonts w:ascii="Times New Roman" w:hAnsi="Times New Roman"/>
          <w:sz w:val="24"/>
          <w:szCs w:val="24"/>
        </w:rPr>
        <w:t>д</w:t>
      </w:r>
      <w:proofErr w:type="gramEnd"/>
      <w:r>
        <w:rPr>
          <w:rFonts w:ascii="Times New Roman" w:hAnsi="Times New Roman"/>
          <w:sz w:val="24"/>
          <w:szCs w:val="24"/>
        </w:rPr>
        <w:t>) наличие документов, подтверждающих право пользования объектами основных средств и нематериальных активов, которые учитываются на балансовых и забалансовых счетах. Отсутствие документов, подтверждающих право пользования, не является основанием для прекращения признания активов в учёте (</w:t>
      </w:r>
      <w:r>
        <w:rPr>
          <w:rFonts w:ascii="Times New Roman" w:hAnsi="Times New Roman"/>
          <w:sz w:val="24"/>
          <w:szCs w:val="24"/>
          <w:lang w:eastAsia="ru-RU"/>
        </w:rPr>
        <w:t>письмо Минфина РФ от 24.04.2020 г. № 02-06-10/33612)</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При отсутствии документов необходимо обеспечить их получение или оформление.</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При обнаружении расхождений и неточностей в регистрах бухгалтерского учёта или технической документации должны быть внесены соответствующие исправления и уточнения.</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2.12. При инвентаризации основных средств комиссия производит осмотр объектов и заносит в описи полное их наименование, назначение, инвентарные номера и основные технические или эксплуатационные показатели.</w:t>
      </w:r>
    </w:p>
    <w:p>
      <w:pPr>
        <w:autoSpaceDE w:val="0"/>
        <w:autoSpaceDN w:val="0"/>
        <w:adjustRightInd w:val="0"/>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При инвентаризации объектов нефинансовых активов инвентаризационная комиссия производит осмотр этих объектов и составляет инвентаризационные описи (сличительные ведомости) по объектам нефинансовых активов </w:t>
      </w:r>
      <w:r>
        <w:rPr>
          <w:rFonts w:ascii="Times New Roman" w:hAnsi="Times New Roman"/>
          <w:sz w:val="24"/>
          <w:szCs w:val="24"/>
        </w:rPr>
        <w:t>(ф.0510466)</w:t>
      </w:r>
      <w:r>
        <w:rPr>
          <w:rFonts w:ascii="Times New Roman" w:hAnsi="Times New Roman"/>
          <w:color w:val="000000"/>
          <w:sz w:val="24"/>
          <w:szCs w:val="24"/>
          <w:lang w:eastAsia="ru-RU"/>
        </w:rPr>
        <w:t>:</w:t>
      </w:r>
    </w:p>
    <w:p>
      <w:pPr>
        <w:tabs>
          <w:tab w:val="left" w:pos="540"/>
        </w:tabs>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ab/>
        <w:t>- индивидуально - для машин, оборудования;</w:t>
      </w:r>
    </w:p>
    <w:p>
      <w:pPr>
        <w:tabs>
          <w:tab w:val="left" w:pos="540"/>
        </w:tabs>
        <w:autoSpaceDE w:val="0"/>
        <w:autoSpaceDN w:val="0"/>
        <w:adjustRightInd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ab/>
        <w:t xml:space="preserve">- по наименованиям с указанием их количества - для однотипных предметов хозяйственного инвентаря с одинаковой стоимостью (поступивших одновременно), на которые открыта одна инвентарная карточка группового учёта нефинансовых активов            </w:t>
      </w:r>
      <w:proofErr w:type="gramStart"/>
      <w:r>
        <w:rPr>
          <w:rFonts w:ascii="Times New Roman" w:hAnsi="Times New Roman"/>
          <w:color w:val="000000"/>
          <w:sz w:val="24"/>
          <w:szCs w:val="24"/>
          <w:lang w:eastAsia="ru-RU"/>
        </w:rPr>
        <w:t xml:space="preserve">   (</w:t>
      </w:r>
      <w:proofErr w:type="gramEnd"/>
      <w:r>
        <w:rPr>
          <w:rFonts w:ascii="Times New Roman" w:hAnsi="Times New Roman"/>
          <w:color w:val="000000"/>
          <w:sz w:val="24"/>
          <w:szCs w:val="24"/>
          <w:lang w:eastAsia="ru-RU"/>
        </w:rPr>
        <w:t>ф.0509216).</w:t>
      </w:r>
    </w:p>
    <w:p>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color w:val="000000"/>
          <w:sz w:val="24"/>
          <w:szCs w:val="24"/>
          <w:lang w:eastAsia="ru-RU"/>
        </w:rPr>
        <w:tab/>
        <w:t xml:space="preserve">2.12.1. </w:t>
      </w:r>
      <w:r>
        <w:rPr>
          <w:rFonts w:ascii="Times New Roman" w:hAnsi="Times New Roman"/>
          <w:sz w:val="24"/>
          <w:szCs w:val="24"/>
          <w:lang w:eastAsia="ru-RU"/>
        </w:rPr>
        <w:t>Отдельная опись составляется по объектам основных средств, полученных     в безвозмездное пользование, аренду и находящимся на ответственном хранении. Опись составляется не менее чем в трех экземплярах отдельно по каждому арендодателю                       и указать срок аренды. Один экземпляр такой описи высылается арендодателю в _______</w:t>
      </w:r>
      <w:proofErr w:type="gramStart"/>
      <w:r>
        <w:rPr>
          <w:rFonts w:ascii="Times New Roman" w:hAnsi="Times New Roman"/>
          <w:sz w:val="24"/>
          <w:szCs w:val="24"/>
          <w:lang w:eastAsia="ru-RU"/>
        </w:rPr>
        <w:t>_  срок</w:t>
      </w:r>
      <w:proofErr w:type="gramEnd"/>
      <w:r>
        <w:rPr>
          <w:rFonts w:ascii="Times New Roman" w:hAnsi="Times New Roman"/>
          <w:sz w:val="24"/>
          <w:szCs w:val="24"/>
          <w:lang w:eastAsia="ru-RU"/>
        </w:rPr>
        <w:t>.</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2.13. При выявлении объектов, не принятых на учёт, а также объектов, по которым                 в регистрах бухгалтерского учёта отсутствуют или указаны неправильные данные, характеризующие их, комиссия должна включить в опись правильные сведения                            и технические показатели по этим объектам. </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Оценка выявленных инвентаризацией неучтенных объектов должна быть произведена с учётом справедливой стоимости по методу рыночных цен, а износ определен по действительному техническому состоянию объектов с оформлением сведений об оценке и износе соответствующими актами.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Основные средства вносятся в описи по наименованиям в соответствии с прямым назначением объекта. Если объект подвергся восстановлению, реконструкции, расширению или переоборудованию и вследствие этого изменилось основное его назначение, то он вносится в опись под наименованием, соответствующим новому назначению.</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2.14. Машины, оборудование заносятся в описи индивидуально с указанием заводского инвентарного номера по техническому паспорту организации-изготовителя, года выпуска, назначения, мощности и т.д.</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2.15. Однотипные предметы хозяйственного инвентаря и т.д. одинаковой стоимости, поступившие одновременно в одно из отделов Управления и учитываемые на типовой инвентарной карточке группового учёта, в описях проводятся по наименованиям                         с указанием количества этих предметов.</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color w:val="000000"/>
          <w:sz w:val="24"/>
          <w:szCs w:val="24"/>
          <w:lang w:eastAsia="ru-RU"/>
        </w:rPr>
        <w:t xml:space="preserve">2.15.1. </w:t>
      </w:r>
      <w:r>
        <w:rPr>
          <w:rFonts w:ascii="Times New Roman" w:hAnsi="Times New Roman"/>
          <w:sz w:val="24"/>
          <w:szCs w:val="24"/>
          <w:lang w:eastAsia="ru-RU"/>
        </w:rPr>
        <w:t>При инвентаризации нематериальных активов необходимо проверить:</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наличие документов, подтверждающих права организации на его использование;</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правильность и своевременность отражения нематериальных активов в балансе;</w:t>
      </w:r>
    </w:p>
    <w:p>
      <w:pPr>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срок полезного использования;</w:t>
      </w:r>
    </w:p>
    <w:p>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соответствие критериям признания активов.</w:t>
      </w:r>
    </w:p>
    <w:p>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По результатам инвентаризации объектов нематериальных активов в целях составления годовой бухгалтерской (финансовой) отчётности срок их полезного использования, в том числе объектов нематериальных активов с неопределенным сроком полезного использования, уточняется в случае изменения указанных в настоящем пункте факторов и (или) условий их использования (п.27 СГС «Нематериальные активы»).</w:t>
      </w:r>
    </w:p>
    <w:p>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2.15.2. Инвентаризация прав пользования по счетам 011140000 «Права пользования нефинансовыми активами», 011160000 «Права пользования нематериальными активами» осуществляется в разрезе договоров, правильности их квалификации и отражения в учёте, мест нахождения объектов.</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2.16. Инвентаризационная комиссия обеспечивает полноту и точность внесения                   в описи данных о фактических остатках нефинансовых активов.</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2.17. Осмотренные объекты записываются в инвентаризационные описи с их обязательными реквизитами (наименование, инвентарный номер, назначение, технические и эксплуатационные показатели). Инвентаризационная комиссия определяет отнесение объекта к активу. Основным средствам присевается код статуса объекта и целевой функции.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Код статуса объекта основного средства:</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01 – в эксплуатации;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02 – требуется ремонт;</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03 – находится на консервации;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04 – не соответствует требованиям эксплуатации;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05 – не введен в эксплуатацию.</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Код целевой функции: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01 – введение в эксплуатацию;</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02 – ремонт;</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03 – консервация объекта;</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04 – дооснащение (дооборудование);</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05 – списание;</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06 – утилизация</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2.18. Инвентаризация недвижимого имущества должна проводится в соответствии               с Методическими указаниями, закрепленными совместным письмом Минфина России                 и Федерального казначейства № 02-06-07/75364/07-04-05/02-874 от 22.12.2015 г. </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В случае отсутствия работников, обладающих специальными знаниями, для участия в работе инвентаризационной комиссии по решению председателя комиссии могут приглашаться эксперты. Эксперты включаются в состав комиссии на добровольной основе.</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 xml:space="preserve">2.19. При инвентаризации имущества, учтенного на забалансовых счетах, оценивается условие учёта на забалансовых счетах, документальное основание. Порядок проведения инвентаризации забалансовых счетов регулируется Положением об инвентаризации забалансовых счетов.  </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2.20. Неучтенные объекты нефинансовых активов, выявленные при проведении проверок и (или) инвентаризаций активов, принимаются к учёту по их текущей оценочной стоимости, установленной на дату принятия к бухгалтерскому учёту (</w:t>
      </w:r>
      <w:hyperlink r:id="rId7" w:history="1">
        <w:r>
          <w:rPr>
            <w:rFonts w:ascii="Times New Roman" w:hAnsi="Times New Roman"/>
            <w:sz w:val="24"/>
            <w:szCs w:val="24"/>
          </w:rPr>
          <w:t>п. 31</w:t>
        </w:r>
      </w:hyperlink>
      <w:r>
        <w:rPr>
          <w:rFonts w:ascii="Times New Roman" w:hAnsi="Times New Roman"/>
          <w:sz w:val="24"/>
          <w:szCs w:val="24"/>
        </w:rPr>
        <w:t xml:space="preserve"> ЕПС).</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2.21. При определении размера ущерба, причиненного недостачами, следует исходить из текущей восстановительной стоимости материальных ценностей на день обнаружения ущерба. Под текущей восстановительной стоимостью понимается сумма денежных средств, которая необходима для восстановления указанных активов.</w:t>
      </w:r>
    </w:p>
    <w:p>
      <w:pPr>
        <w:autoSpaceDE w:val="0"/>
        <w:autoSpaceDN w:val="0"/>
        <w:adjustRightInd w:val="0"/>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rPr>
        <w:t xml:space="preserve">2.22. При обнаружении признаков обесценения активов, комиссия проводит тест на обесценение.  </w:t>
      </w:r>
      <w:r>
        <w:rPr>
          <w:rFonts w:ascii="Times New Roman" w:hAnsi="Times New Roman"/>
          <w:color w:val="000000"/>
          <w:sz w:val="24"/>
          <w:szCs w:val="24"/>
          <w:lang w:eastAsia="ru-RU"/>
        </w:rPr>
        <w:t xml:space="preserve">По результатам данного теста в отношении объектов, имеющих признаки обесценения (снижения убытка от обесценения), информация отражается                                      в инвентаризационной описи </w:t>
      </w:r>
      <w:r>
        <w:rPr>
          <w:rFonts w:ascii="Times New Roman" w:hAnsi="Times New Roman"/>
          <w:sz w:val="24"/>
          <w:szCs w:val="24"/>
        </w:rPr>
        <w:t>(ф.0510466)</w:t>
      </w:r>
      <w:r>
        <w:rPr>
          <w:rFonts w:ascii="Times New Roman" w:hAnsi="Times New Roman"/>
          <w:color w:val="000000"/>
          <w:sz w:val="24"/>
          <w:szCs w:val="24"/>
          <w:lang w:eastAsia="ru-RU"/>
        </w:rPr>
        <w:t>:</w:t>
      </w:r>
    </w:p>
    <w:p>
      <w:pPr>
        <w:autoSpaceDE w:val="0"/>
        <w:autoSpaceDN w:val="0"/>
        <w:adjustRightInd w:val="0"/>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в </w:t>
      </w:r>
      <w:hyperlink r:id="rId8" w:history="1">
        <w:r>
          <w:rPr>
            <w:rFonts w:ascii="Times New Roman" w:hAnsi="Times New Roman"/>
            <w:color w:val="000000"/>
            <w:sz w:val="24"/>
            <w:szCs w:val="24"/>
            <w:lang w:eastAsia="ru-RU"/>
          </w:rPr>
          <w:t>гр. 5</w:t>
        </w:r>
      </w:hyperlink>
      <w:r>
        <w:rPr>
          <w:rFonts w:ascii="Times New Roman" w:hAnsi="Times New Roman"/>
          <w:color w:val="000000"/>
          <w:sz w:val="24"/>
          <w:szCs w:val="24"/>
          <w:lang w:eastAsia="ru-RU"/>
        </w:rPr>
        <w:t xml:space="preserve"> указывается справедливая стоимость объекта;</w:t>
      </w:r>
    </w:p>
    <w:p>
      <w:pPr>
        <w:autoSpaceDE w:val="0"/>
        <w:autoSpaceDN w:val="0"/>
        <w:adjustRightInd w:val="0"/>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в </w:t>
      </w:r>
      <w:hyperlink r:id="rId9" w:history="1">
        <w:r>
          <w:rPr>
            <w:rFonts w:ascii="Times New Roman" w:hAnsi="Times New Roman"/>
            <w:color w:val="000000"/>
            <w:sz w:val="24"/>
            <w:szCs w:val="24"/>
            <w:lang w:eastAsia="ru-RU"/>
          </w:rPr>
          <w:t>гр. 19</w:t>
        </w:r>
      </w:hyperlink>
      <w:r>
        <w:rPr>
          <w:rFonts w:ascii="Times New Roman" w:hAnsi="Times New Roman"/>
          <w:color w:val="000000"/>
          <w:sz w:val="24"/>
          <w:szCs w:val="24"/>
          <w:lang w:eastAsia="ru-RU"/>
        </w:rPr>
        <w:t xml:space="preserve"> отражается информация о проведении теста на обесценение.</w:t>
      </w:r>
    </w:p>
    <w:p>
      <w:pPr>
        <w:autoSpaceDE w:val="0"/>
        <w:autoSpaceDN w:val="0"/>
        <w:adjustRightInd w:val="0"/>
        <w:spacing w:after="0" w:line="240" w:lineRule="auto"/>
        <w:jc w:val="both"/>
        <w:rPr>
          <w:rFonts w:ascii="Times New Roman" w:hAnsi="Times New Roman"/>
          <w:sz w:val="24"/>
          <w:szCs w:val="24"/>
        </w:rPr>
      </w:pP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Pr>
          <w:rFonts w:ascii="Times New Roman" w:hAnsi="Times New Roman"/>
          <w:b/>
          <w:sz w:val="24"/>
          <w:szCs w:val="24"/>
        </w:rPr>
        <w:t>3. Документальное оформление результатов инвентаризации</w:t>
      </w: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rPr>
      </w:pPr>
      <w:r>
        <w:rPr>
          <w:rFonts w:ascii="Times New Roman" w:hAnsi="Times New Roman"/>
          <w:sz w:val="24"/>
          <w:szCs w:val="24"/>
        </w:rPr>
        <w:t>3.1. Результаты инвентаризации нефинансовых активов оформляются:</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Инвентаризационной описью (сличительной ведомостью) по объектам нефинансовых активов (ф.0510466);</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Актом о результатах инвентаризации (ф.0510463).</w:t>
      </w:r>
    </w:p>
    <w:p>
      <w:pPr>
        <w:spacing w:after="0" w:line="240" w:lineRule="auto"/>
        <w:ind w:firstLine="539"/>
        <w:jc w:val="both"/>
        <w:rPr>
          <w:rFonts w:ascii="Times New Roman" w:hAnsi="Times New Roman"/>
          <w:sz w:val="24"/>
          <w:szCs w:val="24"/>
        </w:rPr>
      </w:pPr>
      <w:r>
        <w:rPr>
          <w:rFonts w:ascii="Times New Roman" w:hAnsi="Times New Roman"/>
          <w:sz w:val="24"/>
          <w:szCs w:val="24"/>
        </w:rPr>
        <w:t>Если в результате инвентаризации выявлены </w:t>
      </w:r>
      <w:hyperlink r:id="rId10" w:anchor="/document/11/44340/" w:history="1">
        <w:r>
          <w:rPr>
            <w:rFonts w:ascii="Times New Roman" w:hAnsi="Times New Roman"/>
            <w:sz w:val="24"/>
            <w:szCs w:val="24"/>
          </w:rPr>
          <w:t>излишки</w:t>
        </w:r>
      </w:hyperlink>
      <w:r>
        <w:rPr>
          <w:rFonts w:ascii="Times New Roman" w:hAnsi="Times New Roman"/>
          <w:sz w:val="24"/>
          <w:szCs w:val="24"/>
        </w:rPr>
        <w:t> или обнаружена </w:t>
      </w:r>
      <w:hyperlink r:id="rId11" w:anchor="/document/11/44465/" w:history="1">
        <w:r>
          <w:rPr>
            <w:rFonts w:ascii="Times New Roman" w:hAnsi="Times New Roman"/>
            <w:sz w:val="24"/>
            <w:szCs w:val="24"/>
          </w:rPr>
          <w:t>недостача</w:t>
        </w:r>
      </w:hyperlink>
      <w:r>
        <w:rPr>
          <w:rFonts w:ascii="Times New Roman" w:hAnsi="Times New Roman"/>
          <w:sz w:val="24"/>
          <w:szCs w:val="24"/>
        </w:rPr>
        <w:t>, оформляется ведомость расхождений по результатам инвентаризации (</w:t>
      </w:r>
      <w:hyperlink r:id="rId12" w:anchor="/document/140/26303/" w:tooltip="ОКУД 0504092. Ведомость расхождений по результатам инвентаризации" w:history="1">
        <w:r>
          <w:rPr>
            <w:rFonts w:ascii="Times New Roman" w:hAnsi="Times New Roman"/>
            <w:sz w:val="24"/>
            <w:szCs w:val="24"/>
          </w:rPr>
          <w:t>ф. 0504092</w:t>
        </w:r>
      </w:hyperlink>
      <w:r>
        <w:rPr>
          <w:rFonts w:ascii="Times New Roman" w:hAnsi="Times New Roman"/>
          <w:sz w:val="24"/>
          <w:szCs w:val="24"/>
        </w:rPr>
        <w:t xml:space="preserve">). При наличии расхождений ведомость прилагается к акту о результатах инвентаризации                </w:t>
      </w:r>
      <w:proofErr w:type="gramStart"/>
      <w:r>
        <w:rPr>
          <w:rFonts w:ascii="Times New Roman" w:hAnsi="Times New Roman"/>
          <w:sz w:val="24"/>
          <w:szCs w:val="24"/>
        </w:rPr>
        <w:t xml:space="preserve">   (</w:t>
      </w:r>
      <w:proofErr w:type="gramEnd"/>
      <w:r>
        <w:rPr>
          <w:rFonts w:ascii="Times New Roman" w:hAnsi="Times New Roman"/>
          <w:sz w:val="24"/>
          <w:szCs w:val="24"/>
        </w:rPr>
        <w:t>ф.0510463).</w:t>
      </w:r>
    </w:p>
    <w:p>
      <w:pPr>
        <w:shd w:val="clear" w:color="auto" w:fill="FFFFFF"/>
        <w:spacing w:after="0" w:line="270" w:lineRule="atLeast"/>
        <w:ind w:firstLine="709"/>
        <w:jc w:val="both"/>
        <w:rPr>
          <w:rFonts w:ascii="Times New Roman" w:hAnsi="Times New Roman"/>
          <w:sz w:val="24"/>
          <w:szCs w:val="24"/>
        </w:rPr>
      </w:pPr>
      <w:r>
        <w:rPr>
          <w:rFonts w:ascii="Times New Roman" w:hAnsi="Times New Roman"/>
          <w:sz w:val="24"/>
          <w:szCs w:val="24"/>
        </w:rPr>
        <w:t>При оприходовании неучтенных материальных ценностей, выявленных                            в результате инвентаризации заполняется Акт о приеме-передаче нефинансовых активов (</w:t>
      </w:r>
      <w:hyperlink r:id="rId13" w:anchor="block_2010" w:history="1">
        <w:r>
          <w:rPr>
            <w:rFonts w:ascii="Times New Roman" w:hAnsi="Times New Roman"/>
            <w:sz w:val="24"/>
            <w:szCs w:val="24"/>
          </w:rPr>
          <w:t>ф. 0510448</w:t>
        </w:r>
      </w:hyperlink>
      <w:r>
        <w:rPr>
          <w:rFonts w:ascii="Times New Roman" w:hAnsi="Times New Roman"/>
          <w:sz w:val="24"/>
          <w:szCs w:val="24"/>
        </w:rPr>
        <w:t>).</w:t>
      </w:r>
    </w:p>
    <w:p>
      <w:pPr>
        <w:shd w:val="clear" w:color="auto" w:fill="FFFFFF"/>
        <w:spacing w:after="0" w:line="270" w:lineRule="atLeast"/>
        <w:ind w:firstLine="709"/>
        <w:jc w:val="both"/>
        <w:rPr>
          <w:rFonts w:ascii="Times New Roman" w:hAnsi="Times New Roman"/>
          <w:sz w:val="24"/>
          <w:szCs w:val="24"/>
        </w:rPr>
      </w:pPr>
      <w:r>
        <w:rPr>
          <w:rFonts w:ascii="Times New Roman" w:hAnsi="Times New Roman"/>
          <w:sz w:val="24"/>
          <w:szCs w:val="24"/>
        </w:rPr>
        <w:t>Если в ходе инвентаризации имущества выявлены объекты, не соответствующие понятию «актив», оформляется Решение о прекращении признания активами объектов нефинансовых активов (</w:t>
      </w:r>
      <w:hyperlink r:id="rId14" w:anchor="block_2007" w:history="1">
        <w:r>
          <w:rPr>
            <w:rFonts w:ascii="Times New Roman" w:hAnsi="Times New Roman"/>
            <w:sz w:val="24"/>
            <w:szCs w:val="24"/>
          </w:rPr>
          <w:t>ф. 0510440</w:t>
        </w:r>
      </w:hyperlink>
      <w:r>
        <w:rPr>
          <w:rFonts w:ascii="Times New Roman" w:hAnsi="Times New Roman"/>
          <w:sz w:val="24"/>
          <w:szCs w:val="24"/>
        </w:rPr>
        <w:t xml:space="preserve">). </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3.2. Инвентаризационные описи могут быть заполнены как с использованием средств вычислительной и другой организационной техники, так и ручным способом.</w:t>
      </w:r>
    </w:p>
    <w:p>
      <w:pPr>
        <w:pStyle w:val="ae"/>
        <w:shd w:val="clear" w:color="auto" w:fill="FFFFFF"/>
        <w:spacing w:before="0" w:beforeAutospacing="0" w:after="0" w:afterAutospacing="0"/>
        <w:ind w:firstLine="709"/>
        <w:jc w:val="both"/>
        <w:rPr>
          <w:lang w:eastAsia="en-US"/>
        </w:rPr>
      </w:pPr>
      <w:r>
        <w:rPr>
          <w:lang w:eastAsia="en-US"/>
        </w:rPr>
        <w:t>Инвентаризационные описи составляются не менее чем в двух Один экземпляр передают в Отдел для отражения результатов инвентаризации в учёте, второй – остаётся у материально ответственного лица.</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Исправление ошибок в описях производится путем зачеркивания неправильных записей и проставления над зачеркнутыми правильных данных. Таким способом исправления делаются во всех экземплярах описей. При этом нужно иметь в виду, что исправления должны быть оговорены и подписаны всеми членами инвентаризационной комиссии, а также ответственными лицами.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В описях запрещено оставлять незаполненные строки, на последних страницах такие строки обязательно прочеркиваются.</w:t>
      </w:r>
    </w:p>
    <w:p>
      <w:pPr>
        <w:autoSpaceDE w:val="0"/>
        <w:autoSpaceDN w:val="0"/>
        <w:adjustRightInd w:val="0"/>
        <w:spacing w:after="0" w:line="240" w:lineRule="auto"/>
        <w:ind w:firstLine="53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Заполнение указанной информации может осуществляться инвентаризационной комиссией вручную или при помощи средств программных продуктов, которые позволяют автоматически считывать данные об объекте, необходимые для заполнения Инвентаризационной описи </w:t>
      </w:r>
      <w:r>
        <w:rPr>
          <w:rFonts w:ascii="Times New Roman" w:hAnsi="Times New Roman"/>
          <w:sz w:val="24"/>
          <w:szCs w:val="24"/>
        </w:rPr>
        <w:t>(ф.0510466)</w:t>
      </w:r>
      <w:r>
        <w:rPr>
          <w:rFonts w:ascii="Times New Roman" w:hAnsi="Times New Roman"/>
          <w:color w:val="000000"/>
          <w:sz w:val="24"/>
          <w:szCs w:val="24"/>
          <w:lang w:eastAsia="ru-RU"/>
        </w:rPr>
        <w:t xml:space="preserve">, в том числе заполнять информацию по </w:t>
      </w:r>
      <w:hyperlink r:id="rId15" w:history="1">
        <w:r>
          <w:rPr>
            <w:rFonts w:ascii="Times New Roman" w:hAnsi="Times New Roman"/>
            <w:color w:val="000000"/>
            <w:sz w:val="24"/>
            <w:szCs w:val="24"/>
            <w:lang w:eastAsia="ru-RU"/>
          </w:rPr>
          <w:t>графам 8</w:t>
        </w:r>
      </w:hyperlink>
      <w:r>
        <w:rPr>
          <w:rFonts w:ascii="Times New Roman" w:hAnsi="Times New Roman"/>
          <w:color w:val="000000"/>
          <w:sz w:val="24"/>
          <w:szCs w:val="24"/>
          <w:lang w:eastAsia="ru-RU"/>
        </w:rPr>
        <w:t xml:space="preserve">, </w:t>
      </w:r>
      <w:hyperlink r:id="rId16" w:history="1">
        <w:r>
          <w:rPr>
            <w:rFonts w:ascii="Times New Roman" w:hAnsi="Times New Roman"/>
            <w:color w:val="000000"/>
            <w:sz w:val="24"/>
            <w:szCs w:val="24"/>
            <w:lang w:eastAsia="ru-RU"/>
          </w:rPr>
          <w:t>9</w:t>
        </w:r>
      </w:hyperlink>
      <w:r>
        <w:rPr>
          <w:rFonts w:ascii="Times New Roman" w:hAnsi="Times New Roman"/>
          <w:color w:val="000000"/>
          <w:sz w:val="24"/>
          <w:szCs w:val="24"/>
          <w:lang w:eastAsia="ru-RU"/>
        </w:rPr>
        <w:t xml:space="preserve">, </w:t>
      </w:r>
      <w:hyperlink r:id="rId17" w:history="1">
        <w:r>
          <w:rPr>
            <w:rFonts w:ascii="Times New Roman" w:hAnsi="Times New Roman"/>
            <w:color w:val="000000"/>
            <w:sz w:val="24"/>
            <w:szCs w:val="24"/>
            <w:lang w:eastAsia="ru-RU"/>
          </w:rPr>
          <w:t>17</w:t>
        </w:r>
      </w:hyperlink>
      <w:r>
        <w:rPr>
          <w:rFonts w:ascii="Times New Roman" w:hAnsi="Times New Roman"/>
          <w:color w:val="000000"/>
          <w:sz w:val="24"/>
          <w:szCs w:val="24"/>
          <w:lang w:eastAsia="ru-RU"/>
        </w:rPr>
        <w:t xml:space="preserve"> - </w:t>
      </w:r>
      <w:hyperlink r:id="rId18" w:history="1">
        <w:r>
          <w:rPr>
            <w:rFonts w:ascii="Times New Roman" w:hAnsi="Times New Roman"/>
            <w:color w:val="000000"/>
            <w:sz w:val="24"/>
            <w:szCs w:val="24"/>
            <w:lang w:eastAsia="ru-RU"/>
          </w:rPr>
          <w:t>19</w:t>
        </w:r>
      </w:hyperlink>
      <w:r>
        <w:rPr>
          <w:rFonts w:ascii="Times New Roman" w:hAnsi="Times New Roman"/>
          <w:color w:val="000000"/>
          <w:sz w:val="24"/>
          <w:szCs w:val="24"/>
          <w:lang w:eastAsia="ru-RU"/>
        </w:rPr>
        <w:t xml:space="preserve"> в момент проведения инвентаризации (письмо Минфина РФ от </w:t>
      </w:r>
      <w:r>
        <w:rPr>
          <w:rFonts w:ascii="Times New Roman" w:hAnsi="Times New Roman"/>
          <w:sz w:val="24"/>
          <w:szCs w:val="24"/>
          <w:lang w:eastAsia="ru-RU"/>
        </w:rPr>
        <w:t>22.12.2020 г. № 02-06-05/112288)</w:t>
      </w:r>
      <w:r>
        <w:rPr>
          <w:rFonts w:ascii="Times New Roman" w:hAnsi="Times New Roman"/>
          <w:color w:val="000000"/>
          <w:sz w:val="24"/>
          <w:szCs w:val="24"/>
          <w:lang w:eastAsia="ru-RU"/>
        </w:rPr>
        <w:t>.</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3.3. Подписываются описи всеми членами инвентаризационной комиссии                              и ответственным лицом.</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В конце описи ответственные лица дают расписку, подтверждающую проверку комиссией имущества в их присутствии, об отсутствии к членам комиссии каких-либо претензий и принятии перечисленного в описи имущества на ответственное хранение.</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3.4. Если причиной инвентаризации является смена ответственного лица, то при проверке фактического наличия имущества в описи расписываются оба ответственных лица, как сдающий имущество, так и получающий его на хранение</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3.5. На имущество, находящееся на ответственном хранении, арендованное или полученное для переработки, составляются отдельные описи.</w:t>
      </w:r>
    </w:p>
    <w:p>
      <w:pPr>
        <w:autoSpaceDE w:val="0"/>
        <w:autoSpaceDN w:val="0"/>
        <w:adjustRightInd w:val="0"/>
        <w:spacing w:after="0" w:line="240" w:lineRule="auto"/>
        <w:jc w:val="both"/>
        <w:rPr>
          <w:rFonts w:ascii="Times New Roman" w:hAnsi="Times New Roman"/>
          <w:sz w:val="24"/>
          <w:szCs w:val="24"/>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lang w:eastAsia="ru-RU"/>
        </w:rPr>
      </w:pPr>
      <w:r>
        <w:rPr>
          <w:rFonts w:ascii="Times New Roman" w:hAnsi="Times New Roman"/>
          <w:b/>
          <w:bCs/>
          <w:sz w:val="24"/>
          <w:szCs w:val="24"/>
          <w:lang w:eastAsia="ru-RU"/>
        </w:rPr>
        <w:t>4. Заключительные положения</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eastAsia="ru-RU"/>
        </w:rPr>
      </w:pPr>
      <w:r>
        <w:rPr>
          <w:rFonts w:ascii="Times New Roman" w:hAnsi="Times New Roman"/>
          <w:sz w:val="24"/>
          <w:szCs w:val="24"/>
          <w:lang w:eastAsia="ru-RU"/>
        </w:rPr>
        <w:t> </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 xml:space="preserve">4.1. Все изменения и дополнения к настоящему положению утверждаются начальником Управления. </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4.2. Если в результате изменения действующего законодательства России отдельные статьи настоящего положения вступят с ним в противоречие, они утрачивают силу, преимущественную силу имеют положения действующего законодательства России.</w:t>
      </w:r>
    </w:p>
    <w:p>
      <w:pPr>
        <w:spacing w:after="0" w:line="240" w:lineRule="auto"/>
        <w:jc w:val="both"/>
        <w:rPr>
          <w:rFonts w:ascii="Times New Roman" w:hAnsi="Times New Roman"/>
          <w:sz w:val="24"/>
          <w:szCs w:val="24"/>
        </w:rPr>
      </w:pPr>
    </w:p>
    <w:sectPr>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234C67"/>
    <w:multiLevelType w:val="hybridMultilevel"/>
    <w:tmpl w:val="15641AF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46E635DD"/>
    <w:multiLevelType w:val="hybridMultilevel"/>
    <w:tmpl w:val="D4A6653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7E9038C"/>
    <w:multiLevelType w:val="multilevel"/>
    <w:tmpl w:val="6016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C976045"/>
    <w:multiLevelType w:val="hybridMultilevel"/>
    <w:tmpl w:val="4C00EEAC"/>
    <w:lvl w:ilvl="0" w:tplc="9D740FF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nsid w:val="6A162EB4"/>
    <w:multiLevelType w:val="hybridMultilevel"/>
    <w:tmpl w:val="D87A5BC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0DFEEC-8B1D-418E-8673-C5F2F136F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pPr>
      <w:spacing w:after="0" w:line="240" w:lineRule="auto"/>
    </w:pPr>
    <w:rPr>
      <w:rFonts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pPr>
      <w:ind w:left="720"/>
      <w:contextualSpacing/>
    </w:pPr>
  </w:style>
  <w:style w:type="paragraph" w:styleId="a5">
    <w:name w:val="header"/>
    <w:basedOn w:val="a"/>
    <w:link w:val="a6"/>
    <w:uiPriority w:val="99"/>
    <w:pPr>
      <w:tabs>
        <w:tab w:val="center" w:pos="4677"/>
        <w:tab w:val="right" w:pos="9355"/>
      </w:tabs>
      <w:spacing w:after="0" w:line="240" w:lineRule="auto"/>
    </w:pPr>
    <w:rPr>
      <w:rFonts w:ascii="Times New Roman" w:hAnsi="Times New Roman"/>
      <w:sz w:val="24"/>
      <w:szCs w:val="24"/>
      <w:lang w:eastAsia="ru-RU"/>
    </w:rPr>
  </w:style>
  <w:style w:type="character" w:customStyle="1" w:styleId="a6">
    <w:name w:val="Верхний колонтитул Знак"/>
    <w:basedOn w:val="a0"/>
    <w:link w:val="a5"/>
    <w:uiPriority w:val="99"/>
    <w:locked/>
    <w:rPr>
      <w:rFonts w:ascii="Times New Roman" w:hAnsi="Times New Roman" w:cs="Times New Roman"/>
      <w:sz w:val="24"/>
      <w:szCs w:val="24"/>
    </w:rPr>
  </w:style>
  <w:style w:type="paragraph" w:styleId="a7">
    <w:name w:val="Balloon Text"/>
    <w:basedOn w:val="a"/>
    <w:link w:val="a8"/>
    <w:uiPriority w:val="99"/>
    <w:semiHidden/>
    <w:unhideWhenUse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locked/>
    <w:rPr>
      <w:rFonts w:ascii="Tahoma" w:hAnsi="Tahoma" w:cs="Tahoma"/>
      <w:sz w:val="16"/>
      <w:szCs w:val="16"/>
      <w:lang w:val="x-none" w:eastAsia="en-US"/>
    </w:rPr>
  </w:style>
  <w:style w:type="character" w:styleId="a9">
    <w:name w:val="annotation reference"/>
    <w:basedOn w:val="a0"/>
    <w:uiPriority w:val="99"/>
    <w:rPr>
      <w:rFonts w:cs="Times New Roman"/>
      <w:sz w:val="16"/>
      <w:szCs w:val="16"/>
    </w:rPr>
  </w:style>
  <w:style w:type="paragraph" w:styleId="aa">
    <w:name w:val="annotation text"/>
    <w:basedOn w:val="a"/>
    <w:link w:val="ab"/>
    <w:uiPriority w:val="99"/>
    <w:rPr>
      <w:sz w:val="20"/>
      <w:szCs w:val="20"/>
    </w:rPr>
  </w:style>
  <w:style w:type="character" w:customStyle="1" w:styleId="ab">
    <w:name w:val="Текст примечания Знак"/>
    <w:basedOn w:val="a0"/>
    <w:link w:val="aa"/>
    <w:uiPriority w:val="99"/>
    <w:locked/>
    <w:rPr>
      <w:rFonts w:cs="Times New Roman"/>
      <w:sz w:val="20"/>
      <w:szCs w:val="20"/>
      <w:lang w:val="x-none" w:eastAsia="en-US"/>
    </w:rPr>
  </w:style>
  <w:style w:type="paragraph" w:styleId="ac">
    <w:name w:val="annotation subject"/>
    <w:basedOn w:val="aa"/>
    <w:next w:val="aa"/>
    <w:link w:val="ad"/>
    <w:uiPriority w:val="99"/>
    <w:rPr>
      <w:b/>
      <w:bCs/>
    </w:rPr>
  </w:style>
  <w:style w:type="character" w:customStyle="1" w:styleId="ad">
    <w:name w:val="Тема примечания Знак"/>
    <w:basedOn w:val="ab"/>
    <w:link w:val="ac"/>
    <w:uiPriority w:val="99"/>
    <w:locked/>
    <w:rPr>
      <w:rFonts w:cs="Times New Roman"/>
      <w:b/>
      <w:bCs/>
      <w:sz w:val="20"/>
      <w:szCs w:val="20"/>
      <w:lang w:val="x-none" w:eastAsia="en-US"/>
    </w:rPr>
  </w:style>
  <w:style w:type="paragraph" w:styleId="ae">
    <w:name w:val="Normal (Web)"/>
    <w:basedOn w:val="a"/>
    <w:uiPriority w:val="99"/>
    <w:unhideWhenUsed/>
    <w:pPr>
      <w:spacing w:before="100" w:beforeAutospacing="1" w:after="100" w:afterAutospacing="1" w:line="240" w:lineRule="auto"/>
    </w:pPr>
    <w:rPr>
      <w:rFonts w:ascii="Times New Roman" w:hAnsi="Times New Roman"/>
      <w:sz w:val="24"/>
      <w:szCs w:val="24"/>
      <w:lang w:eastAsia="ru-RU"/>
    </w:rPr>
  </w:style>
  <w:style w:type="character" w:styleId="af">
    <w:name w:val="Hyperlink"/>
    <w:basedOn w:val="a0"/>
    <w:uiPriority w:val="99"/>
    <w:unhideWhenUsed/>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7209097">
      <w:marLeft w:val="0"/>
      <w:marRight w:val="0"/>
      <w:marTop w:val="0"/>
      <w:marBottom w:val="0"/>
      <w:divBdr>
        <w:top w:val="none" w:sz="0" w:space="0" w:color="auto"/>
        <w:left w:val="none" w:sz="0" w:space="0" w:color="auto"/>
        <w:bottom w:val="none" w:sz="0" w:space="0" w:color="auto"/>
        <w:right w:val="none" w:sz="0" w:space="0" w:color="auto"/>
      </w:divBdr>
    </w:div>
    <w:div w:id="89720909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3991F87CCC6ABB065E11A387A6FB3964C90B110E2C475014C0BF305DF68823A03BE8A776609D96AAC213BAA2F55E7F6AD7AB99b1fCN" TargetMode="External"/><Relationship Id="rId13" Type="http://schemas.openxmlformats.org/officeDocument/2006/relationships/hyperlink" Target="https://base.garant.ru/70951956/f7ee959fd36b5699076b35abf4f52c5c/" TargetMode="External"/><Relationship Id="rId18" Type="http://schemas.openxmlformats.org/officeDocument/2006/relationships/hyperlink" Target="consultantplus://offline/ref=E6A8B087A8945353597B2810B6F928FB636F462950D708C1731A356DEF412270D678EF1A82508DD6A6F70FF1C4DA9A5ED516696BjCB1O" TargetMode="External"/><Relationship Id="rId3" Type="http://schemas.openxmlformats.org/officeDocument/2006/relationships/settings" Target="settings.xml"/><Relationship Id="rId7" Type="http://schemas.openxmlformats.org/officeDocument/2006/relationships/hyperlink" Target="consultantplus://offline/ref=323F5CD871D448A2B5F7F39B94410FD08AA5362DDCC4A55D798FA0A216FF08AA8F4402E733PDm3N" TargetMode="External"/><Relationship Id="rId12" Type="http://schemas.openxmlformats.org/officeDocument/2006/relationships/hyperlink" Target="http://vip.gosfinansy.ru/" TargetMode="External"/><Relationship Id="rId17" Type="http://schemas.openxmlformats.org/officeDocument/2006/relationships/hyperlink" Target="consultantplus://offline/ref=E6A8B087A8945353597B2810B6F928FB636F462950D708C1731A356DEF412270D678EF1A8C508DD6A6F70FF1C4DA9A5ED516696BjCB1O" TargetMode="External"/><Relationship Id="rId2" Type="http://schemas.openxmlformats.org/officeDocument/2006/relationships/styles" Target="styles.xml"/><Relationship Id="rId16" Type="http://schemas.openxmlformats.org/officeDocument/2006/relationships/hyperlink" Target="consultantplus://offline/ref=E6A8B087A8945353597B2810B6F928FB636F462950D708C1731A356DEF412270D678EF1783508DD6A6F70FF1C4DA9A5ED516696BjCB1O"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E525130FD691D4A8DCDAF2EDB2BCB01BFA25AF5F9EB021A67A236BBFB32B52CF1E0A9B1D97BAAEFE3BD087DB454394F6874CCB6C9D874DC8Y2z5D" TargetMode="External"/><Relationship Id="rId11" Type="http://schemas.openxmlformats.org/officeDocument/2006/relationships/hyperlink" Target="http://vip.gosfinansy.ru/" TargetMode="External"/><Relationship Id="rId5" Type="http://schemas.openxmlformats.org/officeDocument/2006/relationships/hyperlink" Target="consultantplus://offline/ref=9EB7E3E92BEFA16A1C56D29AED42C0A336798A2F8BCF9071333C10826B81526E4F7F55BB2D8EB9AD19o0D" TargetMode="External"/><Relationship Id="rId15" Type="http://schemas.openxmlformats.org/officeDocument/2006/relationships/hyperlink" Target="consultantplus://offline/ref=E6A8B087A8945353597B2810B6F928FB636F462950D708C1731A356DEF412270D678EF1782508DD6A6F70FF1C4DA9A5ED516696BjCB1O" TargetMode="External"/><Relationship Id="rId10" Type="http://schemas.openxmlformats.org/officeDocument/2006/relationships/hyperlink" Target="http://vip.gosfinansy.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173991F87CCC6ABB065E11A387A6FB3964C90B110E2C475014C0BF305DF68823A03BE8AA7B609D96AAC213BAA2F55E7F6AD7AB99b1fCN" TargetMode="External"/><Relationship Id="rId14" Type="http://schemas.openxmlformats.org/officeDocument/2006/relationships/hyperlink" Target="https://base.garant.ru/400766923/f7ee959fd36b5699076b35abf4f52c5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2106</Words>
  <Characters>18056</Characters>
  <Application>Microsoft Office Word</Application>
  <DocSecurity>0</DocSecurity>
  <Lines>150</Lines>
  <Paragraphs>40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20122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ASUS</dc:creator>
  <cp:keywords/>
  <dc:description/>
  <cp:lastModifiedBy>Купцова И.О.</cp:lastModifiedBy>
  <cp:revision>4</cp:revision>
  <cp:lastPrinted>2022-01-13T10:24:00Z</cp:lastPrinted>
  <dcterms:created xsi:type="dcterms:W3CDTF">2025-12-11T03:22:00Z</dcterms:created>
  <dcterms:modified xsi:type="dcterms:W3CDTF">2025-12-11T10:10:00Z</dcterms:modified>
</cp:coreProperties>
</file>