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jc w:val="right"/>
      </w:pPr>
      <w:r>
        <w:t>Приложение № 6</w:t>
      </w:r>
    </w:p>
    <w:p>
      <w:pPr>
        <w:pStyle w:val="a3"/>
        <w:jc w:val="right"/>
        <w:rPr>
          <w:bCs/>
          <w:spacing w:val="2"/>
        </w:rPr>
      </w:pPr>
      <w:r>
        <w:rPr>
          <w:bCs/>
          <w:spacing w:val="2"/>
        </w:rPr>
        <w:t>к Учетной политике</w:t>
      </w:r>
    </w:p>
    <w:p>
      <w:pPr>
        <w:spacing w:after="0" w:line="240" w:lineRule="auto"/>
        <w:jc w:val="right"/>
      </w:pPr>
      <w:r>
        <w:t xml:space="preserve">утвержденной приказом </w:t>
      </w:r>
    </w:p>
    <w:p>
      <w:pPr>
        <w:spacing w:after="0" w:line="240" w:lineRule="auto"/>
        <w:jc w:val="right"/>
      </w:pPr>
      <w:r>
        <w:t>начальника Финансового управления</w:t>
      </w:r>
    </w:p>
    <w:p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szCs w:val="24"/>
        </w:rPr>
      </w:pPr>
      <w:r>
        <w:rPr>
          <w:szCs w:val="24"/>
        </w:rPr>
        <w:t>от 30.12.2021 № 94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4"/>
        </w:rPr>
      </w:pPr>
      <w:r>
        <w:rPr>
          <w:rFonts w:cs="Times New Roman"/>
          <w:b/>
          <w:bCs/>
          <w:szCs w:val="24"/>
        </w:rPr>
        <w:t>Порядок выдачи под отчёт денежных средств,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4"/>
        </w:rPr>
      </w:pPr>
      <w:r>
        <w:rPr>
          <w:rFonts w:cs="Times New Roman"/>
          <w:b/>
          <w:bCs/>
          <w:szCs w:val="24"/>
        </w:rPr>
        <w:t>составления и представления отчётов подотчётными лицами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cs="Times New Roman"/>
          <w:szCs w:val="24"/>
        </w:rPr>
      </w:pPr>
      <w:r>
        <w:rPr>
          <w:rFonts w:cs="Times New Roman"/>
          <w:b/>
          <w:bCs/>
          <w:szCs w:val="24"/>
        </w:rPr>
        <w:t>1. Общие положения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1.1. Порядок содержит единые правила расчётов с подотчётными лицами Финансового управления (далее – Управление).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1.2. Основными нормативными правовыми актами, использованными при разработке настоящего Порядка, являются: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 xml:space="preserve">- </w:t>
      </w:r>
      <w:hyperlink r:id="rId6" w:history="1">
        <w:r>
          <w:rPr>
            <w:szCs w:val="24"/>
          </w:rPr>
          <w:t>Указание</w:t>
        </w:r>
      </w:hyperlink>
      <w:r>
        <w:rPr>
          <w:szCs w:val="24"/>
        </w:rPr>
        <w:t xml:space="preserve"> Банка России от 11.03.2014 № 3210-У «О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предпринимательства»;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trike/>
          <w:szCs w:val="24"/>
        </w:rPr>
      </w:pPr>
      <w:r>
        <w:rPr>
          <w:strike/>
          <w:szCs w:val="24"/>
          <w:highlight w:val="yellow"/>
        </w:rPr>
        <w:t xml:space="preserve">- </w:t>
      </w:r>
      <w:hyperlink r:id="rId7" w:history="1">
        <w:r>
          <w:rPr>
            <w:strike/>
            <w:szCs w:val="24"/>
            <w:highlight w:val="yellow"/>
          </w:rPr>
          <w:t>Инструкция</w:t>
        </w:r>
      </w:hyperlink>
      <w:r>
        <w:rPr>
          <w:strike/>
          <w:szCs w:val="24"/>
          <w:highlight w:val="yellow"/>
        </w:rPr>
        <w:t xml:space="preserve"> по применению Единого плана счетов бухгалтерского учета для органов государственной вл</w:t>
      </w:r>
      <w:bookmarkStart w:id="0" w:name="_GoBack"/>
      <w:bookmarkEnd w:id="0"/>
      <w:r>
        <w:rPr>
          <w:strike/>
          <w:szCs w:val="24"/>
          <w:highlight w:val="yellow"/>
        </w:rPr>
        <w:t>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учреждений, утвержденная Приказом Минфина России от 01.12.2010 № 157н;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  <w:highlight w:val="yellow"/>
        </w:rPr>
      </w:pPr>
      <w:r>
        <w:rPr>
          <w:rFonts w:cs="Times New Roman"/>
          <w:szCs w:val="24"/>
          <w:highlight w:val="yellow"/>
        </w:rPr>
        <w:t>- Приказ Минфина России от 30.08.2024 № 121н «Об утверждении федерального стандарта бухгалтерского учета государственных финансов «Единый план счетов бухгалтерского учета государственных финансов»;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  <w:highlight w:val="yellow"/>
        </w:rPr>
        <w:t>- Приказ Минфина России от 20.09.2024 № 132н «Об утверждении федерального стандарта бухгалтерского учета государственных финансов «План счетов бюджетного учета»;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rFonts w:cs="Times New Roman"/>
          <w:szCs w:val="24"/>
        </w:rPr>
        <w:t xml:space="preserve">- </w:t>
      </w:r>
      <w:hyperlink r:id="rId8" w:history="1">
        <w:r>
          <w:rPr>
            <w:rFonts w:cs="Times New Roman"/>
            <w:szCs w:val="24"/>
          </w:rPr>
          <w:t>Приказ</w:t>
        </w:r>
      </w:hyperlink>
      <w:r>
        <w:rPr>
          <w:rFonts w:cs="Times New Roman"/>
          <w:szCs w:val="24"/>
        </w:rPr>
        <w:t xml:space="preserve"> Минфина России от 30.03.2015 № 52н «Об утверждении форм первичных 1государственной власти (государственными</w:t>
      </w:r>
      <w:r>
        <w:rPr>
          <w:szCs w:val="24"/>
        </w:rPr>
        <w:t xml:space="preserve">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применению»;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4"/>
        </w:rPr>
      </w:pPr>
      <w:r>
        <w:rPr>
          <w:szCs w:val="24"/>
        </w:rPr>
        <w:t xml:space="preserve">- </w:t>
      </w:r>
      <w:r>
        <w:rPr>
          <w:rFonts w:cs="Times New Roman"/>
          <w:szCs w:val="24"/>
        </w:rPr>
        <w:t>Приказ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>- Постановление Правительства РФ от 13.10.2008 № 749 «Об особенностях направления работников в служебные командировки»;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4"/>
        </w:rPr>
      </w:pPr>
      <w:r>
        <w:rPr>
          <w:szCs w:val="24"/>
        </w:rPr>
        <w:t>- Постановление Администрации ЗАТО Северск от 06.09.2017 № 1612 «Об утверждении Порядка и размеров возмещения расходов, связанных со служебными командировками, работникам Администрации ЗАТО Северск и органов Администрации ЗАТО Северск, наделенных правами юридического лица».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cs="Times New Roman"/>
          <w:szCs w:val="24"/>
        </w:rPr>
      </w:pPr>
      <w:r>
        <w:rPr>
          <w:rFonts w:cs="Times New Roman"/>
          <w:b/>
          <w:bCs/>
          <w:szCs w:val="24"/>
        </w:rPr>
        <w:t>2. Порядок выдачи денежных средств под отчёт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2.1. Денежные средства выдаются (перечисляются) под отчёт: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на административно-хозяйственные нужды;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на покрытие (возмещение) затрат, связанных со служебными командировками.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2.2. Получать подотчётные суммы на административно-хозяйственные нужды имеют право работники Управления.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2.3. Сумма выдачи денежных средств под отчёт одному подотчётному лицу на административно-хозяйственные нужды с учетом перерасхода не может превышать 20 000 </w:t>
      </w:r>
      <w:r>
        <w:rPr>
          <w:szCs w:val="24"/>
        </w:rPr>
        <w:t>(двадцать тысяч) руб. На основании приказа начальника Управления в исключительных случаях сумма может быть увеличена, но не более лимита расчетов наличными средствами между юридическими лицами в соответствии с указанием Банка России. Основание: пункт</w:t>
      </w:r>
      <w:r>
        <w:rPr>
          <w:rFonts w:cs="Times New Roman"/>
          <w:szCs w:val="24"/>
        </w:rPr>
        <w:t xml:space="preserve"> 4 указания Банка России от 09.12.2019 № 5348-У «О правилах наличных расчетов».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2.4. Денежные средства под отчёт на административно-хозяйственные нужды перечисляются на зарплатные или личные банковские карты работников.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2.5. Максимальный срок выдачи денежных средств под отчёт на административно-хозяйственные нужды составляет 10 календарных дней.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lastRenderedPageBreak/>
        <w:t>2.6. Подотчётные суммы на осуществление командировочных расходов выдаются сотрудникам Управления, направляемым в служебную командировку на основании: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>- распоряжения Мэра ЗАТО Северск, а на период проведения выборов Мэра ЗАТО Северск на основании распоряжения Администрации ЗАТО Северск для начальника Управления (заместителя начальника Управления);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>- приказа начальника Управления о направлении в командировку;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  <w:r>
        <w:rPr>
          <w:szCs w:val="24"/>
        </w:rPr>
        <w:t xml:space="preserve">         - р</w:t>
      </w:r>
      <w:r>
        <w:rPr>
          <w:rFonts w:cs="Times New Roman"/>
          <w:szCs w:val="24"/>
        </w:rPr>
        <w:t xml:space="preserve">ешения о командировании на территории Российской Федерации </w:t>
      </w:r>
      <w:hyperlink r:id="rId9" w:history="1">
        <w:r>
          <w:rPr>
            <w:rFonts w:cs="Times New Roman"/>
            <w:szCs w:val="24"/>
          </w:rPr>
          <w:t>(ф. 0504512)</w:t>
        </w:r>
      </w:hyperlink>
      <w:r>
        <w:rPr>
          <w:rFonts w:cs="Times New Roman"/>
          <w:szCs w:val="24"/>
        </w:rPr>
        <w:t>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>2.7. Авансы на расходы, связанные со служебными командировками, перечисляются на зарплатные или личные банковские карты работников Управления.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szCs w:val="24"/>
        </w:rPr>
        <w:t>2.8. Для получения денежных средств под отчёт работник Управления оформляет письменное заявление с указанием суммы аванса, назначения аванса, расчёта (обоснования) размера аванса и срока</w:t>
      </w:r>
      <w:r>
        <w:rPr>
          <w:rFonts w:cs="Times New Roman"/>
          <w:szCs w:val="24"/>
        </w:rPr>
        <w:t xml:space="preserve">, на который он выдается. Форма заявления приведена в </w:t>
      </w:r>
      <w:hyperlink w:anchor="Par61" w:history="1">
        <w:r>
          <w:rPr>
            <w:rFonts w:cs="Times New Roman"/>
            <w:szCs w:val="24"/>
          </w:rPr>
          <w:t>Приложении 1</w:t>
        </w:r>
      </w:hyperlink>
      <w:r>
        <w:rPr>
          <w:rFonts w:cs="Times New Roman"/>
          <w:szCs w:val="24"/>
        </w:rPr>
        <w:t xml:space="preserve">             к настоящему Порядку или используется форма предусмотренная программой </w:t>
      </w:r>
      <w:r>
        <w:rPr>
          <w:rFonts w:cs="Times New Roman"/>
          <w:bCs/>
          <w:spacing w:val="2"/>
          <w:szCs w:val="24"/>
        </w:rPr>
        <w:t xml:space="preserve">1С: Предприятие 8.3 Бухгалтерия </w:t>
      </w:r>
      <w:r>
        <w:rPr>
          <w:rFonts w:cs="Times New Roman"/>
          <w:szCs w:val="24"/>
        </w:rPr>
        <w:t>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2.9. На заявлении отдел по бюджетному учёту и отчётности Управления (далее – Отдел) делает отметку о наличии/отсутствии у работника на текущую дату задолженности по ранее выданным ему авансам. При наличии задолженности указывается ее сумма и срок отчёта по выданному авансу, ставится дата и подпись бухгалтера. Если задолженности нет, на заявлении проставляется отметка, дата и подпись сотрудника Отдела.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2.10. Руководитель Управления рассматривает заявление </w:t>
      </w:r>
      <w:r>
        <w:rPr>
          <w:szCs w:val="24"/>
        </w:rPr>
        <w:t xml:space="preserve">в течение трех рабочих дней </w:t>
      </w:r>
      <w:r>
        <w:rPr>
          <w:rFonts w:cs="Times New Roman"/>
          <w:szCs w:val="24"/>
        </w:rPr>
        <w:t>и ставит свою подпись и дату.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2.11. Выдача (перечисление) денежных средств под отчёт производится при условии, что у подотчётного лица отсутствует задолженность по денежным средствам, по которым наступил срок представления авансового отчёта </w:t>
      </w:r>
      <w:hyperlink r:id="rId10" w:history="1">
        <w:r>
          <w:rPr>
            <w:rFonts w:cs="Times New Roman"/>
            <w:szCs w:val="24"/>
          </w:rPr>
          <w:t>(ф. 0504505)</w:t>
        </w:r>
      </w:hyperlink>
      <w:r>
        <w:rPr>
          <w:rFonts w:cs="Times New Roman"/>
          <w:szCs w:val="24"/>
        </w:rPr>
        <w:t xml:space="preserve"> или отчета о расходах подотчетного лица </w:t>
      </w:r>
      <w:hyperlink r:id="rId11" w:history="1">
        <w:r>
          <w:rPr>
            <w:rFonts w:cs="Times New Roman"/>
            <w:szCs w:val="24"/>
          </w:rPr>
          <w:t>(ф. 0504520)</w:t>
        </w:r>
      </w:hyperlink>
      <w:r>
        <w:rPr>
          <w:rFonts w:cs="Times New Roman"/>
          <w:szCs w:val="24"/>
        </w:rPr>
        <w:t>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2.12. Передача выданных (перечисленных) под отчёт денежных средств одним лицом другому запрещается.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2.13. В исключительных случаях, когда работник </w:t>
      </w:r>
      <w:r>
        <w:rPr>
          <w:szCs w:val="24"/>
        </w:rPr>
        <w:t>Управления</w:t>
      </w:r>
      <w:r>
        <w:rPr>
          <w:rFonts w:cs="Times New Roman"/>
          <w:szCs w:val="24"/>
        </w:rPr>
        <w:t xml:space="preserve"> с разрешения начальника </w:t>
      </w:r>
      <w:r>
        <w:rPr>
          <w:szCs w:val="24"/>
        </w:rPr>
        <w:t>Управления</w:t>
      </w:r>
      <w:r>
        <w:rPr>
          <w:rFonts w:cs="Times New Roman"/>
          <w:szCs w:val="24"/>
        </w:rPr>
        <w:t xml:space="preserve"> произвел оплату расходов за счёт собственных средств, эти затраты компенсируются. Расходы возмещаются по авансовому отчёту </w:t>
      </w:r>
      <w:hyperlink r:id="rId12" w:history="1">
        <w:r>
          <w:rPr>
            <w:rFonts w:cs="Times New Roman"/>
            <w:szCs w:val="24"/>
          </w:rPr>
          <w:t>(ф. 0504505)</w:t>
        </w:r>
      </w:hyperlink>
      <w:r>
        <w:rPr>
          <w:rFonts w:cs="Times New Roman"/>
          <w:szCs w:val="24"/>
        </w:rPr>
        <w:t xml:space="preserve"> работника или отчета о расходах подотчетного лица </w:t>
      </w:r>
      <w:hyperlink r:id="rId13" w:history="1">
        <w:r>
          <w:rPr>
            <w:rFonts w:cs="Times New Roman"/>
            <w:szCs w:val="24"/>
          </w:rPr>
          <w:t>(ф. 0504520)</w:t>
        </w:r>
      </w:hyperlink>
      <w:r>
        <w:rPr>
          <w:rFonts w:cs="Times New Roman"/>
          <w:szCs w:val="24"/>
        </w:rPr>
        <w:t xml:space="preserve">, утвержденного руководителем </w:t>
      </w:r>
      <w:r>
        <w:rPr>
          <w:szCs w:val="24"/>
        </w:rPr>
        <w:t>Управления</w:t>
      </w:r>
      <w:r>
        <w:rPr>
          <w:rFonts w:cs="Times New Roman"/>
          <w:szCs w:val="24"/>
        </w:rPr>
        <w:t>. К отчёту прилагаются подтверждающие документы.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>На основании подтверждающих оплату документов также возмещаются: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>– расходы, связанные со сдачей ранее приобретенных проездных билетов в связи с погодными условиями или по иным уважительным причинам;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>– расходы, связанные с провозом и упаковкой багажа;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>– иные расходы, связанные с командированием работников.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szCs w:val="24"/>
        </w:rPr>
        <w:t xml:space="preserve">2.14. В </w:t>
      </w:r>
      <w:r>
        <w:rPr>
          <w:rFonts w:cs="Times New Roman"/>
          <w:szCs w:val="24"/>
        </w:rPr>
        <w:t xml:space="preserve">случае принятия решения о закупке товаров, работ, услуг подотчетным лицом (работником) Управления для хозяйственных нужд Управления, а также при оформлении выдачи денежных документов (например, почтовых марок) под отчет подотчетному лицу в целях приобретения им товаров, работ, услуг (далее - денежные документы) с 01.01.2024 применяется Заявка-обоснование </w:t>
      </w:r>
      <w:hyperlink r:id="rId14" w:history="1">
        <w:r>
          <w:rPr>
            <w:rFonts w:cs="Times New Roman"/>
            <w:szCs w:val="24"/>
          </w:rPr>
          <w:t>(ф. 0510521)</w:t>
        </w:r>
      </w:hyperlink>
      <w:r>
        <w:rPr>
          <w:rFonts w:cs="Times New Roman"/>
          <w:szCs w:val="24"/>
        </w:rPr>
        <w:t xml:space="preserve">. 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hyperlink r:id="rId15" w:history="1">
        <w:r>
          <w:rPr>
            <w:rFonts w:cs="Times New Roman"/>
            <w:szCs w:val="24"/>
          </w:rPr>
          <w:t>Заявка-обоснование</w:t>
        </w:r>
      </w:hyperlink>
      <w:r>
        <w:rPr>
          <w:rFonts w:cs="Times New Roman"/>
          <w:szCs w:val="24"/>
        </w:rPr>
        <w:t xml:space="preserve"> (ф. 0510521) согласовывается начальником Управления (или лицом, им уполномоченным), осуществляющим в соответствии с переданными полномочиями оплату расходов по закупке подотчетному лицу (работнику), состоящему в штате Управления, передавшего такие полномочия, и подписывается ЭЦП (при осуществлении таких полномочий).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hyperlink r:id="rId16" w:history="1">
        <w:r>
          <w:rPr>
            <w:rFonts w:cs="Times New Roman"/>
            <w:szCs w:val="24"/>
          </w:rPr>
          <w:t>Заявка-обоснование</w:t>
        </w:r>
      </w:hyperlink>
      <w:r>
        <w:rPr>
          <w:rFonts w:cs="Times New Roman"/>
          <w:szCs w:val="24"/>
        </w:rPr>
        <w:t xml:space="preserve"> (ф. 0510521) согласовывается руководителем </w:t>
      </w:r>
      <w:r>
        <w:rPr>
          <w:rFonts w:cs="Times New Roman"/>
          <w:bCs/>
          <w:szCs w:val="24"/>
        </w:rPr>
        <w:t>Управления</w:t>
      </w:r>
      <w:r>
        <w:rPr>
          <w:rFonts w:cs="Times New Roman"/>
          <w:szCs w:val="24"/>
        </w:rPr>
        <w:t xml:space="preserve"> (или лицом, им уполномоченным) и подписывается ЭЦП.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случае отсутствия организационно-технической возможности формировать и хранить документ в электронном виде, заявка-обоснование </w:t>
      </w:r>
      <w:hyperlink r:id="rId17" w:history="1">
        <w:r>
          <w:rPr>
            <w:rFonts w:cs="Times New Roman"/>
            <w:szCs w:val="24"/>
          </w:rPr>
          <w:t>(ф. 0510521)</w:t>
        </w:r>
      </w:hyperlink>
      <w:r>
        <w:rPr>
          <w:rFonts w:cs="Times New Roman"/>
          <w:szCs w:val="24"/>
        </w:rPr>
        <w:t xml:space="preserve"> формируется на бумажном носителе.</w:t>
      </w:r>
      <w:r>
        <w:rPr>
          <w:szCs w:val="24"/>
        </w:rPr>
        <w:t>»</w:t>
      </w:r>
      <w:r>
        <w:rPr>
          <w:rFonts w:cs="Times New Roman"/>
          <w:szCs w:val="24"/>
        </w:rPr>
        <w:t xml:space="preserve"> 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3. Порядок представления отчётности подотчётными лицами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3.1. Об израсходованных подотчётных суммах подотчётное лицо представляет в Отдел авансовый отчёт </w:t>
      </w:r>
      <w:hyperlink r:id="rId18" w:history="1">
        <w:r>
          <w:rPr>
            <w:rFonts w:cs="Times New Roman"/>
            <w:szCs w:val="24"/>
          </w:rPr>
          <w:t>(ф. 0504505)</w:t>
        </w:r>
      </w:hyperlink>
      <w:r>
        <w:rPr>
          <w:rFonts w:cs="Times New Roman"/>
          <w:szCs w:val="24"/>
        </w:rPr>
        <w:t xml:space="preserve"> или отчет о расходах подотчетного лица </w:t>
      </w:r>
      <w:hyperlink r:id="rId19" w:history="1">
        <w:r>
          <w:rPr>
            <w:rFonts w:cs="Times New Roman"/>
            <w:szCs w:val="24"/>
          </w:rPr>
          <w:t>(ф. 0504520)</w:t>
        </w:r>
      </w:hyperlink>
      <w:r>
        <w:rPr>
          <w:rFonts w:cs="Times New Roman"/>
          <w:szCs w:val="24"/>
        </w:rPr>
        <w:t xml:space="preserve">. К нему </w:t>
      </w:r>
      <w:r>
        <w:rPr>
          <w:rFonts w:cs="Times New Roman"/>
          <w:szCs w:val="24"/>
        </w:rPr>
        <w:lastRenderedPageBreak/>
        <w:t>необходимо приложить документы, подтверждающие произведенные расходы. Эти документы нумеруются подотчётным лицом в порядке их записи в отчёте.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3.2. Авансовый отчёт </w:t>
      </w:r>
      <w:hyperlink r:id="rId20" w:history="1">
        <w:r>
          <w:rPr>
            <w:rFonts w:cs="Times New Roman"/>
            <w:szCs w:val="24"/>
          </w:rPr>
          <w:t>(ф. 0504505)</w:t>
        </w:r>
      </w:hyperlink>
      <w:r>
        <w:rPr>
          <w:rFonts w:cs="Times New Roman"/>
          <w:szCs w:val="24"/>
        </w:rPr>
        <w:t xml:space="preserve"> или отчет о расходах подотчетного лица </w:t>
      </w:r>
      <w:hyperlink r:id="rId21" w:history="1">
        <w:r>
          <w:rPr>
            <w:rFonts w:cs="Times New Roman"/>
            <w:szCs w:val="24"/>
          </w:rPr>
          <w:t>(ф. 0504520)</w:t>
        </w:r>
      </w:hyperlink>
      <w:r>
        <w:rPr>
          <w:rFonts w:cs="Times New Roman"/>
          <w:szCs w:val="24"/>
        </w:rPr>
        <w:t xml:space="preserve"> по расходам, осуществленным на административно-хозяйственные нужды, должен быть подан не позднее трех рабочих дней по истечении срока, на который были выданы денежные средства.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3.3. Авансовый отчёт </w:t>
      </w:r>
      <w:hyperlink r:id="rId22" w:history="1">
        <w:r>
          <w:rPr>
            <w:rFonts w:cs="Times New Roman"/>
            <w:szCs w:val="24"/>
          </w:rPr>
          <w:t>(ф. 0504505)</w:t>
        </w:r>
      </w:hyperlink>
      <w:r>
        <w:rPr>
          <w:rFonts w:cs="Times New Roman"/>
          <w:szCs w:val="24"/>
        </w:rPr>
        <w:t xml:space="preserve"> или отчет о расходах подотчетного лица </w:t>
      </w:r>
      <w:hyperlink r:id="rId23" w:history="1">
        <w:r>
          <w:rPr>
            <w:rFonts w:cs="Times New Roman"/>
            <w:szCs w:val="24"/>
          </w:rPr>
          <w:t>(ф. 0504520)</w:t>
        </w:r>
      </w:hyperlink>
      <w:r>
        <w:rPr>
          <w:rFonts w:cs="Times New Roman"/>
          <w:szCs w:val="24"/>
        </w:rPr>
        <w:t xml:space="preserve"> по командировочным расходам необходимо представить не позднее трёх рабочих дней со дня возвращения из командировки.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3.4. Отдел проверяет правильность оформления авансового отчёта </w:t>
      </w:r>
      <w:hyperlink r:id="rId24" w:history="1">
        <w:r>
          <w:rPr>
            <w:rFonts w:cs="Times New Roman"/>
            <w:szCs w:val="24"/>
          </w:rPr>
          <w:t>(ф. 0504505)</w:t>
        </w:r>
      </w:hyperlink>
      <w:r>
        <w:rPr>
          <w:rFonts w:cs="Times New Roman"/>
          <w:szCs w:val="24"/>
        </w:rPr>
        <w:t xml:space="preserve"> или отчета о расходах подотчетного лица </w:t>
      </w:r>
      <w:hyperlink r:id="rId25" w:history="1">
        <w:r>
          <w:rPr>
            <w:rFonts w:cs="Times New Roman"/>
            <w:szCs w:val="24"/>
          </w:rPr>
          <w:t>(ф. 0504520)</w:t>
        </w:r>
      </w:hyperlink>
      <w:r>
        <w:rPr>
          <w:rFonts w:cs="Times New Roman"/>
          <w:szCs w:val="24"/>
        </w:rPr>
        <w:t>, наличие документов, подтверждающих произведенные расходы, обоснованность расходования средств.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3.5. Все прилагаемые к авансовому отчёту документы должны быть оформлены                             в соответствии с требованиями законодательства РФ, с обязательным заполнением необходимых граф, реквизитов, наличием подписей и т.д.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3.6. Проверенный Отделом авансовый отчёт </w:t>
      </w:r>
      <w:hyperlink r:id="rId26" w:history="1">
        <w:r>
          <w:rPr>
            <w:rFonts w:cs="Times New Roman"/>
            <w:szCs w:val="24"/>
          </w:rPr>
          <w:t>(ф. 0504505)</w:t>
        </w:r>
      </w:hyperlink>
      <w:r>
        <w:rPr>
          <w:rFonts w:cs="Times New Roman"/>
          <w:szCs w:val="24"/>
        </w:rPr>
        <w:t xml:space="preserve"> или отчет о расходах подотчетного лица </w:t>
      </w:r>
      <w:hyperlink r:id="rId27" w:history="1">
        <w:r>
          <w:rPr>
            <w:rFonts w:cs="Times New Roman"/>
            <w:szCs w:val="24"/>
          </w:rPr>
          <w:t>(ф. 0504520)</w:t>
        </w:r>
      </w:hyperlink>
      <w:r>
        <w:rPr>
          <w:rFonts w:cs="Times New Roman"/>
          <w:szCs w:val="24"/>
        </w:rPr>
        <w:t xml:space="preserve"> утверждает руководитель Управления. После этого Отдел принимает авансовый отчёт или отчет о расходах подотчетного лица </w:t>
      </w:r>
      <w:hyperlink r:id="rId28" w:history="1">
        <w:r>
          <w:rPr>
            <w:rFonts w:cs="Times New Roman"/>
            <w:szCs w:val="24"/>
          </w:rPr>
          <w:t>(ф. 0504520)</w:t>
        </w:r>
      </w:hyperlink>
      <w:r>
        <w:rPr>
          <w:rFonts w:cs="Times New Roman"/>
          <w:szCs w:val="24"/>
        </w:rPr>
        <w:t xml:space="preserve"> к учету.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3.7. Проверка и утверждение авансового отчёта </w:t>
      </w:r>
      <w:hyperlink r:id="rId29" w:history="1">
        <w:r>
          <w:rPr>
            <w:rFonts w:cs="Times New Roman"/>
            <w:szCs w:val="24"/>
          </w:rPr>
          <w:t>(ф. 0504505)</w:t>
        </w:r>
      </w:hyperlink>
      <w:r>
        <w:rPr>
          <w:rFonts w:cs="Times New Roman"/>
          <w:szCs w:val="24"/>
        </w:rPr>
        <w:t xml:space="preserve"> или отчета о расходах подотчетного лица </w:t>
      </w:r>
      <w:hyperlink r:id="rId30" w:history="1">
        <w:r>
          <w:rPr>
            <w:rFonts w:cs="Times New Roman"/>
            <w:szCs w:val="24"/>
          </w:rPr>
          <w:t>(ф. 0504520)</w:t>
        </w:r>
      </w:hyperlink>
      <w:r>
        <w:rPr>
          <w:rFonts w:cs="Times New Roman"/>
          <w:szCs w:val="24"/>
        </w:rPr>
        <w:t xml:space="preserve"> осуществляются в течение трёх рабочих дней со дня, когда отчёт был подан в Отдел.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3.8. Сумма превышения принятых к учету расходов подотчётного лица над ранее выданным авансом (сумма утвержденного перерасхода) перечисляется на зарплатную или личную банковскую карту подотчётного лица в течение 30 календарных дней.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3.9. Остаток неиспользованного аванса вносится подотчётным лицом не позднее дня, следующего за днем утверждения авансового отчёта </w:t>
      </w:r>
      <w:hyperlink r:id="rId31" w:history="1">
        <w:r>
          <w:rPr>
            <w:rFonts w:cs="Times New Roman"/>
            <w:szCs w:val="24"/>
          </w:rPr>
          <w:t>(ф. 0504505)</w:t>
        </w:r>
      </w:hyperlink>
      <w:r>
        <w:rPr>
          <w:rFonts w:cs="Times New Roman"/>
          <w:szCs w:val="24"/>
        </w:rPr>
        <w:t xml:space="preserve"> или отчета о расходах подотчетного лица </w:t>
      </w:r>
      <w:hyperlink r:id="rId32" w:history="1">
        <w:r>
          <w:rPr>
            <w:rFonts w:cs="Times New Roman"/>
            <w:szCs w:val="24"/>
          </w:rPr>
          <w:t>(ф. 0504520)</w:t>
        </w:r>
      </w:hyperlink>
      <w:r>
        <w:rPr>
          <w:rFonts w:cs="Times New Roman"/>
          <w:szCs w:val="24"/>
        </w:rPr>
        <w:t xml:space="preserve"> руководителем Управления.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3.10. Если работник </w:t>
      </w:r>
      <w:r>
        <w:rPr>
          <w:szCs w:val="24"/>
        </w:rPr>
        <w:t>Управления</w:t>
      </w:r>
      <w:r>
        <w:rPr>
          <w:rFonts w:cs="Times New Roman"/>
          <w:szCs w:val="24"/>
        </w:rPr>
        <w:t xml:space="preserve"> в установленный срок не представил авансовый отчёт               </w:t>
      </w:r>
      <w:hyperlink r:id="rId33" w:history="1">
        <w:r>
          <w:rPr>
            <w:rFonts w:cs="Times New Roman"/>
            <w:szCs w:val="24"/>
          </w:rPr>
          <w:t>(ф. 0504505)</w:t>
        </w:r>
      </w:hyperlink>
      <w:r>
        <w:rPr>
          <w:rFonts w:cs="Times New Roman"/>
          <w:szCs w:val="24"/>
        </w:rPr>
        <w:t xml:space="preserve"> или отчет о расходах подотчетного лица </w:t>
      </w:r>
      <w:hyperlink r:id="rId34" w:history="1">
        <w:r>
          <w:rPr>
            <w:rFonts w:cs="Times New Roman"/>
            <w:szCs w:val="24"/>
          </w:rPr>
          <w:t>(ф. 0504520)</w:t>
        </w:r>
      </w:hyperlink>
      <w:r>
        <w:rPr>
          <w:rFonts w:cs="Times New Roman"/>
          <w:szCs w:val="24"/>
        </w:rPr>
        <w:t xml:space="preserve"> в Отдел или не вернул остаток неиспользованного аванса, Управление имеет право произвести удержание из заработной платы работника в размере суммы задолженности по выданному авансу с соблюдением требований, установленных </w:t>
      </w:r>
      <w:hyperlink r:id="rId35" w:history="1">
        <w:r>
          <w:rPr>
            <w:rFonts w:cs="Times New Roman"/>
            <w:szCs w:val="24"/>
          </w:rPr>
          <w:t>ст. ст. 137</w:t>
        </w:r>
      </w:hyperlink>
      <w:r>
        <w:rPr>
          <w:rFonts w:cs="Times New Roman"/>
          <w:szCs w:val="24"/>
        </w:rPr>
        <w:t xml:space="preserve"> и </w:t>
      </w:r>
      <w:hyperlink r:id="rId36" w:history="1">
        <w:r>
          <w:rPr>
            <w:rFonts w:cs="Times New Roman"/>
            <w:szCs w:val="24"/>
          </w:rPr>
          <w:t>138</w:t>
        </w:r>
      </w:hyperlink>
      <w:r>
        <w:rPr>
          <w:rFonts w:cs="Times New Roman"/>
          <w:szCs w:val="24"/>
        </w:rPr>
        <w:t xml:space="preserve"> ТК РФ.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rFonts w:cs="Times New Roman"/>
          <w:szCs w:val="24"/>
        </w:rPr>
        <w:t>3.11. При увольнении работника, имеющего задолженность по подотчётным суммам, остаток этой задолженности удерживается из причитающихся работнику при увольнении выплат с</w:t>
      </w:r>
      <w:r>
        <w:rPr>
          <w:szCs w:val="24"/>
        </w:rPr>
        <w:t xml:space="preserve"> соблюдением требований ст. 137 ТК РФ.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b/>
          <w:szCs w:val="24"/>
          <w:lang w:eastAsia="ru-RU"/>
        </w:rPr>
      </w:pPr>
      <w:r>
        <w:rPr>
          <w:b/>
          <w:bCs/>
          <w:szCs w:val="24"/>
          <w:lang w:eastAsia="ru-RU"/>
        </w:rPr>
        <w:t>4. Заключительные положения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rPr>
          <w:szCs w:val="24"/>
          <w:lang w:eastAsia="ru-RU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jc w:val="both"/>
        <w:rPr>
          <w:szCs w:val="24"/>
          <w:lang w:eastAsia="ru-RU"/>
        </w:rPr>
      </w:pPr>
      <w:r>
        <w:rPr>
          <w:szCs w:val="24"/>
          <w:lang w:eastAsia="ru-RU"/>
        </w:rPr>
        <w:t xml:space="preserve">4.1. Все изменения и дополнения к настоящему положению утверждаются руководителем учреждения.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jc w:val="both"/>
        <w:rPr>
          <w:szCs w:val="24"/>
          <w:lang w:eastAsia="ru-RU"/>
        </w:rPr>
      </w:pPr>
      <w:r>
        <w:rPr>
          <w:szCs w:val="24"/>
          <w:lang w:eastAsia="ru-RU"/>
        </w:rPr>
        <w:t>4.2. Если в результате изменения действующего законодательства России отдельные статьи настоящего положения вступят с ним в противоречие, они утрачивают силу, преимущественную силу имеют положения действующего законодательства России.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cs="Times New Roman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cs="Times New Roman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cs="Times New Roman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cs="Times New Roman"/>
          <w:szCs w:val="24"/>
        </w:rPr>
      </w:pPr>
    </w:p>
    <w:p>
      <w:pPr>
        <w:spacing w:after="0" w:line="240" w:lineRule="auto"/>
      </w:pPr>
      <w:r>
        <w:t xml:space="preserve">                                                                                                       </w:t>
      </w:r>
    </w:p>
    <w:p>
      <w:pPr>
        <w:spacing w:after="0" w:line="240" w:lineRule="auto"/>
      </w:pPr>
    </w:p>
    <w:p>
      <w:pPr>
        <w:spacing w:after="0" w:line="240" w:lineRule="auto"/>
        <w:ind w:left="5664"/>
      </w:pPr>
      <w:r>
        <w:t xml:space="preserve">      </w:t>
      </w:r>
    </w:p>
    <w:p>
      <w:pPr>
        <w:spacing w:after="0" w:line="240" w:lineRule="auto"/>
        <w:ind w:left="5664"/>
      </w:pPr>
    </w:p>
    <w:p>
      <w:pPr>
        <w:spacing w:after="0" w:line="240" w:lineRule="auto"/>
        <w:ind w:left="5664"/>
      </w:pPr>
    </w:p>
    <w:p>
      <w:pPr>
        <w:spacing w:after="0" w:line="240" w:lineRule="auto"/>
        <w:ind w:left="5664"/>
      </w:pPr>
    </w:p>
    <w:p>
      <w:pPr>
        <w:spacing w:after="0" w:line="240" w:lineRule="auto"/>
        <w:ind w:left="5664"/>
      </w:pPr>
      <w:r>
        <w:t xml:space="preserve">  Форма № 1 к Порядку</w:t>
      </w:r>
    </w:p>
    <w:p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szCs w:val="24"/>
        </w:rPr>
      </w:pPr>
      <w:r>
        <w:rPr>
          <w:rFonts w:cs="Times New Roman"/>
          <w:bCs/>
          <w:szCs w:val="24"/>
        </w:rPr>
        <w:t xml:space="preserve">    выдачи под отчёт денежных средств,</w:t>
      </w:r>
    </w:p>
    <w:p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bCs/>
          <w:szCs w:val="24"/>
        </w:rPr>
      </w:pPr>
      <w:r>
        <w:rPr>
          <w:rFonts w:cs="Times New Roman"/>
          <w:bCs/>
          <w:szCs w:val="24"/>
        </w:rPr>
        <w:t xml:space="preserve"> составления и представления отчётов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4"/>
        </w:rPr>
      </w:pPr>
      <w:r>
        <w:rPr>
          <w:rFonts w:cs="Times New Roman"/>
          <w:bCs/>
          <w:szCs w:val="24"/>
        </w:rPr>
        <w:t xml:space="preserve">                                                                             подотчётными лицами</w:t>
      </w:r>
    </w:p>
    <w:p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Руководителю ___________________________</w:t>
      </w:r>
    </w:p>
    <w:p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________________________________________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                                               (должность руководителя, Ф.И.О.)</w:t>
      </w:r>
    </w:p>
    <w:p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cs="Times New Roman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от _____________________________________</w:t>
      </w:r>
    </w:p>
    <w:p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________________________________________</w:t>
      </w:r>
    </w:p>
    <w:p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(должность, фамилия, инициалы работника)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4"/>
        </w:rPr>
      </w:pPr>
      <w:r>
        <w:rPr>
          <w:rFonts w:cs="Times New Roman"/>
          <w:b/>
          <w:bCs/>
          <w:szCs w:val="24"/>
        </w:rPr>
        <w:t>Заявление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4"/>
        </w:rPr>
      </w:pPr>
      <w:r>
        <w:rPr>
          <w:rFonts w:cs="Times New Roman"/>
          <w:b/>
          <w:bCs/>
          <w:szCs w:val="24"/>
        </w:rPr>
        <w:t>о выдаче денежных средств под отчёт</w:t>
      </w:r>
    </w:p>
    <w:p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cs="Times New Roman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  <w:r>
        <w:rPr>
          <w:rFonts w:ascii="Courier New" w:hAnsi="Courier New" w:cs="Courier New"/>
          <w:sz w:val="20"/>
          <w:szCs w:val="20"/>
        </w:rPr>
        <w:t xml:space="preserve">    </w:t>
      </w:r>
      <w:r>
        <w:rPr>
          <w:rFonts w:cs="Times New Roman"/>
          <w:szCs w:val="24"/>
        </w:rPr>
        <w:t>Прошу    выдать   мне   под   отчёт   денежные   средства   в   размере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_______________________________________________________________________ руб.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на ________________________________________________________________________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                                (указать назначение аванса)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Расчет (обоснование) суммы аванса: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___________________________________________________________________________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___________________________________________________________________________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___________________________________________________________________________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на срок до "___" ____________ 20__ г.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"___" __________ 20__ г.                   ________________________________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                                                (подпись работника)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tbl>
      <w:tblPr>
        <w:tblW w:w="10632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08"/>
        <w:gridCol w:w="1134"/>
        <w:gridCol w:w="1503"/>
        <w:gridCol w:w="2410"/>
        <w:gridCol w:w="2977"/>
      </w:tblGrid>
      <w:t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Отметка Отдела по бюджетному учёту и отчётности о наличии задолженности работника по ранее полученным авансам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Задолженность (имеется/отсутствует) ________________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При наличии сумма задолженности _______________ руб.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  <w:p>
            <w:pPr>
              <w:tabs>
                <w:tab w:val="left" w:pos="222"/>
              </w:tabs>
              <w:autoSpaceDE w:val="0"/>
              <w:autoSpaceDN w:val="0"/>
              <w:adjustRightInd w:val="0"/>
              <w:spacing w:after="0" w:line="240" w:lineRule="auto"/>
              <w:ind w:left="-204" w:hanging="425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Срок отчёта по выданному авансу "____" _____ 20__ г.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Решение начальника Финансового управления о выдаче денежных средств под отчёт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Выдать ______________________________________ руб.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на срок до "_____" ____________ 20___ г.</w:t>
            </w:r>
          </w:p>
        </w:tc>
      </w:tr>
      <w:tr>
        <w:tc>
          <w:tcPr>
            <w:tcW w:w="2608" w:type="dxa"/>
            <w:tcBorders>
              <w:left w:val="single" w:sz="4" w:space="0" w:color="auto"/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________________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(должность)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/_______/(подпись)</w:t>
            </w:r>
          </w:p>
        </w:tc>
        <w:tc>
          <w:tcPr>
            <w:tcW w:w="1503" w:type="dxa"/>
            <w:tcBorders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___________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(фамилия, инициалы)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__________/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(подпись)</w:t>
            </w:r>
          </w:p>
        </w:tc>
        <w:tc>
          <w:tcPr>
            <w:tcW w:w="2977" w:type="dxa"/>
            <w:tcBorders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____________________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(фамилия, инициалы)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Times New Roman"/>
                <w:szCs w:val="24"/>
              </w:rPr>
            </w:pPr>
          </w:p>
        </w:tc>
      </w:tr>
    </w:tbl>
    <w:p>
      <w:pPr>
        <w:autoSpaceDE w:val="0"/>
        <w:autoSpaceDN w:val="0"/>
        <w:adjustRightInd w:val="0"/>
        <w:spacing w:after="0" w:line="240" w:lineRule="auto"/>
        <w:jc w:val="right"/>
        <w:outlineLvl w:val="1"/>
      </w:pPr>
    </w:p>
    <w:sectPr>
      <w:pgSz w:w="11905" w:h="16838"/>
      <w:pgMar w:top="425" w:right="850" w:bottom="850" w:left="1080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939355-5D09-4709-852C-B00089A2E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</w:style>
  <w:style w:type="paragraph" w:styleId="a7">
    <w:name w:val="Balloon Text"/>
    <w:basedOn w:val="a"/>
    <w:link w:val="a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053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8D087B76DBDFBEDE6E2025226A8438592D2AF3D1CE0B59FBD44BDB02Fb2SAP" TargetMode="External"/><Relationship Id="rId13" Type="http://schemas.openxmlformats.org/officeDocument/2006/relationships/hyperlink" Target="https://login.consultant.ru/link/?req=doc&amp;base=LAW&amp;n=362627&amp;dst=1311" TargetMode="External"/><Relationship Id="rId18" Type="http://schemas.openxmlformats.org/officeDocument/2006/relationships/hyperlink" Target="consultantplus://offline/ref=266D72D5636E79448A332D262BFBAA89B445641D4A45FA6418F3B2F6m04AD" TargetMode="External"/><Relationship Id="rId26" Type="http://schemas.openxmlformats.org/officeDocument/2006/relationships/hyperlink" Target="consultantplus://offline/ref=266D72D5636E79448A332D262BFBAA89B445641D4A45FA6418F3B2F6m04AD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362627&amp;dst=1311" TargetMode="External"/><Relationship Id="rId34" Type="http://schemas.openxmlformats.org/officeDocument/2006/relationships/hyperlink" Target="https://login.consultant.ru/link/?req=doc&amp;base=LAW&amp;n=362627&amp;dst=1311" TargetMode="External"/><Relationship Id="rId7" Type="http://schemas.openxmlformats.org/officeDocument/2006/relationships/hyperlink" Target="consultantplus://offline/ref=F8D087B76DBDFBEDE6E2025226A8438592DDAD3E1BEEB59FBD44BDB02F2A71E750B2F1737E52A256b8S1P" TargetMode="External"/><Relationship Id="rId12" Type="http://schemas.openxmlformats.org/officeDocument/2006/relationships/hyperlink" Target="consultantplus://offline/ref=266D72D5636E79448A332D262BFBAA89B445641D4A45FA6418F3B2F6m04AD" TargetMode="External"/><Relationship Id="rId17" Type="http://schemas.openxmlformats.org/officeDocument/2006/relationships/hyperlink" Target="consultantplus://offline/ref=50D83D18D23457DCBDCFA29BEB5299694ACFE380F478DB907F9242749D8C44C06BA8C0FA8F4C5BAF963C5321A31CF07549DECA4D25033CODF" TargetMode="External"/><Relationship Id="rId25" Type="http://schemas.openxmlformats.org/officeDocument/2006/relationships/hyperlink" Target="https://login.consultant.ru/link/?req=doc&amp;base=LAW&amp;n=362627&amp;dst=1311" TargetMode="External"/><Relationship Id="rId33" Type="http://schemas.openxmlformats.org/officeDocument/2006/relationships/hyperlink" Target="consultantplus://offline/ref=266D72D5636E79448A332D262BFBAA89B445641D4A45FA6418F3B2F6m04AD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33336F253758B8C93B7705B18C90556E2B3898B35DF260EDEB0B3C70D7673299335B7078175EA3F4CF31C6B27502533169DD308D377H71ED" TargetMode="External"/><Relationship Id="rId20" Type="http://schemas.openxmlformats.org/officeDocument/2006/relationships/hyperlink" Target="consultantplus://offline/ref=266D72D5636E79448A332D262BFBAA89B445641D4A45FA6418F3B2F6m04AD" TargetMode="External"/><Relationship Id="rId29" Type="http://schemas.openxmlformats.org/officeDocument/2006/relationships/hyperlink" Target="consultantplus://offline/ref=266D72D5636E79448A332D262BFBAA89B445641D4A45FA6418F3B2F6m04A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F8D087B76DBDFBEDE6E2025226A8438592D2AD3D19E1B59FBD44BDB02Fb2SAP" TargetMode="External"/><Relationship Id="rId11" Type="http://schemas.openxmlformats.org/officeDocument/2006/relationships/hyperlink" Target="https://login.consultant.ru/link/?req=doc&amp;base=LAW&amp;n=362627&amp;dst=1311" TargetMode="External"/><Relationship Id="rId24" Type="http://schemas.openxmlformats.org/officeDocument/2006/relationships/hyperlink" Target="consultantplus://offline/ref=266D72D5636E79448A332D262BFBAA89B445641D4A45FA6418F3B2F6m04AD" TargetMode="External"/><Relationship Id="rId32" Type="http://schemas.openxmlformats.org/officeDocument/2006/relationships/hyperlink" Target="https://login.consultant.ru/link/?req=doc&amp;base=LAW&amp;n=362627&amp;dst=1311" TargetMode="External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133336F253758B8C93B7705B18C90556E2B3898B35DF260EDEB0B3C70D7673299335B7078175EA3F4CF31C6B27502533169DD308D377H71ED" TargetMode="External"/><Relationship Id="rId23" Type="http://schemas.openxmlformats.org/officeDocument/2006/relationships/hyperlink" Target="https://login.consultant.ru/link/?req=doc&amp;base=LAW&amp;n=362627&amp;dst=1311" TargetMode="External"/><Relationship Id="rId28" Type="http://schemas.openxmlformats.org/officeDocument/2006/relationships/hyperlink" Target="https://login.consultant.ru/link/?req=doc&amp;base=LAW&amp;n=362627&amp;dst=1311" TargetMode="External"/><Relationship Id="rId36" Type="http://schemas.openxmlformats.org/officeDocument/2006/relationships/hyperlink" Target="consultantplus://offline/ref=266D72D5636E79448A3331262CFBAA89B34A6D174B49A76E10AABEF40DCDE6FE58E43A6DCABB6053m242D" TargetMode="External"/><Relationship Id="rId10" Type="http://schemas.openxmlformats.org/officeDocument/2006/relationships/hyperlink" Target="consultantplus://offline/ref=266D72D5636E79448A332D262BFBAA89B445641D4A45FA6418F3B2F6m04AD" TargetMode="External"/><Relationship Id="rId19" Type="http://schemas.openxmlformats.org/officeDocument/2006/relationships/hyperlink" Target="https://login.consultant.ru/link/?req=doc&amp;base=LAW&amp;n=362627&amp;dst=1311" TargetMode="External"/><Relationship Id="rId31" Type="http://schemas.openxmlformats.org/officeDocument/2006/relationships/hyperlink" Target="consultantplus://offline/ref=266D72D5636E79448A332D262BFBAA89B445641D4A45FA6418F3B2F6m04AD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362627&amp;dst=263" TargetMode="External"/><Relationship Id="rId14" Type="http://schemas.openxmlformats.org/officeDocument/2006/relationships/hyperlink" Target="consultantplus://offline/ref=5F70508914652FEED58CB12003E997432DDB9C9F8E376B6CF55E829DD7A0EA49355B6FD7F523F209315CA20EA0EF59DBCD8FA2A59867I7C9H" TargetMode="External"/><Relationship Id="rId22" Type="http://schemas.openxmlformats.org/officeDocument/2006/relationships/hyperlink" Target="consultantplus://offline/ref=266D72D5636E79448A332D262BFBAA89B445641D4A45FA6418F3B2F6m04AD" TargetMode="External"/><Relationship Id="rId27" Type="http://schemas.openxmlformats.org/officeDocument/2006/relationships/hyperlink" Target="https://login.consultant.ru/link/?req=doc&amp;base=LAW&amp;n=362627&amp;dst=1311" TargetMode="External"/><Relationship Id="rId30" Type="http://schemas.openxmlformats.org/officeDocument/2006/relationships/hyperlink" Target="https://login.consultant.ru/link/?req=doc&amp;base=LAW&amp;n=362627&amp;dst=1311" TargetMode="External"/><Relationship Id="rId35" Type="http://schemas.openxmlformats.org/officeDocument/2006/relationships/hyperlink" Target="consultantplus://offline/ref=266D72D5636E79448A3331262CFBAA89B34A6D174B49A76E10AABEF40DCDE6FE58E43A6DCABB6054m240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2338</Words>
  <Characters>13331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Kuptzova</dc:creator>
  <cp:lastModifiedBy>Купцова И.О.</cp:lastModifiedBy>
  <cp:revision>4</cp:revision>
  <cp:lastPrinted>2023-05-03T08:49:00Z</cp:lastPrinted>
  <dcterms:created xsi:type="dcterms:W3CDTF">2025-12-11T03:17:00Z</dcterms:created>
  <dcterms:modified xsi:type="dcterms:W3CDTF">2025-12-16T03:21:00Z</dcterms:modified>
</cp:coreProperties>
</file>