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a4"/>
        <w:jc w:val="right"/>
        <w:rPr>
          <w:bCs/>
          <w:spacing w:val="2"/>
          <w:szCs w:val="24"/>
        </w:rPr>
      </w:pPr>
      <w:r>
        <w:rPr>
          <w:bCs/>
          <w:spacing w:val="2"/>
          <w:szCs w:val="24"/>
        </w:rPr>
        <w:t>Приложение № 4</w:t>
      </w:r>
    </w:p>
    <w:p>
      <w:pPr>
        <w:pStyle w:val="a4"/>
        <w:jc w:val="right"/>
        <w:rPr>
          <w:bCs/>
          <w:spacing w:val="2"/>
        </w:rPr>
      </w:pPr>
      <w:r>
        <w:rPr>
          <w:bCs/>
          <w:spacing w:val="2"/>
        </w:rPr>
        <w:t>к Учетной политике</w:t>
      </w:r>
    </w:p>
    <w:p>
      <w:pPr>
        <w:spacing w:after="0" w:line="240" w:lineRule="auto"/>
        <w:jc w:val="right"/>
      </w:pPr>
      <w:proofErr w:type="gramStart"/>
      <w:r>
        <w:t>утвержденной</w:t>
      </w:r>
      <w:proofErr w:type="gramEnd"/>
      <w:r>
        <w:t xml:space="preserve"> приказом </w:t>
      </w:r>
    </w:p>
    <w:p>
      <w:pPr>
        <w:spacing w:after="0" w:line="240" w:lineRule="auto"/>
        <w:jc w:val="right"/>
      </w:pPr>
      <w:r>
        <w:t>начальника Финансового управления</w:t>
      </w:r>
    </w:p>
    <w:p>
      <w:pPr>
        <w:pStyle w:val="a4"/>
        <w:jc w:val="right"/>
        <w:rPr>
          <w:b/>
          <w:bCs/>
          <w:spacing w:val="2"/>
          <w:szCs w:val="24"/>
        </w:rPr>
      </w:pPr>
      <w:proofErr w:type="gramStart"/>
      <w:r>
        <w:rPr>
          <w:szCs w:val="24"/>
        </w:rPr>
        <w:t>от</w:t>
      </w:r>
      <w:proofErr w:type="gramEnd"/>
      <w:r>
        <w:rPr>
          <w:szCs w:val="24"/>
        </w:rPr>
        <w:t xml:space="preserve"> 30.12.2021 № 94</w:t>
      </w:r>
    </w:p>
    <w:p>
      <w:pPr>
        <w:pStyle w:val="a4"/>
        <w:tabs>
          <w:tab w:val="left" w:pos="6521"/>
        </w:tabs>
        <w:jc w:val="center"/>
        <w:rPr>
          <w:b/>
          <w:bCs/>
          <w:spacing w:val="2"/>
          <w:szCs w:val="24"/>
        </w:rPr>
      </w:pPr>
      <w:r>
        <w:rPr>
          <w:b/>
          <w:bCs/>
          <w:spacing w:val="2"/>
          <w:szCs w:val="24"/>
        </w:rPr>
        <w:t xml:space="preserve">Дополнительная детализация (в рамках третьего разряда кода) </w:t>
      </w:r>
    </w:p>
    <w:p>
      <w:pPr>
        <w:pStyle w:val="a4"/>
        <w:tabs>
          <w:tab w:val="left" w:pos="6521"/>
        </w:tabs>
        <w:jc w:val="center"/>
        <w:rPr>
          <w:b/>
          <w:bCs/>
          <w:spacing w:val="2"/>
          <w:szCs w:val="24"/>
        </w:rPr>
      </w:pPr>
      <w:proofErr w:type="gramStart"/>
      <w:r>
        <w:rPr>
          <w:b/>
          <w:bCs/>
          <w:spacing w:val="2"/>
          <w:szCs w:val="24"/>
        </w:rPr>
        <w:t>операций</w:t>
      </w:r>
      <w:proofErr w:type="gramEnd"/>
      <w:r>
        <w:rPr>
          <w:b/>
          <w:bCs/>
          <w:spacing w:val="2"/>
          <w:szCs w:val="24"/>
        </w:rPr>
        <w:t xml:space="preserve"> по статьям КОСГУ</w:t>
      </w:r>
    </w:p>
    <w:p>
      <w:pPr>
        <w:pStyle w:val="a4"/>
        <w:jc w:val="center"/>
        <w:rPr>
          <w:b/>
          <w:bCs/>
          <w:spacing w:val="2"/>
          <w:szCs w:val="24"/>
        </w:rPr>
      </w:pPr>
    </w:p>
    <w:tbl>
      <w:tblPr>
        <w:tblW w:w="9214" w:type="dxa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251"/>
        <w:gridCol w:w="3943"/>
      </w:tblGrid>
      <w:tr>
        <w:trPr>
          <w:tblHeader/>
        </w:trPr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Код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Название подстатьи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Отражаемые операции</w:t>
            </w:r>
          </w:p>
        </w:tc>
      </w:tr>
      <w:tr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hyperlink r:id="rId6" w:history="1">
              <w:r>
                <w:rPr>
                  <w:rStyle w:val="a3"/>
                  <w:rFonts w:cs="Times New Roman"/>
                  <w:color w:val="auto"/>
                  <w:szCs w:val="24"/>
                </w:rPr>
                <w:t>136</w:t>
              </w:r>
            </w:hyperlink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Доходы бюджета от возврата дебиторской задолженности прошлых лет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Поступления в доходы бюджетов от возврата дебиторской задолженности прошлых лет, сформированные получателем бюджетных средств</w:t>
            </w:r>
          </w:p>
        </w:tc>
      </w:tr>
      <w:tr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139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Доходы от возмещений Фондом пенсионного и социального страхования Российской Федерации расходов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Доходы, поступающие в порядке возмещения расходов страхователей на предупредительные меры по сокращению производственного травматизма и профессиональных заболеваний работников и санаторно-курортное лечение работников, занятых на работах с вредными и (или) опасными производственными факторами.</w:t>
            </w:r>
          </w:p>
        </w:tc>
      </w:tr>
      <w:tr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hyperlink r:id="rId7" w:history="1">
              <w:r>
                <w:rPr>
                  <w:rStyle w:val="a3"/>
                  <w:rFonts w:cs="Times New Roman"/>
                  <w:color w:val="auto"/>
                  <w:szCs w:val="24"/>
                </w:rPr>
                <w:t>181</w:t>
              </w:r>
            </w:hyperlink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Невыясненные поступления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Платежи, подлежащие отнесению к невыясненным поступлениям, зачисляемым в бюджеты бюджетной системы РФ</w:t>
            </w:r>
          </w:p>
        </w:tc>
      </w:tr>
      <w:tr>
        <w:trPr>
          <w:trHeight w:val="1115"/>
        </w:trPr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hyperlink r:id="rId8" w:history="1">
              <w:r>
                <w:rPr>
                  <w:rStyle w:val="a3"/>
                  <w:rFonts w:cs="Times New Roman"/>
                  <w:color w:val="auto"/>
                  <w:szCs w:val="24"/>
                </w:rPr>
                <w:t>189</w:t>
              </w:r>
            </w:hyperlink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Иные доходы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Прочие неналоговые доходы, не отнесенные на другие статьи КОСГУ </w:t>
            </w:r>
            <w:hyperlink r:id="rId9" w:history="1">
              <w:r>
                <w:rPr>
                  <w:rStyle w:val="a3"/>
                  <w:rFonts w:cs="Times New Roman"/>
                  <w:color w:val="auto"/>
                  <w:szCs w:val="24"/>
                </w:rPr>
                <w:t>группы 100</w:t>
              </w:r>
            </w:hyperlink>
            <w:r>
              <w:rPr>
                <w:rFonts w:cs="Times New Roman"/>
                <w:szCs w:val="24"/>
              </w:rPr>
              <w:t xml:space="preserve"> «Доходы»</w:t>
            </w:r>
            <w:bookmarkStart w:id="0" w:name="_GoBack"/>
            <w:bookmarkEnd w:id="0"/>
            <w:r>
              <w:rPr>
                <w:rFonts w:cs="Times New Roman"/>
                <w:szCs w:val="24"/>
              </w:rPr>
              <w:t xml:space="preserve"> и </w:t>
            </w:r>
            <w:hyperlink r:id="rId10" w:history="1">
              <w:r>
                <w:rPr>
                  <w:rStyle w:val="a3"/>
                  <w:rFonts w:cs="Times New Roman"/>
                  <w:color w:val="auto"/>
                  <w:szCs w:val="24"/>
                </w:rPr>
                <w:t>подстатьи 181</w:t>
              </w:r>
            </w:hyperlink>
            <w:r>
              <w:rPr>
                <w:rFonts w:cs="Times New Roman"/>
                <w:szCs w:val="24"/>
              </w:rPr>
              <w:t xml:space="preserve"> - </w:t>
            </w:r>
            <w:hyperlink r:id="rId11" w:history="1">
              <w:r>
                <w:rPr>
                  <w:rStyle w:val="a3"/>
                  <w:rFonts w:cs="Times New Roman"/>
                  <w:color w:val="auto"/>
                  <w:szCs w:val="24"/>
                </w:rPr>
                <w:t>184</w:t>
              </w:r>
            </w:hyperlink>
          </w:p>
        </w:tc>
      </w:tr>
      <w:tr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hyperlink r:id="rId12" w:history="1">
              <w:r>
                <w:rPr>
                  <w:rStyle w:val="a3"/>
                  <w:rFonts w:cs="Times New Roman"/>
                  <w:color w:val="auto"/>
                  <w:szCs w:val="24"/>
                </w:rPr>
                <w:t>292</w:t>
              </w:r>
            </w:hyperlink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Штрафы за нарушение законодательства о налогах и сборах, законодательства о страховых взносах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Расходы на уплату штрафов, пеней за несвоевременную уплату налогов, сборов, страховых взносов</w:t>
            </w:r>
          </w:p>
        </w:tc>
      </w:tr>
      <w:tr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hyperlink r:id="rId13" w:history="1">
              <w:r>
                <w:rPr>
                  <w:rStyle w:val="a3"/>
                  <w:rFonts w:cs="Times New Roman"/>
                  <w:color w:val="auto"/>
                  <w:szCs w:val="24"/>
                </w:rPr>
                <w:t>293</w:t>
              </w:r>
            </w:hyperlink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Штрафы за нарушение законодательства о закупках и нарушение условий контрактов (договоров)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Расходы на уплату штрафов за нарушение законодательства о закупках товаров, работ и услуг, а также на уплату штрафов за несвоевременную оплату поставки товаров, работ, услуг и иные аналогичные расходы</w:t>
            </w:r>
          </w:p>
        </w:tc>
      </w:tr>
      <w:tr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hyperlink r:id="rId14" w:history="1">
              <w:r>
                <w:rPr>
                  <w:rStyle w:val="a3"/>
                  <w:rFonts w:cs="Times New Roman"/>
                  <w:color w:val="auto"/>
                  <w:szCs w:val="24"/>
                </w:rPr>
                <w:t>294</w:t>
              </w:r>
            </w:hyperlink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Штрафные санкции по долговым обязательствам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Расходы на уплату штрафов за несвоевременное погашение бюджетных кредитов</w:t>
            </w:r>
          </w:p>
        </w:tc>
      </w:tr>
      <w:tr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lastRenderedPageBreak/>
              <w:t>346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Увеличение стоимости прочих материальных запасов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347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Увеличение стоимости материальных запасов для целей капитальных вложений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422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Обесценение нематериальных активов с определенным сроком полезного использования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423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Обесценение нематериальных активов с неопределенным сроком полезного использования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</w:tr>
    </w:tbl>
    <w:p/>
    <w:sectPr>
      <w:headerReference w:type="default" r:id="rId15"/>
      <w:pgSz w:w="11906" w:h="16838"/>
      <w:pgMar w:top="426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4"/>
      <w:jc w:val="center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8DD3EF-B326-45DD-BAF5-0E4335E89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</w:style>
  <w:style w:type="paragraph" w:styleId="a6">
    <w:name w:val="footer"/>
    <w:basedOn w:val="a"/>
    <w:link w:val="a7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</w:style>
  <w:style w:type="paragraph" w:styleId="a8">
    <w:name w:val="Balloon Text"/>
    <w:basedOn w:val="a"/>
    <w:link w:val="a9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AB5322A14E241EDC9089FF309BF268616E7D7AEED9383B62711C9CDC9C1695B22A249ACACDDvBM9I" TargetMode="External"/><Relationship Id="rId13" Type="http://schemas.openxmlformats.org/officeDocument/2006/relationships/hyperlink" Target="consultantplus://offline/ref=37551D30074C0550BF6B3D7249906007C186DEC5F03DB57FAA78D8D26AF2BF602BF8DCBE0E41h6NE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9D868B709FC0D199E5AF5ACAB26FD402182925FB2EF0EE6C644A3EAE0DBD23EECF19AA72FD4eFM1I" TargetMode="External"/><Relationship Id="rId12" Type="http://schemas.openxmlformats.org/officeDocument/2006/relationships/hyperlink" Target="consultantplus://offline/ref=37551D30074C0550BF6B3D7249906007C186DEC5F03DB57FAA78D8D26AF2BF602BF8DCBE0E41h6NCI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8173B92091943061111ECFAB317629922CC1CFDE9DFDB76AFE8BDD5AC7388411FAAFC993FEBa0G6I" TargetMode="External"/><Relationship Id="rId11" Type="http://schemas.openxmlformats.org/officeDocument/2006/relationships/hyperlink" Target="consultantplus://offline/ref=3AB5322A14E241EDC9089FF309BF268616E7D7AEED9383B62711C9CDC9C1695B22A249ACACDDvBMBI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3AB5322A14E241EDC9089FF309BF268616E7D7AEED9383B62711C9CDC9C1695B22A249ACACDCvBM8I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3AB5322A14E241EDC9089FF309BF268616E7D7AEED9383B62711C9CDC9C1695B22A249ACAADCBC89v1MAI" TargetMode="External"/><Relationship Id="rId14" Type="http://schemas.openxmlformats.org/officeDocument/2006/relationships/hyperlink" Target="consultantplus://offline/ref=37551D30074C0550BF6B3D7249906007C186DEC5F03DB57FAA78D8D26AF2BF602BF8DCBE0E41h6N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Kuptzova</dc:creator>
  <cp:lastModifiedBy>Купцова И.О.</cp:lastModifiedBy>
  <cp:revision>3</cp:revision>
  <cp:lastPrinted>2023-04-25T09:51:00Z</cp:lastPrinted>
  <dcterms:created xsi:type="dcterms:W3CDTF">2025-11-13T08:05:00Z</dcterms:created>
  <dcterms:modified xsi:type="dcterms:W3CDTF">2025-11-24T09:53:00Z</dcterms:modified>
</cp:coreProperties>
</file>