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right"/>
        <w:rPr>
          <w:sz w:val="24"/>
          <w:szCs w:val="24"/>
        </w:rPr>
      </w:pPr>
      <w:r>
        <w:rPr>
          <w:sz w:val="24"/>
          <w:szCs w:val="24"/>
        </w:rPr>
        <w:t>Приложение № 1</w:t>
      </w:r>
    </w:p>
    <w:p>
      <w:pPr>
        <w:jc w:val="right"/>
        <w:rPr>
          <w:sz w:val="24"/>
          <w:szCs w:val="24"/>
        </w:rPr>
      </w:pPr>
      <w:r>
        <w:rPr>
          <w:sz w:val="24"/>
          <w:szCs w:val="24"/>
        </w:rPr>
        <w:t xml:space="preserve">                                                                         </w:t>
      </w:r>
      <w:proofErr w:type="gramStart"/>
      <w:r>
        <w:rPr>
          <w:sz w:val="24"/>
          <w:szCs w:val="24"/>
        </w:rPr>
        <w:t>к</w:t>
      </w:r>
      <w:proofErr w:type="gramEnd"/>
      <w:r>
        <w:rPr>
          <w:sz w:val="24"/>
          <w:szCs w:val="24"/>
        </w:rPr>
        <w:t xml:space="preserve"> приказу начальника</w:t>
      </w:r>
    </w:p>
    <w:p>
      <w:pPr>
        <w:jc w:val="right"/>
        <w:rPr>
          <w:sz w:val="24"/>
          <w:szCs w:val="24"/>
        </w:rPr>
      </w:pPr>
      <w:r>
        <w:rPr>
          <w:sz w:val="24"/>
          <w:szCs w:val="24"/>
        </w:rPr>
        <w:t xml:space="preserve">                                                                             Финансового управления</w:t>
      </w:r>
    </w:p>
    <w:p>
      <w:pPr>
        <w:ind w:left="4956" w:firstLine="708"/>
        <w:jc w:val="right"/>
        <w:rPr>
          <w:sz w:val="24"/>
          <w:szCs w:val="24"/>
        </w:rPr>
      </w:pPr>
      <w:r>
        <w:rPr>
          <w:sz w:val="24"/>
          <w:szCs w:val="24"/>
        </w:rPr>
        <w:t>Администрации ЗАТО Северск</w:t>
      </w:r>
    </w:p>
    <w:p>
      <w:pPr>
        <w:jc w:val="right"/>
        <w:rPr>
          <w:color w:val="FF0000"/>
          <w:sz w:val="24"/>
          <w:szCs w:val="24"/>
        </w:rPr>
      </w:pPr>
      <w:r>
        <w:rPr>
          <w:sz w:val="24"/>
          <w:szCs w:val="24"/>
        </w:rPr>
        <w:t xml:space="preserve">                                                                   </w:t>
      </w:r>
      <w:proofErr w:type="gramStart"/>
      <w:r>
        <w:rPr>
          <w:color w:val="FF0000"/>
          <w:sz w:val="24"/>
          <w:szCs w:val="24"/>
        </w:rPr>
        <w:t>от</w:t>
      </w:r>
      <w:proofErr w:type="gramEnd"/>
      <w:r>
        <w:rPr>
          <w:color w:val="FF0000"/>
          <w:sz w:val="24"/>
          <w:szCs w:val="24"/>
        </w:rPr>
        <w:t xml:space="preserve"> 24.01.2025 № 8</w:t>
      </w:r>
    </w:p>
    <w:p>
      <w:pPr>
        <w:jc w:val="right"/>
        <w:rPr>
          <w:sz w:val="24"/>
          <w:szCs w:val="24"/>
        </w:rPr>
      </w:pPr>
      <w:r>
        <w:rPr>
          <w:sz w:val="24"/>
          <w:szCs w:val="24"/>
        </w:rPr>
        <w:t xml:space="preserve">                                                      </w:t>
      </w:r>
    </w:p>
    <w:p>
      <w:pPr>
        <w:jc w:val="right"/>
        <w:rPr>
          <w:sz w:val="24"/>
          <w:szCs w:val="24"/>
        </w:rPr>
      </w:pPr>
      <w:r>
        <w:rPr>
          <w:sz w:val="24"/>
          <w:szCs w:val="24"/>
        </w:rPr>
        <w:t>Приложение</w:t>
      </w:r>
    </w:p>
    <w:p>
      <w:pPr>
        <w:jc w:val="right"/>
        <w:rPr>
          <w:sz w:val="24"/>
          <w:szCs w:val="24"/>
        </w:rPr>
      </w:pPr>
      <w:r>
        <w:rPr>
          <w:sz w:val="24"/>
          <w:szCs w:val="24"/>
        </w:rPr>
        <w:t xml:space="preserve">                                                                         </w:t>
      </w:r>
      <w:proofErr w:type="gramStart"/>
      <w:r>
        <w:rPr>
          <w:sz w:val="24"/>
          <w:szCs w:val="24"/>
        </w:rPr>
        <w:t>к</w:t>
      </w:r>
      <w:proofErr w:type="gramEnd"/>
      <w:r>
        <w:rPr>
          <w:sz w:val="24"/>
          <w:szCs w:val="24"/>
        </w:rPr>
        <w:t xml:space="preserve"> приказу начальника</w:t>
      </w:r>
    </w:p>
    <w:p>
      <w:pPr>
        <w:jc w:val="right"/>
        <w:rPr>
          <w:sz w:val="24"/>
          <w:szCs w:val="24"/>
        </w:rPr>
      </w:pPr>
      <w:r>
        <w:rPr>
          <w:sz w:val="24"/>
          <w:szCs w:val="24"/>
        </w:rPr>
        <w:t xml:space="preserve">                                                                             Финансового управления</w:t>
      </w:r>
    </w:p>
    <w:p>
      <w:pPr>
        <w:ind w:left="4956" w:firstLine="708"/>
        <w:jc w:val="right"/>
        <w:rPr>
          <w:sz w:val="24"/>
          <w:szCs w:val="24"/>
        </w:rPr>
      </w:pPr>
      <w:r>
        <w:rPr>
          <w:sz w:val="24"/>
          <w:szCs w:val="24"/>
        </w:rPr>
        <w:t>Администрации ЗАТО Северск</w:t>
      </w:r>
    </w:p>
    <w:p>
      <w:pPr>
        <w:jc w:val="right"/>
        <w:rPr>
          <w:sz w:val="24"/>
          <w:szCs w:val="24"/>
        </w:rPr>
      </w:pPr>
      <w:r>
        <w:rPr>
          <w:sz w:val="24"/>
          <w:szCs w:val="24"/>
        </w:rPr>
        <w:t xml:space="preserve">                                                                   </w:t>
      </w:r>
      <w:proofErr w:type="gramStart"/>
      <w:r>
        <w:rPr>
          <w:sz w:val="24"/>
          <w:szCs w:val="24"/>
        </w:rPr>
        <w:t>от</w:t>
      </w:r>
      <w:proofErr w:type="gramEnd"/>
      <w:r>
        <w:rPr>
          <w:sz w:val="24"/>
          <w:szCs w:val="24"/>
        </w:rPr>
        <w:t xml:space="preserve"> 11.01.2023 № 2</w:t>
      </w:r>
    </w:p>
    <w:p>
      <w:pPr>
        <w:shd w:val="clear" w:color="auto" w:fill="FFFFFF"/>
        <w:tabs>
          <w:tab w:val="left" w:pos="2904"/>
        </w:tabs>
        <w:ind w:firstLine="709"/>
        <w:rPr>
          <w:sz w:val="24"/>
          <w:szCs w:val="24"/>
        </w:rPr>
      </w:pPr>
      <w:r>
        <w:rPr>
          <w:sz w:val="24"/>
          <w:szCs w:val="24"/>
        </w:rPr>
        <w:tab/>
      </w:r>
    </w:p>
    <w:p>
      <w:pPr>
        <w:shd w:val="clear" w:color="auto" w:fill="FFFFFF"/>
        <w:ind w:firstLine="709"/>
        <w:jc w:val="center"/>
        <w:rPr>
          <w:b/>
          <w:spacing w:val="-3"/>
          <w:sz w:val="24"/>
          <w:szCs w:val="24"/>
        </w:rPr>
      </w:pPr>
    </w:p>
    <w:p>
      <w:pPr>
        <w:shd w:val="clear" w:color="auto" w:fill="FFFFFF"/>
        <w:ind w:firstLine="709"/>
        <w:jc w:val="center"/>
        <w:rPr>
          <w:b/>
          <w:spacing w:val="-3"/>
          <w:sz w:val="24"/>
          <w:szCs w:val="24"/>
        </w:rPr>
      </w:pPr>
    </w:p>
    <w:p>
      <w:pPr>
        <w:shd w:val="clear" w:color="auto" w:fill="FFFFFF"/>
        <w:ind w:firstLine="709"/>
        <w:jc w:val="center"/>
        <w:rPr>
          <w:b/>
          <w:spacing w:val="-3"/>
          <w:sz w:val="24"/>
          <w:szCs w:val="24"/>
        </w:rPr>
      </w:pPr>
      <w:r>
        <w:rPr>
          <w:b/>
          <w:spacing w:val="-3"/>
          <w:sz w:val="24"/>
          <w:szCs w:val="24"/>
        </w:rPr>
        <w:t xml:space="preserve">ПОЛОЖЕНИЕ </w:t>
      </w:r>
    </w:p>
    <w:p>
      <w:pPr>
        <w:shd w:val="clear" w:color="auto" w:fill="FFFFFF"/>
        <w:ind w:firstLine="709"/>
        <w:jc w:val="center"/>
        <w:rPr>
          <w:b/>
          <w:spacing w:val="-3"/>
          <w:sz w:val="24"/>
          <w:szCs w:val="24"/>
        </w:rPr>
      </w:pPr>
      <w:proofErr w:type="gramStart"/>
      <w:r>
        <w:rPr>
          <w:b/>
          <w:spacing w:val="-3"/>
          <w:sz w:val="24"/>
          <w:szCs w:val="24"/>
        </w:rPr>
        <w:t>о</w:t>
      </w:r>
      <w:proofErr w:type="gramEnd"/>
      <w:r>
        <w:rPr>
          <w:b/>
          <w:spacing w:val="-3"/>
          <w:sz w:val="24"/>
          <w:szCs w:val="24"/>
        </w:rPr>
        <w:t xml:space="preserve"> реализации учётной политики </w:t>
      </w:r>
    </w:p>
    <w:p>
      <w:pPr>
        <w:shd w:val="clear" w:color="auto" w:fill="FFFFFF"/>
        <w:ind w:firstLine="709"/>
        <w:jc w:val="center"/>
        <w:rPr>
          <w:b/>
          <w:spacing w:val="-3"/>
          <w:sz w:val="24"/>
          <w:szCs w:val="24"/>
        </w:rPr>
      </w:pPr>
      <w:proofErr w:type="gramStart"/>
      <w:r>
        <w:rPr>
          <w:b/>
          <w:spacing w:val="-3"/>
          <w:sz w:val="24"/>
          <w:szCs w:val="24"/>
        </w:rPr>
        <w:t>в</w:t>
      </w:r>
      <w:proofErr w:type="gramEnd"/>
      <w:r>
        <w:rPr>
          <w:b/>
          <w:spacing w:val="-3"/>
          <w:sz w:val="24"/>
          <w:szCs w:val="24"/>
        </w:rPr>
        <w:t xml:space="preserve"> Финансовом управлении Администрации ЗАТО Северск</w:t>
      </w:r>
    </w:p>
    <w:p>
      <w:pPr>
        <w:shd w:val="clear" w:color="auto" w:fill="FFFFFF"/>
        <w:ind w:firstLine="709"/>
        <w:jc w:val="both"/>
        <w:rPr>
          <w:sz w:val="24"/>
          <w:szCs w:val="24"/>
        </w:rPr>
      </w:pPr>
    </w:p>
    <w:p>
      <w:pPr>
        <w:shd w:val="clear" w:color="auto" w:fill="FFFFFF"/>
        <w:ind w:left="993"/>
        <w:jc w:val="center"/>
        <w:rPr>
          <w:b/>
          <w:spacing w:val="-3"/>
          <w:sz w:val="24"/>
          <w:szCs w:val="24"/>
        </w:rPr>
      </w:pPr>
      <w:r>
        <w:rPr>
          <w:b/>
          <w:spacing w:val="-3"/>
          <w:sz w:val="24"/>
          <w:szCs w:val="24"/>
        </w:rPr>
        <w:t>1. Организация бюджетного учёта.</w:t>
      </w:r>
    </w:p>
    <w:p>
      <w:pPr>
        <w:shd w:val="clear" w:color="auto" w:fill="FFFFFF"/>
        <w:ind w:left="1129"/>
        <w:jc w:val="center"/>
        <w:rPr>
          <w:b/>
          <w:spacing w:val="-3"/>
          <w:sz w:val="24"/>
          <w:szCs w:val="24"/>
        </w:rPr>
      </w:pPr>
    </w:p>
    <w:p>
      <w:pPr>
        <w:pStyle w:val="ConsPlusNormal"/>
        <w:ind w:firstLine="708"/>
        <w:jc w:val="both"/>
        <w:rPr>
          <w:rFonts w:ascii="Times New Roman" w:hAnsi="Times New Roman" w:cs="Times New Roman"/>
          <w:bCs/>
          <w:spacing w:val="2"/>
          <w:sz w:val="24"/>
          <w:szCs w:val="24"/>
        </w:rPr>
      </w:pPr>
      <w:r>
        <w:rPr>
          <w:rFonts w:ascii="Times New Roman" w:hAnsi="Times New Roman" w:cs="Times New Roman"/>
          <w:spacing w:val="-3"/>
          <w:sz w:val="24"/>
          <w:szCs w:val="24"/>
        </w:rPr>
        <w:t>1.1 Финансовое управление Администрации ЗАТО Северск</w:t>
      </w:r>
      <w:r>
        <w:rPr>
          <w:rFonts w:ascii="Times New Roman" w:hAnsi="Times New Roman" w:cs="Times New Roman"/>
          <w:b/>
          <w:spacing w:val="-3"/>
          <w:sz w:val="24"/>
          <w:szCs w:val="24"/>
        </w:rPr>
        <w:t xml:space="preserve"> </w:t>
      </w:r>
      <w:r>
        <w:rPr>
          <w:rFonts w:ascii="Times New Roman" w:hAnsi="Times New Roman" w:cs="Times New Roman"/>
          <w:bCs/>
          <w:spacing w:val="2"/>
          <w:sz w:val="24"/>
          <w:szCs w:val="24"/>
        </w:rPr>
        <w:t xml:space="preserve">(далее – Управление) является отраслевым органом Администрации ЗАТО Северск, наделено правами юридического лица. Финансовое обеспечение деятельности осуществляется за счёт средств бюджета ЗАТО Северск на основании бюджетной сметы. Управление имеет лицевые счёта в Управлении Федерального казначейства по Томской области. </w:t>
      </w:r>
    </w:p>
    <w:p>
      <w:pPr>
        <w:ind w:firstLine="709"/>
        <w:jc w:val="both"/>
        <w:rPr>
          <w:sz w:val="24"/>
          <w:szCs w:val="24"/>
        </w:rPr>
      </w:pPr>
      <w:r>
        <w:rPr>
          <w:sz w:val="24"/>
        </w:rPr>
        <w:t xml:space="preserve">В соответствии с Бюджетным кодексом Российской Федерации и </w:t>
      </w:r>
      <w:r>
        <w:rPr>
          <w:sz w:val="24"/>
          <w:szCs w:val="24"/>
        </w:rPr>
        <w:t>Положением                           о бюджетном процессе ЗАТО Северск, которое устанавливается Решением Думы                   ЗАТО Северск Управление является участником бюджетного процесса в ЗАТО Северск, обладающим бюджетными полномочиями финансового органа, главного распорядителя бюджетных средств, главного администратора доходов, главного администратора источников финансирования дефицита.</w:t>
      </w:r>
    </w:p>
    <w:p>
      <w:pPr>
        <w:pStyle w:val="ConsPlusNormal"/>
        <w:ind w:firstLine="709"/>
        <w:jc w:val="both"/>
        <w:rPr>
          <w:rFonts w:ascii="Times New Roman" w:hAnsi="Times New Roman" w:cs="Times New Roman"/>
          <w:bCs/>
          <w:spacing w:val="2"/>
          <w:sz w:val="24"/>
          <w:szCs w:val="24"/>
        </w:rPr>
      </w:pPr>
      <w:r>
        <w:rPr>
          <w:rFonts w:ascii="Times New Roman" w:hAnsi="Times New Roman" w:cs="Times New Roman"/>
          <w:bCs/>
          <w:spacing w:val="2"/>
          <w:sz w:val="24"/>
          <w:szCs w:val="24"/>
        </w:rPr>
        <w:t xml:space="preserve">Настоящее Положение устанавливает единый порядок бюджетного учёта                       в Управлении. Управление использует при формировании корреспонденции счетов утвержденные </w:t>
      </w:r>
      <w:r>
        <w:rPr>
          <w:rFonts w:ascii="Times New Roman" w:hAnsi="Times New Roman" w:cs="Times New Roman"/>
          <w:sz w:val="24"/>
          <w:szCs w:val="24"/>
        </w:rPr>
        <w:t>Приказом Минфина РФ от 06.12.2010 № 162н «Об утверждении плана счетов бюджетного учёта и инструкции по его применению»</w:t>
      </w:r>
      <w:r>
        <w:rPr>
          <w:sz w:val="24"/>
          <w:szCs w:val="24"/>
        </w:rPr>
        <w:t xml:space="preserve"> </w:t>
      </w:r>
      <w:r>
        <w:rPr>
          <w:rFonts w:ascii="Times New Roman" w:hAnsi="Times New Roman" w:cs="Times New Roman"/>
          <w:bCs/>
          <w:spacing w:val="2"/>
          <w:sz w:val="24"/>
          <w:szCs w:val="24"/>
        </w:rPr>
        <w:t xml:space="preserve">с учётом вносимых изменений и организует ведение бюджетного учёта в соответствии с действующим </w:t>
      </w:r>
      <w:proofErr w:type="gramStart"/>
      <w:r>
        <w:rPr>
          <w:rFonts w:ascii="Times New Roman" w:hAnsi="Times New Roman" w:cs="Times New Roman"/>
          <w:bCs/>
          <w:spacing w:val="2"/>
          <w:sz w:val="24"/>
          <w:szCs w:val="24"/>
        </w:rPr>
        <w:t>законодательством</w:t>
      </w:r>
      <w:proofErr w:type="gramEnd"/>
      <w:r>
        <w:rPr>
          <w:rFonts w:ascii="Times New Roman" w:hAnsi="Times New Roman" w:cs="Times New Roman"/>
          <w:bCs/>
          <w:spacing w:val="2"/>
          <w:sz w:val="24"/>
          <w:szCs w:val="24"/>
        </w:rPr>
        <w:t>. Настоящее Положение по учётной политике является элементом системы нормативного регулирования бюджетного учёта в Российской Федерации.</w:t>
      </w:r>
    </w:p>
    <w:p>
      <w:pPr>
        <w:pStyle w:val="ConsPlusNormal"/>
        <w:ind w:firstLine="709"/>
        <w:jc w:val="both"/>
        <w:rPr>
          <w:rFonts w:ascii="Times New Roman" w:hAnsi="Times New Roman" w:cs="Times New Roman"/>
          <w:bCs/>
          <w:color w:val="FF0000"/>
          <w:spacing w:val="2"/>
          <w:sz w:val="24"/>
          <w:szCs w:val="24"/>
        </w:rPr>
      </w:pPr>
      <w:r>
        <w:rPr>
          <w:rFonts w:ascii="Times New Roman" w:hAnsi="Times New Roman" w:cs="Times New Roman"/>
          <w:bCs/>
          <w:spacing w:val="2"/>
          <w:sz w:val="24"/>
          <w:szCs w:val="24"/>
        </w:rPr>
        <w:t>1.2</w:t>
      </w:r>
      <w:r>
        <w:t xml:space="preserve"> </w:t>
      </w:r>
      <w:r>
        <w:rPr>
          <w:rFonts w:ascii="Times New Roman" w:hAnsi="Times New Roman" w:cs="Times New Roman"/>
          <w:bCs/>
          <w:spacing w:val="2"/>
          <w:sz w:val="24"/>
          <w:szCs w:val="24"/>
        </w:rPr>
        <w:t xml:space="preserve">Нормативными документами, используемыми при организации бюджетного учёта являются: </w:t>
      </w:r>
    </w:p>
    <w:p>
      <w:pPr>
        <w:pStyle w:val="3"/>
        <w:spacing w:after="0"/>
        <w:ind w:left="567" w:firstLine="141"/>
        <w:jc w:val="both"/>
        <w:rPr>
          <w:sz w:val="24"/>
          <w:szCs w:val="24"/>
        </w:rPr>
      </w:pPr>
      <w:r>
        <w:rPr>
          <w:sz w:val="24"/>
          <w:szCs w:val="24"/>
        </w:rPr>
        <w:t>1). Бюджетный кодекс Российской Федерации;</w:t>
      </w:r>
    </w:p>
    <w:p>
      <w:pPr>
        <w:pStyle w:val="3"/>
        <w:spacing w:after="0"/>
        <w:ind w:left="567" w:firstLine="141"/>
        <w:jc w:val="both"/>
        <w:rPr>
          <w:sz w:val="24"/>
          <w:szCs w:val="24"/>
        </w:rPr>
      </w:pPr>
      <w:r>
        <w:rPr>
          <w:sz w:val="24"/>
          <w:szCs w:val="24"/>
        </w:rPr>
        <w:t>2). Гражданский кодекс Российской Федерации;</w:t>
      </w:r>
    </w:p>
    <w:p>
      <w:pPr>
        <w:pStyle w:val="3"/>
        <w:spacing w:after="0"/>
        <w:ind w:firstLine="708"/>
        <w:jc w:val="both"/>
        <w:rPr>
          <w:bCs/>
          <w:iCs/>
          <w:sz w:val="24"/>
          <w:szCs w:val="24"/>
        </w:rPr>
      </w:pPr>
      <w:r>
        <w:rPr>
          <w:bCs/>
          <w:iCs/>
          <w:sz w:val="24"/>
          <w:szCs w:val="24"/>
        </w:rPr>
        <w:t xml:space="preserve">3). </w:t>
      </w:r>
      <w:r>
        <w:rPr>
          <w:rStyle w:val="FontStyle14"/>
          <w:sz w:val="24"/>
          <w:szCs w:val="24"/>
        </w:rPr>
        <w:t>Налоговый кодекс Российской Федерации (далее – НК РФ)</w:t>
      </w:r>
      <w:r>
        <w:rPr>
          <w:bCs/>
          <w:iCs/>
          <w:sz w:val="24"/>
          <w:szCs w:val="24"/>
        </w:rPr>
        <w:t>;</w:t>
      </w:r>
    </w:p>
    <w:p>
      <w:pPr>
        <w:ind w:firstLine="708"/>
        <w:jc w:val="both"/>
        <w:rPr>
          <w:rFonts w:eastAsia="Calibri"/>
          <w:color w:val="000000"/>
          <w:sz w:val="24"/>
          <w:szCs w:val="24"/>
        </w:rPr>
      </w:pPr>
      <w:r>
        <w:rPr>
          <w:rFonts w:eastAsia="Calibri"/>
          <w:sz w:val="24"/>
          <w:szCs w:val="24"/>
        </w:rPr>
        <w:t xml:space="preserve">4). </w:t>
      </w:r>
      <w:r>
        <w:rPr>
          <w:bCs/>
          <w:iCs/>
          <w:sz w:val="24"/>
          <w:szCs w:val="24"/>
        </w:rPr>
        <w:t>Федеральный закон от 06.12.2011 № 402-ФЗ «О бухгалтерском учёте» (далее – Закон № 402-ФЗ)</w:t>
      </w:r>
      <w:r>
        <w:rPr>
          <w:rFonts w:eastAsia="Calibri"/>
          <w:sz w:val="24"/>
          <w:szCs w:val="24"/>
        </w:rPr>
        <w:t>;</w:t>
      </w:r>
    </w:p>
    <w:p>
      <w:pPr>
        <w:widowControl/>
        <w:ind w:firstLine="708"/>
        <w:jc w:val="both"/>
        <w:rPr>
          <w:rFonts w:eastAsia="Calibri"/>
          <w:sz w:val="24"/>
          <w:szCs w:val="24"/>
        </w:rPr>
      </w:pPr>
      <w:r>
        <w:rPr>
          <w:rFonts w:eastAsia="Calibri"/>
          <w:sz w:val="24"/>
          <w:szCs w:val="24"/>
        </w:rPr>
        <w:t xml:space="preserve">5). ГОСТ Р 7.0.97 - 2025 </w:t>
      </w:r>
      <w:r>
        <w:rPr>
          <w:rFonts w:eastAsiaTheme="minorHAnsi"/>
          <w:sz w:val="24"/>
          <w:szCs w:val="24"/>
          <w:lang w:eastAsia="en-US"/>
        </w:rPr>
        <w:t>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r>
        <w:rPr>
          <w:rFonts w:eastAsia="Calibri"/>
          <w:sz w:val="24"/>
          <w:szCs w:val="24"/>
        </w:rPr>
        <w:t>;</w:t>
      </w:r>
    </w:p>
    <w:p>
      <w:pPr>
        <w:ind w:firstLine="708"/>
        <w:jc w:val="both"/>
        <w:rPr>
          <w:sz w:val="24"/>
          <w:szCs w:val="24"/>
        </w:rPr>
      </w:pPr>
      <w:r>
        <w:rPr>
          <w:rFonts w:eastAsia="Calibri"/>
          <w:sz w:val="24"/>
          <w:szCs w:val="24"/>
        </w:rPr>
        <w:t xml:space="preserve">6). «ОК 013-2014 (СНС 2008). Общероссийский классификатор основных фондов» (принят и введен в действие Приказом </w:t>
      </w:r>
      <w:proofErr w:type="spellStart"/>
      <w:r>
        <w:rPr>
          <w:rFonts w:eastAsia="Calibri"/>
          <w:sz w:val="24"/>
          <w:szCs w:val="24"/>
        </w:rPr>
        <w:t>Росстандарта</w:t>
      </w:r>
      <w:proofErr w:type="spellEnd"/>
      <w:r>
        <w:rPr>
          <w:rFonts w:eastAsia="Calibri"/>
          <w:sz w:val="24"/>
          <w:szCs w:val="24"/>
        </w:rPr>
        <w:t xml:space="preserve"> от 12.12.2014 № 2018-ст);</w:t>
      </w:r>
    </w:p>
    <w:p>
      <w:pPr>
        <w:ind w:firstLine="708"/>
        <w:jc w:val="both"/>
        <w:rPr>
          <w:rFonts w:eastAsia="Calibri"/>
          <w:color w:val="392C69"/>
          <w:sz w:val="24"/>
          <w:szCs w:val="24"/>
          <w:lang w:eastAsia="en-US"/>
        </w:rPr>
      </w:pPr>
      <w:r>
        <w:rPr>
          <w:rFonts w:eastAsia="Calibri"/>
          <w:sz w:val="24"/>
          <w:szCs w:val="24"/>
        </w:rPr>
        <w:t xml:space="preserve">7). Федеральный </w:t>
      </w:r>
      <w:hyperlink r:id="rId8" w:history="1">
        <w:r>
          <w:rPr>
            <w:rFonts w:eastAsia="Calibri"/>
            <w:sz w:val="24"/>
            <w:szCs w:val="24"/>
          </w:rPr>
          <w:t>закон</w:t>
        </w:r>
      </w:hyperlink>
      <w:r>
        <w:rPr>
          <w:rFonts w:eastAsia="Calibri"/>
          <w:sz w:val="24"/>
          <w:szCs w:val="24"/>
        </w:rPr>
        <w:t xml:space="preserve"> РФ от 05.04.2013 № 44-ФЗ «О контрактной системе в сфере закупок товаров, работ, услуг для обеспечения муниципальных и муниципальных нужд»</w:t>
      </w:r>
      <w:r>
        <w:rPr>
          <w:rFonts w:eastAsia="Calibri"/>
          <w:color w:val="392C69"/>
          <w:sz w:val="24"/>
          <w:szCs w:val="24"/>
          <w:lang w:eastAsia="en-US"/>
        </w:rPr>
        <w:t xml:space="preserve">; </w:t>
      </w:r>
    </w:p>
    <w:p>
      <w:pPr>
        <w:ind w:firstLine="708"/>
        <w:jc w:val="both"/>
        <w:rPr>
          <w:sz w:val="24"/>
          <w:szCs w:val="24"/>
        </w:rPr>
      </w:pPr>
      <w:r>
        <w:rPr>
          <w:rFonts w:eastAsia="Calibri"/>
          <w:sz w:val="24"/>
          <w:szCs w:val="24"/>
        </w:rPr>
        <w:lastRenderedPageBreak/>
        <w:t xml:space="preserve">9). </w:t>
      </w:r>
      <w:r>
        <w:rPr>
          <w:sz w:val="24"/>
          <w:szCs w:val="24"/>
        </w:rPr>
        <w:t>Приказ Минфина РФ от 28.12.2010г. № 191н «</w:t>
      </w:r>
      <w:r>
        <w:rPr>
          <w:rFonts w:eastAsia="Calibri"/>
          <w:sz w:val="24"/>
          <w:szCs w:val="24"/>
        </w:rPr>
        <w:t>Об утверждении Инструкции                           о порядке составления и представления годовой, квартальной и месячной отчётности                  об исполнении бюджетов бюджетной системы Российской Федерации</w:t>
      </w:r>
      <w:r>
        <w:rPr>
          <w:sz w:val="24"/>
          <w:szCs w:val="24"/>
        </w:rPr>
        <w:t>» (далее – Приказ      № 191н);</w:t>
      </w:r>
    </w:p>
    <w:p>
      <w:pPr>
        <w:widowControl/>
        <w:ind w:firstLine="708"/>
        <w:jc w:val="both"/>
        <w:rPr>
          <w:sz w:val="24"/>
          <w:szCs w:val="24"/>
        </w:rPr>
      </w:pPr>
      <w:r>
        <w:rPr>
          <w:rFonts w:eastAsiaTheme="minorHAnsi"/>
          <w:sz w:val="24"/>
          <w:szCs w:val="24"/>
          <w:lang w:eastAsia="en-US"/>
        </w:rPr>
        <w:t xml:space="preserve">11). Приказы Минфина России об утверждении федеральных стандартов бухгалтерского учета для организаций государственного </w:t>
      </w:r>
      <w:r>
        <w:rPr>
          <w:sz w:val="24"/>
          <w:szCs w:val="24"/>
        </w:rPr>
        <w:t>сектора и методические указания по применению переходных положений стандартов государственного сектора (далее – СГС).</w:t>
      </w:r>
    </w:p>
    <w:p>
      <w:pPr>
        <w:ind w:firstLine="567"/>
        <w:jc w:val="both"/>
        <w:rPr>
          <w:rFonts w:eastAsia="Calibri"/>
          <w:sz w:val="24"/>
          <w:szCs w:val="24"/>
        </w:rPr>
      </w:pPr>
      <w:r>
        <w:rPr>
          <w:sz w:val="24"/>
          <w:szCs w:val="24"/>
        </w:rPr>
        <w:t xml:space="preserve">  12). </w:t>
      </w:r>
      <w:r>
        <w:rPr>
          <w:rFonts w:eastAsia="Calibri"/>
          <w:sz w:val="24"/>
          <w:szCs w:val="24"/>
        </w:rPr>
        <w:t>Приказ Минфина РФ от 21.07.2011 № 86н «Об утверждении порядка предоставления информации Управлением, ее размещения на официальном сайте в сети Интернет и ведения указанного сайта»;</w:t>
      </w:r>
    </w:p>
    <w:p>
      <w:pPr>
        <w:pStyle w:val="a3"/>
        <w:autoSpaceDE w:val="0"/>
        <w:autoSpaceDN w:val="0"/>
        <w:adjustRightInd w:val="0"/>
        <w:ind w:left="0" w:firstLine="708"/>
        <w:jc w:val="both"/>
        <w:rPr>
          <w:b/>
          <w:spacing w:val="-2"/>
        </w:rPr>
      </w:pPr>
      <w:r>
        <w:rPr>
          <w:spacing w:val="-2"/>
        </w:rPr>
        <w:t>13). Приказ Минфина России от 29.11.2017 № 209н «</w:t>
      </w:r>
      <w:r>
        <w:rPr>
          <w:spacing w:val="-2"/>
          <w:lang w:eastAsia="en-US"/>
        </w:rPr>
        <w:t>Об утверждении порядка применения классификации операций сектора муниципального управления»</w:t>
      </w:r>
      <w:r>
        <w:rPr>
          <w:b/>
          <w:spacing w:val="-2"/>
        </w:rPr>
        <w:t>;</w:t>
      </w:r>
    </w:p>
    <w:p>
      <w:pPr>
        <w:ind w:firstLine="708"/>
        <w:jc w:val="both"/>
        <w:rPr>
          <w:rFonts w:eastAsia="Calibri"/>
          <w:sz w:val="24"/>
          <w:szCs w:val="24"/>
        </w:rPr>
      </w:pPr>
      <w:r>
        <w:rPr>
          <w:rFonts w:eastAsia="Calibri"/>
          <w:sz w:val="24"/>
          <w:szCs w:val="24"/>
        </w:rPr>
        <w:t>14). Приказ Минфина России от 30.03.2015 № 52н «Об утверждении форм первичных учётных документов и регистров бюджетного учёта,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Управлениями, и Методических указаний по их применению» (далее – Приказ №52н);</w:t>
      </w:r>
    </w:p>
    <w:p>
      <w:pPr>
        <w:widowControl/>
        <w:ind w:firstLine="708"/>
        <w:jc w:val="both"/>
        <w:rPr>
          <w:color w:val="000000"/>
          <w:sz w:val="24"/>
          <w:szCs w:val="24"/>
        </w:rPr>
      </w:pPr>
      <w:r>
        <w:rPr>
          <w:rFonts w:eastAsiaTheme="minorHAnsi"/>
          <w:sz w:val="24"/>
          <w:szCs w:val="24"/>
          <w:lang w:eastAsia="en-US"/>
        </w:rPr>
        <w:t>15).</w:t>
      </w:r>
      <w:r>
        <w:rPr>
          <w:rFonts w:eastAsiaTheme="minorHAnsi"/>
        </w:rPr>
        <w:t xml:space="preserve"> </w:t>
      </w:r>
      <w:r>
        <w:rPr>
          <w:rFonts w:eastAsia="SimSun"/>
          <w:sz w:val="24"/>
          <w:szCs w:val="24"/>
          <w:lang w:eastAsia="zh-CN"/>
        </w:rPr>
        <w:t xml:space="preserve">Постановление Правительства Российской Федерации от 01.01.2002 № 1 </w:t>
      </w:r>
      <w:r>
        <w:rPr>
          <w:rFonts w:eastAsia="SimSun"/>
          <w:sz w:val="24"/>
          <w:szCs w:val="24"/>
          <w:lang w:eastAsia="zh-CN"/>
        </w:rPr>
        <w:br/>
        <w:t>«О классификации основных средств, включаемых в амортизационные группы»</w:t>
      </w:r>
      <w:r>
        <w:rPr>
          <w:rFonts w:eastAsia="SimSun"/>
          <w:color w:val="000000"/>
          <w:sz w:val="24"/>
          <w:szCs w:val="24"/>
          <w:lang w:eastAsia="zh-CN"/>
        </w:rPr>
        <w:t>;</w:t>
      </w:r>
    </w:p>
    <w:p>
      <w:pPr>
        <w:ind w:firstLine="708"/>
        <w:jc w:val="both"/>
        <w:rPr>
          <w:rFonts w:eastAsia="Calibri"/>
          <w:sz w:val="24"/>
          <w:szCs w:val="24"/>
        </w:rPr>
      </w:pPr>
      <w:r>
        <w:rPr>
          <w:rFonts w:eastAsia="SimSun"/>
          <w:sz w:val="24"/>
          <w:szCs w:val="24"/>
          <w:lang w:eastAsia="zh-CN"/>
        </w:rPr>
        <w:t xml:space="preserve">16). </w:t>
      </w:r>
      <w:r>
        <w:rPr>
          <w:rFonts w:eastAsia="Calibri"/>
          <w:sz w:val="24"/>
          <w:szCs w:val="24"/>
        </w:rPr>
        <w:t>Указание Банка России от 11.03.2014 №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p>
    <w:p>
      <w:pPr>
        <w:tabs>
          <w:tab w:val="num" w:pos="851"/>
        </w:tabs>
        <w:ind w:firstLine="567"/>
        <w:jc w:val="both"/>
        <w:rPr>
          <w:sz w:val="24"/>
          <w:szCs w:val="24"/>
        </w:rPr>
      </w:pPr>
      <w:r>
        <w:rPr>
          <w:sz w:val="24"/>
          <w:szCs w:val="24"/>
        </w:rPr>
        <w:t xml:space="preserve">  17). Письмо Минфина РФ от 11.12.2020 № 02-08-10/109210 «Руководство по применению классификации операций сектора муниципального управления»;</w:t>
      </w:r>
    </w:p>
    <w:p>
      <w:pPr>
        <w:widowControl/>
        <w:ind w:firstLine="708"/>
        <w:jc w:val="both"/>
        <w:rPr>
          <w:rFonts w:eastAsia="Calibri"/>
          <w:sz w:val="24"/>
          <w:szCs w:val="24"/>
        </w:rPr>
      </w:pPr>
      <w:r>
        <w:rPr>
          <w:rFonts w:eastAsiaTheme="minorHAnsi"/>
          <w:sz w:val="24"/>
          <w:szCs w:val="24"/>
          <w:lang w:eastAsia="en-US"/>
        </w:rPr>
        <w:t>18). Приказ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Pr>
          <w:rFonts w:eastAsia="Calibri"/>
          <w:sz w:val="24"/>
          <w:szCs w:val="24"/>
        </w:rPr>
        <w:t xml:space="preserve"> (далее – Приказ № 61н);</w:t>
      </w:r>
    </w:p>
    <w:p>
      <w:pPr>
        <w:ind w:firstLine="708"/>
        <w:jc w:val="both"/>
        <w:rPr>
          <w:sz w:val="24"/>
          <w:szCs w:val="24"/>
        </w:rPr>
      </w:pPr>
      <w:r>
        <w:rPr>
          <w:sz w:val="24"/>
          <w:szCs w:val="24"/>
        </w:rPr>
        <w:t>19). Иные документы, регулирующие вопросы бухгалтерского учёта.</w:t>
      </w:r>
    </w:p>
    <w:p>
      <w:pPr>
        <w:ind w:firstLine="708"/>
        <w:jc w:val="both"/>
        <w:rPr>
          <w:sz w:val="24"/>
          <w:szCs w:val="24"/>
        </w:rPr>
      </w:pPr>
      <w:r>
        <w:rPr>
          <w:sz w:val="24"/>
          <w:szCs w:val="24"/>
        </w:rPr>
        <w:t>В случае внесения изменения, отмены нормативных правовых актов, писем Минфина использовать в работе вступившие в силу документы, без внесения изменений             в пункт 1.2 учетной политики Управления.</w:t>
      </w:r>
    </w:p>
    <w:p>
      <w:pPr>
        <w:ind w:firstLine="708"/>
        <w:jc w:val="both"/>
        <w:rPr>
          <w:sz w:val="24"/>
          <w:szCs w:val="24"/>
        </w:rPr>
      </w:pPr>
      <w:r>
        <w:rPr>
          <w:sz w:val="24"/>
          <w:szCs w:val="24"/>
        </w:rPr>
        <w:t>1.3 Бухгалтерский учёт представляет собой формирование документированной систематизированной информации об объектах, предусмотренных Законом № 402-</w:t>
      </w:r>
      <w:proofErr w:type="gramStart"/>
      <w:r>
        <w:rPr>
          <w:sz w:val="24"/>
          <w:szCs w:val="24"/>
        </w:rPr>
        <w:t xml:space="preserve">ФЗ,   </w:t>
      </w:r>
      <w:proofErr w:type="gramEnd"/>
      <w:r>
        <w:rPr>
          <w:sz w:val="24"/>
          <w:szCs w:val="24"/>
        </w:rPr>
        <w:t xml:space="preserve">           в соответствии с требованиями Закона № 402-ФЗ, и составление на ее основе бухгалтерской (финансовой) отчётности (п.2 ст.1 Закона № 402-ФЗ).</w:t>
      </w:r>
    </w:p>
    <w:p>
      <w:pPr>
        <w:ind w:firstLine="567"/>
        <w:jc w:val="both"/>
        <w:rPr>
          <w:sz w:val="24"/>
          <w:szCs w:val="24"/>
        </w:rPr>
      </w:pPr>
      <w:r>
        <w:rPr>
          <w:rFonts w:eastAsia="Calibri"/>
          <w:sz w:val="24"/>
          <w:szCs w:val="24"/>
          <w:lang w:eastAsia="en-US"/>
        </w:rPr>
        <w:t>Обязательные общие требования к учёту Управления госсектора определены п</w:t>
      </w:r>
      <w:r>
        <w:rPr>
          <w:rFonts w:eastAsiaTheme="minorHAnsi"/>
          <w:sz w:val="24"/>
          <w:szCs w:val="24"/>
          <w:lang w:eastAsia="en-US"/>
        </w:rPr>
        <w:t>риказом Минфина России от 31.12.2016 № 256н «Об утверждении федерального стандарта бухгалтерского учета для организаций государственного сектора «Концептуальные основы бухгалтерского учета и отчетности организаций государственного сектора»</w:t>
      </w:r>
      <w:r>
        <w:rPr>
          <w:rFonts w:eastAsia="Calibri"/>
          <w:sz w:val="24"/>
          <w:szCs w:val="24"/>
          <w:lang w:eastAsia="en-US"/>
        </w:rPr>
        <w:t xml:space="preserve"> (далее - СГС «Концептуальные основы»).  </w:t>
      </w:r>
      <w:r>
        <w:rPr>
          <w:sz w:val="24"/>
          <w:szCs w:val="24"/>
        </w:rPr>
        <w:t xml:space="preserve"> </w:t>
      </w:r>
    </w:p>
    <w:p>
      <w:pPr>
        <w:ind w:firstLine="708"/>
        <w:jc w:val="both"/>
        <w:rPr>
          <w:rFonts w:eastAsia="Calibri"/>
          <w:sz w:val="24"/>
          <w:szCs w:val="24"/>
          <w:lang w:eastAsia="en-US"/>
        </w:rPr>
      </w:pPr>
      <w:r>
        <w:rPr>
          <w:rFonts w:eastAsia="Calibri"/>
          <w:sz w:val="24"/>
          <w:szCs w:val="24"/>
          <w:lang w:eastAsia="en-US"/>
        </w:rPr>
        <w:t xml:space="preserve">1.4 Информация, содержащаяся в бухгалтерской отчётности, должна отвечать </w:t>
      </w:r>
      <w:r>
        <w:rPr>
          <w:rFonts w:eastAsia="Calibri"/>
          <w:sz w:val="24"/>
          <w:szCs w:val="24"/>
          <w:lang w:eastAsia="en-US"/>
        </w:rPr>
        <w:lastRenderedPageBreak/>
        <w:t xml:space="preserve">следующим характеристикам (раздел </w:t>
      </w:r>
      <w:r>
        <w:rPr>
          <w:rFonts w:eastAsia="Calibri"/>
          <w:sz w:val="24"/>
          <w:szCs w:val="24"/>
          <w:lang w:val="en-US" w:eastAsia="en-US"/>
        </w:rPr>
        <w:t>IV</w:t>
      </w:r>
      <w:r>
        <w:rPr>
          <w:rFonts w:eastAsia="Calibri"/>
          <w:sz w:val="24"/>
          <w:szCs w:val="24"/>
          <w:lang w:eastAsia="en-US"/>
        </w:rPr>
        <w:t xml:space="preserve"> СГС «Концептуальные основы»): </w:t>
      </w:r>
    </w:p>
    <w:p>
      <w:pPr>
        <w:ind w:firstLine="708"/>
        <w:jc w:val="both"/>
        <w:rPr>
          <w:rFonts w:eastAsia="Calibri"/>
          <w:sz w:val="24"/>
          <w:szCs w:val="24"/>
          <w:lang w:eastAsia="en-US"/>
        </w:rPr>
      </w:pPr>
      <w:r>
        <w:rPr>
          <w:rFonts w:eastAsia="Calibri"/>
          <w:sz w:val="24"/>
          <w:szCs w:val="24"/>
          <w:lang w:eastAsia="en-US"/>
        </w:rPr>
        <w:t>-</w:t>
      </w:r>
      <w:r>
        <w:rPr>
          <w:rFonts w:eastAsia="Calibri"/>
        </w:rPr>
        <w:t xml:space="preserve"> </w:t>
      </w:r>
      <w:r>
        <w:rPr>
          <w:rFonts w:eastAsia="Calibri"/>
          <w:sz w:val="24"/>
          <w:szCs w:val="24"/>
          <w:lang w:eastAsia="en-US"/>
        </w:rPr>
        <w:t>уместность (релевантность): информация является уместной (релевантной), если она обладает прогностической и (или) подтверждающей ценностью и может повлиять на решения, принимаемые ее пользователями;</w:t>
      </w:r>
    </w:p>
    <w:p>
      <w:pPr>
        <w:ind w:firstLine="708"/>
        <w:jc w:val="both"/>
        <w:rPr>
          <w:rFonts w:eastAsia="Calibri"/>
          <w:sz w:val="24"/>
          <w:szCs w:val="24"/>
          <w:lang w:eastAsia="en-US"/>
        </w:rPr>
      </w:pPr>
      <w:r>
        <w:rPr>
          <w:rFonts w:eastAsia="Calibri"/>
          <w:sz w:val="24"/>
          <w:szCs w:val="24"/>
          <w:lang w:eastAsia="en-US"/>
        </w:rPr>
        <w:t>-</w:t>
      </w:r>
      <w:r>
        <w:rPr>
          <w:rFonts w:eastAsia="Calibri"/>
        </w:rPr>
        <w:t> </w:t>
      </w:r>
      <w:r>
        <w:rPr>
          <w:rFonts w:eastAsia="Calibri"/>
          <w:sz w:val="24"/>
          <w:szCs w:val="24"/>
          <w:lang w:eastAsia="en-US"/>
        </w:rPr>
        <w:t>существенность: информация является существенной, если ее отсутствие или искажение могут оказать влияние на решения пользователей;</w:t>
      </w:r>
    </w:p>
    <w:p>
      <w:pPr>
        <w:ind w:firstLine="708"/>
        <w:jc w:val="both"/>
        <w:rPr>
          <w:sz w:val="24"/>
          <w:szCs w:val="24"/>
        </w:rPr>
      </w:pPr>
      <w:r>
        <w:rPr>
          <w:rFonts w:eastAsia="Calibri"/>
          <w:sz w:val="24"/>
          <w:szCs w:val="24"/>
          <w:lang w:eastAsia="en-US"/>
        </w:rPr>
        <w:t>-</w:t>
      </w:r>
      <w:r>
        <w:rPr>
          <w:rFonts w:eastAsia="Calibri"/>
        </w:rPr>
        <w:t> </w:t>
      </w:r>
      <w:r>
        <w:rPr>
          <w:rFonts w:eastAsia="Calibri"/>
          <w:sz w:val="24"/>
          <w:szCs w:val="24"/>
          <w:lang w:eastAsia="en-US"/>
        </w:rPr>
        <w:t xml:space="preserve">достоверное представление информации означает ее полноту, нейтральность отсутствие ошибок. </w:t>
      </w:r>
      <w:r>
        <w:rPr>
          <w:sz w:val="24"/>
          <w:szCs w:val="24"/>
        </w:rPr>
        <w:t>Полной считается информация, которая включает данные и (или) пояснения, сформированные (имеющиеся) на момент формирования бухгалтерской (финансовой) отчётности и необходимые для принятия пользователем бухгалтерской (финансовой) отчётности финансовых решений.</w:t>
      </w:r>
    </w:p>
    <w:p>
      <w:pPr>
        <w:ind w:firstLine="708"/>
        <w:jc w:val="both"/>
        <w:rPr>
          <w:sz w:val="24"/>
          <w:szCs w:val="24"/>
        </w:rPr>
      </w:pPr>
      <w:r>
        <w:rPr>
          <w:sz w:val="24"/>
          <w:szCs w:val="24"/>
        </w:rPr>
        <w:t>Информация считается нейтральной, если ее отбор для предоставления в бухгалтерской (финансовой) отчётности осуществляется объективно.</w:t>
      </w:r>
    </w:p>
    <w:p>
      <w:pPr>
        <w:ind w:firstLine="708"/>
        <w:jc w:val="both"/>
        <w:rPr>
          <w:sz w:val="24"/>
          <w:szCs w:val="24"/>
          <w:lang w:eastAsia="en-US"/>
        </w:rPr>
      </w:pPr>
      <w:r>
        <w:rPr>
          <w:sz w:val="24"/>
          <w:szCs w:val="24"/>
        </w:rPr>
        <w:t xml:space="preserve">Информация является существенной, если ее отсутствие или искажение могут оказать влияние на решения пользователей (письмо Минфина РФ от 15.02.2019 </w:t>
      </w:r>
      <w:r>
        <w:rPr>
          <w:sz w:val="24"/>
          <w:szCs w:val="24"/>
        </w:rPr>
        <w:br/>
        <w:t>№ 02-06-10/9578).</w:t>
      </w:r>
    </w:p>
    <w:p>
      <w:pPr>
        <w:ind w:firstLine="708"/>
        <w:jc w:val="both"/>
        <w:rPr>
          <w:rFonts w:eastAsia="Calibri"/>
          <w:sz w:val="24"/>
          <w:szCs w:val="24"/>
          <w:lang w:eastAsia="en-US"/>
        </w:rPr>
      </w:pPr>
      <w:r>
        <w:rPr>
          <w:rFonts w:eastAsia="Calibri"/>
          <w:sz w:val="24"/>
          <w:szCs w:val="24"/>
          <w:lang w:eastAsia="en-US"/>
        </w:rPr>
        <w:t>-</w:t>
      </w:r>
      <w:r>
        <w:rPr>
          <w:rFonts w:eastAsia="Calibri"/>
        </w:rPr>
        <w:t> </w:t>
      </w:r>
      <w:r>
        <w:rPr>
          <w:rFonts w:eastAsia="Calibri"/>
          <w:sz w:val="24"/>
          <w:szCs w:val="24"/>
          <w:lang w:eastAsia="en-US"/>
        </w:rPr>
        <w:t xml:space="preserve">сопоставимость: информация считается сопоставимой, если позволяет идентифицировать сходство и различия между такой информацией и данными других отчетов, входящих в состав бухгалтерской (финансовой) отчётности (п.19, 69 СГС «Концептуальные основы»); </w:t>
      </w:r>
    </w:p>
    <w:p>
      <w:pPr>
        <w:ind w:firstLine="567"/>
        <w:jc w:val="both"/>
        <w:rPr>
          <w:rFonts w:eastAsia="Calibri"/>
          <w:sz w:val="24"/>
          <w:szCs w:val="24"/>
          <w:lang w:eastAsia="en-US"/>
        </w:rPr>
      </w:pPr>
      <w:r>
        <w:rPr>
          <w:rFonts w:eastAsia="Calibri"/>
          <w:sz w:val="24"/>
          <w:szCs w:val="24"/>
          <w:lang w:eastAsia="en-US"/>
        </w:rPr>
        <w:t>- возможность проверки и (или) подтверждения достоверности данных (верификация), которая предусматривает ее непосредственное и косвенное подтверждение. Непосредственное подтверждение информации осуществляется путем прямого подсчёта. Для косвенного подтверждения информации используются формулы, модели и иные аналогичные способы;</w:t>
      </w:r>
    </w:p>
    <w:p>
      <w:pPr>
        <w:ind w:firstLine="708"/>
        <w:jc w:val="both"/>
        <w:rPr>
          <w:rFonts w:eastAsia="Calibri"/>
          <w:sz w:val="24"/>
          <w:szCs w:val="24"/>
          <w:lang w:eastAsia="en-US"/>
        </w:rPr>
      </w:pPr>
      <w:r>
        <w:rPr>
          <w:rFonts w:eastAsia="Calibri"/>
          <w:sz w:val="24"/>
          <w:szCs w:val="24"/>
          <w:lang w:eastAsia="en-US"/>
        </w:rPr>
        <w:t>-</w:t>
      </w:r>
      <w:r>
        <w:rPr>
          <w:rFonts w:eastAsia="Calibri"/>
        </w:rPr>
        <w:t> </w:t>
      </w:r>
      <w:r>
        <w:rPr>
          <w:rFonts w:eastAsia="Calibri"/>
          <w:sz w:val="24"/>
          <w:szCs w:val="24"/>
          <w:lang w:eastAsia="en-US"/>
        </w:rPr>
        <w:t>своевременность - информация должна быть доступна пользователям бухгалтерской (финансовой) отчётности в период, когда она может повлиять на принимаемые ими решения;</w:t>
      </w:r>
    </w:p>
    <w:p>
      <w:pPr>
        <w:ind w:firstLine="708"/>
        <w:jc w:val="both"/>
        <w:rPr>
          <w:rFonts w:eastAsia="Calibri"/>
          <w:sz w:val="24"/>
          <w:szCs w:val="24"/>
          <w:lang w:eastAsia="en-US"/>
        </w:rPr>
      </w:pPr>
      <w:r>
        <w:rPr>
          <w:rFonts w:eastAsia="Calibri"/>
          <w:sz w:val="24"/>
          <w:szCs w:val="24"/>
          <w:lang w:eastAsia="en-US"/>
        </w:rPr>
        <w:t>-</w:t>
      </w:r>
      <w:r>
        <w:rPr>
          <w:rFonts w:eastAsia="Calibri"/>
        </w:rPr>
        <w:t> </w:t>
      </w:r>
      <w:r>
        <w:rPr>
          <w:rFonts w:eastAsia="Calibri"/>
          <w:sz w:val="24"/>
          <w:szCs w:val="24"/>
          <w:lang w:eastAsia="en-US"/>
        </w:rPr>
        <w:t>понятность: информация считается понятной, если можно обоснованно предполагать, что пользователи бухгалтерской (финансовой) отчётности, обладающие необходимыми знаниями о деятельности субъекта отчётности, условиях, в которых он осуществляет свою деятельность, в состоянии понять ее смысл.</w:t>
      </w:r>
    </w:p>
    <w:p>
      <w:pPr>
        <w:pStyle w:val="3"/>
        <w:spacing w:after="0"/>
        <w:ind w:firstLine="708"/>
        <w:jc w:val="both"/>
        <w:rPr>
          <w:color w:val="FF0000"/>
          <w:sz w:val="32"/>
          <w:szCs w:val="32"/>
        </w:rPr>
      </w:pPr>
      <w:r>
        <w:rPr>
          <w:bCs/>
          <w:spacing w:val="2"/>
          <w:sz w:val="24"/>
          <w:szCs w:val="24"/>
        </w:rPr>
        <w:t>1.5 Бухгалтерский учёт ведётся отделом по бюджетному учёту и отчётности Управления (далее – Отдел) возглавляемым начальником отдела по бюджетному учёту и отчётности (далее – начальник Отдела).</w:t>
      </w:r>
    </w:p>
    <w:p>
      <w:pPr>
        <w:ind w:firstLine="708"/>
        <w:jc w:val="both"/>
        <w:rPr>
          <w:rFonts w:eastAsia="Calibri"/>
          <w:bCs/>
          <w:spacing w:val="2"/>
          <w:sz w:val="24"/>
          <w:szCs w:val="24"/>
        </w:rPr>
      </w:pPr>
      <w:r>
        <w:rPr>
          <w:rFonts w:eastAsia="Calibri"/>
          <w:bCs/>
          <w:spacing w:val="2"/>
          <w:sz w:val="24"/>
          <w:szCs w:val="24"/>
        </w:rPr>
        <w:t xml:space="preserve">Сотрудники Отдела руководствуются в своей деятельности </w:t>
      </w:r>
      <w:r>
        <w:rPr>
          <w:sz w:val="24"/>
          <w:szCs w:val="24"/>
        </w:rPr>
        <w:t>должностными инструкциями</w:t>
      </w:r>
      <w:r>
        <w:rPr>
          <w:rFonts w:eastAsia="Calibri"/>
          <w:bCs/>
          <w:spacing w:val="2"/>
          <w:sz w:val="24"/>
          <w:szCs w:val="24"/>
        </w:rPr>
        <w:t>, настоящим приказом об учётной политике, а также действующими нормативными актами, регулирующими вопросы бюджетного учёта.</w:t>
      </w:r>
    </w:p>
    <w:p>
      <w:pPr>
        <w:pStyle w:val="3"/>
        <w:spacing w:after="0"/>
        <w:ind w:firstLine="708"/>
        <w:jc w:val="both"/>
        <w:rPr>
          <w:bCs/>
          <w:spacing w:val="2"/>
          <w:sz w:val="24"/>
          <w:szCs w:val="24"/>
        </w:rPr>
      </w:pPr>
      <w:r>
        <w:rPr>
          <w:bCs/>
          <w:spacing w:val="2"/>
          <w:sz w:val="24"/>
          <w:szCs w:val="24"/>
        </w:rPr>
        <w:t>Начальник Отдела подчиняется непосредственно начальнику Управления, либо лицу, замещающему его.</w:t>
      </w:r>
    </w:p>
    <w:p>
      <w:pPr>
        <w:pStyle w:val="3"/>
        <w:spacing w:after="0"/>
        <w:ind w:firstLine="708"/>
        <w:jc w:val="both"/>
        <w:rPr>
          <w:bCs/>
          <w:spacing w:val="2"/>
          <w:sz w:val="24"/>
          <w:szCs w:val="24"/>
        </w:rPr>
      </w:pPr>
      <w:r>
        <w:rPr>
          <w:bCs/>
          <w:spacing w:val="2"/>
          <w:sz w:val="24"/>
          <w:szCs w:val="24"/>
        </w:rPr>
        <w:t xml:space="preserve">Без подписи начальника Отдела или уполномоченного им на то лица денежные                 и расчётные документы, документы, оформляющие финансовые обязательства                        к исполнению и бухгалтерскому учёту не принимаются. Указанные документы, не содержащие подписи начальника Отдела или уполномоченного на то лица, в случаях разногласий между начальником Управления и начальником Отдела, принимаются                  к исполнению и отражению в бухгалтерском учёте с письменного распоряжения начальника Управления, который несёт ответственность, предусмотренную законодательством Российской Федерации. </w:t>
      </w:r>
    </w:p>
    <w:p>
      <w:pPr>
        <w:ind w:firstLine="708"/>
        <w:jc w:val="both"/>
        <w:rPr>
          <w:rFonts w:eastAsia="Calibri"/>
          <w:sz w:val="24"/>
          <w:szCs w:val="24"/>
        </w:rPr>
      </w:pPr>
      <w:r>
        <w:rPr>
          <w:rFonts w:eastAsia="Calibri"/>
          <w:sz w:val="24"/>
          <w:szCs w:val="24"/>
        </w:rPr>
        <w:t xml:space="preserve">В случае возникновения разногласий в отношении ведения бюджетного учёта между </w:t>
      </w:r>
      <w:r>
        <w:rPr>
          <w:bCs/>
          <w:spacing w:val="2"/>
          <w:sz w:val="24"/>
          <w:szCs w:val="24"/>
        </w:rPr>
        <w:t>начальником Управления и начальником Отдела</w:t>
      </w:r>
      <w:r>
        <w:rPr>
          <w:rFonts w:eastAsia="Calibri"/>
          <w:sz w:val="24"/>
          <w:szCs w:val="24"/>
        </w:rPr>
        <w:t xml:space="preserve"> или иным должностным лицом, на которое возложено ведение бюджетного учёта:</w:t>
      </w:r>
    </w:p>
    <w:p>
      <w:pPr>
        <w:ind w:firstLine="708"/>
        <w:jc w:val="both"/>
        <w:rPr>
          <w:rFonts w:eastAsia="Calibri"/>
          <w:sz w:val="24"/>
          <w:szCs w:val="24"/>
        </w:rPr>
      </w:pPr>
      <w:r>
        <w:rPr>
          <w:rFonts w:eastAsia="Calibri"/>
          <w:sz w:val="24"/>
          <w:szCs w:val="24"/>
        </w:rPr>
        <w:t xml:space="preserve">1) данные, содержащиеся в первичном учётном документе, принимаются                    </w:t>
      </w:r>
      <w:proofErr w:type="gramStart"/>
      <w:r>
        <w:rPr>
          <w:rFonts w:eastAsia="Calibri"/>
          <w:sz w:val="24"/>
          <w:szCs w:val="24"/>
        </w:rPr>
        <w:t xml:space="preserve">   (</w:t>
      </w:r>
      <w:proofErr w:type="gramEnd"/>
      <w:r>
        <w:rPr>
          <w:rFonts w:eastAsia="Calibri"/>
          <w:sz w:val="24"/>
          <w:szCs w:val="24"/>
        </w:rPr>
        <w:t xml:space="preserve">не принимаются) </w:t>
      </w:r>
      <w:r>
        <w:rPr>
          <w:bCs/>
          <w:spacing w:val="2"/>
          <w:sz w:val="24"/>
          <w:szCs w:val="24"/>
        </w:rPr>
        <w:t>начальником Отдела</w:t>
      </w:r>
      <w:r>
        <w:rPr>
          <w:rFonts w:eastAsia="Calibri"/>
          <w:sz w:val="24"/>
          <w:szCs w:val="24"/>
        </w:rPr>
        <w:t xml:space="preserve"> или иным должностным лицом, на которое возложено ведение бюджетного учёта к регистрации и накоплению в регистрах бюджетного учёта по письменному распоряжению </w:t>
      </w:r>
      <w:r>
        <w:rPr>
          <w:bCs/>
          <w:spacing w:val="2"/>
          <w:sz w:val="24"/>
          <w:szCs w:val="24"/>
        </w:rPr>
        <w:t>начальника Управления</w:t>
      </w:r>
      <w:r>
        <w:rPr>
          <w:rFonts w:eastAsia="Calibri"/>
          <w:sz w:val="24"/>
          <w:szCs w:val="24"/>
        </w:rPr>
        <w:t>, который единолично несёт ответственность за созданную в результате этого информацию;</w:t>
      </w:r>
    </w:p>
    <w:p>
      <w:pPr>
        <w:ind w:firstLine="708"/>
        <w:jc w:val="both"/>
        <w:rPr>
          <w:rFonts w:eastAsia="Calibri"/>
          <w:sz w:val="24"/>
          <w:szCs w:val="24"/>
        </w:rPr>
      </w:pPr>
      <w:r>
        <w:rPr>
          <w:rFonts w:eastAsia="Calibri"/>
          <w:sz w:val="24"/>
          <w:szCs w:val="24"/>
        </w:rPr>
        <w:t xml:space="preserve">2) объект бюджетного учёта отражается (не отражается) </w:t>
      </w:r>
      <w:r>
        <w:rPr>
          <w:bCs/>
          <w:spacing w:val="2"/>
          <w:sz w:val="24"/>
          <w:szCs w:val="24"/>
        </w:rPr>
        <w:t>начальником Отдела</w:t>
      </w:r>
      <w:r>
        <w:rPr>
          <w:rFonts w:eastAsia="Calibri"/>
          <w:sz w:val="24"/>
          <w:szCs w:val="24"/>
        </w:rPr>
        <w:t xml:space="preserve"> или иным должностным лицом, на которое возложено ведение бюджетного учёта</w:t>
      </w:r>
      <w:r>
        <w:rPr>
          <w:rFonts w:eastAsia="Calibri"/>
          <w:sz w:val="24"/>
          <w:szCs w:val="24"/>
        </w:rPr>
        <w:br/>
        <w:t xml:space="preserve">в бухгалтерской (финансовой) отчётности на основании письменного распоряжения </w:t>
      </w:r>
      <w:r>
        <w:rPr>
          <w:bCs/>
          <w:spacing w:val="2"/>
          <w:sz w:val="24"/>
          <w:szCs w:val="24"/>
        </w:rPr>
        <w:t>начальника Управления</w:t>
      </w:r>
      <w:r>
        <w:rPr>
          <w:rFonts w:eastAsia="Calibri"/>
          <w:sz w:val="24"/>
          <w:szCs w:val="24"/>
        </w:rPr>
        <w:t>, который единолично несёт ответственность за достоверность представления финансового положения экономического субъекта на отчётную дату, финансового результата его деятельности и движения денежных средств за отчётный период (п.8 ст. 7 Закона № 402-ФЗ).</w:t>
      </w:r>
    </w:p>
    <w:p>
      <w:pPr>
        <w:ind w:firstLine="708"/>
        <w:jc w:val="both"/>
        <w:rPr>
          <w:rFonts w:eastAsia="Calibri"/>
          <w:sz w:val="24"/>
          <w:szCs w:val="24"/>
        </w:rPr>
      </w:pPr>
      <w:r>
        <w:rPr>
          <w:sz w:val="24"/>
          <w:szCs w:val="24"/>
        </w:rPr>
        <w:t>Распределение обязанностей между сотрудниками Отдела и сотрудниками других отделов Управления осуществляется согласно положениям о соответствующих отделах, должностным инструкциям, а также в соответствии с отдельными приказами о закреплении обязанностей. Все сотрудники Управления, имеющие отношение к учетным процедурам и ответственные за формирование и представление в Отдел документов (сведений), необходимых для ведения бюджетного учета, обязаны соблюдать положения Учетной политики. В случае выявления нарушений положений Учетной политики сотрудники Управления, допустившие нарушения, обязаны их устранить.</w:t>
      </w:r>
    </w:p>
    <w:p>
      <w:pPr>
        <w:pStyle w:val="3"/>
        <w:tabs>
          <w:tab w:val="left" w:pos="7377"/>
          <w:tab w:val="left" w:pos="7713"/>
        </w:tabs>
        <w:spacing w:after="0"/>
        <w:ind w:firstLine="567"/>
        <w:jc w:val="both"/>
        <w:rPr>
          <w:sz w:val="24"/>
          <w:szCs w:val="24"/>
        </w:rPr>
      </w:pPr>
      <w:r>
        <w:rPr>
          <w:sz w:val="24"/>
          <w:szCs w:val="24"/>
        </w:rPr>
        <w:t xml:space="preserve">   1.6 Объектами бюджетного учёта являются: факты хозяйственной жизни, активы, обязательства, источники финансирования деятельности экономического субъекта, доходы, расходы, иные объекты, в случае если это установлено федеральными стандартами (ст. 5 Закона № 402-ФЗ).</w:t>
      </w:r>
    </w:p>
    <w:p>
      <w:pPr>
        <w:pStyle w:val="3"/>
        <w:spacing w:after="0"/>
        <w:ind w:firstLine="708"/>
        <w:jc w:val="both"/>
        <w:rPr>
          <w:sz w:val="24"/>
          <w:szCs w:val="24"/>
        </w:rPr>
      </w:pPr>
      <w:r>
        <w:rPr>
          <w:sz w:val="24"/>
          <w:szCs w:val="24"/>
        </w:rPr>
        <w:t xml:space="preserve">1.7 Основными задачами бюджетного учёта являются:   </w:t>
      </w:r>
    </w:p>
    <w:p>
      <w:pPr>
        <w:ind w:firstLine="708"/>
        <w:jc w:val="both"/>
        <w:rPr>
          <w:rFonts w:eastAsia="Calibri"/>
          <w:sz w:val="24"/>
          <w:szCs w:val="24"/>
          <w:lang w:eastAsia="en-US"/>
        </w:rPr>
      </w:pPr>
      <w:r>
        <w:rPr>
          <w:rFonts w:eastAsia="Calibri"/>
          <w:sz w:val="24"/>
          <w:szCs w:val="24"/>
          <w:lang w:eastAsia="en-US"/>
        </w:rPr>
        <w:t>- формирование полной и достоверной информации о состоянии активов                           и обязательств Управления, а также о финансовых результатах их деятельности;</w:t>
      </w:r>
    </w:p>
    <w:p>
      <w:pPr>
        <w:ind w:firstLine="708"/>
        <w:jc w:val="both"/>
        <w:rPr>
          <w:rFonts w:eastAsia="Calibri"/>
          <w:sz w:val="24"/>
          <w:szCs w:val="24"/>
          <w:lang w:eastAsia="en-US"/>
        </w:rPr>
      </w:pPr>
      <w:r>
        <w:rPr>
          <w:rFonts w:eastAsia="Calibri"/>
          <w:sz w:val="24"/>
          <w:szCs w:val="24"/>
          <w:lang w:eastAsia="en-US"/>
        </w:rPr>
        <w:t>- формирование полной и достоверной информации об исполнении бюджета                ЗАТО Северск в социально-трудовой сфере;</w:t>
      </w:r>
    </w:p>
    <w:p>
      <w:pPr>
        <w:ind w:firstLine="708"/>
        <w:jc w:val="both"/>
        <w:rPr>
          <w:rFonts w:eastAsia="Calibri"/>
          <w:sz w:val="24"/>
          <w:szCs w:val="24"/>
          <w:lang w:eastAsia="en-US"/>
        </w:rPr>
      </w:pPr>
      <w:r>
        <w:rPr>
          <w:rFonts w:eastAsia="Calibri"/>
          <w:sz w:val="24"/>
          <w:szCs w:val="24"/>
          <w:lang w:eastAsia="en-US"/>
        </w:rPr>
        <w:t>- обеспечение контроля за соответствием законодательству Российской Федерации операций, осуществляемых в ходе исполнения бюджета ЗАТО Северск, а также контроля за выполнением обязательств Управления;</w:t>
      </w:r>
    </w:p>
    <w:p>
      <w:pPr>
        <w:ind w:firstLine="708"/>
        <w:jc w:val="both"/>
        <w:rPr>
          <w:rFonts w:eastAsia="Calibri"/>
          <w:sz w:val="24"/>
          <w:szCs w:val="24"/>
          <w:lang w:eastAsia="en-US"/>
        </w:rPr>
      </w:pPr>
      <w:r>
        <w:rPr>
          <w:rFonts w:eastAsia="Calibri"/>
          <w:sz w:val="24"/>
          <w:szCs w:val="24"/>
          <w:lang w:eastAsia="en-US"/>
        </w:rPr>
        <w:t>- обеспечение внутренних и внешних пользователей отчётностью о состоянии активов и обязательств Управления.</w:t>
      </w:r>
    </w:p>
    <w:p>
      <w:pPr>
        <w:ind w:firstLine="708"/>
        <w:jc w:val="both"/>
        <w:rPr>
          <w:rFonts w:eastAsia="Calibri"/>
          <w:sz w:val="24"/>
          <w:szCs w:val="24"/>
          <w:lang w:eastAsia="en-US"/>
        </w:rPr>
      </w:pPr>
      <w:r>
        <w:rPr>
          <w:rFonts w:eastAsia="Calibri"/>
          <w:sz w:val="24"/>
          <w:szCs w:val="24"/>
          <w:lang w:eastAsia="en-US"/>
        </w:rPr>
        <w:t>1.8 Управление обеспечивает хранение документов учётной политики и других документов, связанных с организацией и ведением бюджетного учёта, не менее пяти лет после года, в котором они использовались при ведении бюджетного учёта и (или) для составления бухгалтерской (финансовой) отчётности в последний раз.</w:t>
      </w:r>
    </w:p>
    <w:p>
      <w:pPr>
        <w:ind w:firstLine="708"/>
        <w:jc w:val="both"/>
        <w:rPr>
          <w:sz w:val="24"/>
          <w:szCs w:val="24"/>
        </w:rPr>
      </w:pPr>
      <w:r>
        <w:rPr>
          <w:sz w:val="24"/>
          <w:szCs w:val="24"/>
          <w:lang w:eastAsia="en-US"/>
        </w:rPr>
        <w:t xml:space="preserve">При хранении документов учитывать требования Приказа </w:t>
      </w:r>
      <w:proofErr w:type="spellStart"/>
      <w:r>
        <w:rPr>
          <w:sz w:val="24"/>
          <w:szCs w:val="24"/>
          <w:lang w:eastAsia="en-US"/>
        </w:rPr>
        <w:t>Росархива</w:t>
      </w:r>
      <w:proofErr w:type="spellEnd"/>
      <w:r>
        <w:rPr>
          <w:sz w:val="24"/>
          <w:szCs w:val="24"/>
          <w:lang w:eastAsia="en-US"/>
        </w:rPr>
        <w:t xml:space="preserve"> от 20.12.2019 №236 «</w:t>
      </w:r>
      <w:r>
        <w:rPr>
          <w:sz w:val="24"/>
          <w:szCs w:val="24"/>
        </w:rPr>
        <w:t>Об утверждении перечня типовых управленческих архивных документов, образующихся в процессе деятельности муниципальных органов, органов местного самоуправления и организаций с указанием сроков их хранения».</w:t>
      </w:r>
    </w:p>
    <w:p>
      <w:pPr>
        <w:ind w:firstLine="567"/>
        <w:jc w:val="both"/>
        <w:rPr>
          <w:sz w:val="24"/>
          <w:szCs w:val="24"/>
        </w:rPr>
      </w:pPr>
    </w:p>
    <w:p>
      <w:pPr>
        <w:pStyle w:val="3"/>
        <w:spacing w:after="0"/>
        <w:ind w:firstLine="567"/>
        <w:jc w:val="center"/>
        <w:rPr>
          <w:b/>
          <w:spacing w:val="7"/>
          <w:sz w:val="24"/>
          <w:szCs w:val="24"/>
        </w:rPr>
      </w:pPr>
      <w:r>
        <w:rPr>
          <w:b/>
          <w:spacing w:val="7"/>
          <w:sz w:val="24"/>
          <w:szCs w:val="24"/>
        </w:rPr>
        <w:t>2. Организация учётной работы.</w:t>
      </w:r>
    </w:p>
    <w:p>
      <w:pPr>
        <w:pStyle w:val="3"/>
        <w:spacing w:after="0"/>
        <w:ind w:firstLine="567"/>
        <w:jc w:val="both"/>
        <w:rPr>
          <w:b/>
          <w:spacing w:val="7"/>
          <w:sz w:val="24"/>
          <w:szCs w:val="24"/>
        </w:rPr>
      </w:pPr>
    </w:p>
    <w:p>
      <w:pPr>
        <w:ind w:firstLine="708"/>
        <w:jc w:val="both"/>
        <w:rPr>
          <w:sz w:val="24"/>
          <w:szCs w:val="24"/>
        </w:rPr>
      </w:pPr>
      <w:r>
        <w:rPr>
          <w:sz w:val="24"/>
          <w:szCs w:val="24"/>
        </w:rPr>
        <w:t xml:space="preserve">2.1 </w:t>
      </w:r>
      <w:r>
        <w:rPr>
          <w:rFonts w:eastAsia="Calibri"/>
          <w:sz w:val="24"/>
          <w:szCs w:val="24"/>
          <w:lang w:eastAsia="en-US"/>
        </w:rPr>
        <w:t xml:space="preserve">Документирование фактов хозяйственной жизни, ведение регистров бюджетного учёта осуществляется на русском языке </w:t>
      </w:r>
      <w:r>
        <w:rPr>
          <w:sz w:val="24"/>
          <w:szCs w:val="24"/>
        </w:rPr>
        <w:t xml:space="preserve">(п.31 СГС «Концептуальные основы»). </w:t>
      </w:r>
    </w:p>
    <w:p>
      <w:pPr>
        <w:ind w:firstLine="708"/>
        <w:jc w:val="both"/>
        <w:rPr>
          <w:rFonts w:eastAsia="Calibri"/>
          <w:sz w:val="24"/>
          <w:szCs w:val="24"/>
          <w:lang w:eastAsia="en-US"/>
        </w:rPr>
      </w:pPr>
      <w:r>
        <w:rPr>
          <w:sz w:val="24"/>
          <w:szCs w:val="24"/>
        </w:rPr>
        <w:t xml:space="preserve">2.1.1 </w:t>
      </w:r>
      <w:r>
        <w:rPr>
          <w:rFonts w:eastAsia="Calibri"/>
          <w:sz w:val="24"/>
          <w:szCs w:val="24"/>
          <w:lang w:eastAsia="en-US"/>
        </w:rPr>
        <w:t>Для отражения объектов учёта и изменяющих их фактов хозяйственной жизни используются формы первичных учётных документов:</w:t>
      </w:r>
    </w:p>
    <w:p>
      <w:pPr>
        <w:ind w:firstLine="708"/>
        <w:jc w:val="both"/>
        <w:rPr>
          <w:rFonts w:eastAsia="Calibri"/>
          <w:sz w:val="24"/>
          <w:szCs w:val="24"/>
          <w:lang w:eastAsia="en-US"/>
        </w:rPr>
      </w:pPr>
      <w:r>
        <w:rPr>
          <w:rFonts w:eastAsia="Calibri"/>
          <w:sz w:val="24"/>
          <w:szCs w:val="24"/>
          <w:lang w:eastAsia="en-US"/>
        </w:rPr>
        <w:t xml:space="preserve">- утверждённые </w:t>
      </w:r>
      <w:hyperlink r:id="rId9" w:history="1">
        <w:r>
          <w:rPr>
            <w:rFonts w:eastAsia="Calibri"/>
            <w:sz w:val="24"/>
            <w:szCs w:val="24"/>
            <w:lang w:eastAsia="en-US"/>
          </w:rPr>
          <w:t>Приказам</w:t>
        </w:r>
      </w:hyperlink>
      <w:r>
        <w:rPr>
          <w:rFonts w:eastAsia="Calibri"/>
          <w:sz w:val="24"/>
          <w:szCs w:val="24"/>
          <w:lang w:eastAsia="en-US"/>
        </w:rPr>
        <w:t>и № 52н и № 61н;</w:t>
      </w:r>
    </w:p>
    <w:p>
      <w:pPr>
        <w:ind w:firstLine="708"/>
        <w:jc w:val="both"/>
        <w:rPr>
          <w:rFonts w:eastAsia="Calibri"/>
          <w:iCs/>
          <w:sz w:val="24"/>
          <w:szCs w:val="24"/>
          <w:lang w:eastAsia="en-US"/>
        </w:rPr>
      </w:pPr>
      <w:r>
        <w:rPr>
          <w:rFonts w:eastAsia="Calibri"/>
          <w:sz w:val="24"/>
          <w:szCs w:val="24"/>
          <w:lang w:eastAsia="en-US"/>
        </w:rPr>
        <w:t xml:space="preserve">- самостоятельно разработанные </w:t>
      </w:r>
      <w:r>
        <w:rPr>
          <w:rFonts w:eastAsia="Calibri"/>
          <w:iCs/>
          <w:sz w:val="24"/>
          <w:szCs w:val="24"/>
          <w:lang w:eastAsia="en-US"/>
        </w:rPr>
        <w:t>(</w:t>
      </w:r>
      <w:hyperlink r:id="rId10" w:history="1">
        <w:r>
          <w:rPr>
            <w:rFonts w:eastAsia="Calibri"/>
            <w:iCs/>
            <w:sz w:val="24"/>
            <w:szCs w:val="24"/>
            <w:lang w:eastAsia="en-US"/>
          </w:rPr>
          <w:t>ч. 2</w:t>
        </w:r>
      </w:hyperlink>
      <w:r>
        <w:rPr>
          <w:rFonts w:eastAsia="Calibri"/>
          <w:iCs/>
          <w:sz w:val="24"/>
          <w:szCs w:val="24"/>
          <w:lang w:eastAsia="en-US"/>
        </w:rPr>
        <w:t xml:space="preserve">, </w:t>
      </w:r>
      <w:hyperlink r:id="rId11" w:history="1">
        <w:r>
          <w:rPr>
            <w:rFonts w:eastAsia="Calibri"/>
            <w:iCs/>
            <w:sz w:val="24"/>
            <w:szCs w:val="24"/>
            <w:lang w:eastAsia="en-US"/>
          </w:rPr>
          <w:t>4 ст. 9</w:t>
        </w:r>
      </w:hyperlink>
      <w:r>
        <w:rPr>
          <w:rFonts w:eastAsia="Calibri"/>
          <w:iCs/>
          <w:sz w:val="24"/>
          <w:szCs w:val="24"/>
          <w:lang w:eastAsia="en-US"/>
        </w:rPr>
        <w:t xml:space="preserve"> Закона № 402-ФЗ, </w:t>
      </w:r>
      <w:hyperlink r:id="rId12" w:history="1">
        <w:r>
          <w:rPr>
            <w:rFonts w:eastAsia="Calibri"/>
            <w:iCs/>
            <w:sz w:val="24"/>
            <w:szCs w:val="24"/>
            <w:lang w:eastAsia="en-US"/>
          </w:rPr>
          <w:t>п. 25</w:t>
        </w:r>
      </w:hyperlink>
      <w:r>
        <w:rPr>
          <w:rFonts w:eastAsia="Calibri"/>
          <w:iCs/>
          <w:sz w:val="24"/>
          <w:szCs w:val="24"/>
          <w:lang w:eastAsia="en-US"/>
        </w:rPr>
        <w:t xml:space="preserve"> СГС «Концептуальные основы», </w:t>
      </w:r>
      <w:hyperlink r:id="rId13" w:history="1">
        <w:r>
          <w:rPr>
            <w:rFonts w:eastAsia="Calibri"/>
            <w:iCs/>
            <w:sz w:val="24"/>
            <w:szCs w:val="24"/>
            <w:lang w:eastAsia="en-US"/>
          </w:rPr>
          <w:t>п. 9</w:t>
        </w:r>
      </w:hyperlink>
      <w:r>
        <w:rPr>
          <w:rFonts w:eastAsia="Calibri"/>
          <w:iCs/>
          <w:sz w:val="24"/>
          <w:szCs w:val="24"/>
          <w:lang w:eastAsia="en-US"/>
        </w:rPr>
        <w:t xml:space="preserve"> п</w:t>
      </w:r>
      <w:r>
        <w:rPr>
          <w:sz w:val="24"/>
          <w:szCs w:val="24"/>
          <w:lang w:eastAsia="en-US"/>
        </w:rPr>
        <w:t>риказа Минфина РФ от 30.12.2017 № 274н «Об утверждении федерального стандарта бюджетного учёта для организаций муниципального сектора «Учётная политика, оценочные значения, ошибки» (далее – СГС «Учётная политика»)</w:t>
      </w:r>
      <w:r>
        <w:rPr>
          <w:rFonts w:eastAsia="Calibri"/>
          <w:iCs/>
          <w:sz w:val="24"/>
          <w:szCs w:val="24"/>
          <w:lang w:eastAsia="en-US"/>
        </w:rPr>
        <w:t>).</w:t>
      </w:r>
    </w:p>
    <w:p>
      <w:pPr>
        <w:widowControl/>
        <w:ind w:firstLine="708"/>
        <w:jc w:val="both"/>
        <w:rPr>
          <w:spacing w:val="1"/>
          <w:sz w:val="24"/>
          <w:szCs w:val="24"/>
        </w:rPr>
      </w:pPr>
      <w:r>
        <w:rPr>
          <w:spacing w:val="1"/>
          <w:sz w:val="24"/>
          <w:szCs w:val="24"/>
        </w:rPr>
        <w:t>Формы первичных (сводных) учётных документов, применяемых для оформления хозяйственных операций, по которым законодательством Российской Федерации не установлены унифицированные бланки, разрабатываются сотрудниками Отдела самостоятельно, с учётом наличия обязательных реквизитов:</w:t>
      </w:r>
    </w:p>
    <w:p>
      <w:pPr>
        <w:widowControl/>
        <w:ind w:firstLine="708"/>
        <w:jc w:val="both"/>
        <w:rPr>
          <w:bCs/>
          <w:spacing w:val="2"/>
          <w:sz w:val="24"/>
          <w:szCs w:val="24"/>
        </w:rPr>
      </w:pPr>
      <w:proofErr w:type="gramStart"/>
      <w:r>
        <w:rPr>
          <w:spacing w:val="1"/>
          <w:sz w:val="24"/>
          <w:szCs w:val="24"/>
        </w:rPr>
        <w:t>а</w:t>
      </w:r>
      <w:proofErr w:type="gramEnd"/>
      <w:r>
        <w:rPr>
          <w:spacing w:val="1"/>
          <w:sz w:val="24"/>
          <w:szCs w:val="24"/>
        </w:rPr>
        <w:t>) наименование</w:t>
      </w:r>
      <w:r>
        <w:rPr>
          <w:bCs/>
          <w:spacing w:val="2"/>
          <w:sz w:val="24"/>
          <w:szCs w:val="24"/>
        </w:rPr>
        <w:t xml:space="preserve"> документа;</w:t>
      </w:r>
    </w:p>
    <w:p>
      <w:pPr>
        <w:widowControl/>
        <w:ind w:firstLine="708"/>
        <w:jc w:val="both"/>
        <w:rPr>
          <w:bCs/>
          <w:spacing w:val="2"/>
          <w:sz w:val="24"/>
          <w:szCs w:val="24"/>
        </w:rPr>
      </w:pPr>
      <w:proofErr w:type="gramStart"/>
      <w:r>
        <w:rPr>
          <w:bCs/>
          <w:spacing w:val="2"/>
          <w:sz w:val="24"/>
          <w:szCs w:val="24"/>
        </w:rPr>
        <w:t>б</w:t>
      </w:r>
      <w:proofErr w:type="gramEnd"/>
      <w:r>
        <w:rPr>
          <w:bCs/>
          <w:spacing w:val="2"/>
          <w:sz w:val="24"/>
          <w:szCs w:val="24"/>
        </w:rPr>
        <w:t>) дата составления документа;</w:t>
      </w:r>
    </w:p>
    <w:p>
      <w:pPr>
        <w:widowControl/>
        <w:ind w:firstLine="708"/>
        <w:jc w:val="both"/>
        <w:rPr>
          <w:bCs/>
          <w:spacing w:val="2"/>
          <w:sz w:val="24"/>
          <w:szCs w:val="24"/>
        </w:rPr>
      </w:pPr>
      <w:proofErr w:type="gramStart"/>
      <w:r>
        <w:rPr>
          <w:bCs/>
          <w:spacing w:val="2"/>
          <w:sz w:val="24"/>
          <w:szCs w:val="24"/>
        </w:rPr>
        <w:t>в</w:t>
      </w:r>
      <w:proofErr w:type="gramEnd"/>
      <w:r>
        <w:rPr>
          <w:bCs/>
          <w:spacing w:val="2"/>
          <w:sz w:val="24"/>
          <w:szCs w:val="24"/>
        </w:rPr>
        <w:t>) наименование организации, от имени которой составлен документ;</w:t>
      </w:r>
    </w:p>
    <w:p>
      <w:pPr>
        <w:widowControl/>
        <w:ind w:firstLine="708"/>
        <w:jc w:val="both"/>
        <w:rPr>
          <w:bCs/>
          <w:spacing w:val="2"/>
          <w:sz w:val="24"/>
          <w:szCs w:val="24"/>
        </w:rPr>
      </w:pPr>
      <w:proofErr w:type="gramStart"/>
      <w:r>
        <w:rPr>
          <w:bCs/>
          <w:spacing w:val="2"/>
          <w:sz w:val="24"/>
          <w:szCs w:val="24"/>
        </w:rPr>
        <w:t>г</w:t>
      </w:r>
      <w:proofErr w:type="gramEnd"/>
      <w:r>
        <w:rPr>
          <w:bCs/>
          <w:spacing w:val="2"/>
          <w:sz w:val="24"/>
          <w:szCs w:val="24"/>
        </w:rPr>
        <w:t>) содержание операции;</w:t>
      </w:r>
    </w:p>
    <w:p>
      <w:pPr>
        <w:widowControl/>
        <w:ind w:firstLine="708"/>
        <w:jc w:val="both"/>
        <w:rPr>
          <w:bCs/>
          <w:spacing w:val="2"/>
          <w:sz w:val="24"/>
          <w:szCs w:val="24"/>
        </w:rPr>
      </w:pPr>
      <w:proofErr w:type="gramStart"/>
      <w:r>
        <w:rPr>
          <w:bCs/>
          <w:spacing w:val="2"/>
          <w:sz w:val="24"/>
          <w:szCs w:val="24"/>
        </w:rPr>
        <w:t>д</w:t>
      </w:r>
      <w:proofErr w:type="gramEnd"/>
      <w:r>
        <w:rPr>
          <w:bCs/>
          <w:spacing w:val="2"/>
          <w:sz w:val="24"/>
          <w:szCs w:val="24"/>
        </w:rPr>
        <w:t>) измерители операции в натуральном и денежном выражении;</w:t>
      </w:r>
    </w:p>
    <w:p>
      <w:pPr>
        <w:widowControl/>
        <w:ind w:firstLine="708"/>
        <w:jc w:val="both"/>
        <w:rPr>
          <w:bCs/>
          <w:spacing w:val="2"/>
          <w:sz w:val="24"/>
          <w:szCs w:val="24"/>
        </w:rPr>
      </w:pPr>
      <w:proofErr w:type="gramStart"/>
      <w:r>
        <w:rPr>
          <w:bCs/>
          <w:spacing w:val="2"/>
          <w:sz w:val="24"/>
          <w:szCs w:val="24"/>
        </w:rPr>
        <w:t>е</w:t>
      </w:r>
      <w:proofErr w:type="gramEnd"/>
      <w:r>
        <w:rPr>
          <w:bCs/>
          <w:spacing w:val="2"/>
          <w:sz w:val="24"/>
          <w:szCs w:val="24"/>
        </w:rPr>
        <w:t>) наименование должностей лиц, ответственных за совершение операции                               и правильность ее оформления;</w:t>
      </w:r>
    </w:p>
    <w:p>
      <w:pPr>
        <w:widowControl/>
        <w:ind w:firstLine="708"/>
        <w:jc w:val="both"/>
        <w:rPr>
          <w:bCs/>
          <w:spacing w:val="2"/>
          <w:sz w:val="24"/>
          <w:szCs w:val="24"/>
        </w:rPr>
      </w:pPr>
      <w:proofErr w:type="gramStart"/>
      <w:r>
        <w:rPr>
          <w:bCs/>
          <w:spacing w:val="2"/>
          <w:sz w:val="24"/>
          <w:szCs w:val="24"/>
        </w:rPr>
        <w:t>ж</w:t>
      </w:r>
      <w:proofErr w:type="gramEnd"/>
      <w:r>
        <w:rPr>
          <w:bCs/>
          <w:spacing w:val="2"/>
          <w:sz w:val="24"/>
          <w:szCs w:val="24"/>
        </w:rPr>
        <w:t>) личные подписи указанных лиц.</w:t>
      </w:r>
    </w:p>
    <w:p>
      <w:pPr>
        <w:ind w:firstLine="708"/>
        <w:jc w:val="both"/>
        <w:rPr>
          <w:rFonts w:eastAsia="Calibri"/>
          <w:sz w:val="24"/>
          <w:szCs w:val="24"/>
          <w:lang w:eastAsia="en-US"/>
        </w:rPr>
      </w:pPr>
      <w:r>
        <w:rPr>
          <w:rFonts w:eastAsia="Calibri"/>
          <w:iCs/>
          <w:sz w:val="24"/>
          <w:szCs w:val="24"/>
          <w:lang w:eastAsia="en-US"/>
        </w:rPr>
        <w:t xml:space="preserve">2.1.2 </w:t>
      </w:r>
      <w:r>
        <w:rPr>
          <w:rFonts w:eastAsia="Calibri"/>
          <w:sz w:val="24"/>
          <w:szCs w:val="24"/>
          <w:lang w:eastAsia="en-US"/>
        </w:rPr>
        <w:t xml:space="preserve">Первичные учётные документы составляются на бумажном носителе и (или)               в виде электронного документа, подписанного электронной подписью </w:t>
      </w:r>
      <w:r>
        <w:rPr>
          <w:rFonts w:eastAsia="Calibri"/>
          <w:iCs/>
          <w:sz w:val="24"/>
          <w:szCs w:val="24"/>
          <w:lang w:eastAsia="en-US"/>
        </w:rPr>
        <w:t>(</w:t>
      </w:r>
      <w:hyperlink r:id="rId14" w:history="1">
        <w:r>
          <w:rPr>
            <w:rFonts w:eastAsia="Calibri"/>
            <w:iCs/>
            <w:sz w:val="24"/>
            <w:szCs w:val="24"/>
            <w:lang w:eastAsia="en-US"/>
          </w:rPr>
          <w:t>ч. 5 ст. 9</w:t>
        </w:r>
      </w:hyperlink>
      <w:r>
        <w:rPr>
          <w:rFonts w:eastAsia="Calibri"/>
          <w:iCs/>
          <w:sz w:val="24"/>
          <w:szCs w:val="24"/>
          <w:lang w:eastAsia="en-US"/>
        </w:rPr>
        <w:t xml:space="preserve"> Закона              № 402-ФЗ, </w:t>
      </w:r>
      <w:hyperlink r:id="rId15" w:history="1">
        <w:r>
          <w:rPr>
            <w:rFonts w:eastAsia="Calibri"/>
            <w:iCs/>
            <w:sz w:val="24"/>
            <w:szCs w:val="24"/>
            <w:lang w:eastAsia="en-US"/>
          </w:rPr>
          <w:t>п. 32</w:t>
        </w:r>
      </w:hyperlink>
      <w:r>
        <w:rPr>
          <w:rFonts w:eastAsia="Calibri"/>
          <w:iCs/>
          <w:sz w:val="24"/>
          <w:szCs w:val="24"/>
          <w:lang w:eastAsia="en-US"/>
        </w:rPr>
        <w:t xml:space="preserve"> СГС «Концептуальные основы»).</w:t>
      </w:r>
      <w:r>
        <w:rPr>
          <w:rFonts w:eastAsia="Calibri"/>
          <w:sz w:val="24"/>
          <w:szCs w:val="24"/>
          <w:lang w:eastAsia="en-US"/>
        </w:rPr>
        <w:t xml:space="preserve"> </w:t>
      </w:r>
    </w:p>
    <w:p>
      <w:pPr>
        <w:widowControl/>
        <w:ind w:firstLine="709"/>
        <w:jc w:val="both"/>
        <w:outlineLvl w:val="0"/>
        <w:rPr>
          <w:bCs/>
          <w:spacing w:val="2"/>
          <w:sz w:val="24"/>
          <w:szCs w:val="24"/>
        </w:rPr>
      </w:pPr>
      <w:r>
        <w:rPr>
          <w:bCs/>
          <w:spacing w:val="2"/>
          <w:sz w:val="24"/>
          <w:szCs w:val="24"/>
        </w:rPr>
        <w:t xml:space="preserve">Данные проверенных и принятых к учёту первичных учётных документов:  </w:t>
      </w:r>
    </w:p>
    <w:p>
      <w:pPr>
        <w:widowControl/>
        <w:ind w:firstLine="709"/>
        <w:jc w:val="both"/>
        <w:outlineLvl w:val="0"/>
        <w:rPr>
          <w:bCs/>
          <w:spacing w:val="2"/>
          <w:sz w:val="24"/>
          <w:szCs w:val="24"/>
        </w:rPr>
      </w:pPr>
      <w:r>
        <w:rPr>
          <w:bCs/>
          <w:spacing w:val="2"/>
          <w:sz w:val="24"/>
          <w:szCs w:val="24"/>
        </w:rPr>
        <w:t>- систематизируются в хронологическом порядке:</w:t>
      </w:r>
    </w:p>
    <w:p>
      <w:pPr>
        <w:widowControl/>
        <w:jc w:val="both"/>
        <w:outlineLvl w:val="0"/>
        <w:rPr>
          <w:bCs/>
          <w:spacing w:val="2"/>
          <w:sz w:val="24"/>
          <w:szCs w:val="24"/>
        </w:rPr>
      </w:pPr>
      <w:r>
        <w:rPr>
          <w:bCs/>
          <w:spacing w:val="2"/>
          <w:sz w:val="24"/>
          <w:szCs w:val="24"/>
        </w:rPr>
        <w:t xml:space="preserve">         </w:t>
      </w:r>
      <w:r>
        <w:rPr>
          <w:bCs/>
          <w:spacing w:val="2"/>
          <w:sz w:val="24"/>
          <w:szCs w:val="24"/>
        </w:rPr>
        <w:tab/>
      </w:r>
      <w:proofErr w:type="gramStart"/>
      <w:r>
        <w:rPr>
          <w:bCs/>
          <w:spacing w:val="2"/>
          <w:sz w:val="24"/>
          <w:szCs w:val="24"/>
        </w:rPr>
        <w:t>а</w:t>
      </w:r>
      <w:proofErr w:type="gramEnd"/>
      <w:r>
        <w:rPr>
          <w:bCs/>
          <w:spacing w:val="2"/>
          <w:sz w:val="24"/>
          <w:szCs w:val="24"/>
        </w:rPr>
        <w:t>) по датам совершения операций;</w:t>
      </w:r>
    </w:p>
    <w:p>
      <w:pPr>
        <w:widowControl/>
        <w:jc w:val="both"/>
        <w:outlineLvl w:val="0"/>
        <w:rPr>
          <w:bCs/>
          <w:spacing w:val="2"/>
          <w:sz w:val="24"/>
          <w:szCs w:val="24"/>
        </w:rPr>
      </w:pPr>
      <w:r>
        <w:rPr>
          <w:bCs/>
          <w:spacing w:val="2"/>
          <w:sz w:val="24"/>
          <w:szCs w:val="24"/>
        </w:rPr>
        <w:t xml:space="preserve">          </w:t>
      </w:r>
      <w:r>
        <w:rPr>
          <w:bCs/>
          <w:spacing w:val="2"/>
          <w:sz w:val="24"/>
          <w:szCs w:val="24"/>
        </w:rPr>
        <w:tab/>
      </w:r>
      <w:proofErr w:type="gramStart"/>
      <w:r>
        <w:rPr>
          <w:bCs/>
          <w:spacing w:val="2"/>
          <w:sz w:val="24"/>
          <w:szCs w:val="24"/>
        </w:rPr>
        <w:t>б</w:t>
      </w:r>
      <w:proofErr w:type="gramEnd"/>
      <w:r>
        <w:rPr>
          <w:bCs/>
          <w:spacing w:val="2"/>
          <w:sz w:val="24"/>
          <w:szCs w:val="24"/>
        </w:rPr>
        <w:t xml:space="preserve">) по датам фактического поступления первичных документов, и прошедших                                  в Управлении регистрацию в установленном порядке,                                  </w:t>
      </w:r>
    </w:p>
    <w:p>
      <w:pPr>
        <w:widowControl/>
        <w:ind w:firstLine="709"/>
        <w:jc w:val="both"/>
        <w:outlineLvl w:val="0"/>
        <w:rPr>
          <w:bCs/>
          <w:spacing w:val="2"/>
          <w:sz w:val="24"/>
          <w:szCs w:val="24"/>
        </w:rPr>
      </w:pPr>
      <w:r>
        <w:rPr>
          <w:bCs/>
          <w:spacing w:val="2"/>
          <w:sz w:val="24"/>
          <w:szCs w:val="24"/>
        </w:rPr>
        <w:t>- группируются по соответствующим счётам бюджетного учёта накопительным способом с отражением в следующих регистрах бюджетного учёта:</w:t>
      </w:r>
    </w:p>
    <w:p>
      <w:pPr>
        <w:widowControl/>
        <w:ind w:firstLine="709"/>
        <w:jc w:val="both"/>
        <w:outlineLvl w:val="0"/>
        <w:rPr>
          <w:bCs/>
          <w:spacing w:val="2"/>
          <w:sz w:val="24"/>
          <w:szCs w:val="24"/>
        </w:rPr>
      </w:pPr>
      <w:proofErr w:type="gramStart"/>
      <w:r>
        <w:rPr>
          <w:bCs/>
          <w:spacing w:val="2"/>
          <w:sz w:val="24"/>
          <w:szCs w:val="24"/>
        </w:rPr>
        <w:t>а</w:t>
      </w:r>
      <w:proofErr w:type="gramEnd"/>
      <w:r>
        <w:rPr>
          <w:bCs/>
          <w:spacing w:val="2"/>
          <w:sz w:val="24"/>
          <w:szCs w:val="24"/>
        </w:rPr>
        <w:t xml:space="preserve">) </w:t>
      </w:r>
      <w:hyperlink r:id="rId16" w:history="1">
        <w:r>
          <w:rPr>
            <w:bCs/>
            <w:spacing w:val="2"/>
            <w:sz w:val="24"/>
            <w:szCs w:val="24"/>
          </w:rPr>
          <w:t>Журнал</w:t>
        </w:r>
      </w:hyperlink>
      <w:r>
        <w:rPr>
          <w:bCs/>
          <w:spacing w:val="2"/>
          <w:sz w:val="24"/>
          <w:szCs w:val="24"/>
        </w:rPr>
        <w:t xml:space="preserve"> операций № 1 по счёту «Касса»;</w:t>
      </w:r>
    </w:p>
    <w:p>
      <w:pPr>
        <w:widowControl/>
        <w:ind w:firstLine="709"/>
        <w:jc w:val="both"/>
        <w:outlineLvl w:val="0"/>
        <w:rPr>
          <w:bCs/>
          <w:spacing w:val="2"/>
          <w:sz w:val="24"/>
          <w:szCs w:val="24"/>
        </w:rPr>
      </w:pPr>
      <w:proofErr w:type="gramStart"/>
      <w:r>
        <w:rPr>
          <w:bCs/>
          <w:spacing w:val="2"/>
          <w:sz w:val="24"/>
          <w:szCs w:val="24"/>
        </w:rPr>
        <w:t>б</w:t>
      </w:r>
      <w:proofErr w:type="gramEnd"/>
      <w:r>
        <w:rPr>
          <w:bCs/>
          <w:spacing w:val="2"/>
          <w:sz w:val="24"/>
          <w:szCs w:val="24"/>
        </w:rPr>
        <w:t>) </w:t>
      </w:r>
      <w:hyperlink r:id="rId17" w:history="1">
        <w:r>
          <w:rPr>
            <w:bCs/>
            <w:spacing w:val="2"/>
            <w:sz w:val="24"/>
            <w:szCs w:val="24"/>
          </w:rPr>
          <w:t>Журнал</w:t>
        </w:r>
      </w:hyperlink>
      <w:r>
        <w:rPr>
          <w:bCs/>
          <w:spacing w:val="2"/>
          <w:sz w:val="24"/>
          <w:szCs w:val="24"/>
        </w:rPr>
        <w:t xml:space="preserve"> операций № 2 с безналичными денежными средствами;</w:t>
      </w:r>
    </w:p>
    <w:p>
      <w:pPr>
        <w:widowControl/>
        <w:ind w:firstLine="709"/>
        <w:jc w:val="both"/>
        <w:outlineLvl w:val="0"/>
        <w:rPr>
          <w:bCs/>
          <w:spacing w:val="2"/>
          <w:sz w:val="24"/>
          <w:szCs w:val="24"/>
        </w:rPr>
      </w:pPr>
      <w:proofErr w:type="gramStart"/>
      <w:r>
        <w:rPr>
          <w:bCs/>
          <w:spacing w:val="2"/>
          <w:sz w:val="24"/>
          <w:szCs w:val="24"/>
        </w:rPr>
        <w:t>в</w:t>
      </w:r>
      <w:proofErr w:type="gramEnd"/>
      <w:r>
        <w:rPr>
          <w:bCs/>
          <w:spacing w:val="2"/>
          <w:sz w:val="24"/>
          <w:szCs w:val="24"/>
        </w:rPr>
        <w:t xml:space="preserve">) </w:t>
      </w:r>
      <w:hyperlink r:id="rId18" w:history="1">
        <w:r>
          <w:rPr>
            <w:bCs/>
            <w:spacing w:val="2"/>
            <w:sz w:val="24"/>
            <w:szCs w:val="24"/>
          </w:rPr>
          <w:t>Журнал</w:t>
        </w:r>
      </w:hyperlink>
      <w:r>
        <w:rPr>
          <w:bCs/>
          <w:spacing w:val="2"/>
          <w:sz w:val="24"/>
          <w:szCs w:val="24"/>
        </w:rPr>
        <w:t xml:space="preserve"> операций № 3 расчётов с подотчетными лицами;</w:t>
      </w:r>
    </w:p>
    <w:p>
      <w:pPr>
        <w:widowControl/>
        <w:ind w:firstLine="709"/>
        <w:jc w:val="both"/>
        <w:outlineLvl w:val="0"/>
        <w:rPr>
          <w:bCs/>
          <w:spacing w:val="2"/>
          <w:sz w:val="24"/>
          <w:szCs w:val="24"/>
        </w:rPr>
      </w:pPr>
      <w:proofErr w:type="gramStart"/>
      <w:r>
        <w:rPr>
          <w:bCs/>
          <w:spacing w:val="2"/>
          <w:sz w:val="24"/>
          <w:szCs w:val="24"/>
        </w:rPr>
        <w:t>г</w:t>
      </w:r>
      <w:proofErr w:type="gramEnd"/>
      <w:r>
        <w:rPr>
          <w:bCs/>
          <w:spacing w:val="2"/>
          <w:sz w:val="24"/>
          <w:szCs w:val="24"/>
        </w:rPr>
        <w:t xml:space="preserve">) </w:t>
      </w:r>
      <w:hyperlink r:id="rId19" w:history="1">
        <w:r>
          <w:rPr>
            <w:bCs/>
            <w:spacing w:val="2"/>
            <w:sz w:val="24"/>
            <w:szCs w:val="24"/>
          </w:rPr>
          <w:t>Журнал</w:t>
        </w:r>
      </w:hyperlink>
      <w:r>
        <w:rPr>
          <w:bCs/>
          <w:spacing w:val="2"/>
          <w:sz w:val="24"/>
          <w:szCs w:val="24"/>
        </w:rPr>
        <w:t xml:space="preserve"> операций № 4 расчётов с поставщиками и подрядчиками;</w:t>
      </w:r>
    </w:p>
    <w:p>
      <w:pPr>
        <w:widowControl/>
        <w:ind w:firstLine="709"/>
        <w:jc w:val="both"/>
        <w:outlineLvl w:val="0"/>
        <w:rPr>
          <w:bCs/>
          <w:spacing w:val="2"/>
          <w:sz w:val="24"/>
          <w:szCs w:val="24"/>
        </w:rPr>
      </w:pPr>
      <w:proofErr w:type="gramStart"/>
      <w:r>
        <w:rPr>
          <w:bCs/>
          <w:spacing w:val="2"/>
          <w:sz w:val="24"/>
          <w:szCs w:val="24"/>
        </w:rPr>
        <w:t>д</w:t>
      </w:r>
      <w:proofErr w:type="gramEnd"/>
      <w:r>
        <w:rPr>
          <w:bCs/>
          <w:spacing w:val="2"/>
          <w:sz w:val="24"/>
          <w:szCs w:val="24"/>
        </w:rPr>
        <w:t xml:space="preserve">) </w:t>
      </w:r>
      <w:hyperlink r:id="rId20" w:history="1">
        <w:r>
          <w:rPr>
            <w:bCs/>
            <w:spacing w:val="2"/>
            <w:sz w:val="24"/>
            <w:szCs w:val="24"/>
          </w:rPr>
          <w:t>Журнал</w:t>
        </w:r>
      </w:hyperlink>
      <w:r>
        <w:rPr>
          <w:bCs/>
          <w:spacing w:val="2"/>
          <w:sz w:val="24"/>
          <w:szCs w:val="24"/>
        </w:rPr>
        <w:t xml:space="preserve"> операций № 5 расчётов с дебиторами по доходам;</w:t>
      </w:r>
    </w:p>
    <w:p>
      <w:pPr>
        <w:widowControl/>
        <w:ind w:firstLine="708"/>
        <w:jc w:val="both"/>
        <w:rPr>
          <w:bCs/>
          <w:spacing w:val="2"/>
          <w:sz w:val="24"/>
          <w:szCs w:val="24"/>
        </w:rPr>
      </w:pPr>
      <w:proofErr w:type="gramStart"/>
      <w:r>
        <w:rPr>
          <w:bCs/>
          <w:spacing w:val="2"/>
          <w:sz w:val="24"/>
          <w:szCs w:val="24"/>
        </w:rPr>
        <w:t>е</w:t>
      </w:r>
      <w:proofErr w:type="gramEnd"/>
      <w:r>
        <w:rPr>
          <w:bCs/>
          <w:spacing w:val="2"/>
          <w:sz w:val="24"/>
          <w:szCs w:val="24"/>
        </w:rPr>
        <w:t>) </w:t>
      </w:r>
      <w:hyperlink r:id="rId21" w:history="1">
        <w:r>
          <w:rPr>
            <w:bCs/>
            <w:spacing w:val="2"/>
            <w:sz w:val="24"/>
            <w:szCs w:val="24"/>
          </w:rPr>
          <w:t>Журнал</w:t>
        </w:r>
      </w:hyperlink>
      <w:r>
        <w:rPr>
          <w:bCs/>
          <w:spacing w:val="2"/>
          <w:sz w:val="24"/>
          <w:szCs w:val="24"/>
        </w:rPr>
        <w:t xml:space="preserve"> операций № 6 расчётов по оплате труда, денежному довольствию                         и стипендиям;</w:t>
      </w:r>
    </w:p>
    <w:p>
      <w:pPr>
        <w:widowControl/>
        <w:ind w:firstLine="709"/>
        <w:jc w:val="both"/>
        <w:outlineLvl w:val="0"/>
        <w:rPr>
          <w:bCs/>
          <w:spacing w:val="2"/>
          <w:sz w:val="24"/>
          <w:szCs w:val="24"/>
        </w:rPr>
      </w:pPr>
      <w:proofErr w:type="gramStart"/>
      <w:r>
        <w:rPr>
          <w:bCs/>
          <w:spacing w:val="2"/>
          <w:sz w:val="24"/>
          <w:szCs w:val="24"/>
        </w:rPr>
        <w:t>ж</w:t>
      </w:r>
      <w:proofErr w:type="gramEnd"/>
      <w:r>
        <w:rPr>
          <w:bCs/>
          <w:spacing w:val="2"/>
          <w:sz w:val="24"/>
          <w:szCs w:val="24"/>
        </w:rPr>
        <w:t xml:space="preserve">) </w:t>
      </w:r>
      <w:hyperlink r:id="rId22" w:history="1">
        <w:r>
          <w:rPr>
            <w:bCs/>
            <w:spacing w:val="2"/>
            <w:sz w:val="24"/>
            <w:szCs w:val="24"/>
          </w:rPr>
          <w:t>Журнал</w:t>
        </w:r>
      </w:hyperlink>
      <w:r>
        <w:rPr>
          <w:bCs/>
          <w:spacing w:val="2"/>
          <w:sz w:val="24"/>
          <w:szCs w:val="24"/>
        </w:rPr>
        <w:t xml:space="preserve"> операций № 7 по выбытию и перемещению нефинансовых активов;</w:t>
      </w:r>
    </w:p>
    <w:p>
      <w:pPr>
        <w:widowControl/>
        <w:ind w:firstLine="709"/>
        <w:jc w:val="both"/>
        <w:outlineLvl w:val="0"/>
        <w:rPr>
          <w:bCs/>
          <w:spacing w:val="2"/>
          <w:sz w:val="24"/>
          <w:szCs w:val="24"/>
        </w:rPr>
      </w:pPr>
      <w:proofErr w:type="gramStart"/>
      <w:r>
        <w:rPr>
          <w:bCs/>
          <w:spacing w:val="2"/>
          <w:sz w:val="24"/>
          <w:szCs w:val="24"/>
        </w:rPr>
        <w:t>з</w:t>
      </w:r>
      <w:proofErr w:type="gramEnd"/>
      <w:r>
        <w:rPr>
          <w:bCs/>
          <w:spacing w:val="2"/>
          <w:sz w:val="24"/>
          <w:szCs w:val="24"/>
        </w:rPr>
        <w:t xml:space="preserve">) </w:t>
      </w:r>
      <w:hyperlink r:id="rId23" w:history="1">
        <w:r>
          <w:rPr>
            <w:bCs/>
            <w:spacing w:val="2"/>
            <w:sz w:val="24"/>
            <w:szCs w:val="24"/>
          </w:rPr>
          <w:t>Журнал</w:t>
        </w:r>
      </w:hyperlink>
      <w:r>
        <w:rPr>
          <w:bCs/>
          <w:spacing w:val="2"/>
          <w:sz w:val="24"/>
          <w:szCs w:val="24"/>
        </w:rPr>
        <w:t xml:space="preserve"> № 8 по прочим операциям; </w:t>
      </w:r>
    </w:p>
    <w:p>
      <w:pPr>
        <w:widowControl/>
        <w:ind w:firstLine="709"/>
        <w:jc w:val="both"/>
        <w:outlineLvl w:val="0"/>
        <w:rPr>
          <w:bCs/>
          <w:spacing w:val="2"/>
          <w:sz w:val="24"/>
          <w:szCs w:val="24"/>
        </w:rPr>
      </w:pPr>
      <w:proofErr w:type="gramStart"/>
      <w:r>
        <w:rPr>
          <w:bCs/>
          <w:spacing w:val="2"/>
          <w:sz w:val="24"/>
          <w:szCs w:val="24"/>
        </w:rPr>
        <w:t>и</w:t>
      </w:r>
      <w:proofErr w:type="gramEnd"/>
      <w:r>
        <w:rPr>
          <w:bCs/>
          <w:spacing w:val="2"/>
          <w:sz w:val="24"/>
          <w:szCs w:val="24"/>
        </w:rPr>
        <w:t>) </w:t>
      </w:r>
      <w:hyperlink r:id="rId24" w:history="1">
        <w:r>
          <w:rPr>
            <w:bCs/>
            <w:spacing w:val="2"/>
            <w:sz w:val="24"/>
            <w:szCs w:val="24"/>
          </w:rPr>
          <w:t>Журнал</w:t>
        </w:r>
      </w:hyperlink>
      <w:r>
        <w:rPr>
          <w:bCs/>
          <w:spacing w:val="2"/>
          <w:sz w:val="24"/>
          <w:szCs w:val="24"/>
        </w:rPr>
        <w:t xml:space="preserve"> № 8-мо по операциям межотчетного периода; </w:t>
      </w:r>
    </w:p>
    <w:p>
      <w:pPr>
        <w:widowControl/>
        <w:ind w:firstLine="709"/>
        <w:jc w:val="both"/>
        <w:outlineLvl w:val="0"/>
        <w:rPr>
          <w:bCs/>
          <w:spacing w:val="2"/>
          <w:sz w:val="24"/>
          <w:szCs w:val="24"/>
        </w:rPr>
      </w:pPr>
      <w:proofErr w:type="gramStart"/>
      <w:r>
        <w:rPr>
          <w:bCs/>
          <w:spacing w:val="2"/>
          <w:sz w:val="24"/>
          <w:szCs w:val="24"/>
        </w:rPr>
        <w:t>к</w:t>
      </w:r>
      <w:proofErr w:type="gramEnd"/>
      <w:r>
        <w:rPr>
          <w:bCs/>
          <w:spacing w:val="2"/>
          <w:sz w:val="24"/>
          <w:szCs w:val="24"/>
        </w:rPr>
        <w:t xml:space="preserve">) </w:t>
      </w:r>
      <w:hyperlink r:id="rId25" w:history="1">
        <w:r>
          <w:rPr>
            <w:bCs/>
            <w:spacing w:val="2"/>
            <w:sz w:val="24"/>
            <w:szCs w:val="24"/>
          </w:rPr>
          <w:t>Журнал</w:t>
        </w:r>
      </w:hyperlink>
      <w:r>
        <w:rPr>
          <w:bCs/>
          <w:spacing w:val="2"/>
          <w:sz w:val="24"/>
          <w:szCs w:val="24"/>
        </w:rPr>
        <w:t xml:space="preserve"> № 8-ош по исправлению ошибок прошлых лет;</w:t>
      </w:r>
    </w:p>
    <w:p>
      <w:pPr>
        <w:widowControl/>
        <w:ind w:firstLine="709"/>
        <w:jc w:val="both"/>
        <w:outlineLvl w:val="0"/>
        <w:rPr>
          <w:bCs/>
          <w:spacing w:val="2"/>
          <w:sz w:val="24"/>
          <w:szCs w:val="24"/>
        </w:rPr>
      </w:pPr>
      <w:proofErr w:type="gramStart"/>
      <w:r>
        <w:rPr>
          <w:bCs/>
          <w:spacing w:val="2"/>
          <w:sz w:val="24"/>
          <w:szCs w:val="24"/>
        </w:rPr>
        <w:t>л</w:t>
      </w:r>
      <w:proofErr w:type="gramEnd"/>
      <w:r>
        <w:rPr>
          <w:bCs/>
          <w:spacing w:val="2"/>
          <w:sz w:val="24"/>
          <w:szCs w:val="24"/>
        </w:rPr>
        <w:t>) Журнал операций № 9 прочим операциям (санкционирование);</w:t>
      </w:r>
    </w:p>
    <w:p>
      <w:pPr>
        <w:widowControl/>
        <w:ind w:firstLine="709"/>
        <w:jc w:val="both"/>
        <w:outlineLvl w:val="0"/>
        <w:rPr>
          <w:bCs/>
          <w:spacing w:val="2"/>
          <w:sz w:val="24"/>
          <w:szCs w:val="24"/>
        </w:rPr>
      </w:pPr>
      <w:proofErr w:type="gramStart"/>
      <w:r>
        <w:rPr>
          <w:bCs/>
          <w:spacing w:val="2"/>
          <w:sz w:val="24"/>
          <w:szCs w:val="24"/>
        </w:rPr>
        <w:t>м)  Журнал</w:t>
      </w:r>
      <w:proofErr w:type="gramEnd"/>
      <w:r>
        <w:rPr>
          <w:bCs/>
          <w:spacing w:val="2"/>
          <w:sz w:val="24"/>
          <w:szCs w:val="24"/>
        </w:rPr>
        <w:t xml:space="preserve"> операций № 99 по забалансовым счетам;</w:t>
      </w:r>
    </w:p>
    <w:p>
      <w:pPr>
        <w:widowControl/>
        <w:ind w:left="708" w:firstLine="1"/>
        <w:jc w:val="both"/>
        <w:outlineLvl w:val="0"/>
        <w:rPr>
          <w:bCs/>
          <w:spacing w:val="2"/>
          <w:sz w:val="24"/>
          <w:szCs w:val="24"/>
        </w:rPr>
      </w:pPr>
      <w:proofErr w:type="gramStart"/>
      <w:r>
        <w:rPr>
          <w:bCs/>
          <w:spacing w:val="2"/>
          <w:sz w:val="24"/>
          <w:szCs w:val="24"/>
        </w:rPr>
        <w:t>н</w:t>
      </w:r>
      <w:proofErr w:type="gramEnd"/>
      <w:r>
        <w:rPr>
          <w:bCs/>
          <w:spacing w:val="2"/>
          <w:sz w:val="24"/>
          <w:szCs w:val="24"/>
        </w:rPr>
        <w:t xml:space="preserve">) </w:t>
      </w:r>
      <w:hyperlink r:id="rId26" w:history="1">
        <w:r>
          <w:rPr>
            <w:bCs/>
            <w:spacing w:val="2"/>
            <w:sz w:val="24"/>
            <w:szCs w:val="24"/>
          </w:rPr>
          <w:t>Главная книга</w:t>
        </w:r>
      </w:hyperlink>
      <w:r>
        <w:rPr>
          <w:bCs/>
          <w:spacing w:val="2"/>
          <w:sz w:val="24"/>
          <w:szCs w:val="24"/>
        </w:rPr>
        <w:t>;</w:t>
      </w:r>
    </w:p>
    <w:p>
      <w:pPr>
        <w:widowControl/>
        <w:ind w:firstLine="709"/>
        <w:jc w:val="both"/>
        <w:outlineLvl w:val="0"/>
        <w:rPr>
          <w:bCs/>
          <w:spacing w:val="2"/>
          <w:sz w:val="24"/>
          <w:szCs w:val="24"/>
        </w:rPr>
      </w:pPr>
      <w:proofErr w:type="gramStart"/>
      <w:r>
        <w:rPr>
          <w:bCs/>
          <w:spacing w:val="2"/>
          <w:sz w:val="24"/>
          <w:szCs w:val="24"/>
        </w:rPr>
        <w:t>о</w:t>
      </w:r>
      <w:proofErr w:type="gramEnd"/>
      <w:r>
        <w:rPr>
          <w:bCs/>
          <w:spacing w:val="2"/>
          <w:sz w:val="24"/>
          <w:szCs w:val="24"/>
        </w:rPr>
        <w:t xml:space="preserve">) иные регистры, предусмотренные </w:t>
      </w:r>
      <w:hyperlink r:id="rId27" w:history="1">
        <w:r>
          <w:rPr>
            <w:bCs/>
            <w:spacing w:val="2"/>
            <w:sz w:val="24"/>
            <w:szCs w:val="24"/>
          </w:rPr>
          <w:t>Приказом</w:t>
        </w:r>
      </w:hyperlink>
      <w:r>
        <w:rPr>
          <w:bCs/>
          <w:spacing w:val="2"/>
          <w:sz w:val="24"/>
          <w:szCs w:val="24"/>
        </w:rPr>
        <w:t xml:space="preserve"> № 52н, 61н.</w:t>
      </w:r>
    </w:p>
    <w:p>
      <w:pPr>
        <w:widowControl/>
        <w:ind w:firstLine="708"/>
        <w:jc w:val="both"/>
        <w:rPr>
          <w:rFonts w:eastAsiaTheme="minorHAnsi"/>
          <w:sz w:val="24"/>
          <w:szCs w:val="24"/>
          <w:lang w:eastAsia="en-US"/>
        </w:rPr>
      </w:pPr>
      <w:r>
        <w:rPr>
          <w:rFonts w:eastAsiaTheme="minorHAnsi"/>
          <w:sz w:val="24"/>
          <w:szCs w:val="24"/>
          <w:lang w:eastAsia="en-US"/>
        </w:rPr>
        <w:t>Периодичность формирования журнала операций по забалансовому счету соответствует сроку отчетности, формируемой на основании этого журнала (</w:t>
      </w:r>
      <w:hyperlink r:id="rId28" w:history="1">
        <w:r>
          <w:rPr>
            <w:rFonts w:eastAsiaTheme="minorHAnsi"/>
            <w:sz w:val="24"/>
            <w:szCs w:val="24"/>
            <w:lang w:eastAsia="en-US"/>
          </w:rPr>
          <w:t>п. 70</w:t>
        </w:r>
      </w:hyperlink>
      <w:r>
        <w:rPr>
          <w:rFonts w:eastAsiaTheme="minorHAnsi"/>
          <w:sz w:val="24"/>
          <w:szCs w:val="24"/>
          <w:lang w:eastAsia="en-US"/>
        </w:rPr>
        <w:t xml:space="preserve"> Приказа 61н).</w:t>
      </w:r>
    </w:p>
    <w:p>
      <w:pPr>
        <w:widowControl/>
        <w:ind w:firstLine="709"/>
        <w:jc w:val="both"/>
        <w:outlineLvl w:val="0"/>
        <w:rPr>
          <w:bCs/>
          <w:spacing w:val="2"/>
          <w:sz w:val="24"/>
          <w:szCs w:val="24"/>
        </w:rPr>
      </w:pPr>
      <w:r>
        <w:rPr>
          <w:bCs/>
          <w:spacing w:val="2"/>
          <w:sz w:val="24"/>
          <w:szCs w:val="24"/>
        </w:rPr>
        <w:t xml:space="preserve">К </w:t>
      </w:r>
      <w:hyperlink r:id="rId29" w:history="1">
        <w:r>
          <w:rPr>
            <w:bCs/>
            <w:spacing w:val="2"/>
            <w:sz w:val="24"/>
            <w:szCs w:val="24"/>
          </w:rPr>
          <w:t>журнал</w:t>
        </w:r>
      </w:hyperlink>
      <w:r>
        <w:rPr>
          <w:bCs/>
          <w:spacing w:val="2"/>
          <w:sz w:val="24"/>
          <w:szCs w:val="24"/>
        </w:rPr>
        <w:t>у по прочим операциям (санкционирование) первичные документы не прикладываются.</w:t>
      </w:r>
    </w:p>
    <w:p>
      <w:pPr>
        <w:pStyle w:val="s1"/>
        <w:spacing w:before="0" w:beforeAutospacing="0" w:after="0" w:afterAutospacing="0"/>
        <w:ind w:firstLine="708"/>
        <w:jc w:val="both"/>
      </w:pPr>
      <w:r>
        <w:t xml:space="preserve">Формирование регистров бухгалтерского учёта в целях хранения (их подписание собственноручными или соответствующими электронными подписями) осуществляется в срок не позднее </w:t>
      </w:r>
      <w:proofErr w:type="gramStart"/>
      <w:r>
        <w:t>3  (</w:t>
      </w:r>
      <w:proofErr w:type="gramEnd"/>
      <w:r>
        <w:t>трёх) рабочих дней после даты закрытия текущего (отчётного) месяца в целях бюджетного учёта, установленного п. 2.1.1 Учетной политики.</w:t>
      </w:r>
    </w:p>
    <w:p>
      <w:pPr>
        <w:pStyle w:val="ConsPlusNormal"/>
        <w:ind w:firstLine="709"/>
        <w:jc w:val="both"/>
        <w:outlineLvl w:val="0"/>
        <w:rPr>
          <w:rFonts w:ascii="Times New Roman" w:hAnsi="Times New Roman" w:cs="Times New Roman"/>
          <w:bCs/>
          <w:spacing w:val="2"/>
          <w:sz w:val="24"/>
          <w:szCs w:val="24"/>
        </w:rPr>
      </w:pPr>
      <w:r>
        <w:rPr>
          <w:rFonts w:ascii="Times New Roman" w:hAnsi="Times New Roman" w:cs="Times New Roman"/>
          <w:bCs/>
          <w:spacing w:val="2"/>
          <w:sz w:val="24"/>
          <w:szCs w:val="24"/>
        </w:rPr>
        <w:t>Самостоятельно разработанные формы регистров учёта перечислены                                       в Приложениях № 5, № 6, № 17 и № 20 к Учётной политике.</w:t>
      </w:r>
    </w:p>
    <w:p>
      <w:pPr>
        <w:widowControl/>
        <w:ind w:firstLine="708"/>
        <w:jc w:val="both"/>
        <w:rPr>
          <w:bCs/>
          <w:spacing w:val="2"/>
          <w:sz w:val="24"/>
          <w:szCs w:val="24"/>
        </w:rPr>
      </w:pPr>
      <w:r>
        <w:rPr>
          <w:bCs/>
          <w:spacing w:val="2"/>
          <w:sz w:val="24"/>
          <w:szCs w:val="24"/>
        </w:rPr>
        <w:t>Ведение единой кассовой книги (денежная/фондовая) осуществлять сквозной нумерацией листов. В случае отсутствия движения по кассе з</w:t>
      </w:r>
      <w:r>
        <w:rPr>
          <w:sz w:val="24"/>
          <w:szCs w:val="24"/>
        </w:rPr>
        <w:t>а текущий финансовый год</w:t>
      </w:r>
      <w:r>
        <w:rPr>
          <w:bCs/>
          <w:spacing w:val="2"/>
          <w:sz w:val="24"/>
          <w:szCs w:val="24"/>
        </w:rPr>
        <w:t>, печатается и подписывается только титульный лист кассовой книги.</w:t>
      </w:r>
    </w:p>
    <w:p>
      <w:pPr>
        <w:pStyle w:val="ConsPlusNormal"/>
        <w:ind w:firstLine="709"/>
        <w:jc w:val="both"/>
        <w:outlineLvl w:val="0"/>
        <w:rPr>
          <w:rFonts w:ascii="Times New Roman" w:hAnsi="Times New Roman" w:cs="Times New Roman"/>
          <w:bCs/>
          <w:spacing w:val="2"/>
          <w:sz w:val="24"/>
          <w:szCs w:val="24"/>
        </w:rPr>
      </w:pPr>
      <w:r>
        <w:rPr>
          <w:rFonts w:ascii="Times New Roman" w:hAnsi="Times New Roman" w:cs="Times New Roman"/>
          <w:bCs/>
          <w:spacing w:val="2"/>
          <w:sz w:val="24"/>
          <w:szCs w:val="24"/>
        </w:rPr>
        <w:t>Учётными регистрами по синтетическому и аналитическому учёту считаются любые формы, составленные на компьютере, содержащие все необходимые реквизиты             и подписанные составителем.</w:t>
      </w:r>
    </w:p>
    <w:p>
      <w:pPr>
        <w:pStyle w:val="ConsPlusNormal"/>
        <w:ind w:firstLine="709"/>
        <w:jc w:val="both"/>
        <w:outlineLvl w:val="0"/>
        <w:rPr>
          <w:rFonts w:ascii="Times New Roman" w:hAnsi="Times New Roman" w:cs="Times New Roman"/>
          <w:bCs/>
          <w:spacing w:val="2"/>
          <w:sz w:val="24"/>
          <w:szCs w:val="24"/>
        </w:rPr>
      </w:pPr>
      <w:r>
        <w:rPr>
          <w:rFonts w:ascii="Times New Roman" w:hAnsi="Times New Roman" w:cs="Times New Roman"/>
          <w:bCs/>
          <w:spacing w:val="2"/>
          <w:sz w:val="24"/>
          <w:szCs w:val="24"/>
        </w:rPr>
        <w:t xml:space="preserve">Без надлежащего оформления первичных (сводных) учётных документов любые исправления (добавление новых записей) в электронных базах данных не допускаются. </w:t>
      </w:r>
    </w:p>
    <w:p>
      <w:pPr>
        <w:pStyle w:val="ConsPlusNormal"/>
        <w:ind w:firstLine="709"/>
        <w:jc w:val="both"/>
        <w:outlineLvl w:val="0"/>
        <w:rPr>
          <w:rFonts w:ascii="Times New Roman" w:hAnsi="Times New Roman" w:cs="Times New Roman"/>
          <w:bCs/>
          <w:spacing w:val="2"/>
          <w:sz w:val="24"/>
          <w:szCs w:val="24"/>
        </w:rPr>
      </w:pPr>
      <w:r>
        <w:rPr>
          <w:rFonts w:ascii="Times New Roman" w:hAnsi="Times New Roman" w:cs="Times New Roman"/>
          <w:bCs/>
          <w:spacing w:val="2"/>
          <w:sz w:val="24"/>
          <w:szCs w:val="24"/>
        </w:rPr>
        <w:t xml:space="preserve">В целях обеспечения сохранности электронных данных бюджетного учёта и отчётности на электронных носителях отделом по внедрению и сопровождению информационных финансовых систем (далее – Отдел информатизации) ежедневно производится сохранение резервных копий базы 1С: Предприятие 8.3 Бухгалтерия муниципального Управления и 1С: Предприятие 8.3 Зарплата и кадры муниципального Управления, а также производится ежемесячное сохранение журнала по прочим операциям </w:t>
      </w:r>
      <w:proofErr w:type="spellStart"/>
      <w:r>
        <w:rPr>
          <w:rFonts w:ascii="Times New Roman" w:hAnsi="Times New Roman" w:cs="Times New Roman"/>
          <w:bCs/>
          <w:spacing w:val="2"/>
          <w:sz w:val="24"/>
          <w:szCs w:val="24"/>
        </w:rPr>
        <w:t>финоргана</w:t>
      </w:r>
      <w:proofErr w:type="spellEnd"/>
      <w:r>
        <w:rPr>
          <w:rFonts w:ascii="Times New Roman" w:hAnsi="Times New Roman" w:cs="Times New Roman"/>
          <w:bCs/>
          <w:spacing w:val="2"/>
          <w:sz w:val="24"/>
          <w:szCs w:val="24"/>
        </w:rPr>
        <w:t xml:space="preserve"> и главной книги </w:t>
      </w:r>
      <w:proofErr w:type="spellStart"/>
      <w:r>
        <w:rPr>
          <w:rFonts w:ascii="Times New Roman" w:hAnsi="Times New Roman" w:cs="Times New Roman"/>
          <w:bCs/>
          <w:spacing w:val="2"/>
          <w:sz w:val="24"/>
          <w:szCs w:val="24"/>
        </w:rPr>
        <w:t>финоргана</w:t>
      </w:r>
      <w:proofErr w:type="spellEnd"/>
      <w:r>
        <w:rPr>
          <w:rFonts w:ascii="Times New Roman" w:hAnsi="Times New Roman" w:cs="Times New Roman"/>
          <w:bCs/>
          <w:spacing w:val="2"/>
          <w:sz w:val="24"/>
          <w:szCs w:val="24"/>
        </w:rPr>
        <w:t xml:space="preserve"> из программного продукта «Автоматизированный центр контроля (АЦК) –финансы».</w:t>
      </w:r>
    </w:p>
    <w:p>
      <w:pPr>
        <w:ind w:firstLine="708"/>
        <w:jc w:val="both"/>
        <w:rPr>
          <w:rFonts w:eastAsia="Calibri"/>
          <w:color w:val="000000"/>
          <w:sz w:val="24"/>
          <w:szCs w:val="24"/>
          <w:lang w:eastAsia="en-US"/>
        </w:rPr>
      </w:pPr>
      <w:r>
        <w:rPr>
          <w:rFonts w:eastAsia="Calibri"/>
          <w:color w:val="000000"/>
          <w:sz w:val="24"/>
          <w:szCs w:val="24"/>
          <w:lang w:eastAsia="en-US"/>
        </w:rPr>
        <w:t>В отношении электронных документов о приёмке товаров (выполнении работ, оказании услуг) в рамках исполнения контракта (отдельного этапа исполнения контракта) применимы следующий порядок их формирования и передачи:</w:t>
      </w:r>
    </w:p>
    <w:p>
      <w:pPr>
        <w:ind w:firstLine="708"/>
        <w:jc w:val="both"/>
        <w:rPr>
          <w:rFonts w:eastAsia="Calibri"/>
          <w:color w:val="000000"/>
          <w:sz w:val="24"/>
          <w:szCs w:val="24"/>
          <w:lang w:eastAsia="en-US"/>
        </w:rPr>
      </w:pPr>
      <w:r>
        <w:rPr>
          <w:rFonts w:eastAsia="Calibri"/>
          <w:color w:val="000000"/>
          <w:sz w:val="24"/>
          <w:szCs w:val="24"/>
          <w:lang w:eastAsia="en-US"/>
        </w:rPr>
        <w:t xml:space="preserve">1) документ о приёмке товаров (выполнении работ, оказании услуг) в рамках исполнения контракта (отдельного этапа исполнения контракта), сформированный в ЕИС в электронной форме и подписанный электронными подписями по правилам Федерального </w:t>
      </w:r>
      <w:hyperlink r:id="rId30" w:history="1">
        <w:r>
          <w:rPr>
            <w:rFonts w:eastAsia="Calibri"/>
            <w:color w:val="000000"/>
            <w:sz w:val="24"/>
            <w:szCs w:val="24"/>
            <w:lang w:eastAsia="en-US"/>
          </w:rPr>
          <w:t>закона</w:t>
        </w:r>
      </w:hyperlink>
      <w:r>
        <w:rPr>
          <w:rFonts w:eastAsia="Calibri"/>
          <w:color w:val="000000"/>
          <w:sz w:val="24"/>
          <w:szCs w:val="24"/>
          <w:lang w:eastAsia="en-US"/>
        </w:rPr>
        <w:t xml:space="preserve"> «Об электронной подписи» от 06.04.2011 № 63-ФЗ, признается электронным документом, равнозначным документу на бумажном носителе, подписанному собственноручными подписями;</w:t>
      </w:r>
    </w:p>
    <w:p>
      <w:pPr>
        <w:ind w:firstLine="708"/>
        <w:jc w:val="both"/>
        <w:rPr>
          <w:rFonts w:eastAsia="Calibri"/>
          <w:color w:val="000000"/>
          <w:sz w:val="24"/>
          <w:szCs w:val="24"/>
          <w:lang w:eastAsia="en-US"/>
        </w:rPr>
      </w:pPr>
      <w:r>
        <w:rPr>
          <w:rFonts w:eastAsia="Calibri"/>
          <w:color w:val="000000"/>
          <w:sz w:val="24"/>
          <w:szCs w:val="24"/>
          <w:lang w:eastAsia="en-US"/>
        </w:rPr>
        <w:t xml:space="preserve">2) в случае истребования у налогоплательщика документа о приёмке товаров (выполнении работ, оказании услуг) в рамках исполнения контракта (отдельного этапа исполнения контракта), сформированного в ЕИС в электронной форме, он представляется в налоговый орган по телекоммуникационным каналам связи в порядке, определенном ФНС России в соответствии с </w:t>
      </w:r>
      <w:hyperlink r:id="rId31" w:history="1">
        <w:r>
          <w:rPr>
            <w:rFonts w:eastAsia="Calibri"/>
            <w:color w:val="000000"/>
            <w:sz w:val="24"/>
            <w:szCs w:val="24"/>
            <w:lang w:eastAsia="en-US"/>
          </w:rPr>
          <w:t>п.4 ст. 31</w:t>
        </w:r>
      </w:hyperlink>
      <w:r>
        <w:rPr>
          <w:rFonts w:eastAsia="Calibri"/>
          <w:color w:val="000000"/>
          <w:sz w:val="24"/>
          <w:szCs w:val="24"/>
          <w:lang w:eastAsia="en-US"/>
        </w:rPr>
        <w:t xml:space="preserve"> и </w:t>
      </w:r>
      <w:hyperlink r:id="rId32" w:history="1">
        <w:r>
          <w:rPr>
            <w:rFonts w:eastAsia="Calibri"/>
            <w:color w:val="000000"/>
            <w:sz w:val="24"/>
            <w:szCs w:val="24"/>
            <w:lang w:eastAsia="en-US"/>
          </w:rPr>
          <w:t>статьями 93</w:t>
        </w:r>
      </w:hyperlink>
      <w:r>
        <w:rPr>
          <w:rFonts w:eastAsia="Calibri"/>
          <w:color w:val="000000"/>
          <w:sz w:val="24"/>
          <w:szCs w:val="24"/>
          <w:lang w:eastAsia="en-US"/>
        </w:rPr>
        <w:t xml:space="preserve"> и </w:t>
      </w:r>
      <w:hyperlink r:id="rId33" w:history="1">
        <w:r>
          <w:rPr>
            <w:rFonts w:eastAsia="Calibri"/>
            <w:color w:val="000000"/>
            <w:sz w:val="24"/>
            <w:szCs w:val="24"/>
            <w:lang w:eastAsia="en-US"/>
          </w:rPr>
          <w:t>93.1</w:t>
        </w:r>
      </w:hyperlink>
      <w:r>
        <w:rPr>
          <w:rFonts w:eastAsia="Calibri"/>
          <w:color w:val="000000"/>
          <w:sz w:val="24"/>
          <w:szCs w:val="24"/>
          <w:lang w:eastAsia="en-US"/>
        </w:rPr>
        <w:t xml:space="preserve"> НК РФ.</w:t>
      </w:r>
    </w:p>
    <w:p>
      <w:pPr>
        <w:ind w:firstLine="708"/>
        <w:jc w:val="both"/>
        <w:rPr>
          <w:rFonts w:eastAsia="Calibri"/>
          <w:sz w:val="24"/>
          <w:szCs w:val="24"/>
          <w:lang w:eastAsia="en-US"/>
        </w:rPr>
      </w:pPr>
      <w:r>
        <w:rPr>
          <w:rFonts w:eastAsia="Calibri"/>
          <w:color w:val="000000"/>
          <w:sz w:val="24"/>
          <w:szCs w:val="24"/>
          <w:lang w:eastAsia="en-US"/>
        </w:rPr>
        <w:t xml:space="preserve">Аналогичный порядок может быть использован для представления в налоговые органы приложенных к документу о приёмке товаров (выполнении работ, оказании услуг) файлов скан-образов документов, созданных на бумажном носителе (в случае их истребования в рамках налоговых проверок) (письмо Федерального казначейства и ФНС РФ от 18.12.2019 № </w:t>
      </w:r>
      <w:r>
        <w:rPr>
          <w:rFonts w:eastAsia="Calibri"/>
          <w:sz w:val="24"/>
          <w:szCs w:val="24"/>
          <w:lang w:eastAsia="en-US"/>
        </w:rPr>
        <w:t>14-00-06/27476/ АС-4-15/26126@).</w:t>
      </w:r>
    </w:p>
    <w:p>
      <w:pPr>
        <w:pStyle w:val="ac"/>
        <w:spacing w:after="0"/>
        <w:ind w:left="0" w:firstLine="708"/>
        <w:jc w:val="both"/>
        <w:rPr>
          <w:sz w:val="24"/>
          <w:szCs w:val="24"/>
        </w:rPr>
      </w:pPr>
      <w:r>
        <w:rPr>
          <w:sz w:val="24"/>
          <w:szCs w:val="24"/>
        </w:rPr>
        <w:t>По истечении каждого отчётного месяца первичные документы, относящиеся                               к соответствующим журналам операций, подбираются в хронологическом порядке                                  и брошюруются. Все документы формируются в дела с учётом сроков хранения документов согласно номенклатуре дел в Управлении.</w:t>
      </w:r>
    </w:p>
    <w:p>
      <w:pPr>
        <w:pStyle w:val="s1"/>
        <w:spacing w:before="0" w:beforeAutospacing="0" w:after="0" w:afterAutospacing="0"/>
        <w:ind w:firstLine="708"/>
        <w:jc w:val="both"/>
        <w:rPr>
          <w:rFonts w:eastAsia="Calibri"/>
          <w:iCs/>
          <w:lang w:eastAsia="en-US"/>
        </w:rPr>
      </w:pPr>
      <w:r>
        <w:rPr>
          <w:rFonts w:eastAsia="Calibri"/>
          <w:iCs/>
          <w:lang w:eastAsia="en-US"/>
        </w:rPr>
        <w:t>При незначительном количестве документов в течение нескольких месяцев одного финансового года допускается их подшивка в одну папку (дело).</w:t>
      </w:r>
    </w:p>
    <w:p>
      <w:pPr>
        <w:pStyle w:val="3"/>
        <w:spacing w:after="0"/>
        <w:ind w:firstLine="708"/>
        <w:jc w:val="both"/>
        <w:rPr>
          <w:sz w:val="24"/>
          <w:szCs w:val="24"/>
        </w:rPr>
      </w:pPr>
      <w:r>
        <w:rPr>
          <w:sz w:val="24"/>
          <w:szCs w:val="24"/>
        </w:rPr>
        <w:t xml:space="preserve">2.2 Бюджетный учёт ведётся непрерывно с момента регистрации его в качестве юридического лица до реорганизации или ликвидации в порядке, установленном законодательством Российской Федерации. Управление ведёт бюджетный учёт имущества, обязательств и хозяйственных операций путем двойной записи на взаимосвязанных счётах бюджетного учёта, включенных в рабочий план счетов. Данные аналитического учёта должны соответствовать оборотам и остаткам по счётам синтетического учёта. Все хозяйственные операции и результаты инвентаризации подлежат своевременной регистрации на счётах бюджетного учёта без каких-либо пропусков или изъятий. </w:t>
      </w:r>
    </w:p>
    <w:p>
      <w:pPr>
        <w:ind w:firstLine="708"/>
        <w:jc w:val="both"/>
        <w:rPr>
          <w:sz w:val="24"/>
          <w:szCs w:val="24"/>
        </w:rPr>
      </w:pPr>
      <w:r>
        <w:rPr>
          <w:bCs/>
          <w:iCs/>
          <w:sz w:val="24"/>
          <w:szCs w:val="24"/>
        </w:rPr>
        <w:t>2.3</w:t>
      </w:r>
      <w:r>
        <w:rPr>
          <w:b/>
          <w:i/>
          <w:sz w:val="24"/>
          <w:szCs w:val="24"/>
        </w:rPr>
        <w:t xml:space="preserve"> </w:t>
      </w:r>
      <w:r>
        <w:rPr>
          <w:bCs/>
          <w:iCs/>
          <w:sz w:val="24"/>
          <w:szCs w:val="24"/>
        </w:rPr>
        <w:t xml:space="preserve">Бюджетный учёт в Управлении ведётся с учётом следующих требований                </w:t>
      </w:r>
      <w:r>
        <w:rPr>
          <w:sz w:val="24"/>
          <w:szCs w:val="24"/>
        </w:rPr>
        <w:t>(</w:t>
      </w:r>
      <w:hyperlink r:id="rId34" w:history="1">
        <w:r>
          <w:rPr>
            <w:sz w:val="24"/>
            <w:szCs w:val="24"/>
          </w:rPr>
          <w:t>п. п. 16</w:t>
        </w:r>
      </w:hyperlink>
      <w:r>
        <w:rPr>
          <w:sz w:val="24"/>
          <w:szCs w:val="24"/>
        </w:rPr>
        <w:t xml:space="preserve">, </w:t>
      </w:r>
      <w:hyperlink r:id="rId35" w:history="1">
        <w:r>
          <w:rPr>
            <w:sz w:val="24"/>
            <w:szCs w:val="24"/>
          </w:rPr>
          <w:t>17</w:t>
        </w:r>
      </w:hyperlink>
      <w:r>
        <w:rPr>
          <w:sz w:val="24"/>
          <w:szCs w:val="24"/>
        </w:rPr>
        <w:t xml:space="preserve">, </w:t>
      </w:r>
      <w:hyperlink r:id="rId36" w:history="1">
        <w:r>
          <w:rPr>
            <w:sz w:val="24"/>
            <w:szCs w:val="24"/>
          </w:rPr>
          <w:t>19</w:t>
        </w:r>
      </w:hyperlink>
      <w:r>
        <w:rPr>
          <w:sz w:val="24"/>
          <w:szCs w:val="24"/>
        </w:rPr>
        <w:t xml:space="preserve">, </w:t>
      </w:r>
      <w:hyperlink r:id="rId37" w:history="1">
        <w:r>
          <w:rPr>
            <w:sz w:val="24"/>
            <w:szCs w:val="24"/>
          </w:rPr>
          <w:t>23</w:t>
        </w:r>
      </w:hyperlink>
      <w:r>
        <w:rPr>
          <w:sz w:val="24"/>
          <w:szCs w:val="24"/>
        </w:rPr>
        <w:t xml:space="preserve">, </w:t>
      </w:r>
      <w:hyperlink r:id="rId38" w:history="1">
        <w:r>
          <w:rPr>
            <w:sz w:val="24"/>
            <w:szCs w:val="24"/>
          </w:rPr>
          <w:t>77</w:t>
        </w:r>
      </w:hyperlink>
      <w:r>
        <w:rPr>
          <w:sz w:val="24"/>
          <w:szCs w:val="24"/>
        </w:rPr>
        <w:t xml:space="preserve"> СГС «Концептуальные основы», </w:t>
      </w:r>
      <w:hyperlink r:id="rId39" w:history="1">
        <w:r>
          <w:rPr>
            <w:sz w:val="24"/>
            <w:szCs w:val="24"/>
          </w:rPr>
          <w:t>п. 2</w:t>
        </w:r>
      </w:hyperlink>
      <w:r>
        <w:rPr>
          <w:sz w:val="24"/>
          <w:szCs w:val="24"/>
        </w:rPr>
        <w:t xml:space="preserve"> п</w:t>
      </w:r>
      <w:r>
        <w:rPr>
          <w:sz w:val="24"/>
          <w:szCs w:val="24"/>
          <w:lang w:eastAsia="en-US"/>
        </w:rPr>
        <w:t>риказа Минфина РФ от 30.12.2017 № 275н «Об утверждении федерального стандарта бюджетного учёта для организаций муниципального сектора «События после отчётной даты» (далее – СГС «События после отчётной даты»)</w:t>
      </w:r>
      <w:r>
        <w:rPr>
          <w:sz w:val="24"/>
          <w:szCs w:val="24"/>
        </w:rPr>
        <w:t>):</w:t>
      </w:r>
    </w:p>
    <w:p>
      <w:pPr>
        <w:tabs>
          <w:tab w:val="left" w:pos="540"/>
        </w:tabs>
        <w:jc w:val="both"/>
        <w:rPr>
          <w:sz w:val="24"/>
          <w:szCs w:val="24"/>
        </w:rPr>
      </w:pPr>
      <w:r>
        <w:rPr>
          <w:sz w:val="24"/>
          <w:szCs w:val="24"/>
        </w:rPr>
        <w:tab/>
      </w:r>
      <w:r>
        <w:rPr>
          <w:sz w:val="24"/>
          <w:szCs w:val="24"/>
        </w:rPr>
        <w:tab/>
        <w:t>К бюджетному учёту принимаются первичные учётные документы, поступившие по результатам внутреннего контроля совершаемых фактов хозяйственной жизни для регистрации содержащихся в них данных в регистрах бухгалтерского учёта, из предположения надлежащего составления первичных учётных документов по совершенным фактам хозяйственной жизни лицами, ответственными за их оформление.</w:t>
      </w:r>
    </w:p>
    <w:p>
      <w:pPr>
        <w:ind w:firstLine="708"/>
        <w:jc w:val="both"/>
        <w:rPr>
          <w:sz w:val="24"/>
          <w:szCs w:val="24"/>
        </w:rPr>
      </w:pPr>
      <w:r>
        <w:rPr>
          <w:sz w:val="24"/>
          <w:szCs w:val="24"/>
        </w:rPr>
        <w:t>Первичные учетные документы, предусматривающие их подписание членами Комиссии по поступлению и выбытию активов, принимаются к учету при наличии листа голосования по форме, установленной Приказом № 61н, который является неотъемлемой частью первичного учетного документа.</w:t>
      </w:r>
    </w:p>
    <w:p>
      <w:pPr>
        <w:pStyle w:val="s1"/>
        <w:spacing w:before="0" w:beforeAutospacing="0" w:after="0" w:afterAutospacing="0"/>
        <w:ind w:firstLine="708"/>
        <w:jc w:val="both"/>
      </w:pPr>
      <w:r>
        <w:t>Первичные учетные и иные документы, оформленные на термобумаге (кассовые и товарные чеки, слип-чеки и т.п.), на которых со временем может теряться (выцветать) отраженная информация, не имеющие в качестве приложения иных документов, оформленных на обычной бумаге, при принятии к учету дополняются копиями таких документов.</w:t>
      </w:r>
    </w:p>
    <w:p>
      <w:pPr>
        <w:pStyle w:val="ConsPlusNormal"/>
        <w:ind w:firstLine="708"/>
        <w:jc w:val="both"/>
        <w:outlineLvl w:val="0"/>
        <w:rPr>
          <w:rFonts w:ascii="Times New Roman" w:hAnsi="Times New Roman" w:cs="Times New Roman"/>
          <w:bCs/>
          <w:spacing w:val="2"/>
          <w:sz w:val="24"/>
          <w:szCs w:val="24"/>
        </w:rPr>
      </w:pPr>
      <w:r>
        <w:rPr>
          <w:rFonts w:ascii="Times New Roman" w:hAnsi="Times New Roman" w:cs="Times New Roman"/>
          <w:bCs/>
          <w:spacing w:val="2"/>
          <w:sz w:val="24"/>
          <w:szCs w:val="24"/>
        </w:rPr>
        <w:t xml:space="preserve">2.4 Право подписи первичных учётных документов имеют: </w:t>
      </w:r>
    </w:p>
    <w:p>
      <w:pPr>
        <w:pStyle w:val="ConsPlusNormal"/>
        <w:ind w:firstLine="709"/>
        <w:jc w:val="both"/>
        <w:outlineLvl w:val="0"/>
        <w:rPr>
          <w:rFonts w:ascii="Times New Roman" w:hAnsi="Times New Roman" w:cs="Times New Roman"/>
          <w:bCs/>
          <w:spacing w:val="2"/>
          <w:sz w:val="24"/>
          <w:szCs w:val="24"/>
        </w:rPr>
      </w:pPr>
      <w:proofErr w:type="gramStart"/>
      <w:r>
        <w:rPr>
          <w:rFonts w:ascii="Times New Roman" w:hAnsi="Times New Roman" w:cs="Times New Roman"/>
          <w:bCs/>
          <w:spacing w:val="2"/>
          <w:sz w:val="24"/>
          <w:szCs w:val="24"/>
        </w:rPr>
        <w:t>за</w:t>
      </w:r>
      <w:proofErr w:type="gramEnd"/>
      <w:r>
        <w:rPr>
          <w:rFonts w:ascii="Times New Roman" w:hAnsi="Times New Roman" w:cs="Times New Roman"/>
          <w:bCs/>
          <w:spacing w:val="2"/>
          <w:sz w:val="24"/>
          <w:szCs w:val="24"/>
        </w:rPr>
        <w:t> руководителя - начальник Управления, на время его отсутствия заместитель начальника Управления;</w:t>
      </w:r>
    </w:p>
    <w:p>
      <w:pPr>
        <w:pStyle w:val="ConsPlusNormal"/>
        <w:ind w:firstLine="709"/>
        <w:jc w:val="both"/>
        <w:outlineLvl w:val="0"/>
        <w:rPr>
          <w:rFonts w:ascii="Times New Roman" w:hAnsi="Times New Roman" w:cs="Times New Roman"/>
          <w:bCs/>
          <w:spacing w:val="2"/>
          <w:sz w:val="24"/>
          <w:szCs w:val="24"/>
        </w:rPr>
      </w:pPr>
      <w:proofErr w:type="gramStart"/>
      <w:r>
        <w:rPr>
          <w:rFonts w:ascii="Times New Roman" w:hAnsi="Times New Roman" w:cs="Times New Roman"/>
          <w:bCs/>
          <w:spacing w:val="2"/>
          <w:sz w:val="24"/>
          <w:szCs w:val="24"/>
        </w:rPr>
        <w:t>за</w:t>
      </w:r>
      <w:proofErr w:type="gramEnd"/>
      <w:r>
        <w:rPr>
          <w:rFonts w:ascii="Times New Roman" w:hAnsi="Times New Roman" w:cs="Times New Roman"/>
          <w:bCs/>
          <w:spacing w:val="2"/>
          <w:sz w:val="24"/>
          <w:szCs w:val="24"/>
        </w:rPr>
        <w:t> главного бухгалтера – начальник Отдела, на время его отсутствия заместитель начальника Отдела;</w:t>
      </w:r>
    </w:p>
    <w:p>
      <w:pPr>
        <w:pStyle w:val="ConsPlusNormal"/>
        <w:ind w:firstLine="709"/>
        <w:jc w:val="both"/>
        <w:outlineLvl w:val="2"/>
        <w:rPr>
          <w:rFonts w:ascii="Times New Roman" w:hAnsi="Times New Roman" w:cs="Times New Roman"/>
          <w:bCs/>
          <w:spacing w:val="2"/>
          <w:sz w:val="24"/>
          <w:szCs w:val="24"/>
        </w:rPr>
      </w:pPr>
      <w:proofErr w:type="gramStart"/>
      <w:r>
        <w:rPr>
          <w:rFonts w:ascii="Times New Roman" w:hAnsi="Times New Roman" w:cs="Times New Roman"/>
          <w:bCs/>
          <w:spacing w:val="2"/>
          <w:sz w:val="24"/>
          <w:szCs w:val="24"/>
        </w:rPr>
        <w:t>за</w:t>
      </w:r>
      <w:proofErr w:type="gramEnd"/>
      <w:r>
        <w:rPr>
          <w:rFonts w:ascii="Times New Roman" w:hAnsi="Times New Roman" w:cs="Times New Roman"/>
          <w:bCs/>
          <w:spacing w:val="2"/>
          <w:sz w:val="24"/>
          <w:szCs w:val="24"/>
        </w:rPr>
        <w:t> кассира - уполномоченный сотрудник Отдела, с которым заключен договор                о полной материальной ответственности;</w:t>
      </w:r>
    </w:p>
    <w:p>
      <w:pPr>
        <w:pStyle w:val="ConsPlusNormal"/>
        <w:ind w:firstLine="709"/>
        <w:jc w:val="both"/>
        <w:outlineLvl w:val="2"/>
        <w:rPr>
          <w:rFonts w:ascii="Times New Roman" w:hAnsi="Times New Roman" w:cs="Times New Roman"/>
          <w:bCs/>
          <w:spacing w:val="2"/>
          <w:sz w:val="24"/>
          <w:szCs w:val="24"/>
        </w:rPr>
      </w:pPr>
      <w:proofErr w:type="gramStart"/>
      <w:r>
        <w:rPr>
          <w:rFonts w:ascii="Times New Roman" w:hAnsi="Times New Roman" w:cs="Times New Roman"/>
          <w:bCs/>
          <w:spacing w:val="2"/>
          <w:sz w:val="24"/>
          <w:szCs w:val="24"/>
        </w:rPr>
        <w:t>от</w:t>
      </w:r>
      <w:proofErr w:type="gramEnd"/>
      <w:r>
        <w:rPr>
          <w:rFonts w:ascii="Times New Roman" w:hAnsi="Times New Roman" w:cs="Times New Roman"/>
          <w:bCs/>
          <w:spacing w:val="2"/>
          <w:sz w:val="24"/>
          <w:szCs w:val="24"/>
        </w:rPr>
        <w:t xml:space="preserve"> лица грузополучателя в товарной накладной – материально ответственное лицо, или уполномоченный сотрудник Управления, с которым заключен договор о полной материальной ответственности по доверенности на получение материальных ценностей;</w:t>
      </w:r>
    </w:p>
    <w:p>
      <w:pPr>
        <w:pStyle w:val="ConsPlusNormal"/>
        <w:ind w:firstLine="709"/>
        <w:jc w:val="both"/>
        <w:outlineLvl w:val="2"/>
        <w:rPr>
          <w:rFonts w:ascii="Times New Roman" w:hAnsi="Times New Roman" w:cs="Times New Roman"/>
          <w:bCs/>
          <w:spacing w:val="2"/>
          <w:sz w:val="24"/>
          <w:szCs w:val="24"/>
        </w:rPr>
      </w:pPr>
      <w:proofErr w:type="gramStart"/>
      <w:r>
        <w:rPr>
          <w:rFonts w:ascii="Times New Roman" w:hAnsi="Times New Roman" w:cs="Times New Roman"/>
          <w:bCs/>
          <w:spacing w:val="2"/>
          <w:sz w:val="24"/>
          <w:szCs w:val="24"/>
        </w:rPr>
        <w:t>от</w:t>
      </w:r>
      <w:proofErr w:type="gramEnd"/>
      <w:r>
        <w:rPr>
          <w:rFonts w:ascii="Times New Roman" w:hAnsi="Times New Roman" w:cs="Times New Roman"/>
          <w:bCs/>
          <w:spacing w:val="2"/>
          <w:sz w:val="24"/>
          <w:szCs w:val="24"/>
        </w:rPr>
        <w:t> лица заказчика в актах выполненных работ (оказанных услуг) - начальник Управления (визирует сотрудник Управления, принявший результат выполненных работ (оказанных услуг)).</w:t>
      </w:r>
    </w:p>
    <w:p>
      <w:pPr>
        <w:shd w:val="clear" w:color="auto" w:fill="FFFFFF"/>
        <w:ind w:firstLine="709"/>
        <w:jc w:val="both"/>
        <w:rPr>
          <w:bCs/>
          <w:spacing w:val="2"/>
          <w:sz w:val="24"/>
          <w:szCs w:val="24"/>
        </w:rPr>
      </w:pPr>
      <w:r>
        <w:rPr>
          <w:bCs/>
          <w:spacing w:val="2"/>
          <w:sz w:val="24"/>
          <w:szCs w:val="24"/>
        </w:rPr>
        <w:t>Правами первой и второй подписи платежных документов обладают должностные лица Управления, на которых оформле</w:t>
      </w:r>
      <w:r>
        <w:rPr>
          <w:bCs/>
          <w:spacing w:val="2"/>
          <w:sz w:val="24"/>
          <w:szCs w:val="24"/>
        </w:rPr>
        <w:softHyphen/>
        <w:t>на Карточка образцов подписей, в соответствии с действующим законодательством Российской Федерации.</w:t>
      </w:r>
    </w:p>
    <w:p>
      <w:pPr>
        <w:pStyle w:val="ConsPlusNormal"/>
        <w:ind w:firstLine="709"/>
        <w:jc w:val="both"/>
        <w:outlineLvl w:val="2"/>
        <w:rPr>
          <w:rFonts w:ascii="Times New Roman" w:hAnsi="Times New Roman" w:cs="Times New Roman"/>
          <w:bCs/>
          <w:spacing w:val="2"/>
          <w:sz w:val="24"/>
          <w:szCs w:val="24"/>
        </w:rPr>
      </w:pPr>
      <w:r>
        <w:rPr>
          <w:rFonts w:ascii="Times New Roman" w:hAnsi="Times New Roman"/>
          <w:sz w:val="24"/>
          <w:szCs w:val="24"/>
        </w:rPr>
        <w:t>Право подписи электронных документов с предоставлением электронной цифровой подписи получают специалисты Управления на основании доверенностей выданных Региональным центром регистрации Управления Федерального казначейства по Томской области.</w:t>
      </w:r>
    </w:p>
    <w:p>
      <w:pPr>
        <w:pStyle w:val="ConsPlusNormal"/>
        <w:ind w:firstLine="709"/>
        <w:jc w:val="both"/>
        <w:outlineLvl w:val="0"/>
        <w:rPr>
          <w:rFonts w:ascii="Times New Roman" w:hAnsi="Times New Roman" w:cs="Times New Roman"/>
          <w:bCs/>
          <w:spacing w:val="2"/>
          <w:sz w:val="24"/>
          <w:szCs w:val="24"/>
        </w:rPr>
      </w:pPr>
      <w:r>
        <w:rPr>
          <w:rFonts w:ascii="Times New Roman" w:hAnsi="Times New Roman" w:cs="Times New Roman"/>
          <w:bCs/>
          <w:spacing w:val="2"/>
          <w:sz w:val="24"/>
          <w:szCs w:val="24"/>
        </w:rPr>
        <w:t>2.5 Порядок визирования документов, поступивших на оплату:</w:t>
      </w:r>
    </w:p>
    <w:p>
      <w:pPr>
        <w:pStyle w:val="ConsPlusNormal"/>
        <w:ind w:firstLine="709"/>
        <w:jc w:val="both"/>
        <w:outlineLvl w:val="0"/>
        <w:rPr>
          <w:rFonts w:ascii="Times New Roman" w:hAnsi="Times New Roman" w:cs="Times New Roman"/>
          <w:bCs/>
          <w:spacing w:val="2"/>
          <w:sz w:val="24"/>
          <w:szCs w:val="24"/>
        </w:rPr>
      </w:pPr>
      <w:proofErr w:type="gramStart"/>
      <w:r>
        <w:rPr>
          <w:rFonts w:ascii="Times New Roman" w:hAnsi="Times New Roman" w:cs="Times New Roman"/>
          <w:bCs/>
          <w:spacing w:val="2"/>
          <w:sz w:val="24"/>
          <w:szCs w:val="24"/>
        </w:rPr>
        <w:t>а</w:t>
      </w:r>
      <w:proofErr w:type="gramEnd"/>
      <w:r>
        <w:rPr>
          <w:rFonts w:ascii="Times New Roman" w:hAnsi="Times New Roman" w:cs="Times New Roman"/>
          <w:bCs/>
          <w:spacing w:val="2"/>
          <w:sz w:val="24"/>
          <w:szCs w:val="24"/>
        </w:rPr>
        <w:t>) для авансового платежа по счёту на документ налагается разрешительная надпись начальника Управления «К оплате»;</w:t>
      </w:r>
    </w:p>
    <w:p>
      <w:pPr>
        <w:pStyle w:val="ConsPlusNormal"/>
        <w:ind w:firstLine="709"/>
        <w:jc w:val="both"/>
        <w:outlineLvl w:val="0"/>
        <w:rPr>
          <w:rFonts w:ascii="Times New Roman" w:hAnsi="Times New Roman" w:cs="Times New Roman"/>
          <w:bCs/>
          <w:spacing w:val="2"/>
          <w:sz w:val="24"/>
          <w:szCs w:val="24"/>
        </w:rPr>
      </w:pPr>
      <w:proofErr w:type="gramStart"/>
      <w:r>
        <w:rPr>
          <w:rFonts w:ascii="Times New Roman" w:hAnsi="Times New Roman" w:cs="Times New Roman"/>
          <w:bCs/>
          <w:spacing w:val="2"/>
          <w:sz w:val="24"/>
          <w:szCs w:val="24"/>
        </w:rPr>
        <w:t>б</w:t>
      </w:r>
      <w:proofErr w:type="gramEnd"/>
      <w:r>
        <w:rPr>
          <w:rFonts w:ascii="Times New Roman" w:hAnsi="Times New Roman" w:cs="Times New Roman"/>
          <w:bCs/>
          <w:spacing w:val="2"/>
          <w:sz w:val="24"/>
          <w:szCs w:val="24"/>
        </w:rPr>
        <w:t>) для окончательной оплаты по акту на документ налагается от лица заказчика удостоверительная подпись начальника Управления, на время его отсутствия заместителя начальника Управления, подтверждающая факт совершения сделки, заверяется печатью Управления;</w:t>
      </w:r>
    </w:p>
    <w:p>
      <w:pPr>
        <w:pStyle w:val="ConsPlusNormal"/>
        <w:ind w:firstLine="709"/>
        <w:jc w:val="both"/>
        <w:outlineLvl w:val="0"/>
        <w:rPr>
          <w:rFonts w:ascii="Times New Roman" w:hAnsi="Times New Roman" w:cs="Times New Roman"/>
          <w:bCs/>
          <w:spacing w:val="2"/>
          <w:sz w:val="24"/>
          <w:szCs w:val="24"/>
        </w:rPr>
      </w:pPr>
      <w:proofErr w:type="gramStart"/>
      <w:r>
        <w:rPr>
          <w:rFonts w:ascii="Times New Roman" w:hAnsi="Times New Roman" w:cs="Times New Roman"/>
          <w:bCs/>
          <w:spacing w:val="2"/>
          <w:sz w:val="24"/>
          <w:szCs w:val="24"/>
        </w:rPr>
        <w:t>в</w:t>
      </w:r>
      <w:proofErr w:type="gramEnd"/>
      <w:r>
        <w:rPr>
          <w:rFonts w:ascii="Times New Roman" w:hAnsi="Times New Roman" w:cs="Times New Roman"/>
          <w:bCs/>
          <w:spacing w:val="2"/>
          <w:sz w:val="24"/>
          <w:szCs w:val="24"/>
        </w:rPr>
        <w:t>) для оплаты по товарной накладной на документ налагается разрешительная надпись начальника Управления «К оплате».</w:t>
      </w:r>
    </w:p>
    <w:p>
      <w:pPr>
        <w:tabs>
          <w:tab w:val="left" w:pos="540"/>
        </w:tabs>
        <w:jc w:val="both"/>
        <w:rPr>
          <w:sz w:val="24"/>
          <w:szCs w:val="24"/>
        </w:rPr>
      </w:pPr>
      <w:r>
        <w:rPr>
          <w:sz w:val="24"/>
          <w:szCs w:val="24"/>
        </w:rPr>
        <w:tab/>
      </w:r>
      <w:r>
        <w:rPr>
          <w:sz w:val="24"/>
          <w:szCs w:val="24"/>
        </w:rPr>
        <w:tab/>
        <w:t xml:space="preserve">2.6 Данные бухгалтерского учёта и сформированная на их основе отчётность формируются исходя из существенности событий после отчётной даты. </w:t>
      </w:r>
    </w:p>
    <w:p>
      <w:pPr>
        <w:tabs>
          <w:tab w:val="left" w:pos="540"/>
        </w:tabs>
        <w:jc w:val="both"/>
        <w:rPr>
          <w:sz w:val="24"/>
          <w:szCs w:val="24"/>
        </w:rPr>
      </w:pPr>
      <w:r>
        <w:rPr>
          <w:sz w:val="24"/>
          <w:szCs w:val="24"/>
        </w:rPr>
        <w:tab/>
      </w:r>
      <w:r>
        <w:rPr>
          <w:sz w:val="24"/>
          <w:szCs w:val="24"/>
        </w:rPr>
        <w:tab/>
        <w:t>Информация в денежном выражении о состоянии активов и обязательств, иного имущества, об операциях, их изменяющих, и финансовых результатах указанных операций (доходах, расходах, источниках финансирования деятельности), отражаемая на соответствующих счетах, в том числе на забалансовых рабочего плана счетов, должна быть полной с учётом существенности её влияния на экономические (финансовые) решения заинтересованных пользователей информации и существенности затрат на её формирование.</w:t>
      </w:r>
    </w:p>
    <w:p>
      <w:pPr>
        <w:ind w:firstLine="708"/>
        <w:jc w:val="both"/>
        <w:rPr>
          <w:sz w:val="24"/>
          <w:szCs w:val="24"/>
        </w:rPr>
      </w:pPr>
      <w:r>
        <w:rPr>
          <w:sz w:val="24"/>
          <w:szCs w:val="24"/>
        </w:rPr>
        <w:t>Единый количественный критерий существенности информации не применяется, если иное не предусмотрено законодательством РФ.</w:t>
      </w:r>
    </w:p>
    <w:p>
      <w:pPr>
        <w:tabs>
          <w:tab w:val="left" w:pos="540"/>
        </w:tabs>
        <w:jc w:val="both"/>
        <w:rPr>
          <w:sz w:val="24"/>
          <w:szCs w:val="24"/>
        </w:rPr>
      </w:pPr>
      <w:r>
        <w:rPr>
          <w:sz w:val="24"/>
          <w:szCs w:val="24"/>
        </w:rPr>
        <w:tab/>
      </w:r>
      <w:r>
        <w:rPr>
          <w:sz w:val="24"/>
          <w:szCs w:val="24"/>
        </w:rPr>
        <w:tab/>
        <w:t>2.7 Информация об имуществе, обязательствах и операциях, их изменяющих                   а также о результатах хозяйственной деятельности Управления формируется на соответствующих счетах бухгалтерского учёта с обеспечением аналитического учёта             в объеме показателей, предусмотренных для представления внешним пользователям согласно законодательству РФ.</w:t>
      </w:r>
    </w:p>
    <w:p>
      <w:pPr>
        <w:tabs>
          <w:tab w:val="left" w:pos="540"/>
        </w:tabs>
        <w:jc w:val="both"/>
        <w:rPr>
          <w:sz w:val="24"/>
          <w:szCs w:val="24"/>
        </w:rPr>
      </w:pPr>
      <w:r>
        <w:rPr>
          <w:sz w:val="24"/>
          <w:szCs w:val="24"/>
        </w:rPr>
        <w:tab/>
      </w:r>
      <w:r>
        <w:rPr>
          <w:sz w:val="24"/>
          <w:szCs w:val="24"/>
        </w:rPr>
        <w:tab/>
        <w:t>Данные бухгалтерского учёта и сформированная на их основе отчётность должны быть сопоставимы, в том числе за различные финансовые (отчётные) периоды деятельности Управления.</w:t>
      </w:r>
    </w:p>
    <w:p>
      <w:pPr>
        <w:tabs>
          <w:tab w:val="left" w:pos="540"/>
        </w:tabs>
        <w:jc w:val="both"/>
        <w:rPr>
          <w:sz w:val="24"/>
          <w:szCs w:val="24"/>
        </w:rPr>
      </w:pPr>
      <w:r>
        <w:rPr>
          <w:sz w:val="24"/>
          <w:szCs w:val="24"/>
        </w:rPr>
        <w:tab/>
      </w:r>
      <w:r>
        <w:rPr>
          <w:sz w:val="24"/>
          <w:szCs w:val="24"/>
        </w:rPr>
        <w:tab/>
        <w:t>2.8 Рабочий план счетов, а также требования к структуре аналитического учёта, применяются непрерывно и изменяются при условии обеспечения сопоставимости показателей бухгалтерского учёта и отчётности за отчетный, текущий и очередной финансовый годы (очередной финансовый год и плановый период).</w:t>
      </w:r>
    </w:p>
    <w:p>
      <w:pPr>
        <w:tabs>
          <w:tab w:val="left" w:pos="540"/>
        </w:tabs>
        <w:jc w:val="both"/>
        <w:rPr>
          <w:sz w:val="24"/>
          <w:szCs w:val="24"/>
        </w:rPr>
      </w:pPr>
      <w:r>
        <w:rPr>
          <w:sz w:val="24"/>
          <w:szCs w:val="24"/>
        </w:rPr>
        <w:tab/>
      </w:r>
      <w:r>
        <w:rPr>
          <w:sz w:val="24"/>
          <w:szCs w:val="24"/>
        </w:rPr>
        <w:tab/>
        <w:t xml:space="preserve">2.9 Информация о финансовом положении Управления в бухгалтерском учёте подлежит отражению, если не содержит существенных ошибок и искажений, позволяющая ее пользователям положиться на нее, как на достоверную (п.17 СГС «Концептуальные основы»). </w:t>
      </w:r>
    </w:p>
    <w:p>
      <w:pPr>
        <w:ind w:firstLine="567"/>
        <w:jc w:val="both"/>
        <w:rPr>
          <w:sz w:val="24"/>
          <w:szCs w:val="24"/>
        </w:rPr>
      </w:pPr>
      <w:r>
        <w:rPr>
          <w:sz w:val="24"/>
          <w:szCs w:val="24"/>
        </w:rPr>
        <w:t>Критерий существенности определяется в размере 10 процентов любого показателя бухгалтерской (финансовой) отчётности.</w:t>
      </w:r>
    </w:p>
    <w:p>
      <w:pPr>
        <w:pStyle w:val="3"/>
        <w:spacing w:after="0"/>
        <w:ind w:firstLine="708"/>
        <w:jc w:val="both"/>
        <w:rPr>
          <w:sz w:val="24"/>
          <w:szCs w:val="24"/>
        </w:rPr>
      </w:pPr>
      <w:r>
        <w:rPr>
          <w:rFonts w:eastAsia="SimSun"/>
          <w:sz w:val="24"/>
          <w:szCs w:val="24"/>
          <w:lang w:eastAsia="zh-CN"/>
        </w:rPr>
        <w:t>2.10 У</w:t>
      </w:r>
      <w:r>
        <w:rPr>
          <w:sz w:val="24"/>
          <w:szCs w:val="24"/>
        </w:rPr>
        <w:t>тверждаются соответствующими приказами начальника Управления состав следующих комиссий:</w:t>
      </w:r>
    </w:p>
    <w:p>
      <w:pPr>
        <w:pStyle w:val="3"/>
        <w:spacing w:after="0"/>
        <w:ind w:firstLine="708"/>
        <w:jc w:val="both"/>
        <w:rPr>
          <w:sz w:val="24"/>
          <w:szCs w:val="24"/>
        </w:rPr>
      </w:pPr>
      <w:r>
        <w:rPr>
          <w:sz w:val="24"/>
          <w:szCs w:val="24"/>
        </w:rPr>
        <w:t>- Постоянно действующая инвентаризационная комиссия;</w:t>
      </w:r>
    </w:p>
    <w:p>
      <w:pPr>
        <w:pStyle w:val="3"/>
        <w:spacing w:after="0"/>
        <w:ind w:firstLine="708"/>
        <w:jc w:val="both"/>
        <w:rPr>
          <w:sz w:val="24"/>
          <w:szCs w:val="24"/>
        </w:rPr>
      </w:pPr>
      <w:r>
        <w:rPr>
          <w:sz w:val="24"/>
          <w:szCs w:val="24"/>
        </w:rPr>
        <w:t>- Постоянно действующая комиссия по поступлению и выбытию активов;</w:t>
      </w:r>
    </w:p>
    <w:p>
      <w:pPr>
        <w:pStyle w:val="ConsPlusNormal"/>
        <w:ind w:firstLine="708"/>
        <w:jc w:val="both"/>
        <w:rPr>
          <w:rFonts w:ascii="Times New Roman" w:hAnsi="Times New Roman" w:cs="Times New Roman"/>
          <w:bCs/>
          <w:spacing w:val="2"/>
          <w:sz w:val="24"/>
          <w:szCs w:val="24"/>
        </w:rPr>
      </w:pPr>
      <w:r>
        <w:rPr>
          <w:rFonts w:ascii="Times New Roman" w:hAnsi="Times New Roman" w:cs="Times New Roman"/>
          <w:bCs/>
          <w:spacing w:val="2"/>
          <w:sz w:val="24"/>
          <w:szCs w:val="24"/>
        </w:rPr>
        <w:t>- Приёмочная комиссия (закупки товаров, работ, услуг).</w:t>
      </w:r>
    </w:p>
    <w:p>
      <w:pPr>
        <w:pStyle w:val="ConsPlusNormal"/>
        <w:ind w:firstLine="708"/>
        <w:jc w:val="both"/>
        <w:outlineLvl w:val="0"/>
        <w:rPr>
          <w:rFonts w:ascii="Times New Roman" w:hAnsi="Times New Roman" w:cs="Times New Roman"/>
          <w:bCs/>
          <w:spacing w:val="2"/>
          <w:sz w:val="24"/>
          <w:szCs w:val="24"/>
        </w:rPr>
      </w:pPr>
      <w:r>
        <w:rPr>
          <w:rFonts w:ascii="Times New Roman" w:hAnsi="Times New Roman" w:cs="Times New Roman"/>
          <w:sz w:val="24"/>
          <w:szCs w:val="24"/>
        </w:rPr>
        <w:t>2.11</w:t>
      </w:r>
      <w:r>
        <w:rPr>
          <w:sz w:val="24"/>
          <w:szCs w:val="24"/>
        </w:rPr>
        <w:t xml:space="preserve"> </w:t>
      </w:r>
      <w:r>
        <w:rPr>
          <w:rFonts w:ascii="Times New Roman" w:eastAsia="SimSun" w:hAnsi="Times New Roman" w:cs="Times New Roman"/>
          <w:sz w:val="24"/>
          <w:szCs w:val="24"/>
          <w:lang w:eastAsia="zh-CN"/>
        </w:rPr>
        <w:t>Ведение бюджетного учёта осуществляется автоматизированным способом</w:t>
      </w:r>
      <w:r>
        <w:rPr>
          <w:rFonts w:eastAsia="SimSun"/>
          <w:color w:val="FF0000"/>
          <w:lang w:eastAsia="zh-CN"/>
        </w:rPr>
        <w:t xml:space="preserve">               </w:t>
      </w:r>
      <w:r>
        <w:rPr>
          <w:rFonts w:ascii="Times New Roman" w:hAnsi="Times New Roman" w:cs="Times New Roman"/>
          <w:bCs/>
          <w:spacing w:val="2"/>
          <w:sz w:val="24"/>
          <w:szCs w:val="24"/>
        </w:rPr>
        <w:t>с применением программных продуктов по исполнению бюджета, учёту и отчётности, расчёту заработной платы.</w:t>
      </w:r>
      <w:r>
        <w:t xml:space="preserve"> </w:t>
      </w:r>
      <w:r>
        <w:rPr>
          <w:rFonts w:ascii="Times New Roman" w:hAnsi="Times New Roman" w:cs="Times New Roman"/>
          <w:bCs/>
          <w:spacing w:val="2"/>
          <w:sz w:val="24"/>
          <w:szCs w:val="24"/>
        </w:rPr>
        <w:t xml:space="preserve">С использованием телекоммуникационных каналов связи               и электронной подписи осуществляется электронный документооборот. </w:t>
      </w:r>
    </w:p>
    <w:p>
      <w:pPr>
        <w:ind w:firstLine="708"/>
        <w:jc w:val="both"/>
        <w:outlineLvl w:val="0"/>
        <w:rPr>
          <w:rFonts w:eastAsia="Calibri"/>
          <w:color w:val="000000" w:themeColor="text1"/>
          <w:sz w:val="24"/>
          <w:szCs w:val="24"/>
          <w:lang w:eastAsia="en-US"/>
        </w:rPr>
      </w:pPr>
      <w:r>
        <w:rPr>
          <w:rFonts w:eastAsia="SimSun"/>
          <w:color w:val="000000" w:themeColor="text1"/>
          <w:sz w:val="24"/>
          <w:szCs w:val="24"/>
          <w:lang w:eastAsia="zh-CN"/>
        </w:rPr>
        <w:t xml:space="preserve">2.12 При ведении </w:t>
      </w:r>
      <w:r>
        <w:rPr>
          <w:rFonts w:eastAsia="Calibri"/>
          <w:color w:val="000000" w:themeColor="text1"/>
          <w:sz w:val="24"/>
          <w:szCs w:val="24"/>
          <w:lang w:eastAsia="en-US"/>
        </w:rPr>
        <w:t xml:space="preserve">бюджетного учёта хозяйственные операции отражаются на счетах Рабочего плана счетов Управления. </w:t>
      </w:r>
    </w:p>
    <w:p>
      <w:pPr>
        <w:tabs>
          <w:tab w:val="left" w:pos="3233"/>
        </w:tabs>
        <w:ind w:firstLine="567"/>
        <w:jc w:val="both"/>
        <w:outlineLvl w:val="0"/>
        <w:rPr>
          <w:rFonts w:eastAsia="Calibri"/>
          <w:color w:val="000000" w:themeColor="text1"/>
          <w:sz w:val="24"/>
          <w:szCs w:val="24"/>
          <w:lang w:eastAsia="en-US"/>
        </w:rPr>
      </w:pPr>
      <w:r>
        <w:rPr>
          <w:rFonts w:eastAsia="Calibri"/>
          <w:color w:val="000000" w:themeColor="text1"/>
          <w:sz w:val="24"/>
          <w:szCs w:val="24"/>
          <w:lang w:eastAsia="en-US"/>
        </w:rPr>
        <w:t>При формировании 1-17 разряда номера счёта учитывать требования Приложения        № 2 к Приказу № 162н.</w:t>
      </w:r>
    </w:p>
    <w:p>
      <w:pPr>
        <w:ind w:firstLine="567"/>
        <w:jc w:val="both"/>
        <w:outlineLvl w:val="0"/>
        <w:rPr>
          <w:color w:val="000000" w:themeColor="text1"/>
          <w:sz w:val="24"/>
          <w:szCs w:val="24"/>
        </w:rPr>
      </w:pPr>
      <w:r>
        <w:rPr>
          <w:rFonts w:eastAsia="Calibri"/>
          <w:color w:val="000000" w:themeColor="text1"/>
          <w:sz w:val="24"/>
          <w:szCs w:val="24"/>
          <w:lang w:eastAsia="en-US"/>
        </w:rPr>
        <w:t>Управлени</w:t>
      </w:r>
      <w:r>
        <w:rPr>
          <w:color w:val="000000" w:themeColor="text1"/>
          <w:sz w:val="24"/>
          <w:szCs w:val="24"/>
        </w:rPr>
        <w:t>е вправе самостоятельно устанавливать следующую аналитику по имуществу, которое:</w:t>
      </w:r>
    </w:p>
    <w:p>
      <w:pPr>
        <w:ind w:firstLine="567"/>
        <w:jc w:val="both"/>
        <w:rPr>
          <w:color w:val="000000" w:themeColor="text1"/>
          <w:sz w:val="24"/>
          <w:szCs w:val="24"/>
        </w:rPr>
      </w:pPr>
      <w:r>
        <w:rPr>
          <w:color w:val="000000" w:themeColor="text1"/>
          <w:sz w:val="24"/>
          <w:szCs w:val="24"/>
        </w:rPr>
        <w:t>– получено во временное владение (пользование) (объекты учёта финансовой (</w:t>
      </w:r>
      <w:proofErr w:type="spellStart"/>
      <w:r>
        <w:rPr>
          <w:color w:val="000000" w:themeColor="text1"/>
          <w:sz w:val="24"/>
          <w:szCs w:val="24"/>
        </w:rPr>
        <w:t>неоперационной</w:t>
      </w:r>
      <w:proofErr w:type="spellEnd"/>
      <w:r>
        <w:rPr>
          <w:color w:val="000000" w:themeColor="text1"/>
          <w:sz w:val="24"/>
          <w:szCs w:val="24"/>
        </w:rPr>
        <w:t>) аренды);</w:t>
      </w:r>
    </w:p>
    <w:p>
      <w:pPr>
        <w:ind w:firstLine="567"/>
        <w:jc w:val="both"/>
        <w:rPr>
          <w:color w:val="000000" w:themeColor="text1"/>
          <w:sz w:val="24"/>
          <w:szCs w:val="24"/>
        </w:rPr>
      </w:pPr>
      <w:r>
        <w:rPr>
          <w:color w:val="000000" w:themeColor="text1"/>
          <w:sz w:val="24"/>
          <w:szCs w:val="24"/>
        </w:rPr>
        <w:t>– передано во временное владение (пользование) (при операционной аренде);</w:t>
      </w:r>
    </w:p>
    <w:p>
      <w:pPr>
        <w:ind w:firstLine="567"/>
        <w:jc w:val="both"/>
        <w:rPr>
          <w:color w:val="000000" w:themeColor="text1"/>
          <w:sz w:val="24"/>
          <w:szCs w:val="24"/>
        </w:rPr>
      </w:pPr>
      <w:r>
        <w:rPr>
          <w:color w:val="000000" w:themeColor="text1"/>
          <w:sz w:val="24"/>
          <w:szCs w:val="24"/>
        </w:rPr>
        <w:t>–</w:t>
      </w:r>
      <w:r>
        <w:t> </w:t>
      </w:r>
      <w:r>
        <w:rPr>
          <w:color w:val="000000" w:themeColor="text1"/>
          <w:sz w:val="24"/>
          <w:szCs w:val="24"/>
        </w:rPr>
        <w:t>получено в безвозмездное пользование (объекты учёта финансовой (</w:t>
      </w:r>
      <w:proofErr w:type="spellStart"/>
      <w:r>
        <w:rPr>
          <w:color w:val="000000" w:themeColor="text1"/>
          <w:sz w:val="24"/>
          <w:szCs w:val="24"/>
        </w:rPr>
        <w:t>неоперационной</w:t>
      </w:r>
      <w:proofErr w:type="spellEnd"/>
      <w:r>
        <w:rPr>
          <w:color w:val="000000" w:themeColor="text1"/>
          <w:sz w:val="24"/>
          <w:szCs w:val="24"/>
        </w:rPr>
        <w:t>) аренды);</w:t>
      </w:r>
    </w:p>
    <w:p>
      <w:pPr>
        <w:ind w:firstLine="567"/>
        <w:jc w:val="both"/>
        <w:rPr>
          <w:color w:val="000000" w:themeColor="text1"/>
          <w:spacing w:val="-6"/>
          <w:sz w:val="24"/>
          <w:szCs w:val="24"/>
        </w:rPr>
      </w:pPr>
      <w:r>
        <w:rPr>
          <w:color w:val="000000" w:themeColor="text1"/>
          <w:spacing w:val="-6"/>
          <w:sz w:val="24"/>
          <w:szCs w:val="24"/>
        </w:rPr>
        <w:t>– передано в безвозмездное пользование (при операционной аренде);</w:t>
      </w:r>
    </w:p>
    <w:p>
      <w:pPr>
        <w:ind w:firstLine="567"/>
        <w:jc w:val="both"/>
        <w:rPr>
          <w:color w:val="000000" w:themeColor="text1"/>
          <w:sz w:val="24"/>
          <w:szCs w:val="24"/>
        </w:rPr>
      </w:pPr>
      <w:r>
        <w:rPr>
          <w:color w:val="000000" w:themeColor="text1"/>
          <w:sz w:val="24"/>
          <w:szCs w:val="24"/>
        </w:rPr>
        <w:t>– в эксплуатации;</w:t>
      </w:r>
    </w:p>
    <w:p>
      <w:pPr>
        <w:ind w:firstLine="567"/>
        <w:jc w:val="both"/>
        <w:rPr>
          <w:color w:val="000000" w:themeColor="text1"/>
          <w:sz w:val="24"/>
          <w:szCs w:val="24"/>
        </w:rPr>
      </w:pPr>
      <w:r>
        <w:rPr>
          <w:color w:val="000000" w:themeColor="text1"/>
          <w:sz w:val="24"/>
          <w:szCs w:val="24"/>
        </w:rPr>
        <w:t>– в запасе;</w:t>
      </w:r>
    </w:p>
    <w:p>
      <w:pPr>
        <w:ind w:firstLine="567"/>
        <w:jc w:val="both"/>
        <w:rPr>
          <w:color w:val="000000" w:themeColor="text1"/>
          <w:sz w:val="24"/>
          <w:szCs w:val="24"/>
        </w:rPr>
      </w:pPr>
      <w:r>
        <w:rPr>
          <w:color w:val="000000" w:themeColor="text1"/>
          <w:sz w:val="24"/>
          <w:szCs w:val="24"/>
        </w:rPr>
        <w:t>– на консервации;</w:t>
      </w:r>
    </w:p>
    <w:p>
      <w:pPr>
        <w:ind w:firstLine="567"/>
        <w:jc w:val="both"/>
        <w:outlineLvl w:val="0"/>
        <w:rPr>
          <w:color w:val="000000" w:themeColor="text1"/>
          <w:sz w:val="24"/>
          <w:szCs w:val="24"/>
        </w:rPr>
      </w:pPr>
      <w:r>
        <w:rPr>
          <w:color w:val="000000" w:themeColor="text1"/>
          <w:sz w:val="24"/>
          <w:szCs w:val="24"/>
        </w:rPr>
        <w:t>– иная категория объектов бюджетного учёта.</w:t>
      </w:r>
    </w:p>
    <w:p>
      <w:pPr>
        <w:ind w:firstLine="567"/>
        <w:jc w:val="both"/>
        <w:outlineLvl w:val="1"/>
        <w:rPr>
          <w:bCs/>
          <w:color w:val="000000"/>
          <w:sz w:val="24"/>
          <w:szCs w:val="24"/>
        </w:rPr>
      </w:pPr>
      <w:r>
        <w:rPr>
          <w:rFonts w:eastAsia="SimSun"/>
          <w:sz w:val="24"/>
          <w:szCs w:val="24"/>
          <w:lang w:eastAsia="zh-CN"/>
        </w:rPr>
        <w:t xml:space="preserve">2.13 </w:t>
      </w:r>
      <w:r>
        <w:rPr>
          <w:bCs/>
          <w:color w:val="000000"/>
          <w:sz w:val="24"/>
          <w:szCs w:val="24"/>
        </w:rPr>
        <w:t xml:space="preserve">Методы оценки отдельных видов имущества и обязательств регулируются                  в Управлении положением </w:t>
      </w:r>
      <w:r>
        <w:rPr>
          <w:bCs/>
          <w:sz w:val="24"/>
          <w:szCs w:val="24"/>
        </w:rPr>
        <w:t>о применяемых методах оценки имущества и обязательств (Приложение № 9)</w:t>
      </w:r>
      <w:r>
        <w:rPr>
          <w:bCs/>
          <w:color w:val="000000"/>
          <w:sz w:val="24"/>
          <w:szCs w:val="24"/>
        </w:rPr>
        <w:t xml:space="preserve">. </w:t>
      </w:r>
    </w:p>
    <w:p>
      <w:pPr>
        <w:shd w:val="clear" w:color="auto" w:fill="FFFFFF" w:themeFill="background1"/>
        <w:ind w:firstLine="567"/>
        <w:jc w:val="both"/>
        <w:rPr>
          <w:bCs/>
          <w:color w:val="000000"/>
          <w:sz w:val="24"/>
          <w:szCs w:val="24"/>
        </w:rPr>
      </w:pPr>
      <w:r>
        <w:rPr>
          <w:bCs/>
          <w:color w:val="000000"/>
          <w:sz w:val="24"/>
          <w:szCs w:val="24"/>
        </w:rPr>
        <w:t>2.14 К обработке сотрудник Отдела принимает документы, прошедшие внутренний финансовый контроль.</w:t>
      </w:r>
    </w:p>
    <w:p>
      <w:pPr>
        <w:shd w:val="clear" w:color="auto" w:fill="FFFFFF" w:themeFill="background1"/>
        <w:ind w:firstLine="708"/>
        <w:jc w:val="both"/>
        <w:rPr>
          <w:rFonts w:eastAsiaTheme="minorHAnsi"/>
          <w:sz w:val="24"/>
          <w:szCs w:val="24"/>
          <w:lang w:eastAsia="en-US"/>
        </w:rPr>
      </w:pPr>
      <w:r>
        <w:rPr>
          <w:rFonts w:eastAsiaTheme="minorHAnsi"/>
          <w:sz w:val="24"/>
          <w:szCs w:val="24"/>
          <w:lang w:eastAsia="en-US"/>
        </w:rPr>
        <w:t xml:space="preserve">В соответствии с </w:t>
      </w:r>
      <w:hyperlink r:id="rId40" w:history="1">
        <w:r>
          <w:rPr>
            <w:rFonts w:eastAsiaTheme="minorHAnsi"/>
            <w:sz w:val="24"/>
            <w:szCs w:val="24"/>
            <w:lang w:eastAsia="en-US"/>
          </w:rPr>
          <w:t>п.3 ст.9</w:t>
        </w:r>
      </w:hyperlink>
      <w:r>
        <w:rPr>
          <w:rFonts w:eastAsiaTheme="minorHAnsi"/>
          <w:sz w:val="24"/>
          <w:szCs w:val="24"/>
          <w:lang w:eastAsia="en-US"/>
        </w:rPr>
        <w:t xml:space="preserve"> Закона № 402-ФЗ своевременную передачу первичных учётных документов для регистрации содержащихся в них данных в регистрах бухгалтерского учёта, а также достоверность этих данных обеспечивает лицо, ответственное за оформление факта хозяйственной жизни.</w:t>
      </w:r>
    </w:p>
    <w:p>
      <w:pPr>
        <w:shd w:val="clear" w:color="auto" w:fill="FFFFFF" w:themeFill="background1"/>
        <w:ind w:firstLine="708"/>
        <w:jc w:val="both"/>
        <w:rPr>
          <w:rFonts w:eastAsiaTheme="minorHAnsi"/>
          <w:sz w:val="24"/>
          <w:szCs w:val="24"/>
          <w:lang w:eastAsia="en-US"/>
        </w:rPr>
      </w:pPr>
      <w:r>
        <w:rPr>
          <w:rFonts w:eastAsiaTheme="minorHAnsi"/>
          <w:sz w:val="24"/>
          <w:szCs w:val="24"/>
          <w:lang w:eastAsia="en-US"/>
        </w:rPr>
        <w:t>При этом в случае непредставления в Отдел документов для регистрации содержащихся в них данных в регистрах бухгалтерского учёта сотрудник Отдела не имеет оснований отражать записи в бухгалтерском учёте и вносить сведения в регистры бухгалтерского учёта.</w:t>
      </w:r>
    </w:p>
    <w:p>
      <w:pPr>
        <w:shd w:val="clear" w:color="auto" w:fill="FFFFFF" w:themeFill="background1"/>
        <w:ind w:firstLine="567"/>
        <w:jc w:val="both"/>
        <w:rPr>
          <w:bCs/>
          <w:noProof/>
          <w:sz w:val="24"/>
          <w:szCs w:val="24"/>
        </w:rPr>
      </w:pPr>
      <w:r>
        <w:rPr>
          <w:bCs/>
          <w:color w:val="000000"/>
          <w:sz w:val="24"/>
          <w:szCs w:val="24"/>
        </w:rPr>
        <w:t xml:space="preserve"> </w:t>
      </w:r>
      <w:r>
        <w:rPr>
          <w:bCs/>
          <w:color w:val="000000"/>
          <w:sz w:val="24"/>
          <w:szCs w:val="24"/>
        </w:rPr>
        <w:tab/>
      </w:r>
      <w:r>
        <w:rPr>
          <w:sz w:val="24"/>
          <w:szCs w:val="24"/>
        </w:rPr>
        <w:t xml:space="preserve">Единые требования к подготовке, обработке, хранению и использованию документов, образующихся в деятельности Управления, устанавливаются положением              о </w:t>
      </w:r>
      <w:r>
        <w:rPr>
          <w:bCs/>
          <w:noProof/>
          <w:sz w:val="24"/>
          <w:szCs w:val="24"/>
        </w:rPr>
        <w:t>правилах документооборота (Приложение № 2).</w:t>
      </w:r>
    </w:p>
    <w:p>
      <w:pPr>
        <w:shd w:val="clear" w:color="auto" w:fill="FFFFFF" w:themeFill="background1"/>
        <w:ind w:firstLine="708"/>
        <w:jc w:val="both"/>
        <w:rPr>
          <w:bCs/>
          <w:noProof/>
          <w:sz w:val="24"/>
          <w:szCs w:val="24"/>
        </w:rPr>
      </w:pPr>
      <w:r>
        <w:rPr>
          <w:rFonts w:eastAsiaTheme="minorHAnsi"/>
          <w:sz w:val="24"/>
          <w:szCs w:val="24"/>
          <w:lang w:eastAsia="en-US"/>
        </w:rPr>
        <w:t>Требования в письменной форме начальника Отдела в отношении соблюдения установленного порядка документального оформления фактов хозяйственной жизни, представления документов (сведений), необходимых для ведения бухгалтерского учёта обязательны для всех сотрудников Управления (п.3 ст.9 Закона № 402-ФЗ).</w:t>
      </w:r>
    </w:p>
    <w:p>
      <w:pPr>
        <w:shd w:val="clear" w:color="auto" w:fill="FFFFFF" w:themeFill="background1"/>
        <w:ind w:firstLine="708"/>
        <w:jc w:val="both"/>
        <w:rPr>
          <w:rFonts w:eastAsiaTheme="minorHAnsi"/>
          <w:iCs/>
          <w:sz w:val="24"/>
          <w:szCs w:val="24"/>
          <w:lang w:eastAsia="en-US"/>
        </w:rPr>
      </w:pPr>
      <w:r>
        <w:rPr>
          <w:rFonts w:eastAsiaTheme="minorHAnsi"/>
          <w:iCs/>
          <w:sz w:val="24"/>
          <w:szCs w:val="24"/>
          <w:lang w:eastAsia="en-US"/>
        </w:rPr>
        <w:t xml:space="preserve">2.15 Хранение первичных (сводных) учётных документов, регистров бюджетного учёта осуществляется в течение сроков, установленных </w:t>
      </w:r>
      <w:hyperlink r:id="rId41" w:history="1">
        <w:r>
          <w:rPr>
            <w:rFonts w:eastAsiaTheme="minorHAnsi"/>
            <w:iCs/>
            <w:sz w:val="24"/>
            <w:szCs w:val="24"/>
            <w:lang w:eastAsia="en-US"/>
          </w:rPr>
          <w:t>разд. 4.1</w:t>
        </w:r>
      </w:hyperlink>
      <w:r>
        <w:rPr>
          <w:rFonts w:eastAsiaTheme="minorHAnsi"/>
          <w:iCs/>
          <w:sz w:val="24"/>
          <w:szCs w:val="24"/>
          <w:lang w:eastAsia="en-US"/>
        </w:rPr>
        <w:t xml:space="preserve"> Перечня типовых управленческих архивных документов, образующихся в процессе деятельности муниципальных органов, органов местного самоуправления и организаций, с указанием сроков хранения, утвержденного </w:t>
      </w:r>
      <w:r>
        <w:rPr>
          <w:sz w:val="24"/>
          <w:szCs w:val="24"/>
        </w:rPr>
        <w:t xml:space="preserve">Приказом </w:t>
      </w:r>
      <w:proofErr w:type="spellStart"/>
      <w:r>
        <w:rPr>
          <w:sz w:val="24"/>
          <w:szCs w:val="24"/>
        </w:rPr>
        <w:t>Росархива</w:t>
      </w:r>
      <w:proofErr w:type="spellEnd"/>
      <w:r>
        <w:rPr>
          <w:sz w:val="24"/>
          <w:szCs w:val="24"/>
        </w:rPr>
        <w:t xml:space="preserve"> от 20.12.2019 № 236                               «Об утверждении перечня типовых управленческих архивных документов, образующихся в процессе деятельности муниципальных органов, органов местного самоуправления                  и организаций, с указанием сроков их хранения»</w:t>
      </w:r>
      <w:r>
        <w:rPr>
          <w:iCs/>
          <w:sz w:val="24"/>
          <w:szCs w:val="24"/>
          <w:lang w:eastAsia="en-US"/>
        </w:rPr>
        <w:t>,</w:t>
      </w:r>
      <w:r>
        <w:rPr>
          <w:rFonts w:eastAsiaTheme="minorHAnsi"/>
          <w:iCs/>
          <w:sz w:val="24"/>
          <w:szCs w:val="24"/>
          <w:lang w:eastAsia="en-US"/>
        </w:rPr>
        <w:t xml:space="preserve"> но не менее пяти лет после окончания отчётного года, в котором (за который) они составлены (</w:t>
      </w:r>
      <w:hyperlink r:id="rId42" w:history="1">
        <w:r>
          <w:rPr>
            <w:rFonts w:eastAsiaTheme="minorHAnsi"/>
            <w:iCs/>
            <w:sz w:val="24"/>
            <w:szCs w:val="24"/>
            <w:lang w:eastAsia="en-US"/>
          </w:rPr>
          <w:t>п. 33</w:t>
        </w:r>
      </w:hyperlink>
      <w:r>
        <w:rPr>
          <w:rFonts w:eastAsiaTheme="minorHAnsi"/>
          <w:iCs/>
          <w:sz w:val="24"/>
          <w:szCs w:val="24"/>
          <w:lang w:eastAsia="en-US"/>
        </w:rPr>
        <w:t xml:space="preserve"> СГС «Концептуальные основы»).</w:t>
      </w:r>
    </w:p>
    <w:p>
      <w:pPr>
        <w:shd w:val="clear" w:color="auto" w:fill="FFFFFF" w:themeFill="background1"/>
        <w:ind w:firstLine="708"/>
        <w:jc w:val="both"/>
        <w:rPr>
          <w:sz w:val="24"/>
          <w:szCs w:val="24"/>
        </w:rPr>
      </w:pPr>
      <w:r>
        <w:rPr>
          <w:sz w:val="24"/>
          <w:szCs w:val="24"/>
        </w:rPr>
        <w:t>2.16 Формирование и хранение регистров бюджетного учёта может осуществляется в виде электронных документов, подписанных квалифицированной электронной подписью (п. 32,33 СГС «Концептуальные основы»).</w:t>
      </w:r>
    </w:p>
    <w:p>
      <w:pPr>
        <w:widowControl/>
        <w:ind w:firstLine="709"/>
        <w:jc w:val="both"/>
        <w:rPr>
          <w:sz w:val="24"/>
          <w:szCs w:val="24"/>
        </w:rPr>
      </w:pPr>
      <w:r>
        <w:rPr>
          <w:rFonts w:eastAsia="SimSun"/>
          <w:sz w:val="24"/>
          <w:szCs w:val="24"/>
          <w:lang w:eastAsia="zh-CN"/>
        </w:rPr>
        <w:t xml:space="preserve">2.17 </w:t>
      </w:r>
      <w:r>
        <w:rPr>
          <w:sz w:val="24"/>
          <w:szCs w:val="24"/>
        </w:rPr>
        <w:t xml:space="preserve">Формирование регистров бюджетного учёта на бумажном носителе в случае отсутствия возможности их хранения в виде электронных документов, подписанных электронной подписью, и (или) необходимости обеспечения их хранения на бумажном носителе, осуществляется с периодичностью установленной для составления и представления субъектом учёта бухгалтерской </w:t>
      </w:r>
      <w:r>
        <w:rPr>
          <w:color w:val="000000" w:themeColor="text1"/>
          <w:sz w:val="24"/>
          <w:szCs w:val="24"/>
        </w:rPr>
        <w:t xml:space="preserve">(финансовой) </w:t>
      </w:r>
      <w:r>
        <w:rPr>
          <w:sz w:val="24"/>
          <w:szCs w:val="24"/>
        </w:rPr>
        <w:t xml:space="preserve">отчётности, формируемой на основании данных соответствующих регистров бюджетного учёта </w:t>
      </w:r>
      <w:r>
        <w:rPr>
          <w:rFonts w:eastAsiaTheme="minorHAnsi"/>
          <w:sz w:val="24"/>
          <w:szCs w:val="24"/>
          <w:lang w:eastAsia="en-US"/>
        </w:rPr>
        <w:t>(</w:t>
      </w:r>
      <w:hyperlink r:id="rId43" w:history="1">
        <w:r>
          <w:rPr>
            <w:rFonts w:eastAsiaTheme="minorHAnsi"/>
            <w:sz w:val="24"/>
            <w:szCs w:val="24"/>
            <w:lang w:eastAsia="en-US"/>
          </w:rPr>
          <w:t>п. 32</w:t>
        </w:r>
      </w:hyperlink>
      <w:r>
        <w:rPr>
          <w:rFonts w:eastAsiaTheme="minorHAnsi"/>
          <w:sz w:val="24"/>
          <w:szCs w:val="24"/>
          <w:lang w:eastAsia="en-US"/>
        </w:rPr>
        <w:t xml:space="preserve"> СГС </w:t>
      </w:r>
      <w:r>
        <w:rPr>
          <w:rFonts w:eastAsiaTheme="minorHAnsi"/>
          <w:sz w:val="24"/>
          <w:szCs w:val="24"/>
          <w:lang w:eastAsia="en-US"/>
        </w:rPr>
        <w:t>«</w:t>
      </w:r>
      <w:r>
        <w:rPr>
          <w:rFonts w:eastAsiaTheme="minorHAnsi"/>
          <w:sz w:val="24"/>
          <w:szCs w:val="24"/>
          <w:lang w:eastAsia="en-US"/>
        </w:rPr>
        <w:t>Концептуальные основы</w:t>
      </w:r>
      <w:r>
        <w:rPr>
          <w:rFonts w:eastAsiaTheme="minorHAnsi"/>
          <w:sz w:val="24"/>
          <w:szCs w:val="24"/>
          <w:lang w:eastAsia="en-US"/>
        </w:rPr>
        <w:t>»</w:t>
      </w:r>
      <w:r>
        <w:rPr>
          <w:rFonts w:eastAsiaTheme="minorHAnsi"/>
          <w:sz w:val="24"/>
          <w:szCs w:val="24"/>
          <w:lang w:eastAsia="en-US"/>
        </w:rPr>
        <w:t xml:space="preserve">, Методические </w:t>
      </w:r>
      <w:hyperlink r:id="rId44" w:history="1">
        <w:r>
          <w:rPr>
            <w:rFonts w:eastAsiaTheme="minorHAnsi"/>
            <w:sz w:val="24"/>
            <w:szCs w:val="24"/>
            <w:lang w:eastAsia="en-US"/>
          </w:rPr>
          <w:t>указания</w:t>
        </w:r>
      </w:hyperlink>
      <w:r>
        <w:rPr>
          <w:rFonts w:eastAsiaTheme="minorHAnsi"/>
          <w:sz w:val="24"/>
          <w:szCs w:val="24"/>
          <w:lang w:eastAsia="en-US"/>
        </w:rPr>
        <w:t xml:space="preserve"> по применению форм первичных учетных документов и формированию регистров бухгалтерского учета органами государственной власти (государственными органами)</w:t>
      </w:r>
      <w:r>
        <w:rPr>
          <w:sz w:val="24"/>
          <w:szCs w:val="24"/>
        </w:rPr>
        <w:t>.</w:t>
      </w:r>
    </w:p>
    <w:p>
      <w:pPr>
        <w:shd w:val="clear" w:color="auto" w:fill="FFFFFF" w:themeFill="background1"/>
        <w:ind w:firstLine="708"/>
        <w:jc w:val="both"/>
        <w:rPr>
          <w:rFonts w:eastAsiaTheme="minorHAnsi"/>
          <w:sz w:val="24"/>
          <w:szCs w:val="24"/>
          <w:lang w:eastAsia="en-US"/>
        </w:rPr>
      </w:pPr>
      <w:r>
        <w:rPr>
          <w:rFonts w:eastAsia="SimSun"/>
          <w:sz w:val="24"/>
          <w:szCs w:val="24"/>
          <w:lang w:eastAsia="zh-CN"/>
        </w:rPr>
        <w:t xml:space="preserve">2.18 </w:t>
      </w:r>
      <w:r>
        <w:rPr>
          <w:rFonts w:eastAsiaTheme="minorHAnsi"/>
          <w:sz w:val="24"/>
          <w:szCs w:val="24"/>
          <w:lang w:eastAsia="en-US"/>
        </w:rPr>
        <w:t>К событиям после отчётной даты относят:</w:t>
      </w:r>
    </w:p>
    <w:p>
      <w:pPr>
        <w:shd w:val="clear" w:color="auto" w:fill="FFFFFF" w:themeFill="background1"/>
        <w:ind w:firstLine="708"/>
        <w:jc w:val="both"/>
        <w:rPr>
          <w:rFonts w:eastAsiaTheme="minorHAnsi"/>
          <w:sz w:val="24"/>
          <w:szCs w:val="24"/>
          <w:lang w:eastAsia="en-US"/>
        </w:rPr>
      </w:pPr>
      <w:r>
        <w:rPr>
          <w:rFonts w:eastAsiaTheme="minorHAnsi"/>
          <w:sz w:val="24"/>
          <w:szCs w:val="24"/>
          <w:lang w:eastAsia="en-US"/>
        </w:rPr>
        <w:t>- </w:t>
      </w:r>
      <w:hyperlink r:id="rId45" w:history="1">
        <w:r>
          <w:rPr>
            <w:rFonts w:eastAsiaTheme="minorHAnsi"/>
            <w:sz w:val="24"/>
            <w:szCs w:val="24"/>
            <w:lang w:eastAsia="en-US"/>
          </w:rPr>
          <w:t>события, которые подтверждают условия</w:t>
        </w:r>
      </w:hyperlink>
      <w:r>
        <w:rPr>
          <w:rFonts w:eastAsiaTheme="minorHAnsi"/>
          <w:sz w:val="24"/>
          <w:szCs w:val="24"/>
          <w:lang w:eastAsia="en-US"/>
        </w:rPr>
        <w:t xml:space="preserve"> хозяйственной деятельности, существовавшие на отчётную дату;</w:t>
      </w:r>
    </w:p>
    <w:p>
      <w:pPr>
        <w:shd w:val="clear" w:color="auto" w:fill="FFFFFF" w:themeFill="background1"/>
        <w:ind w:firstLine="708"/>
        <w:jc w:val="both"/>
        <w:rPr>
          <w:rFonts w:eastAsiaTheme="minorHAnsi"/>
          <w:sz w:val="24"/>
          <w:szCs w:val="24"/>
          <w:lang w:eastAsia="en-US"/>
        </w:rPr>
      </w:pPr>
      <w:r>
        <w:rPr>
          <w:rFonts w:eastAsiaTheme="minorHAnsi"/>
          <w:sz w:val="24"/>
          <w:szCs w:val="24"/>
          <w:lang w:eastAsia="en-US"/>
        </w:rPr>
        <w:t>- </w:t>
      </w:r>
      <w:hyperlink r:id="rId46" w:history="1">
        <w:r>
          <w:rPr>
            <w:rFonts w:eastAsiaTheme="minorHAnsi"/>
            <w:sz w:val="24"/>
            <w:szCs w:val="24"/>
            <w:lang w:eastAsia="en-US"/>
          </w:rPr>
          <w:t>события, которые свидетельствуют об условиях</w:t>
        </w:r>
      </w:hyperlink>
      <w:r>
        <w:rPr>
          <w:rFonts w:eastAsiaTheme="minorHAnsi"/>
          <w:sz w:val="24"/>
          <w:szCs w:val="24"/>
          <w:lang w:eastAsia="en-US"/>
        </w:rPr>
        <w:t xml:space="preserve"> хозяйственной деятельности, возникших после отчётной даты.</w:t>
      </w:r>
    </w:p>
    <w:p>
      <w:pPr>
        <w:shd w:val="clear" w:color="auto" w:fill="FFFFFF" w:themeFill="background1"/>
        <w:ind w:firstLine="708"/>
        <w:jc w:val="both"/>
        <w:rPr>
          <w:sz w:val="24"/>
          <w:szCs w:val="24"/>
        </w:rPr>
      </w:pPr>
      <w:r>
        <w:rPr>
          <w:rFonts w:eastAsiaTheme="minorHAnsi"/>
          <w:sz w:val="24"/>
          <w:szCs w:val="24"/>
          <w:lang w:eastAsia="en-US"/>
        </w:rPr>
        <w:t xml:space="preserve">Порядок отнесения фактов хозяйственной жизни к событиям после отчётной даты               в Управлении регулируется положением </w:t>
      </w:r>
      <w:r>
        <w:rPr>
          <w:sz w:val="24"/>
          <w:szCs w:val="24"/>
        </w:rPr>
        <w:t>об отражении в учёте и отчётности Управления событий после отчётной даты (Приложение № 8).</w:t>
      </w:r>
    </w:p>
    <w:p>
      <w:pPr>
        <w:widowControl/>
        <w:shd w:val="clear" w:color="auto" w:fill="FFFFFF" w:themeFill="background1"/>
        <w:ind w:firstLine="708"/>
        <w:jc w:val="both"/>
        <w:rPr>
          <w:spacing w:val="-3"/>
          <w:sz w:val="24"/>
          <w:szCs w:val="24"/>
        </w:rPr>
      </w:pPr>
      <w:r>
        <w:rPr>
          <w:spacing w:val="-3"/>
          <w:sz w:val="24"/>
          <w:szCs w:val="24"/>
        </w:rPr>
        <w:t>2.19 Табель учёта использования рабочего времени (ф. 0504421) применяется для учёта использования рабочего времени и отражает фактические затраты рабочего времени, установленного правилами внутреннего трудового распорядка. Табель учёта использования рабочего времени (ф. 0504421) дополнен условными обозначениями продолжительности работы на условиях неполного рабочего времени с учётом перерыва для кормления ребёнка – НС/КР.</w:t>
      </w:r>
    </w:p>
    <w:p>
      <w:pPr>
        <w:widowControl/>
        <w:shd w:val="clear" w:color="auto" w:fill="FFFFFF" w:themeFill="background1"/>
        <w:ind w:firstLine="709"/>
        <w:jc w:val="both"/>
        <w:outlineLvl w:val="0"/>
        <w:rPr>
          <w:rStyle w:val="FontStyle14"/>
          <w:sz w:val="24"/>
          <w:szCs w:val="24"/>
        </w:rPr>
      </w:pPr>
      <w:r>
        <w:rPr>
          <w:spacing w:val="-3"/>
          <w:sz w:val="24"/>
          <w:szCs w:val="24"/>
        </w:rPr>
        <w:t>2.20</w:t>
      </w:r>
      <w:r>
        <w:rPr>
          <w:sz w:val="24"/>
          <w:szCs w:val="24"/>
        </w:rPr>
        <w:t> </w:t>
      </w:r>
      <w:r>
        <w:rPr>
          <w:rStyle w:val="FontStyle14"/>
          <w:sz w:val="24"/>
          <w:szCs w:val="24"/>
        </w:rPr>
        <w:t>Заработная плата выплачивается не реже чем каждые полмесяца</w:t>
      </w:r>
      <w:r>
        <w:rPr>
          <w:rStyle w:val="FontStyle14"/>
          <w:sz w:val="24"/>
          <w:szCs w:val="24"/>
        </w:rPr>
        <w:br/>
        <w:t>30 числа (в феврале и декабре -28 числа) и 15 числа каждого месяца, перечисляя на лицевой счёт работника в кредитной организации, указанной в заявлении работника, с оплатой соответствующих расходов за счёт работодателя.</w:t>
      </w:r>
    </w:p>
    <w:p>
      <w:pPr>
        <w:pStyle w:val="Style2"/>
        <w:widowControl/>
        <w:shd w:val="clear" w:color="auto" w:fill="FFFFFF" w:themeFill="background1"/>
        <w:tabs>
          <w:tab w:val="left" w:pos="833"/>
        </w:tabs>
        <w:ind w:firstLine="709"/>
        <w:jc w:val="both"/>
        <w:rPr>
          <w:rStyle w:val="FontStyle14"/>
          <w:sz w:val="24"/>
          <w:szCs w:val="24"/>
        </w:rPr>
      </w:pPr>
      <w:r>
        <w:rPr>
          <w:rStyle w:val="FontStyle14"/>
          <w:sz w:val="24"/>
          <w:szCs w:val="24"/>
        </w:rPr>
        <w:t>При совпадении дня выплаты с выходным или нерабочим праздничным днем выплату заработной платы производить накануне этого дня.</w:t>
      </w:r>
    </w:p>
    <w:p>
      <w:pPr>
        <w:pStyle w:val="Style2"/>
        <w:widowControl/>
        <w:shd w:val="clear" w:color="auto" w:fill="FFFFFF" w:themeFill="background1"/>
        <w:tabs>
          <w:tab w:val="left" w:pos="833"/>
        </w:tabs>
        <w:ind w:firstLine="709"/>
        <w:jc w:val="both"/>
        <w:rPr>
          <w:rStyle w:val="FontStyle14"/>
          <w:sz w:val="24"/>
          <w:szCs w:val="24"/>
        </w:rPr>
      </w:pPr>
      <w:r>
        <w:rPr>
          <w:rStyle w:val="FontStyle14"/>
          <w:sz w:val="24"/>
          <w:szCs w:val="24"/>
        </w:rPr>
        <w:t>Возврат заработной платы не по вине Управления отражается в бухгалтерском учёте как депонированная заработная плата.</w:t>
      </w:r>
    </w:p>
    <w:p>
      <w:pPr>
        <w:pStyle w:val="Style2"/>
        <w:widowControl/>
        <w:shd w:val="clear" w:color="auto" w:fill="FFFFFF" w:themeFill="background1"/>
        <w:tabs>
          <w:tab w:val="left" w:pos="833"/>
        </w:tabs>
        <w:ind w:firstLine="709"/>
        <w:jc w:val="both"/>
        <w:rPr>
          <w:rStyle w:val="FontStyle14"/>
          <w:sz w:val="24"/>
          <w:szCs w:val="24"/>
        </w:rPr>
      </w:pPr>
      <w:r>
        <w:rPr>
          <w:rStyle w:val="FontStyle14"/>
          <w:sz w:val="24"/>
          <w:szCs w:val="24"/>
        </w:rPr>
        <w:t xml:space="preserve">Расчёты с сотрудниками при увольнении осуществляются </w:t>
      </w:r>
      <w:r>
        <w:t>в день увольнения</w:t>
      </w:r>
      <w:r>
        <w:br/>
      </w:r>
      <w:r>
        <w:rPr>
          <w:rStyle w:val="FontStyle14"/>
          <w:sz w:val="24"/>
          <w:szCs w:val="24"/>
        </w:rPr>
        <w:t xml:space="preserve">в соответствии со статьей 140 Трудового кодекса Российской Федерации.  </w:t>
      </w:r>
    </w:p>
    <w:p>
      <w:pPr>
        <w:pStyle w:val="Style2"/>
        <w:widowControl/>
        <w:shd w:val="clear" w:color="auto" w:fill="FFFFFF" w:themeFill="background1"/>
        <w:tabs>
          <w:tab w:val="left" w:pos="833"/>
        </w:tabs>
        <w:ind w:firstLine="709"/>
        <w:jc w:val="both"/>
      </w:pPr>
      <w:r>
        <w:rPr>
          <w:rStyle w:val="FontStyle14"/>
          <w:sz w:val="24"/>
          <w:szCs w:val="24"/>
        </w:rPr>
        <w:t xml:space="preserve">Расчёты с сотрудниками при предоставлении очередных отпусков осуществляются </w:t>
      </w:r>
      <w:r>
        <w:t>не позднее, чем за три дня до его начала</w:t>
      </w:r>
      <w:r>
        <w:rPr>
          <w:rStyle w:val="FontStyle14"/>
          <w:sz w:val="24"/>
          <w:szCs w:val="24"/>
        </w:rPr>
        <w:t xml:space="preserve"> в соответствии со статьей 136 Трудового кодекса Российской Федерации при наличии распоряжения Администрации ЗАТО Северск                                  о предоставлении отпуска работнику</w:t>
      </w:r>
      <w:r>
        <w:t>.</w:t>
      </w:r>
    </w:p>
    <w:p>
      <w:pPr>
        <w:widowControl/>
        <w:shd w:val="clear" w:color="auto" w:fill="FFFFFF" w:themeFill="background1"/>
        <w:ind w:firstLine="709"/>
        <w:jc w:val="both"/>
        <w:outlineLvl w:val="0"/>
        <w:rPr>
          <w:spacing w:val="1"/>
          <w:sz w:val="24"/>
          <w:szCs w:val="24"/>
        </w:rPr>
      </w:pPr>
      <w:r>
        <w:rPr>
          <w:spacing w:val="1"/>
          <w:sz w:val="24"/>
          <w:szCs w:val="24"/>
        </w:rPr>
        <w:t>2.21</w:t>
      </w:r>
      <w:r>
        <w:rPr>
          <w:b/>
          <w:spacing w:val="1"/>
          <w:sz w:val="24"/>
          <w:szCs w:val="24"/>
        </w:rPr>
        <w:t> </w:t>
      </w:r>
      <w:r>
        <w:rPr>
          <w:spacing w:val="-6"/>
          <w:sz w:val="24"/>
          <w:szCs w:val="24"/>
        </w:rPr>
        <w:t>В целях обеспечения сохранности материальных ценностей и достоверности, данных бюджетного учёта в</w:t>
      </w:r>
      <w:r>
        <w:rPr>
          <w:spacing w:val="1"/>
          <w:sz w:val="24"/>
          <w:szCs w:val="24"/>
        </w:rPr>
        <w:t xml:space="preserve"> Управлении проводится инвентаризация в соответствии                     с </w:t>
      </w:r>
      <w:r>
        <w:rPr>
          <w:sz w:val="24"/>
          <w:szCs w:val="24"/>
        </w:rPr>
        <w:t xml:space="preserve">  </w:t>
      </w:r>
      <w:hyperlink r:id="rId47" w:history="1">
        <w:r>
          <w:rPr>
            <w:sz w:val="24"/>
            <w:szCs w:val="24"/>
          </w:rPr>
          <w:t>разд. VIII</w:t>
        </w:r>
      </w:hyperlink>
      <w:r>
        <w:rPr>
          <w:sz w:val="24"/>
          <w:szCs w:val="24"/>
        </w:rPr>
        <w:t xml:space="preserve"> СГС «Концептуальные основы», </w:t>
      </w:r>
      <w:r>
        <w:rPr>
          <w:spacing w:val="1"/>
          <w:sz w:val="24"/>
          <w:szCs w:val="24"/>
        </w:rPr>
        <w:t xml:space="preserve">порядком приведенным в </w:t>
      </w:r>
      <w:hyperlink r:id="rId48" w:history="1">
        <w:r>
          <w:rPr>
            <w:spacing w:val="1"/>
            <w:sz w:val="24"/>
            <w:szCs w:val="24"/>
          </w:rPr>
          <w:t xml:space="preserve">Приложении № </w:t>
        </w:r>
      </w:hyperlink>
      <w:r>
        <w:rPr>
          <w:spacing w:val="1"/>
          <w:sz w:val="24"/>
          <w:szCs w:val="24"/>
        </w:rPr>
        <w:t>7 к Учётной политике:</w:t>
      </w:r>
    </w:p>
    <w:p>
      <w:pPr>
        <w:pStyle w:val="ConsPlusNormal"/>
        <w:shd w:val="clear" w:color="auto" w:fill="FFFFFF" w:themeFill="background1"/>
        <w:ind w:firstLine="709"/>
        <w:jc w:val="both"/>
        <w:outlineLvl w:val="1"/>
        <w:rPr>
          <w:rFonts w:ascii="Times New Roman" w:hAnsi="Times New Roman" w:cs="Times New Roman"/>
          <w:spacing w:val="1"/>
          <w:sz w:val="24"/>
          <w:szCs w:val="24"/>
        </w:rPr>
      </w:pPr>
      <w:r>
        <w:rPr>
          <w:rFonts w:ascii="Times New Roman" w:hAnsi="Times New Roman" w:cs="Times New Roman"/>
          <w:spacing w:val="1"/>
          <w:sz w:val="24"/>
          <w:szCs w:val="24"/>
        </w:rPr>
        <w:t>- перед составлением годовой бухгалтерской отчётности, кроме имущества                                  и обязательств, инвентаризация которых проводилась до 1 октября отчётного года;</w:t>
      </w:r>
    </w:p>
    <w:p>
      <w:pPr>
        <w:pStyle w:val="ConsPlusNormal"/>
        <w:shd w:val="clear" w:color="auto" w:fill="FFFFFF" w:themeFill="background1"/>
        <w:ind w:firstLine="709"/>
        <w:jc w:val="both"/>
        <w:outlineLvl w:val="1"/>
        <w:rPr>
          <w:rFonts w:ascii="Times New Roman" w:hAnsi="Times New Roman" w:cs="Times New Roman"/>
          <w:spacing w:val="1"/>
          <w:sz w:val="24"/>
          <w:szCs w:val="24"/>
        </w:rPr>
      </w:pPr>
      <w:r>
        <w:rPr>
          <w:rFonts w:ascii="Times New Roman" w:hAnsi="Times New Roman" w:cs="Times New Roman"/>
          <w:spacing w:val="1"/>
          <w:sz w:val="24"/>
          <w:szCs w:val="24"/>
        </w:rPr>
        <w:t>- при установлении фактов хищений или злоупотреблений, а также порчи ценностей;</w:t>
      </w:r>
    </w:p>
    <w:p>
      <w:pPr>
        <w:widowControl/>
        <w:shd w:val="clear" w:color="auto" w:fill="FFFFFF" w:themeFill="background1"/>
        <w:ind w:firstLine="708"/>
        <w:jc w:val="both"/>
        <w:rPr>
          <w:sz w:val="24"/>
          <w:szCs w:val="24"/>
        </w:rPr>
      </w:pPr>
      <w:r>
        <w:rPr>
          <w:sz w:val="24"/>
          <w:szCs w:val="24"/>
        </w:rPr>
        <w:t>- в случае стихийных бедствий, пожара, аварий или других чрезвычайных ситуаций, вызванных экстремальными условиями;</w:t>
      </w:r>
    </w:p>
    <w:p>
      <w:pPr>
        <w:pStyle w:val="ConsPlusNormal"/>
        <w:shd w:val="clear" w:color="auto" w:fill="FFFFFF" w:themeFill="background1"/>
        <w:ind w:firstLine="709"/>
        <w:jc w:val="both"/>
        <w:outlineLvl w:val="1"/>
        <w:rPr>
          <w:rFonts w:ascii="Times New Roman" w:hAnsi="Times New Roman" w:cs="Times New Roman"/>
          <w:spacing w:val="1"/>
          <w:sz w:val="24"/>
          <w:szCs w:val="24"/>
        </w:rPr>
      </w:pPr>
      <w:r>
        <w:rPr>
          <w:rFonts w:ascii="Times New Roman" w:hAnsi="Times New Roman" w:cs="Times New Roman"/>
          <w:spacing w:val="1"/>
          <w:sz w:val="24"/>
          <w:szCs w:val="24"/>
        </w:rPr>
        <w:t>- при смене материально ответственных лиц (по закрепленным активам);</w:t>
      </w:r>
    </w:p>
    <w:p>
      <w:pPr>
        <w:widowControl/>
        <w:shd w:val="clear" w:color="auto" w:fill="FFFFFF" w:themeFill="background1"/>
        <w:ind w:firstLine="708"/>
        <w:jc w:val="both"/>
        <w:rPr>
          <w:sz w:val="24"/>
          <w:szCs w:val="24"/>
        </w:rPr>
      </w:pPr>
      <w:r>
        <w:rPr>
          <w:spacing w:val="1"/>
          <w:sz w:val="24"/>
          <w:szCs w:val="24"/>
        </w:rPr>
        <w:t>- </w:t>
      </w:r>
      <w:r>
        <w:rPr>
          <w:sz w:val="24"/>
          <w:szCs w:val="24"/>
        </w:rPr>
        <w:t>при ликвидации (реорганизации), перед составлением ликвидационного (разделительного) баланса и в других случаях, предусматриваемых законодательством Российской Федерации или нормативными актами Министерства финансов Российской Федерации.</w:t>
      </w:r>
    </w:p>
    <w:p>
      <w:pPr>
        <w:widowControl/>
        <w:shd w:val="clear" w:color="auto" w:fill="FFFFFF" w:themeFill="background1"/>
        <w:ind w:firstLine="708"/>
        <w:jc w:val="both"/>
        <w:rPr>
          <w:spacing w:val="1"/>
          <w:sz w:val="24"/>
          <w:szCs w:val="24"/>
        </w:rPr>
      </w:pPr>
      <w:r>
        <w:rPr>
          <w:spacing w:val="1"/>
          <w:sz w:val="24"/>
          <w:szCs w:val="24"/>
        </w:rPr>
        <w:t>Инвентаризация основных средств (в том числе числящихся за балансом) проводится не реже одного раза в три года.</w:t>
      </w:r>
    </w:p>
    <w:p>
      <w:pPr>
        <w:pStyle w:val="3"/>
        <w:shd w:val="clear" w:color="auto" w:fill="FFFFFF" w:themeFill="background1"/>
        <w:spacing w:after="0"/>
        <w:ind w:firstLine="708"/>
        <w:jc w:val="both"/>
        <w:rPr>
          <w:sz w:val="24"/>
          <w:szCs w:val="24"/>
        </w:rPr>
      </w:pPr>
      <w:r>
        <w:rPr>
          <w:sz w:val="24"/>
          <w:szCs w:val="24"/>
        </w:rPr>
        <w:t>Требования к составу инвентаризационной комиссии, права, обязанности, ответственность членов инвентаризационной комиссии регулируются положением                       о постоянно действующей инвентаризационной комиссии (Приложение № 3).</w:t>
      </w:r>
    </w:p>
    <w:p>
      <w:pPr>
        <w:ind w:firstLine="709"/>
        <w:jc w:val="both"/>
        <w:rPr>
          <w:sz w:val="24"/>
          <w:szCs w:val="24"/>
        </w:rPr>
      </w:pPr>
      <w:r>
        <w:rPr>
          <w:sz w:val="24"/>
          <w:szCs w:val="24"/>
        </w:rPr>
        <w:t>В отдельных случаях (при смене материально ответственных лиц, выявлении фактов хищения, стихийных бедствиях и т. д.) инвентаризацию может проводить специально созданная рабочая комиссия, состав которой утверждается приказом начальника Управления.</w:t>
      </w:r>
    </w:p>
    <w:p>
      <w:pPr>
        <w:shd w:val="clear" w:color="auto" w:fill="FFFFFF" w:themeFill="background1"/>
        <w:ind w:firstLine="708"/>
        <w:jc w:val="both"/>
        <w:rPr>
          <w:rFonts w:eastAsia="SimSun"/>
          <w:sz w:val="24"/>
          <w:szCs w:val="24"/>
          <w:lang w:eastAsia="zh-CN"/>
        </w:rPr>
      </w:pPr>
      <w:r>
        <w:rPr>
          <w:rFonts w:eastAsia="SimSun"/>
          <w:sz w:val="24"/>
          <w:szCs w:val="24"/>
          <w:lang w:eastAsia="zh-CN"/>
        </w:rPr>
        <w:t>Порядок проведения инвентаризации отдельных видов имущества и обязательством регулируется положениями о проведении инвентаризаций (Приложения № 7, № 11, № 12, № 14, № 18 к Учетной политике).</w:t>
      </w:r>
    </w:p>
    <w:p>
      <w:pPr>
        <w:widowControl/>
        <w:shd w:val="clear" w:color="auto" w:fill="FFFFFF" w:themeFill="background1"/>
        <w:ind w:firstLine="708"/>
        <w:jc w:val="both"/>
        <w:rPr>
          <w:sz w:val="24"/>
          <w:szCs w:val="24"/>
        </w:rPr>
      </w:pPr>
      <w:r>
        <w:rPr>
          <w:sz w:val="24"/>
          <w:szCs w:val="24"/>
        </w:rPr>
        <w:t>Акт сверки расчётов используется Управлением для инвентаризации расчётов                             с дебиторами и кредиторами, выявления безнадежных долгов. Акт сверки составляет раз в год, в произвольной форме. В случае наличия расхождений при инвентаризации расчётов                              с контрагентами Управление признаёт правильными собственные данные. При отсутствии денежных претензий Акт сверки не составляется.</w:t>
      </w:r>
    </w:p>
    <w:p>
      <w:pPr>
        <w:pStyle w:val="3"/>
        <w:shd w:val="clear" w:color="auto" w:fill="FFFFFF" w:themeFill="background1"/>
        <w:spacing w:after="0"/>
        <w:ind w:firstLine="708"/>
        <w:jc w:val="both"/>
        <w:rPr>
          <w:sz w:val="24"/>
          <w:szCs w:val="24"/>
        </w:rPr>
      </w:pPr>
      <w:r>
        <w:rPr>
          <w:sz w:val="24"/>
          <w:szCs w:val="24"/>
        </w:rPr>
        <w:t xml:space="preserve">Результаты инвентаризации отражать на соответствующих счётах бюджетного учёта. </w:t>
      </w:r>
    </w:p>
    <w:p>
      <w:pPr>
        <w:ind w:firstLine="709"/>
        <w:jc w:val="both"/>
        <w:rPr>
          <w:rFonts w:eastAsiaTheme="minorHAnsi"/>
          <w:sz w:val="24"/>
          <w:szCs w:val="24"/>
        </w:rPr>
      </w:pPr>
      <w:r>
        <w:rPr>
          <w:rFonts w:eastAsiaTheme="minorHAnsi"/>
          <w:sz w:val="24"/>
          <w:szCs w:val="24"/>
        </w:rPr>
        <w:t xml:space="preserve">В целях оформления решения начальника Управления о проведении инвентаризации с указанием: причины проведения инвентаризации, объектов инвентаризации, сроков проведения инвентаризации, даты, по состоянию на которую проводится инвентаризация, состава инвентаризационных комиссий, ответственных лиц, в отношении которых проводится инвентаризация, мест проведения инвентаризации  применяется Решение                  о проведении инвентаризации </w:t>
      </w:r>
      <w:hyperlink r:id="rId49" w:history="1">
        <w:r>
          <w:rPr>
            <w:rFonts w:eastAsiaTheme="minorHAnsi"/>
            <w:sz w:val="24"/>
            <w:szCs w:val="24"/>
          </w:rPr>
          <w:t>(ф. 0510439)</w:t>
        </w:r>
      </w:hyperlink>
      <w:r>
        <w:rPr>
          <w:rFonts w:eastAsiaTheme="minorHAnsi"/>
          <w:sz w:val="24"/>
          <w:szCs w:val="24"/>
        </w:rPr>
        <w:t xml:space="preserve"> (далее -  Решение о инвентаризации) (</w:t>
      </w:r>
      <w:hyperlink r:id="rId50" w:history="1">
        <w:r>
          <w:rPr>
            <w:rFonts w:eastAsiaTheme="minorHAnsi"/>
            <w:sz w:val="24"/>
            <w:szCs w:val="24"/>
          </w:rPr>
          <w:t>п. 32</w:t>
        </w:r>
      </w:hyperlink>
      <w:r>
        <w:rPr>
          <w:rFonts w:eastAsiaTheme="minorHAnsi"/>
          <w:sz w:val="24"/>
          <w:szCs w:val="24"/>
        </w:rPr>
        <w:t xml:space="preserve"> Методических указаний Приказа № 61н).</w:t>
      </w:r>
    </w:p>
    <w:p>
      <w:pPr>
        <w:ind w:firstLine="709"/>
        <w:jc w:val="both"/>
        <w:rPr>
          <w:rFonts w:eastAsiaTheme="minorHAnsi"/>
          <w:sz w:val="24"/>
          <w:szCs w:val="24"/>
        </w:rPr>
      </w:pPr>
      <w:r>
        <w:rPr>
          <w:rFonts w:eastAsiaTheme="minorHAnsi"/>
          <w:sz w:val="24"/>
          <w:szCs w:val="24"/>
        </w:rPr>
        <w:t>Начальник Отдела, как ответственный исполнитель, подписывает Решение о инвентаризации квалифицированной электронной подписью. Начальник Управления (его заместитель) утверждает Решение о инвентаризации с применением квалифицированной электронной подписи (</w:t>
      </w:r>
      <w:hyperlink r:id="rId51" w:history="1">
        <w:r>
          <w:rPr>
            <w:rFonts w:eastAsiaTheme="minorHAnsi"/>
            <w:sz w:val="24"/>
            <w:szCs w:val="24"/>
          </w:rPr>
          <w:t>п. 35</w:t>
        </w:r>
      </w:hyperlink>
      <w:r>
        <w:rPr>
          <w:rFonts w:eastAsiaTheme="minorHAnsi"/>
          <w:sz w:val="24"/>
          <w:szCs w:val="24"/>
        </w:rPr>
        <w:t xml:space="preserve"> Методических указаний Приказа № 61н).</w:t>
      </w:r>
    </w:p>
    <w:p>
      <w:pPr>
        <w:ind w:firstLine="709"/>
        <w:jc w:val="both"/>
        <w:rPr>
          <w:rFonts w:eastAsiaTheme="minorHAnsi"/>
          <w:sz w:val="24"/>
          <w:szCs w:val="24"/>
        </w:rPr>
      </w:pPr>
      <w:hyperlink r:id="rId52" w:history="1">
        <w:r>
          <w:rPr>
            <w:rFonts w:eastAsiaTheme="minorHAnsi"/>
            <w:sz w:val="24"/>
            <w:szCs w:val="24"/>
          </w:rPr>
          <w:t>Изменение</w:t>
        </w:r>
      </w:hyperlink>
      <w:r>
        <w:rPr>
          <w:rFonts w:eastAsiaTheme="minorHAnsi"/>
          <w:sz w:val="24"/>
          <w:szCs w:val="24"/>
        </w:rPr>
        <w:t xml:space="preserve"> Решения о проведении инвентаризации (код формы 0510447) (далее - Изменение Решения (ф. 0510447) применяется в целях внесения изменений в Решение о инвентаризации или его аннулирования. Внесение изменений в Решение о инвентаризации допускается до начала проведения инвентаризации.</w:t>
      </w:r>
    </w:p>
    <w:p>
      <w:pPr>
        <w:ind w:firstLine="709"/>
        <w:jc w:val="both"/>
        <w:rPr>
          <w:rFonts w:eastAsiaTheme="minorHAnsi"/>
          <w:sz w:val="24"/>
          <w:szCs w:val="24"/>
        </w:rPr>
      </w:pPr>
      <w:r>
        <w:rPr>
          <w:rFonts w:eastAsiaTheme="minorHAnsi"/>
          <w:sz w:val="24"/>
          <w:szCs w:val="24"/>
        </w:rPr>
        <w:t>В случае отсутствия возможности оформления Решения о инвентаризации</w:t>
      </w:r>
      <w:r>
        <w:rPr>
          <w:rFonts w:eastAsiaTheme="minorHAnsi"/>
          <w:color w:val="0000FF"/>
          <w:sz w:val="24"/>
          <w:szCs w:val="24"/>
        </w:rPr>
        <w:t xml:space="preserve"> </w:t>
      </w:r>
      <w:r>
        <w:rPr>
          <w:rFonts w:eastAsiaTheme="minorHAnsi"/>
          <w:sz w:val="24"/>
          <w:szCs w:val="24"/>
        </w:rPr>
        <w:t>в электронном виде, оно формируется на бумажном носителе.</w:t>
      </w:r>
    </w:p>
    <w:p>
      <w:pPr>
        <w:pStyle w:val="3"/>
        <w:shd w:val="clear" w:color="auto" w:fill="FFFFFF" w:themeFill="background1"/>
        <w:spacing w:after="0"/>
        <w:ind w:firstLine="708"/>
        <w:jc w:val="both"/>
        <w:rPr>
          <w:sz w:val="24"/>
          <w:szCs w:val="24"/>
        </w:rPr>
      </w:pPr>
      <w:r>
        <w:rPr>
          <w:sz w:val="24"/>
          <w:szCs w:val="24"/>
        </w:rPr>
        <w:t>Ежегодно проводить инвентаризацию имущества и обязательств, числящихся на забалансовых счётах в сроки, установленные для инвентаризации имущества, числящегося на балансе в соответствии с Положением о проведении инвентаризации забалансовых счетов (Приложение № 11).</w:t>
      </w:r>
    </w:p>
    <w:p>
      <w:pPr>
        <w:pStyle w:val="1"/>
        <w:shd w:val="clear" w:color="auto" w:fill="FFFFFF" w:themeFill="background1"/>
        <w:spacing w:before="0"/>
        <w:ind w:firstLine="708"/>
        <w:jc w:val="both"/>
        <w:rPr>
          <w:rFonts w:ascii="Times New Roman" w:hAnsi="Times New Roman" w:cs="Times New Roman"/>
          <w:b w:val="0"/>
          <w:bCs w:val="0"/>
          <w:caps/>
          <w:color w:val="auto"/>
          <w:sz w:val="24"/>
          <w:szCs w:val="24"/>
        </w:rPr>
      </w:pPr>
      <w:proofErr w:type="gramStart"/>
      <w:r>
        <w:rPr>
          <w:rFonts w:ascii="Times New Roman" w:hAnsi="Times New Roman" w:cs="Times New Roman"/>
          <w:b w:val="0"/>
          <w:color w:val="auto"/>
          <w:sz w:val="24"/>
          <w:szCs w:val="24"/>
        </w:rPr>
        <w:t>2.22  В</w:t>
      </w:r>
      <w:proofErr w:type="gramEnd"/>
      <w:r>
        <w:rPr>
          <w:rFonts w:ascii="Times New Roman" w:hAnsi="Times New Roman" w:cs="Times New Roman"/>
          <w:b w:val="0"/>
          <w:color w:val="auto"/>
          <w:sz w:val="24"/>
          <w:szCs w:val="24"/>
        </w:rPr>
        <w:t xml:space="preserve"> соответствии с п. 4 ст. 29 Закона № 402-ФЗ, при смене начальника Управления и (или) начальника Отдела либо иного должностного лица, на которое возложено ведение бюджетного учёта,</w:t>
      </w:r>
      <w:r>
        <w:rPr>
          <w:rFonts w:ascii="Times New Roman" w:hAnsi="Times New Roman" w:cs="Times New Roman"/>
          <w:b w:val="0"/>
          <w:i/>
          <w:iCs/>
          <w:color w:val="auto"/>
          <w:sz w:val="24"/>
          <w:szCs w:val="24"/>
        </w:rPr>
        <w:t xml:space="preserve"> </w:t>
      </w:r>
      <w:r>
        <w:rPr>
          <w:rFonts w:ascii="Times New Roman" w:hAnsi="Times New Roman" w:cs="Times New Roman"/>
          <w:b w:val="0"/>
          <w:color w:val="auto"/>
          <w:sz w:val="24"/>
          <w:szCs w:val="24"/>
        </w:rPr>
        <w:t xml:space="preserve">должна обеспечиваться передача документов бюджетного учёта Управления. Порядок передачи документов в Управлении регулируется положением о </w:t>
      </w:r>
      <w:r>
        <w:rPr>
          <w:rFonts w:ascii="Times New Roman" w:hAnsi="Times New Roman" w:cs="Times New Roman"/>
          <w:b w:val="0"/>
          <w:bCs w:val="0"/>
          <w:color w:val="auto"/>
          <w:sz w:val="24"/>
          <w:szCs w:val="24"/>
        </w:rPr>
        <w:t xml:space="preserve">порядке передачи документов при смене </w:t>
      </w:r>
      <w:r>
        <w:rPr>
          <w:rFonts w:ascii="Times New Roman" w:hAnsi="Times New Roman" w:cs="Times New Roman"/>
          <w:b w:val="0"/>
          <w:color w:val="auto"/>
          <w:sz w:val="24"/>
          <w:szCs w:val="24"/>
        </w:rPr>
        <w:t>начальника Управления и (или) начальника Отдела (Приложение № 19)</w:t>
      </w:r>
      <w:r>
        <w:rPr>
          <w:rFonts w:ascii="Times New Roman" w:hAnsi="Times New Roman" w:cs="Times New Roman"/>
          <w:b w:val="0"/>
          <w:bCs w:val="0"/>
          <w:color w:val="auto"/>
          <w:sz w:val="24"/>
          <w:szCs w:val="24"/>
        </w:rPr>
        <w:t>.</w:t>
      </w:r>
    </w:p>
    <w:p>
      <w:pPr>
        <w:ind w:firstLine="708"/>
        <w:jc w:val="both"/>
        <w:rPr>
          <w:spacing w:val="-2"/>
          <w:sz w:val="24"/>
          <w:szCs w:val="24"/>
          <w:lang w:eastAsia="en-US"/>
        </w:rPr>
      </w:pPr>
      <w:r>
        <w:rPr>
          <w:spacing w:val="-2"/>
          <w:sz w:val="24"/>
          <w:szCs w:val="24"/>
        </w:rPr>
        <w:t xml:space="preserve">2.23 Исправление ошибок прошлых лет отражать в учёте в соответствии                                         с требованиями СГС «Учётная политика» и разделом </w:t>
      </w:r>
      <w:r>
        <w:rPr>
          <w:spacing w:val="-2"/>
          <w:sz w:val="24"/>
          <w:szCs w:val="24"/>
          <w:lang w:val="en-US"/>
        </w:rPr>
        <w:t>V</w:t>
      </w:r>
      <w:r>
        <w:rPr>
          <w:spacing w:val="-2"/>
          <w:sz w:val="24"/>
          <w:szCs w:val="24"/>
        </w:rPr>
        <w:t xml:space="preserve"> письма Минфина России от 31.08.2018 № 02-06-07</w:t>
      </w:r>
      <w:r>
        <w:rPr>
          <w:spacing w:val="-2"/>
          <w:sz w:val="24"/>
          <w:szCs w:val="24"/>
          <w:lang w:eastAsia="en-US"/>
        </w:rPr>
        <w:t>/62480 «О направлении Методических указаний по применению положений СГС «Учётная политика, оценочные значения и ошибки».</w:t>
      </w:r>
    </w:p>
    <w:p>
      <w:pPr>
        <w:ind w:firstLine="708"/>
        <w:jc w:val="both"/>
        <w:rPr>
          <w:sz w:val="24"/>
          <w:szCs w:val="24"/>
          <w:lang w:eastAsia="en-US"/>
        </w:rPr>
      </w:pPr>
      <w:r>
        <w:rPr>
          <w:sz w:val="24"/>
          <w:szCs w:val="24"/>
          <w:lang w:eastAsia="en-US"/>
        </w:rPr>
        <w:t>Ошибкой в бухгалтерской (финансовой) отчётности считается пропуск и (или) искажение, возникшее при ведении бухгалтерского учёта и (или) формировании бухгалтерской (финансовой) отчётности в результате неправильного использования или неиспользования информации о фактах хозяйственной жизни отчётного периода, которая была доступна на дату подписания бухгалтерской (финансовой) отчётности и должна была быть получена и использована при подготовке бухгалтерской (финансовой) отчётности (далее – ошибка отчётного периода).</w:t>
      </w:r>
    </w:p>
    <w:p>
      <w:pPr>
        <w:ind w:firstLine="708"/>
        <w:jc w:val="both"/>
        <w:rPr>
          <w:sz w:val="24"/>
          <w:szCs w:val="24"/>
          <w:lang w:eastAsia="en-US"/>
        </w:rPr>
      </w:pPr>
      <w:r>
        <w:rPr>
          <w:sz w:val="24"/>
          <w:szCs w:val="24"/>
          <w:lang w:eastAsia="en-US"/>
        </w:rPr>
        <w:t>Ошибка отчётного периода, выявленная после завершения мероприятий по внешнему финансовому контролю, исправляется в бухгалтерском учёте и (или) бухгалтерской (финансовой) отчётности как ошибка прошлых лет.</w:t>
      </w:r>
    </w:p>
    <w:p>
      <w:pPr>
        <w:ind w:firstLine="708"/>
        <w:jc w:val="both"/>
        <w:rPr>
          <w:sz w:val="24"/>
          <w:szCs w:val="24"/>
          <w:lang w:eastAsia="en-US"/>
        </w:rPr>
      </w:pPr>
      <w:r>
        <w:rPr>
          <w:sz w:val="24"/>
          <w:szCs w:val="24"/>
          <w:lang w:eastAsia="en-US"/>
        </w:rPr>
        <w:t xml:space="preserve">В случае, когда ошибка в бухгалтерской (финансовой) отчётности была допущена при ведении бухгалтерского учёта, ее исправление осуществляется дополнительной бухгалтерской записью либо бухгалтерской записью способом «Красное </w:t>
      </w:r>
      <w:proofErr w:type="spellStart"/>
      <w:proofErr w:type="gramStart"/>
      <w:r>
        <w:rPr>
          <w:sz w:val="24"/>
          <w:szCs w:val="24"/>
          <w:lang w:eastAsia="en-US"/>
        </w:rPr>
        <w:t>сторно</w:t>
      </w:r>
      <w:proofErr w:type="spellEnd"/>
      <w:r>
        <w:rPr>
          <w:sz w:val="24"/>
          <w:szCs w:val="24"/>
          <w:lang w:eastAsia="en-US"/>
        </w:rPr>
        <w:t xml:space="preserve">»   </w:t>
      </w:r>
      <w:proofErr w:type="gramEnd"/>
      <w:r>
        <w:rPr>
          <w:sz w:val="24"/>
          <w:szCs w:val="24"/>
          <w:lang w:eastAsia="en-US"/>
        </w:rPr>
        <w:t xml:space="preserve">                    и дополнительной бухгалтерской записью с формированием бухгалтерской (финансовой) отчётности с учётом выявленных ошибок (корректировки бухгалтерской (финансовой) отчётности.</w:t>
      </w:r>
    </w:p>
    <w:p>
      <w:pPr>
        <w:ind w:firstLine="708"/>
        <w:jc w:val="both"/>
        <w:rPr>
          <w:sz w:val="24"/>
          <w:szCs w:val="24"/>
          <w:lang w:eastAsia="en-US"/>
        </w:rPr>
      </w:pPr>
      <w:r>
        <w:rPr>
          <w:sz w:val="24"/>
          <w:szCs w:val="24"/>
          <w:lang w:eastAsia="en-US"/>
        </w:rPr>
        <w:t>В случае, когда ошибка в бухгалтерской (финансовой) отчётности была допущена при формировании бухгалтерской (финансовой) отчётности, такая ошибка уточняется посредством корректировки бухгалтерской (финансовой) отчётности (формированием уточненной бухгалтерской (финансовой) отчётности) и (или) раскрытия информации                   в бухгалтерской (финансовой) отчётности.</w:t>
      </w:r>
    </w:p>
    <w:p>
      <w:pPr>
        <w:ind w:firstLine="708"/>
        <w:jc w:val="both"/>
        <w:rPr>
          <w:spacing w:val="-2"/>
          <w:sz w:val="24"/>
          <w:szCs w:val="24"/>
          <w:lang w:eastAsia="en-US"/>
        </w:rPr>
      </w:pPr>
      <w:bookmarkStart w:id="0" w:name="Par2"/>
      <w:bookmarkEnd w:id="0"/>
      <w:r>
        <w:rPr>
          <w:spacing w:val="-2"/>
          <w:sz w:val="24"/>
          <w:szCs w:val="24"/>
          <w:lang w:eastAsia="en-US"/>
        </w:rPr>
        <w:t xml:space="preserve">Исправление ошибки отчётного года осуществляется в зависимости от периода её обнаружения (факторов, выявивших такую ошибку) дополнительной бухгалтерской записью либо бухгалтерской записью способом «Красное </w:t>
      </w:r>
      <w:proofErr w:type="spellStart"/>
      <w:r>
        <w:rPr>
          <w:spacing w:val="-2"/>
          <w:sz w:val="24"/>
          <w:szCs w:val="24"/>
          <w:lang w:eastAsia="en-US"/>
        </w:rPr>
        <w:t>сторно</w:t>
      </w:r>
      <w:proofErr w:type="spellEnd"/>
      <w:r>
        <w:rPr>
          <w:spacing w:val="-2"/>
          <w:sz w:val="24"/>
          <w:szCs w:val="24"/>
          <w:lang w:eastAsia="en-US"/>
        </w:rPr>
        <w:t>» и дополнительной бухгалтерской записью с формированием бухгалтерской (финансовой) отчётности с учётом выявленных ошибок (корректировки бухгалтерской (финансовой) отчётности и (или) раскрытия информации в бухгалтерской (финансовой) отчётности):</w:t>
      </w:r>
    </w:p>
    <w:p>
      <w:pPr>
        <w:ind w:firstLine="708"/>
        <w:jc w:val="both"/>
        <w:rPr>
          <w:spacing w:val="-4"/>
          <w:sz w:val="24"/>
          <w:szCs w:val="24"/>
          <w:lang w:eastAsia="en-US"/>
        </w:rPr>
      </w:pPr>
      <w:proofErr w:type="gramStart"/>
      <w:r>
        <w:rPr>
          <w:spacing w:val="-4"/>
          <w:sz w:val="24"/>
          <w:szCs w:val="24"/>
          <w:lang w:eastAsia="en-US"/>
        </w:rPr>
        <w:t>а</w:t>
      </w:r>
      <w:proofErr w:type="gramEnd"/>
      <w:r>
        <w:rPr>
          <w:spacing w:val="-4"/>
          <w:sz w:val="24"/>
          <w:szCs w:val="24"/>
          <w:lang w:eastAsia="en-US"/>
        </w:rPr>
        <w:t>) по решению Управления – при выявлении по результатам осуществления внутреннего контроля после подписания бухгалтерской (финансовой) отчётности, но до предельной даты её представления;</w:t>
      </w:r>
    </w:p>
    <w:p>
      <w:pPr>
        <w:ind w:firstLine="708"/>
        <w:jc w:val="both"/>
        <w:rPr>
          <w:spacing w:val="-2"/>
          <w:sz w:val="24"/>
          <w:szCs w:val="24"/>
          <w:lang w:eastAsia="en-US"/>
        </w:rPr>
      </w:pPr>
      <w:bookmarkStart w:id="1" w:name="Par4"/>
      <w:bookmarkEnd w:id="1"/>
      <w:proofErr w:type="gramStart"/>
      <w:r>
        <w:rPr>
          <w:spacing w:val="-2"/>
          <w:sz w:val="24"/>
          <w:szCs w:val="24"/>
          <w:lang w:eastAsia="en-US"/>
        </w:rPr>
        <w:t>б</w:t>
      </w:r>
      <w:proofErr w:type="gramEnd"/>
      <w:r>
        <w:rPr>
          <w:spacing w:val="-2"/>
          <w:sz w:val="24"/>
          <w:szCs w:val="24"/>
          <w:lang w:eastAsia="en-US"/>
        </w:rPr>
        <w:t>) по решению уполномоченного органа – при выявлении по результатам камеральной проверки бухгалтерской (финансовой) отчётности после предельной даты её представления, но до даты её принятия уполномоченным органом (исходя из существенности ошибки, повлиявшей на достоверность бухгалтерской (финансовой) отчётности);</w:t>
      </w:r>
    </w:p>
    <w:p>
      <w:pPr>
        <w:ind w:firstLine="708"/>
        <w:jc w:val="both"/>
        <w:rPr>
          <w:spacing w:val="-2"/>
          <w:sz w:val="24"/>
          <w:szCs w:val="24"/>
          <w:lang w:eastAsia="en-US"/>
        </w:rPr>
      </w:pPr>
      <w:bookmarkStart w:id="2" w:name="Par5"/>
      <w:bookmarkEnd w:id="2"/>
      <w:proofErr w:type="gramStart"/>
      <w:r>
        <w:rPr>
          <w:spacing w:val="-2"/>
          <w:sz w:val="24"/>
          <w:szCs w:val="24"/>
          <w:lang w:eastAsia="en-US"/>
        </w:rPr>
        <w:t>в</w:t>
      </w:r>
      <w:proofErr w:type="gramEnd"/>
      <w:r>
        <w:rPr>
          <w:spacing w:val="-2"/>
          <w:sz w:val="24"/>
          <w:szCs w:val="24"/>
          <w:lang w:eastAsia="en-US"/>
        </w:rPr>
        <w:t>) по решению уполномоченного органа – при выявлении по результатам осуществления внутреннего финансового контроля, внешнего финансового контроля,                   а также внутреннего контроля или внутреннего финансового аудита после даты принятия бухгалтерской (финансовой) отчётности, но до даты её утверждения (исходя из существенности ошибки, повлиявшей на достоверность бухгалтерской (финансовой) отчётности).</w:t>
      </w:r>
    </w:p>
    <w:p>
      <w:pPr>
        <w:ind w:firstLine="708"/>
        <w:jc w:val="both"/>
        <w:rPr>
          <w:spacing w:val="-2"/>
          <w:sz w:val="24"/>
          <w:szCs w:val="24"/>
          <w:lang w:eastAsia="en-US"/>
        </w:rPr>
      </w:pPr>
      <w:r>
        <w:rPr>
          <w:spacing w:val="-2"/>
          <w:sz w:val="24"/>
          <w:szCs w:val="24"/>
          <w:lang w:eastAsia="en-US"/>
        </w:rPr>
        <w:t xml:space="preserve">При этом уточненная бухгалтерская (финансовая) отчётность, исправленная по решению уполномоченного органа, повторно направляется уполномоченному </w:t>
      </w:r>
      <w:proofErr w:type="gramStart"/>
      <w:r>
        <w:rPr>
          <w:spacing w:val="-2"/>
          <w:sz w:val="24"/>
          <w:szCs w:val="24"/>
          <w:lang w:eastAsia="en-US"/>
        </w:rPr>
        <w:t xml:space="preserve">органу,   </w:t>
      </w:r>
      <w:proofErr w:type="gramEnd"/>
      <w:r>
        <w:rPr>
          <w:spacing w:val="-2"/>
          <w:sz w:val="24"/>
          <w:szCs w:val="24"/>
          <w:lang w:eastAsia="en-US"/>
        </w:rPr>
        <w:t xml:space="preserve">               а также иным пользователям, которым была представлена бухгалтерская (финансовая) отчётность до её уточнения. В Пояснениях к уточненной бухгалтерской (финансовой) отчётности приводится информация об изменениях в ранее представленную бухгалтерскую (финансовую) отчётность с указанием причин внесения исправлений и их содержании.</w:t>
      </w:r>
    </w:p>
    <w:p>
      <w:pPr>
        <w:ind w:firstLine="708"/>
        <w:jc w:val="both"/>
        <w:rPr>
          <w:spacing w:val="-4"/>
          <w:sz w:val="24"/>
          <w:szCs w:val="24"/>
          <w:lang w:eastAsia="en-US"/>
        </w:rPr>
      </w:pPr>
      <w:r>
        <w:rPr>
          <w:spacing w:val="-4"/>
          <w:sz w:val="24"/>
          <w:szCs w:val="24"/>
          <w:lang w:eastAsia="en-US"/>
        </w:rPr>
        <w:t>В этих случаях записи по счётам бухгалтерского учёта отражаются последней отчётной датой отчётного периода и (или) путем формирования бухгалтерской (финансовой) отчётности, содержащей уточненные показатели с учётом выявленных и исправленных ошибок.</w:t>
      </w:r>
    </w:p>
    <w:p>
      <w:pPr>
        <w:ind w:firstLine="708"/>
        <w:jc w:val="both"/>
        <w:rPr>
          <w:sz w:val="24"/>
          <w:szCs w:val="24"/>
          <w:lang w:eastAsia="en-US"/>
        </w:rPr>
      </w:pPr>
      <w:r>
        <w:rPr>
          <w:sz w:val="24"/>
          <w:szCs w:val="24"/>
          <w:lang w:eastAsia="en-US"/>
        </w:rPr>
        <w:t xml:space="preserve">Датой принятия бухгалтерской (финансовой) отчётности </w:t>
      </w:r>
      <w:proofErr w:type="spellStart"/>
      <w:r>
        <w:rPr>
          <w:sz w:val="24"/>
          <w:szCs w:val="24"/>
          <w:lang w:eastAsia="en-US"/>
        </w:rPr>
        <w:t>финорганом</w:t>
      </w:r>
      <w:proofErr w:type="spellEnd"/>
      <w:r>
        <w:rPr>
          <w:sz w:val="24"/>
          <w:szCs w:val="24"/>
          <w:lang w:eastAsia="en-US"/>
        </w:rPr>
        <w:t xml:space="preserve"> считается дата проставления им отметки (направления уведомления) о принятии бухгалтерской (финансовой) отчётности по результатам проведения камеральной проверки бухгалтерской (финансовой) отчётности.</w:t>
      </w:r>
    </w:p>
    <w:p>
      <w:pPr>
        <w:ind w:firstLine="708"/>
        <w:jc w:val="both"/>
        <w:rPr>
          <w:sz w:val="24"/>
          <w:szCs w:val="24"/>
          <w:lang w:eastAsia="en-US"/>
        </w:rPr>
      </w:pPr>
      <w:r>
        <w:rPr>
          <w:sz w:val="24"/>
          <w:szCs w:val="24"/>
          <w:lang w:eastAsia="en-US"/>
        </w:rPr>
        <w:t xml:space="preserve">Ошибка прошлых лет, допущенная при ведении бухгалтерского учёта, исправляется в бухгалтерском учёте дополнительной бухгалтерской записью, либо бухгалтерской записью способом «Красное </w:t>
      </w:r>
      <w:proofErr w:type="spellStart"/>
      <w:r>
        <w:rPr>
          <w:sz w:val="24"/>
          <w:szCs w:val="24"/>
          <w:lang w:eastAsia="en-US"/>
        </w:rPr>
        <w:t>сторно</w:t>
      </w:r>
      <w:proofErr w:type="spellEnd"/>
      <w:r>
        <w:rPr>
          <w:sz w:val="24"/>
          <w:szCs w:val="24"/>
          <w:lang w:eastAsia="en-US"/>
        </w:rPr>
        <w:t>» и дополнительной бухгалтерской записью по счётам бухгалтерского учёта в период (на дату) обнаружения ошибки и ретроспективного пересчёта бухгалтерской (финансовой) отчётности.</w:t>
      </w:r>
    </w:p>
    <w:p>
      <w:pPr>
        <w:ind w:firstLine="708"/>
        <w:jc w:val="both"/>
        <w:rPr>
          <w:sz w:val="24"/>
          <w:szCs w:val="24"/>
          <w:lang w:eastAsia="en-US"/>
        </w:rPr>
      </w:pPr>
      <w:r>
        <w:rPr>
          <w:sz w:val="24"/>
          <w:szCs w:val="24"/>
          <w:lang w:eastAsia="en-US"/>
        </w:rPr>
        <w:t>В случае, когда ошибка прошлых лет была допущена при формировании бухгалтерской (финансовой) отчётности, такая ошибка уточняется посредством ретроспективного пересчёта бухгалтерской (финансовой) отчётности и (или) раскрытия информации в бухгалтерской (финансовой) отчётности.</w:t>
      </w:r>
    </w:p>
    <w:p>
      <w:pPr>
        <w:ind w:firstLine="708"/>
        <w:jc w:val="both"/>
        <w:rPr>
          <w:sz w:val="24"/>
          <w:szCs w:val="24"/>
          <w:lang w:eastAsia="en-US"/>
        </w:rPr>
      </w:pPr>
      <w:r>
        <w:rPr>
          <w:sz w:val="24"/>
          <w:szCs w:val="24"/>
          <w:lang w:eastAsia="en-US"/>
        </w:rPr>
        <w:t>Исправление ошибки прошлых лет осуществляется в зависимости от периода её обнаружения (факторов, выявивших такую ошибку) по решению субъекта учёта или уполномоченного органа с формированием уточненной бухгалтерской (финансовой) отчётности, содержащей ретроспективный пересчёт.</w:t>
      </w:r>
    </w:p>
    <w:p>
      <w:pPr>
        <w:ind w:firstLine="708"/>
        <w:jc w:val="both"/>
        <w:rPr>
          <w:spacing w:val="2"/>
          <w:sz w:val="24"/>
          <w:szCs w:val="24"/>
          <w:lang w:eastAsia="en-US"/>
        </w:rPr>
      </w:pPr>
      <w:r>
        <w:rPr>
          <w:spacing w:val="2"/>
          <w:sz w:val="24"/>
          <w:szCs w:val="24"/>
          <w:lang w:eastAsia="en-US"/>
        </w:rPr>
        <w:t>Корректировке подлежат сравнительные показатели, раскрываемые                                  в бухгалтерской (финансовой) отчётности за отчётный год, начиная с того предшествующего года, в котором была допущена ошибка, за исключением случаев, когда осуществление такой корректировки не представляется возможным. Скорректированные сравнительные показатели предшествующего года (годов) приводятся в бухгалтерской (финансовой) отчётности отчётного года обособленно                    с отметкой «Пересчитано».</w:t>
      </w:r>
    </w:p>
    <w:p>
      <w:pPr>
        <w:ind w:firstLine="708"/>
        <w:jc w:val="both"/>
        <w:rPr>
          <w:spacing w:val="-6"/>
          <w:sz w:val="24"/>
          <w:szCs w:val="24"/>
          <w:lang w:eastAsia="en-US"/>
        </w:rPr>
      </w:pPr>
      <w:r>
        <w:rPr>
          <w:spacing w:val="-6"/>
          <w:sz w:val="24"/>
          <w:szCs w:val="24"/>
          <w:lang w:eastAsia="en-US"/>
        </w:rPr>
        <w:t>К сравнительным показателям, раскрываемым в бухгалтерской (финансовой) отчётности относятся, в частности: показатели на начало отчётного периода (начало года, предшествующего отчетному периоду (году), показатели на конец отчётного периода (месяца, квартала, полугодия, 9 месяцев) года, предшествующего отчетному периоду (году), обороты по показателям за отчётный период года, предшествующего отчётному периоду (году).</w:t>
      </w:r>
    </w:p>
    <w:p>
      <w:pPr>
        <w:ind w:firstLine="708"/>
        <w:jc w:val="both"/>
        <w:rPr>
          <w:sz w:val="24"/>
          <w:szCs w:val="24"/>
        </w:rPr>
      </w:pPr>
      <w:r>
        <w:rPr>
          <w:sz w:val="24"/>
          <w:szCs w:val="24"/>
        </w:rPr>
        <w:t xml:space="preserve">2.24 </w:t>
      </w:r>
      <w:r>
        <w:rPr>
          <w:sz w:val="24"/>
          <w:szCs w:val="24"/>
          <w:lang w:eastAsia="en-US"/>
        </w:rPr>
        <w:t xml:space="preserve">Исправительные операции по исправлению ошибок прошлых лет отражать                    в отдельном регистре – Журнале операций по исправлению ошибок прошлых лет                   </w:t>
      </w:r>
      <w:proofErr w:type="gramStart"/>
      <w:r>
        <w:rPr>
          <w:sz w:val="24"/>
          <w:szCs w:val="24"/>
          <w:lang w:eastAsia="en-US"/>
        </w:rPr>
        <w:t xml:space="preserve">   (</w:t>
      </w:r>
      <w:proofErr w:type="gramEnd"/>
      <w:r>
        <w:fldChar w:fldCharType="begin"/>
      </w:r>
      <w:r>
        <w:instrText xml:space="preserve"> HYPERLINK "consultantplus://offline/ref=19209E805C5240C2774C32E7A9468E903070A061DF33E28BCF105B2CA808D0C93586709E19FA8901234B9DF67798FF5B3F1A4279BDBD039Ek0t7B" </w:instrText>
      </w:r>
      <w:r>
        <w:fldChar w:fldCharType="separate"/>
      </w:r>
      <w:r>
        <w:rPr>
          <w:sz w:val="24"/>
          <w:szCs w:val="24"/>
          <w:lang w:eastAsia="en-US"/>
        </w:rPr>
        <w:t>ф. 0504071</w:t>
      </w:r>
      <w:r>
        <w:rPr>
          <w:sz w:val="24"/>
          <w:szCs w:val="24"/>
          <w:lang w:eastAsia="en-US"/>
        </w:rPr>
        <w:fldChar w:fldCharType="end"/>
      </w:r>
      <w:r>
        <w:rPr>
          <w:sz w:val="24"/>
          <w:szCs w:val="24"/>
          <w:lang w:eastAsia="en-US"/>
        </w:rPr>
        <w:t xml:space="preserve">). </w:t>
      </w:r>
      <w:r>
        <w:rPr>
          <w:sz w:val="24"/>
          <w:szCs w:val="24"/>
        </w:rPr>
        <w:t xml:space="preserve">Записи в Журнал операций по исправлению ошибок прошлых лет отражаются на основании операций, отраженных на обособленных счётах бюджетного учёта, предусмотренных для отражения операций по исправлению ошибок прошлых лет, оформленных Бухгалтерской справкой </w:t>
      </w:r>
      <w:hyperlink r:id="rId53" w:history="1">
        <w:r>
          <w:rPr>
            <w:sz w:val="24"/>
            <w:szCs w:val="24"/>
          </w:rPr>
          <w:t>(ф. 0504833)</w:t>
        </w:r>
      </w:hyperlink>
      <w:r>
        <w:rPr>
          <w:sz w:val="24"/>
          <w:szCs w:val="24"/>
        </w:rPr>
        <w:t>.</w:t>
      </w:r>
    </w:p>
    <w:p>
      <w:pPr>
        <w:ind w:firstLine="708"/>
        <w:jc w:val="both"/>
        <w:rPr>
          <w:sz w:val="24"/>
          <w:szCs w:val="24"/>
          <w:lang w:eastAsia="en-US"/>
        </w:rPr>
      </w:pPr>
      <w:r>
        <w:rPr>
          <w:sz w:val="24"/>
          <w:szCs w:val="24"/>
        </w:rPr>
        <w:t xml:space="preserve">2.25 </w:t>
      </w:r>
      <w:r>
        <w:rPr>
          <w:sz w:val="24"/>
          <w:szCs w:val="24"/>
          <w:lang w:eastAsia="en-US"/>
        </w:rPr>
        <w:t>В конце отчётного периода аналитические счета исправления ошибок закрывать в рамках реформации баланса на счёт учёта финансового результата прошлых лет так же, как и основные счета (0 401 10 000, 0 401 20 000, 0 304 06 000).</w:t>
      </w:r>
    </w:p>
    <w:p>
      <w:pPr>
        <w:pStyle w:val="s1"/>
        <w:spacing w:before="0" w:beforeAutospacing="0" w:after="0" w:afterAutospacing="0"/>
        <w:ind w:firstLine="708"/>
        <w:jc w:val="both"/>
        <w:rPr>
          <w:color w:val="000000" w:themeColor="text1"/>
        </w:rPr>
      </w:pPr>
      <w:r>
        <w:rPr>
          <w:color w:val="000000" w:themeColor="text1"/>
        </w:rPr>
        <w:t xml:space="preserve">Аналитический учет операций по исправлению ошибок прошлых лет ведется в разрезе кодов причин образования ошибок прошлых лет. </w:t>
      </w:r>
    </w:p>
    <w:p>
      <w:pPr>
        <w:pStyle w:val="s1"/>
        <w:spacing w:before="0" w:beforeAutospacing="0" w:after="0" w:afterAutospacing="0"/>
        <w:ind w:firstLine="708"/>
        <w:jc w:val="both"/>
        <w:rPr>
          <w:color w:val="000000" w:themeColor="text1"/>
        </w:rPr>
      </w:pPr>
      <w:r>
        <w:rPr>
          <w:color w:val="000000" w:themeColor="text1"/>
        </w:rPr>
        <w:t>В целях управленческого учета операций по исправлению ошибок прошлых лет, выявленных Управлением самостоятельно и отраженных в балансовом учете с применением счетов 401 18, 401 19, 401 28, 401 29, 304 86, 304 96, а также на забалансовых счетах, применяется субконто:</w:t>
      </w:r>
    </w:p>
    <w:p>
      <w:pPr>
        <w:jc w:val="both"/>
        <w:rPr>
          <w:color w:val="000000" w:themeColor="text1"/>
          <w:sz w:val="24"/>
          <w:szCs w:val="24"/>
        </w:rPr>
      </w:pPr>
      <w:r>
        <w:rPr>
          <w:color w:val="000000" w:themeColor="text1"/>
          <w:sz w:val="24"/>
          <w:szCs w:val="24"/>
        </w:rPr>
        <w:t>03.1 - несвоевременное поступление первичных учетных документов;</w:t>
      </w:r>
    </w:p>
    <w:p>
      <w:pPr>
        <w:jc w:val="both"/>
        <w:rPr>
          <w:color w:val="000000" w:themeColor="text1"/>
          <w:sz w:val="24"/>
          <w:szCs w:val="24"/>
        </w:rPr>
      </w:pPr>
      <w:r>
        <w:rPr>
          <w:color w:val="000000" w:themeColor="text1"/>
          <w:sz w:val="24"/>
          <w:szCs w:val="24"/>
        </w:rPr>
        <w:t>03.2 - несвоевременное отражение фактов хозяйственной жизни в регистрах бухгалтерского учета;</w:t>
      </w:r>
    </w:p>
    <w:p>
      <w:pPr>
        <w:jc w:val="both"/>
        <w:rPr>
          <w:color w:val="000000" w:themeColor="text1"/>
          <w:sz w:val="24"/>
          <w:szCs w:val="24"/>
        </w:rPr>
      </w:pPr>
      <w:r>
        <w:rPr>
          <w:color w:val="000000" w:themeColor="text1"/>
          <w:sz w:val="24"/>
          <w:szCs w:val="24"/>
        </w:rPr>
        <w:t>03.3 - ошибки в применении счетов бухгалтерского учета;</w:t>
      </w:r>
    </w:p>
    <w:p>
      <w:pPr>
        <w:jc w:val="both"/>
        <w:rPr>
          <w:color w:val="000000" w:themeColor="text1"/>
          <w:sz w:val="24"/>
          <w:szCs w:val="24"/>
        </w:rPr>
      </w:pPr>
      <w:r>
        <w:rPr>
          <w:color w:val="000000" w:themeColor="text1"/>
          <w:sz w:val="24"/>
          <w:szCs w:val="24"/>
        </w:rPr>
        <w:t>03.4 - ошибки, допущенные при отражении бухгалтерских записей на основании первичного учетного документа (за исключением ошибок в применении счетов бухгалтерского учета);</w:t>
      </w:r>
    </w:p>
    <w:p>
      <w:pPr>
        <w:jc w:val="both"/>
        <w:rPr>
          <w:color w:val="000000" w:themeColor="text1"/>
          <w:sz w:val="24"/>
          <w:szCs w:val="24"/>
        </w:rPr>
      </w:pPr>
      <w:r>
        <w:rPr>
          <w:color w:val="000000" w:themeColor="text1"/>
          <w:sz w:val="24"/>
          <w:szCs w:val="24"/>
        </w:rPr>
        <w:t>03.5 - иные причины.</w:t>
      </w:r>
    </w:p>
    <w:p>
      <w:pPr>
        <w:pStyle w:val="s1"/>
        <w:spacing w:before="0" w:beforeAutospacing="0" w:after="0" w:afterAutospacing="0"/>
        <w:ind w:firstLine="708"/>
        <w:jc w:val="both"/>
        <w:rPr>
          <w:color w:val="000000" w:themeColor="text1"/>
        </w:rPr>
      </w:pPr>
      <w:r>
        <w:rPr>
          <w:color w:val="000000" w:themeColor="text1"/>
        </w:rPr>
        <w:t>В целях управленческого учета операций по исправлению ошибок прошлых лет, выявленных по результатам внешнего (внутреннего) муниципального финансового контроля и отраженных в балансовом учете с применением счетов 401 16, 401 17, 401 26, 401 27, 304 66, 304 76, а также на забалансовых счетах, применяется субконто:</w:t>
      </w:r>
    </w:p>
    <w:p>
      <w:pPr>
        <w:jc w:val="both"/>
        <w:rPr>
          <w:color w:val="000000" w:themeColor="text1"/>
          <w:sz w:val="24"/>
          <w:szCs w:val="24"/>
        </w:rPr>
      </w:pPr>
      <w:r>
        <w:rPr>
          <w:color w:val="000000" w:themeColor="text1"/>
          <w:sz w:val="24"/>
          <w:szCs w:val="24"/>
        </w:rPr>
        <w:t>07.1 - несвоевременное поступление первичных учетных документов;</w:t>
      </w:r>
    </w:p>
    <w:p>
      <w:pPr>
        <w:jc w:val="both"/>
        <w:rPr>
          <w:color w:val="000000" w:themeColor="text1"/>
          <w:sz w:val="24"/>
          <w:szCs w:val="24"/>
        </w:rPr>
      </w:pPr>
      <w:r>
        <w:rPr>
          <w:color w:val="000000" w:themeColor="text1"/>
          <w:sz w:val="24"/>
          <w:szCs w:val="24"/>
        </w:rPr>
        <w:t>07.2 - несвоевременное отражение фактов хозяйственной жизни в регистрах бухгалтерского учета;</w:t>
      </w:r>
    </w:p>
    <w:p>
      <w:pPr>
        <w:jc w:val="both"/>
        <w:rPr>
          <w:color w:val="000000" w:themeColor="text1"/>
          <w:sz w:val="24"/>
          <w:szCs w:val="24"/>
        </w:rPr>
      </w:pPr>
      <w:r>
        <w:rPr>
          <w:color w:val="000000" w:themeColor="text1"/>
          <w:sz w:val="24"/>
          <w:szCs w:val="24"/>
        </w:rPr>
        <w:t>07.3 - ошибки в применении счетов бухгалтерского учета;</w:t>
      </w:r>
    </w:p>
    <w:p>
      <w:pPr>
        <w:jc w:val="both"/>
        <w:rPr>
          <w:color w:val="000000" w:themeColor="text1"/>
          <w:sz w:val="24"/>
          <w:szCs w:val="24"/>
        </w:rPr>
      </w:pPr>
      <w:r>
        <w:rPr>
          <w:color w:val="000000" w:themeColor="text1"/>
          <w:sz w:val="24"/>
          <w:szCs w:val="24"/>
        </w:rPr>
        <w:t>07.4 - ошибки, допущенные при отражении бухгалтерских записей на основании первичного учетного документа (за исключением ошибок в применении счетов бухгалтерского учета);</w:t>
      </w:r>
    </w:p>
    <w:p>
      <w:pPr>
        <w:jc w:val="both"/>
        <w:rPr>
          <w:color w:val="000000" w:themeColor="text1"/>
          <w:sz w:val="24"/>
          <w:szCs w:val="24"/>
        </w:rPr>
      </w:pPr>
      <w:r>
        <w:rPr>
          <w:color w:val="000000" w:themeColor="text1"/>
          <w:sz w:val="24"/>
          <w:szCs w:val="24"/>
        </w:rPr>
        <w:t>07.5 - иные причины.</w:t>
      </w:r>
    </w:p>
    <w:p>
      <w:pPr>
        <w:ind w:firstLine="708"/>
        <w:jc w:val="both"/>
        <w:rPr>
          <w:sz w:val="24"/>
          <w:szCs w:val="24"/>
          <w:lang w:eastAsia="en-US"/>
        </w:rPr>
      </w:pPr>
      <w:r>
        <w:rPr>
          <w:sz w:val="24"/>
          <w:szCs w:val="24"/>
        </w:rPr>
        <w:t>2.26 П</w:t>
      </w:r>
      <w:r>
        <w:rPr>
          <w:sz w:val="24"/>
          <w:szCs w:val="24"/>
          <w:lang w:eastAsia="en-US"/>
        </w:rPr>
        <w:t>оказатели бюджетной отчётности на начало отчётного периода (в любых формах отчётности) отражаются с учётом их корректировок по исправительным записям выявленных ошибок прошлых лет.</w:t>
      </w:r>
    </w:p>
    <w:p>
      <w:pPr>
        <w:ind w:firstLine="567"/>
        <w:jc w:val="both"/>
        <w:rPr>
          <w:bCs/>
          <w:iCs/>
          <w:sz w:val="24"/>
          <w:szCs w:val="24"/>
        </w:rPr>
      </w:pPr>
    </w:p>
    <w:p>
      <w:pPr>
        <w:ind w:firstLine="708"/>
        <w:jc w:val="center"/>
        <w:rPr>
          <w:b/>
          <w:bCs/>
          <w:iCs/>
          <w:sz w:val="24"/>
          <w:szCs w:val="24"/>
        </w:rPr>
      </w:pPr>
      <w:r>
        <w:rPr>
          <w:b/>
          <w:bCs/>
          <w:iCs/>
          <w:sz w:val="24"/>
          <w:szCs w:val="24"/>
        </w:rPr>
        <w:t xml:space="preserve">3. Расчёты по доходам, </w:t>
      </w:r>
      <w:r>
        <w:rPr>
          <w:b/>
          <w:bCs/>
          <w:spacing w:val="2"/>
          <w:sz w:val="24"/>
          <w:szCs w:val="24"/>
        </w:rPr>
        <w:t>источникам финансирования дефицита бюджета.</w:t>
      </w:r>
    </w:p>
    <w:p>
      <w:pPr>
        <w:ind w:firstLine="567"/>
        <w:jc w:val="both"/>
        <w:rPr>
          <w:bCs/>
          <w:iCs/>
          <w:sz w:val="24"/>
          <w:szCs w:val="24"/>
        </w:rPr>
      </w:pPr>
    </w:p>
    <w:p>
      <w:pPr>
        <w:ind w:firstLine="708"/>
        <w:jc w:val="both"/>
        <w:rPr>
          <w:sz w:val="24"/>
          <w:szCs w:val="24"/>
        </w:rPr>
      </w:pPr>
      <w:r>
        <w:rPr>
          <w:sz w:val="24"/>
          <w:szCs w:val="24"/>
        </w:rPr>
        <w:t>3.1.Признание доходов в бухгалтерском учёте осуществлять методом начисления               в соответствии с п</w:t>
      </w:r>
      <w:r>
        <w:rPr>
          <w:sz w:val="24"/>
          <w:szCs w:val="24"/>
          <w:lang w:eastAsia="en-US"/>
        </w:rPr>
        <w:t>риказом Минфина РФ от 27.02.2018 № 32н «Об утверждении федерального стандарта бюджетного учёта для организаций муниципального сектора «Доходы» (далее – СГС «Доходы»)</w:t>
      </w:r>
      <w:r>
        <w:rPr>
          <w:sz w:val="24"/>
          <w:szCs w:val="24"/>
        </w:rPr>
        <w:t xml:space="preserve"> и п</w:t>
      </w:r>
      <w:r>
        <w:rPr>
          <w:sz w:val="24"/>
          <w:szCs w:val="24"/>
          <w:lang w:eastAsia="en-US"/>
        </w:rPr>
        <w:t>риказом Минфина РФ от 29.06.2018 № 145н «Об утверждении федерального стандарта бюджетного учёта для организаций муниципального сектора «Долгосрочные договоры» (далее – СГС «Долгосрочные договоры»)</w:t>
      </w:r>
      <w:r>
        <w:rPr>
          <w:sz w:val="24"/>
          <w:szCs w:val="24"/>
        </w:rPr>
        <w:t>.</w:t>
      </w:r>
    </w:p>
    <w:p>
      <w:pPr>
        <w:widowControl/>
        <w:ind w:firstLine="708"/>
        <w:jc w:val="both"/>
        <w:rPr>
          <w:sz w:val="24"/>
          <w:szCs w:val="24"/>
        </w:rPr>
      </w:pPr>
      <w:r>
        <w:rPr>
          <w:sz w:val="24"/>
          <w:szCs w:val="24"/>
        </w:rPr>
        <w:t>Управление осуществляет бюджетные полномочия главного администратора доходов бюджета, главного администратора финансирования дефицита бюджета.</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Pr>
          <w:sz w:val="24"/>
          <w:szCs w:val="24"/>
        </w:rPr>
        <w:t xml:space="preserve">            Порядок осуществления полномочий главного администратора доходов бюджета, главного администратора финансирования дефицита бюджета определяется                                в соответствии с законодательством России и нормативными документами. </w:t>
      </w:r>
    </w:p>
    <w:p>
      <w:pPr>
        <w:widowControl/>
        <w:ind w:firstLine="708"/>
        <w:jc w:val="both"/>
        <w:rPr>
          <w:sz w:val="24"/>
          <w:szCs w:val="24"/>
        </w:rPr>
      </w:pPr>
      <w:r>
        <w:rPr>
          <w:sz w:val="24"/>
          <w:szCs w:val="24"/>
        </w:rPr>
        <w:t>Перечень администрируемых доходов, источников финансирования дефицита бюджета утверждается Решением Думы ЗАТО Северск.</w:t>
      </w:r>
    </w:p>
    <w:p>
      <w:pPr>
        <w:widowControl/>
        <w:ind w:firstLine="708"/>
        <w:jc w:val="both"/>
        <w:rPr>
          <w:sz w:val="24"/>
          <w:szCs w:val="24"/>
        </w:rPr>
      </w:pPr>
      <w:r>
        <w:rPr>
          <w:sz w:val="24"/>
          <w:szCs w:val="24"/>
        </w:rPr>
        <w:t>3.2 Основанием для отражения операций по поступлениям и выбытиям являются:</w:t>
      </w:r>
    </w:p>
    <w:p>
      <w:pPr>
        <w:widowControl/>
        <w:ind w:firstLine="708"/>
        <w:jc w:val="both"/>
        <w:rPr>
          <w:sz w:val="24"/>
          <w:szCs w:val="24"/>
        </w:rPr>
      </w:pPr>
      <w:r>
        <w:rPr>
          <w:sz w:val="24"/>
          <w:szCs w:val="24"/>
        </w:rPr>
        <w:t xml:space="preserve">- выписки из лицевого счёта администратора доходов бюджета </w:t>
      </w:r>
      <w:hyperlink r:id="rId54" w:history="1">
        <w:r>
          <w:rPr>
            <w:sz w:val="24"/>
            <w:szCs w:val="24"/>
          </w:rPr>
          <w:t>(ф. 0531761)</w:t>
        </w:r>
      </w:hyperlink>
      <w:r>
        <w:rPr>
          <w:sz w:val="24"/>
          <w:szCs w:val="24"/>
        </w:rPr>
        <w:t>;</w:t>
      </w:r>
    </w:p>
    <w:p>
      <w:pPr>
        <w:widowControl/>
        <w:ind w:firstLine="708"/>
        <w:jc w:val="both"/>
        <w:rPr>
          <w:sz w:val="24"/>
          <w:szCs w:val="24"/>
        </w:rPr>
      </w:pPr>
      <w:r>
        <w:rPr>
          <w:sz w:val="24"/>
          <w:szCs w:val="24"/>
        </w:rPr>
        <w:t xml:space="preserve">- выписки из лицевого счёта администратора источников финансирования дефицита бюджета </w:t>
      </w:r>
      <w:hyperlink r:id="rId55" w:history="1">
        <w:r>
          <w:rPr>
            <w:sz w:val="24"/>
            <w:szCs w:val="24"/>
          </w:rPr>
          <w:t>(ф. 0531764)</w:t>
        </w:r>
      </w:hyperlink>
      <w:r>
        <w:rPr>
          <w:sz w:val="24"/>
          <w:szCs w:val="24"/>
        </w:rPr>
        <w:t>;</w:t>
      </w:r>
    </w:p>
    <w:p>
      <w:pPr>
        <w:widowControl/>
        <w:ind w:firstLine="708"/>
        <w:jc w:val="both"/>
        <w:rPr>
          <w:bCs/>
          <w:spacing w:val="2"/>
          <w:sz w:val="24"/>
          <w:szCs w:val="24"/>
        </w:rPr>
      </w:pPr>
      <w:r>
        <w:rPr>
          <w:sz w:val="24"/>
          <w:szCs w:val="24"/>
        </w:rPr>
        <w:t>- с</w:t>
      </w:r>
      <w:r>
        <w:rPr>
          <w:bCs/>
          <w:spacing w:val="2"/>
          <w:sz w:val="24"/>
          <w:szCs w:val="24"/>
        </w:rPr>
        <w:t xml:space="preserve">правки о перечислении поступлений в бюджеты </w:t>
      </w:r>
      <w:hyperlink r:id="rId56" w:history="1">
        <w:r>
          <w:rPr>
            <w:bCs/>
            <w:spacing w:val="2"/>
            <w:sz w:val="24"/>
            <w:szCs w:val="24"/>
          </w:rPr>
          <w:t>(ф. 0531468)</w:t>
        </w:r>
      </w:hyperlink>
      <w:r>
        <w:rPr>
          <w:bCs/>
          <w:spacing w:val="2"/>
          <w:sz w:val="24"/>
          <w:szCs w:val="24"/>
        </w:rPr>
        <w:t>.</w:t>
      </w:r>
    </w:p>
    <w:p>
      <w:pPr>
        <w:widowControl/>
        <w:ind w:firstLine="708"/>
        <w:jc w:val="both"/>
        <w:rPr>
          <w:bCs/>
          <w:spacing w:val="2"/>
          <w:sz w:val="24"/>
          <w:szCs w:val="24"/>
        </w:rPr>
      </w:pPr>
      <w:r>
        <w:rPr>
          <w:bCs/>
          <w:spacing w:val="2"/>
          <w:sz w:val="24"/>
          <w:szCs w:val="24"/>
        </w:rPr>
        <w:t>Сверка отчётных данных по поступлениям в бюджет ЗАТО Северск с УФК по Томской области (далее - орган Казначейства) осуществляется ежемесячно.</w:t>
      </w:r>
    </w:p>
    <w:p>
      <w:pPr>
        <w:widowControl/>
        <w:ind w:firstLine="708"/>
        <w:jc w:val="both"/>
        <w:rPr>
          <w:bCs/>
          <w:spacing w:val="2"/>
          <w:sz w:val="24"/>
          <w:szCs w:val="24"/>
        </w:rPr>
      </w:pPr>
      <w:r>
        <w:rPr>
          <w:bCs/>
          <w:spacing w:val="2"/>
          <w:sz w:val="24"/>
          <w:szCs w:val="24"/>
        </w:rPr>
        <w:t>Информация предоставляется органом Казначейства в соответствии с обращением о передаче отдельных функций финансового органа бюджета ЗАТО Северск и первичными документами, согласно которым отражены операции на лицевых счетах администраторов.</w:t>
      </w:r>
    </w:p>
    <w:p>
      <w:pPr>
        <w:widowControl/>
        <w:ind w:firstLine="708"/>
        <w:jc w:val="both"/>
        <w:rPr>
          <w:bCs/>
          <w:spacing w:val="2"/>
          <w:sz w:val="24"/>
          <w:szCs w:val="24"/>
        </w:rPr>
      </w:pPr>
      <w:r>
        <w:rPr>
          <w:bCs/>
          <w:spacing w:val="2"/>
          <w:sz w:val="24"/>
          <w:szCs w:val="24"/>
        </w:rPr>
        <w:t>3.3 Начисление доходов и иных платежей в бюджет ЗАТО Северск отражается в бюджетном учёте главным администратором доходов на основании соответствующих документов (договоров, актов, расчётов и др.) по состоянию на дату.</w:t>
      </w:r>
    </w:p>
    <w:p>
      <w:pPr>
        <w:ind w:firstLine="708"/>
        <w:jc w:val="both"/>
        <w:rPr>
          <w:sz w:val="24"/>
          <w:szCs w:val="24"/>
        </w:rPr>
      </w:pPr>
      <w:r>
        <w:rPr>
          <w:sz w:val="24"/>
          <w:szCs w:val="24"/>
        </w:rPr>
        <w:t>Начисление дохода отражать в следующих случаях: увеличился полезный потенциал; Управление получает экономическую выгоду.</w:t>
      </w:r>
    </w:p>
    <w:p>
      <w:pPr>
        <w:ind w:firstLine="708"/>
        <w:jc w:val="both"/>
        <w:rPr>
          <w:sz w:val="24"/>
          <w:szCs w:val="24"/>
        </w:rPr>
      </w:pPr>
      <w:r>
        <w:rPr>
          <w:sz w:val="24"/>
          <w:szCs w:val="24"/>
        </w:rPr>
        <w:t>Доход признается в случаях, когда его сумму можно надежно оценить (п.7 СГС «Доходы»).</w:t>
      </w:r>
    </w:p>
    <w:p>
      <w:pPr>
        <w:ind w:firstLine="708"/>
        <w:jc w:val="both"/>
        <w:rPr>
          <w:sz w:val="24"/>
          <w:szCs w:val="24"/>
        </w:rPr>
      </w:pPr>
      <w:r>
        <w:rPr>
          <w:sz w:val="24"/>
          <w:szCs w:val="24"/>
        </w:rPr>
        <w:t>По договорам с отсроченным сроком действия, признание в учёте доходов, осуществлять в соответствии с началом срока действия.</w:t>
      </w:r>
    </w:p>
    <w:p>
      <w:pPr>
        <w:widowControl/>
        <w:ind w:firstLine="708"/>
        <w:jc w:val="both"/>
        <w:rPr>
          <w:rFonts w:eastAsiaTheme="minorHAnsi"/>
          <w:sz w:val="24"/>
          <w:szCs w:val="24"/>
          <w:lang w:eastAsia="en-US"/>
        </w:rPr>
      </w:pPr>
      <w:r>
        <w:rPr>
          <w:rFonts w:eastAsiaTheme="minorHAnsi"/>
          <w:sz w:val="24"/>
          <w:szCs w:val="24"/>
          <w:lang w:eastAsia="en-US"/>
        </w:rPr>
        <w:t xml:space="preserve">3.4 Передача дебиторской задолженности на основании решения иному администратору доходов бюджета в рамках одного бюджета бюджетной системы Российской Федерации отражается по дебету счета </w:t>
      </w:r>
      <w:hyperlink r:id="rId57" w:history="1">
        <w:r>
          <w:rPr>
            <w:rFonts w:eastAsiaTheme="minorHAnsi"/>
            <w:sz w:val="24"/>
            <w:szCs w:val="24"/>
            <w:lang w:eastAsia="en-US"/>
          </w:rPr>
          <w:t>040120241</w:t>
        </w:r>
      </w:hyperlink>
      <w:r>
        <w:rPr>
          <w:rFonts w:eastAsiaTheme="minorHAnsi"/>
          <w:sz w:val="24"/>
          <w:szCs w:val="24"/>
          <w:lang w:eastAsia="en-US"/>
        </w:rPr>
        <w:t xml:space="preserve"> «Расходы по безвозмездным перечислениям текущего характера государственным (муниципальным) Управлениям» и кредиту соответствующих счетов аналитического учета счета </w:t>
      </w:r>
      <w:hyperlink r:id="rId58" w:history="1">
        <w:r>
          <w:rPr>
            <w:rFonts w:eastAsiaTheme="minorHAnsi"/>
            <w:sz w:val="24"/>
            <w:szCs w:val="24"/>
            <w:lang w:eastAsia="en-US"/>
          </w:rPr>
          <w:t>020900000</w:t>
        </w:r>
      </w:hyperlink>
      <w:r>
        <w:rPr>
          <w:rFonts w:eastAsiaTheme="minorHAnsi"/>
          <w:sz w:val="24"/>
          <w:szCs w:val="24"/>
          <w:lang w:eastAsia="en-US"/>
        </w:rPr>
        <w:t xml:space="preserve"> «Расчеты по ущербу и иным доходам»  (письмо Минфина РФ от 06.08.2020 г. № 02-07-10/69106).</w:t>
      </w:r>
    </w:p>
    <w:p>
      <w:pPr>
        <w:ind w:firstLine="708"/>
        <w:jc w:val="both"/>
        <w:rPr>
          <w:rFonts w:eastAsiaTheme="minorHAnsi"/>
          <w:sz w:val="24"/>
          <w:szCs w:val="24"/>
          <w:lang w:eastAsia="en-US"/>
        </w:rPr>
      </w:pPr>
      <w:r>
        <w:rPr>
          <w:rFonts w:eastAsiaTheme="minorHAnsi"/>
          <w:sz w:val="24"/>
          <w:szCs w:val="24"/>
          <w:lang w:eastAsia="en-US"/>
        </w:rPr>
        <w:t xml:space="preserve">3.5 Доходы от штрафов, пеней, неустоек, возмещения ущерба признаются в учёте на дату возникновения требования к плательщику штрафов, пеней, неустоек, возмещения ущерба. </w:t>
      </w:r>
    </w:p>
    <w:p>
      <w:pPr>
        <w:ind w:firstLine="708"/>
        <w:jc w:val="both"/>
        <w:rPr>
          <w:rFonts w:eastAsiaTheme="minorHAnsi"/>
          <w:sz w:val="24"/>
          <w:szCs w:val="24"/>
          <w:lang w:eastAsia="en-US"/>
        </w:rPr>
      </w:pPr>
      <w:r>
        <w:rPr>
          <w:rFonts w:eastAsiaTheme="minorHAnsi"/>
          <w:sz w:val="24"/>
          <w:szCs w:val="24"/>
          <w:lang w:eastAsia="en-US"/>
        </w:rPr>
        <w:t xml:space="preserve">До вступления в силу вынесенного постановления (решения суда) по делу об административном правонарушении признание в бухгалтерском учёте дебиторской задолженности лица, в отношении которого вынесено такое постановление, осуществляется с использованием счёта </w:t>
      </w:r>
      <w:hyperlink r:id="rId59" w:history="1">
        <w:r>
          <w:rPr>
            <w:rFonts w:eastAsiaTheme="minorHAnsi"/>
            <w:sz w:val="24"/>
            <w:szCs w:val="24"/>
            <w:lang w:eastAsia="en-US"/>
          </w:rPr>
          <w:t>140141145</w:t>
        </w:r>
      </w:hyperlink>
      <w:r>
        <w:rPr>
          <w:rFonts w:eastAsiaTheme="minorHAnsi"/>
          <w:sz w:val="24"/>
          <w:szCs w:val="24"/>
          <w:lang w:eastAsia="en-US"/>
        </w:rPr>
        <w:t xml:space="preserve"> «Прочие доходы будущих периодов от сумм принудительного изъятия».</w:t>
      </w:r>
    </w:p>
    <w:p>
      <w:pPr>
        <w:ind w:firstLine="708"/>
        <w:jc w:val="both"/>
        <w:rPr>
          <w:rFonts w:eastAsiaTheme="minorHAnsi"/>
          <w:sz w:val="24"/>
          <w:szCs w:val="24"/>
          <w:lang w:eastAsia="en-US"/>
        </w:rPr>
      </w:pPr>
      <w:r>
        <w:rPr>
          <w:rFonts w:eastAsiaTheme="minorHAnsi"/>
          <w:sz w:val="24"/>
          <w:szCs w:val="24"/>
          <w:lang w:eastAsia="en-US"/>
        </w:rPr>
        <w:t xml:space="preserve">При вступлении в силу вынесенного постановления (решения суда) по делу об административном правонарушении поступление в доход текущего финансового периода сумм штрафов, установленных </w:t>
      </w:r>
      <w:hyperlink r:id="rId60" w:history="1">
        <w:r>
          <w:rPr>
            <w:rFonts w:eastAsiaTheme="minorHAnsi"/>
            <w:sz w:val="24"/>
            <w:szCs w:val="24"/>
            <w:lang w:eastAsia="en-US"/>
          </w:rPr>
          <w:t>Кодексом</w:t>
        </w:r>
      </w:hyperlink>
      <w:r>
        <w:rPr>
          <w:rFonts w:eastAsiaTheme="minorHAnsi"/>
          <w:sz w:val="24"/>
          <w:szCs w:val="24"/>
          <w:lang w:eastAsia="en-US"/>
        </w:rPr>
        <w:t xml:space="preserve"> Российской Федерации об административных правонарушениях, отражается по дебету счёта </w:t>
      </w:r>
      <w:hyperlink r:id="rId61" w:history="1">
        <w:r>
          <w:rPr>
            <w:rFonts w:eastAsiaTheme="minorHAnsi"/>
            <w:sz w:val="24"/>
            <w:szCs w:val="24"/>
            <w:lang w:eastAsia="en-US"/>
          </w:rPr>
          <w:t>140141145</w:t>
        </w:r>
      </w:hyperlink>
      <w:r>
        <w:rPr>
          <w:rFonts w:eastAsiaTheme="minorHAnsi"/>
          <w:sz w:val="24"/>
          <w:szCs w:val="24"/>
          <w:lang w:eastAsia="en-US"/>
        </w:rPr>
        <w:t xml:space="preserve"> «Прочие доходы будущих периодов от сумм принудительного изъятия» и кредиту счёта </w:t>
      </w:r>
      <w:hyperlink r:id="rId62" w:history="1">
        <w:r>
          <w:rPr>
            <w:rFonts w:eastAsiaTheme="minorHAnsi"/>
            <w:sz w:val="24"/>
            <w:szCs w:val="24"/>
            <w:lang w:eastAsia="en-US"/>
          </w:rPr>
          <w:t>140110145</w:t>
        </w:r>
      </w:hyperlink>
      <w:r>
        <w:rPr>
          <w:rFonts w:eastAsiaTheme="minorHAnsi"/>
          <w:sz w:val="24"/>
          <w:szCs w:val="24"/>
          <w:lang w:eastAsia="en-US"/>
        </w:rPr>
        <w:t xml:space="preserve"> «Прочие доходы текущего финансового года от сумм принудительного изъятия» (</w:t>
      </w:r>
      <w:hyperlink r:id="rId63" w:history="1">
        <w:r>
          <w:rPr>
            <w:rFonts w:eastAsiaTheme="minorHAnsi"/>
            <w:sz w:val="24"/>
            <w:szCs w:val="24"/>
            <w:lang w:eastAsia="en-US"/>
          </w:rPr>
          <w:t>п.34</w:t>
        </w:r>
      </w:hyperlink>
      <w:r>
        <w:rPr>
          <w:rFonts w:eastAsiaTheme="minorHAnsi"/>
          <w:sz w:val="24"/>
          <w:szCs w:val="24"/>
          <w:lang w:eastAsia="en-US"/>
        </w:rPr>
        <w:t xml:space="preserve"> СГС «Доходы») (письмо Минфина РФ от 03.07.2020 г. №02-07-10/57990).</w:t>
      </w:r>
    </w:p>
    <w:p>
      <w:pPr>
        <w:ind w:firstLine="708"/>
        <w:jc w:val="both"/>
        <w:rPr>
          <w:sz w:val="24"/>
          <w:szCs w:val="24"/>
        </w:rPr>
      </w:pPr>
      <w:r>
        <w:rPr>
          <w:sz w:val="24"/>
          <w:szCs w:val="24"/>
        </w:rPr>
        <w:t xml:space="preserve">Основанием для отражения в учёте штрафных санкций поставщику является признанная им претензия. </w:t>
      </w:r>
    </w:p>
    <w:p>
      <w:pPr>
        <w:widowControl/>
        <w:ind w:firstLine="708"/>
        <w:jc w:val="both"/>
        <w:rPr>
          <w:bCs/>
          <w:spacing w:val="2"/>
          <w:sz w:val="24"/>
          <w:szCs w:val="24"/>
        </w:rPr>
      </w:pPr>
      <w:r>
        <w:rPr>
          <w:bCs/>
          <w:spacing w:val="2"/>
          <w:sz w:val="24"/>
          <w:szCs w:val="24"/>
        </w:rPr>
        <w:t xml:space="preserve">3.6 Начисление поступлений источников финансирования дефицита </w:t>
      </w:r>
      <w:r>
        <w:rPr>
          <w:sz w:val="24"/>
          <w:szCs w:val="24"/>
        </w:rPr>
        <w:t xml:space="preserve">по перечислению остатков средств бюджетных и автономных учреждений  с соответствующих счётов органа Федерального казначейства в бюджет ЗАТО Северск,  а также их возврат на счёта указанных учреждений отражаются по коду классификации источников финансирования дефицита бюджетов 000 01 06 10 02 04 0000  «Иные источники внутреннего финансирования дефицитов бюджетов» и код </w:t>
      </w:r>
      <w:r>
        <w:rPr>
          <w:bCs/>
          <w:spacing w:val="2"/>
          <w:sz w:val="24"/>
          <w:szCs w:val="24"/>
        </w:rPr>
        <w:t>статьи классификации операций сектора муниципального управления 550  «Увеличение стоимости иных финансовых активов». Начисление производится в последний день месяца на основании отчёта о состоянии лицевого счёта 08653000030.</w:t>
      </w:r>
    </w:p>
    <w:p>
      <w:pPr>
        <w:ind w:firstLine="708"/>
        <w:jc w:val="both"/>
        <w:rPr>
          <w:sz w:val="24"/>
          <w:szCs w:val="24"/>
        </w:rPr>
      </w:pPr>
      <w:r>
        <w:rPr>
          <w:sz w:val="24"/>
          <w:szCs w:val="24"/>
        </w:rPr>
        <w:t>3.7 СГС «Долгосрочные договоры» применять в части заключения договоров возмездного оказания услуг и договоров подряда, срок которых превышает 12 месяцев.</w:t>
      </w:r>
    </w:p>
    <w:p>
      <w:pPr>
        <w:ind w:firstLine="708"/>
        <w:jc w:val="both"/>
        <w:rPr>
          <w:sz w:val="24"/>
          <w:szCs w:val="24"/>
        </w:rPr>
      </w:pPr>
      <w:r>
        <w:rPr>
          <w:sz w:val="24"/>
          <w:szCs w:val="24"/>
        </w:rPr>
        <w:t>СГС «Долгосрочные договоры» не применять в отношении договоров возмездного оказания услуг и договоров подряда, в отношении которых не выполняются следующие условия:</w:t>
      </w:r>
    </w:p>
    <w:p>
      <w:pPr>
        <w:ind w:firstLine="708"/>
        <w:jc w:val="both"/>
        <w:rPr>
          <w:sz w:val="24"/>
          <w:szCs w:val="24"/>
        </w:rPr>
      </w:pPr>
      <w:r>
        <w:rPr>
          <w:sz w:val="24"/>
          <w:szCs w:val="24"/>
        </w:rPr>
        <w:t>- не установлены сроки исполнения договора (начальный и конечный);</w:t>
      </w:r>
    </w:p>
    <w:p>
      <w:pPr>
        <w:ind w:firstLine="708"/>
        <w:jc w:val="both"/>
        <w:rPr>
          <w:sz w:val="24"/>
          <w:szCs w:val="24"/>
        </w:rPr>
      </w:pPr>
      <w:r>
        <w:rPr>
          <w:sz w:val="24"/>
          <w:szCs w:val="24"/>
        </w:rPr>
        <w:t>- цена оказываемых услуг (работ) определяется для отдельного отчётного периода исходя из фиксированной стоимости единицы работы (услуги), при условии, что общий объём работ (услуг) по таким договорам не определен.</w:t>
      </w:r>
    </w:p>
    <w:p>
      <w:pPr>
        <w:ind w:firstLine="708"/>
        <w:jc w:val="both"/>
        <w:rPr>
          <w:rFonts w:eastAsiaTheme="minorHAnsi"/>
          <w:sz w:val="24"/>
          <w:szCs w:val="24"/>
          <w:lang w:eastAsia="en-US"/>
        </w:rPr>
      </w:pPr>
      <w:r>
        <w:rPr>
          <w:rFonts w:eastAsiaTheme="minorHAnsi"/>
          <w:sz w:val="24"/>
          <w:szCs w:val="24"/>
          <w:lang w:eastAsia="en-US"/>
        </w:rPr>
        <w:t xml:space="preserve">Группировку расчётов осуществлять в разрезе видов доходов бюджета, администрируемых Управлением в рамках выполнения полномочий главного администратора доходов бюджета, по аналитическим группам синтетического счёта объектов учёта, указанным в </w:t>
      </w:r>
      <w:hyperlink r:id="rId64" w:history="1">
        <w:r>
          <w:rPr>
            <w:rFonts w:eastAsiaTheme="minorHAnsi"/>
            <w:sz w:val="24"/>
            <w:szCs w:val="24"/>
            <w:lang w:eastAsia="en-US"/>
          </w:rPr>
          <w:t>п. 9</w:t>
        </w:r>
      </w:hyperlink>
      <w:r>
        <w:rPr>
          <w:rFonts w:eastAsiaTheme="minorHAnsi"/>
          <w:sz w:val="24"/>
          <w:szCs w:val="24"/>
          <w:lang w:eastAsia="en-US"/>
        </w:rPr>
        <w:t>5 Приказа № 121н</w:t>
      </w:r>
      <w:r>
        <w:rPr>
          <w:rFonts w:eastAsiaTheme="minorHAnsi"/>
          <w:i/>
          <w:iCs/>
          <w:sz w:val="24"/>
          <w:szCs w:val="24"/>
          <w:lang w:eastAsia="en-US"/>
        </w:rPr>
        <w:t>.</w:t>
      </w:r>
    </w:p>
    <w:p>
      <w:pPr>
        <w:ind w:firstLine="567"/>
        <w:jc w:val="center"/>
        <w:rPr>
          <w:rFonts w:eastAsia="Calibri"/>
          <w:b/>
          <w:sz w:val="24"/>
          <w:szCs w:val="24"/>
        </w:rPr>
      </w:pPr>
    </w:p>
    <w:p>
      <w:pPr>
        <w:ind w:firstLine="567"/>
        <w:jc w:val="center"/>
        <w:rPr>
          <w:rFonts w:eastAsia="Calibri"/>
          <w:b/>
          <w:sz w:val="24"/>
          <w:szCs w:val="24"/>
        </w:rPr>
      </w:pPr>
      <w:r>
        <w:rPr>
          <w:rFonts w:eastAsia="Calibri"/>
          <w:b/>
          <w:sz w:val="24"/>
          <w:szCs w:val="24"/>
        </w:rPr>
        <w:t>4. Компенсации затрат Управления.</w:t>
      </w:r>
    </w:p>
    <w:p>
      <w:pPr>
        <w:ind w:firstLine="567"/>
        <w:jc w:val="both"/>
        <w:rPr>
          <w:rFonts w:eastAsia="Calibri"/>
          <w:b/>
          <w:sz w:val="24"/>
          <w:szCs w:val="24"/>
        </w:rPr>
      </w:pPr>
    </w:p>
    <w:p>
      <w:pPr>
        <w:ind w:firstLine="708"/>
        <w:jc w:val="both"/>
        <w:rPr>
          <w:rFonts w:eastAsiaTheme="minorHAnsi"/>
          <w:sz w:val="24"/>
          <w:szCs w:val="24"/>
          <w:lang w:eastAsia="en-US"/>
        </w:rPr>
      </w:pPr>
      <w:r>
        <w:rPr>
          <w:rFonts w:eastAsia="Calibri"/>
          <w:sz w:val="24"/>
          <w:szCs w:val="24"/>
        </w:rPr>
        <w:t>4.1 Доходы Управления, полученные в виде компенсации понесённых им затрат отражать на счёте 120934000 «Расчёты по компенсации затрат», 120936000 «</w:t>
      </w:r>
      <w:r>
        <w:rPr>
          <w:rFonts w:eastAsiaTheme="minorHAnsi"/>
          <w:sz w:val="24"/>
          <w:szCs w:val="24"/>
          <w:lang w:eastAsia="en-US"/>
        </w:rPr>
        <w:t>Расчёты по доходам бюджета от возврата дебиторской задолженности прошлых лет».</w:t>
      </w:r>
    </w:p>
    <w:p>
      <w:pPr>
        <w:jc w:val="both"/>
        <w:rPr>
          <w:rFonts w:eastAsia="Calibri"/>
          <w:sz w:val="24"/>
          <w:szCs w:val="24"/>
        </w:rPr>
      </w:pPr>
      <w:r>
        <w:rPr>
          <w:rFonts w:eastAsiaTheme="minorHAnsi"/>
          <w:sz w:val="24"/>
          <w:szCs w:val="24"/>
          <w:lang w:eastAsia="en-US"/>
        </w:rPr>
        <w:tab/>
      </w:r>
      <w:r>
        <w:rPr>
          <w:rFonts w:eastAsia="Calibri"/>
          <w:sz w:val="24"/>
          <w:szCs w:val="24"/>
        </w:rPr>
        <w:t>4.2 Возврат авансов текущего финансового года отражается как восстановление расходов текущего финансового года с отражением кода вида расходов по бюджетной классификации, при этом возврат авансов прошлых лет отражается по коду поступления (увеличение денежных средств).</w:t>
      </w:r>
    </w:p>
    <w:p>
      <w:pPr>
        <w:pStyle w:val="3"/>
        <w:spacing w:after="0"/>
        <w:ind w:firstLine="567"/>
        <w:jc w:val="both"/>
        <w:rPr>
          <w:bCs/>
          <w:iCs/>
          <w:sz w:val="24"/>
          <w:szCs w:val="24"/>
        </w:rPr>
      </w:pPr>
    </w:p>
    <w:p>
      <w:pPr>
        <w:pStyle w:val="3"/>
        <w:spacing w:after="0"/>
        <w:ind w:firstLine="567"/>
        <w:jc w:val="center"/>
        <w:rPr>
          <w:b/>
          <w:bCs/>
          <w:iCs/>
          <w:sz w:val="24"/>
          <w:szCs w:val="24"/>
        </w:rPr>
      </w:pPr>
      <w:r>
        <w:rPr>
          <w:b/>
          <w:bCs/>
          <w:iCs/>
          <w:sz w:val="24"/>
          <w:szCs w:val="24"/>
        </w:rPr>
        <w:t>5. Расчёты с подотчётными лицами</w:t>
      </w:r>
    </w:p>
    <w:p>
      <w:pPr>
        <w:pStyle w:val="3"/>
        <w:spacing w:after="0"/>
        <w:ind w:firstLine="567"/>
        <w:jc w:val="both"/>
        <w:rPr>
          <w:b/>
          <w:bCs/>
          <w:iCs/>
          <w:sz w:val="24"/>
          <w:szCs w:val="24"/>
        </w:rPr>
      </w:pPr>
    </w:p>
    <w:p>
      <w:pPr>
        <w:ind w:firstLine="708"/>
        <w:jc w:val="both"/>
        <w:rPr>
          <w:rFonts w:eastAsia="Calibri"/>
          <w:sz w:val="24"/>
          <w:szCs w:val="24"/>
        </w:rPr>
      </w:pPr>
      <w:r>
        <w:rPr>
          <w:bCs/>
          <w:iCs/>
          <w:sz w:val="24"/>
          <w:szCs w:val="24"/>
        </w:rPr>
        <w:t>5.</w:t>
      </w:r>
      <w:r>
        <w:rPr>
          <w:sz w:val="24"/>
          <w:szCs w:val="24"/>
        </w:rPr>
        <w:t>1 </w:t>
      </w:r>
      <w:r>
        <w:rPr>
          <w:rFonts w:eastAsia="Calibri"/>
          <w:sz w:val="24"/>
          <w:szCs w:val="24"/>
        </w:rPr>
        <w:t>Дебиторская задолженность подотчётных лиц отражается в сумме денежных средств, выданных ему по распоряжению начальника Управления на основании письменного заявления подотчётного лица, содержащего назначение аванса, расчёт (обоснование) размера аванса и срок, на который он выдается.</w:t>
      </w:r>
    </w:p>
    <w:p>
      <w:pPr>
        <w:ind w:firstLine="708"/>
        <w:jc w:val="both"/>
        <w:rPr>
          <w:rFonts w:eastAsia="Calibri"/>
          <w:sz w:val="24"/>
          <w:szCs w:val="24"/>
        </w:rPr>
      </w:pPr>
      <w:r>
        <w:rPr>
          <w:bCs/>
          <w:iCs/>
          <w:sz w:val="24"/>
          <w:szCs w:val="24"/>
        </w:rPr>
        <w:t>5.2</w:t>
      </w:r>
      <w:r>
        <w:t xml:space="preserve"> </w:t>
      </w:r>
      <w:r>
        <w:rPr>
          <w:rFonts w:eastAsia="Calibri"/>
          <w:sz w:val="24"/>
          <w:szCs w:val="24"/>
        </w:rPr>
        <w:t>Увеличение дебиторской задолженности подотчётных лиц на суммы полученных денежных средств допускается при отсутствии за подотчётным лицом задолженности по денежным средствам, по которым наступил срок представления авансового отчёта.</w:t>
      </w:r>
    </w:p>
    <w:p>
      <w:pPr>
        <w:pStyle w:val="3"/>
        <w:spacing w:after="0"/>
        <w:ind w:firstLine="708"/>
        <w:jc w:val="both"/>
        <w:rPr>
          <w:bCs/>
          <w:iCs/>
          <w:sz w:val="24"/>
          <w:szCs w:val="24"/>
        </w:rPr>
      </w:pPr>
      <w:r>
        <w:rPr>
          <w:bCs/>
          <w:iCs/>
          <w:sz w:val="24"/>
          <w:szCs w:val="24"/>
        </w:rPr>
        <w:t>5.3 Порядок выдачи подотчётных сумм регулируется в Управлении положением                о выдаче денег в подотчёт (Приложение № 6).</w:t>
      </w:r>
    </w:p>
    <w:p>
      <w:pPr>
        <w:pStyle w:val="3"/>
        <w:spacing w:after="0"/>
        <w:ind w:firstLine="708"/>
        <w:jc w:val="both"/>
        <w:rPr>
          <w:bCs/>
          <w:iCs/>
          <w:sz w:val="24"/>
          <w:szCs w:val="24"/>
        </w:rPr>
      </w:pPr>
      <w:r>
        <w:rPr>
          <w:bCs/>
          <w:iCs/>
          <w:sz w:val="24"/>
          <w:szCs w:val="24"/>
        </w:rPr>
        <w:t>5.4 Не возвращенная в установленный срок дебиторская задолженность по результатам инвентаризации отражается в бухгалтерским учёте записью на основании Бухгалтерской справки (форма 0504833) (за прошлый год):</w:t>
      </w:r>
    </w:p>
    <w:p>
      <w:pPr>
        <w:pStyle w:val="3"/>
        <w:spacing w:after="0"/>
        <w:ind w:firstLine="708"/>
        <w:jc w:val="both"/>
        <w:rPr>
          <w:bCs/>
          <w:iCs/>
          <w:sz w:val="24"/>
          <w:szCs w:val="24"/>
        </w:rPr>
      </w:pPr>
      <w:proofErr w:type="gramStart"/>
      <w:r>
        <w:rPr>
          <w:bCs/>
          <w:iCs/>
          <w:sz w:val="24"/>
          <w:szCs w:val="24"/>
        </w:rPr>
        <w:t>дебет</w:t>
      </w:r>
      <w:proofErr w:type="gramEnd"/>
      <w:r>
        <w:rPr>
          <w:bCs/>
          <w:iCs/>
          <w:sz w:val="24"/>
          <w:szCs w:val="24"/>
        </w:rPr>
        <w:t xml:space="preserve"> </w:t>
      </w:r>
      <w:proofErr w:type="spellStart"/>
      <w:r>
        <w:rPr>
          <w:bCs/>
          <w:iCs/>
          <w:sz w:val="24"/>
          <w:szCs w:val="24"/>
        </w:rPr>
        <w:t>хххх</w:t>
      </w:r>
      <w:proofErr w:type="spellEnd"/>
      <w:r>
        <w:rPr>
          <w:bCs/>
          <w:iCs/>
          <w:sz w:val="24"/>
          <w:szCs w:val="24"/>
        </w:rPr>
        <w:t xml:space="preserve"> </w:t>
      </w:r>
      <w:proofErr w:type="spellStart"/>
      <w:r>
        <w:rPr>
          <w:bCs/>
          <w:iCs/>
          <w:sz w:val="24"/>
          <w:szCs w:val="24"/>
        </w:rPr>
        <w:t>хххххххххх</w:t>
      </w:r>
      <w:proofErr w:type="spellEnd"/>
      <w:r>
        <w:rPr>
          <w:bCs/>
          <w:iCs/>
          <w:sz w:val="24"/>
          <w:szCs w:val="24"/>
        </w:rPr>
        <w:t xml:space="preserve"> 130 1 209 36 567 кредит </w:t>
      </w:r>
      <w:proofErr w:type="spellStart"/>
      <w:r>
        <w:rPr>
          <w:bCs/>
          <w:iCs/>
          <w:sz w:val="24"/>
          <w:szCs w:val="24"/>
        </w:rPr>
        <w:t>хххх</w:t>
      </w:r>
      <w:proofErr w:type="spellEnd"/>
      <w:r>
        <w:rPr>
          <w:bCs/>
          <w:iCs/>
          <w:sz w:val="24"/>
          <w:szCs w:val="24"/>
        </w:rPr>
        <w:t xml:space="preserve"> </w:t>
      </w:r>
      <w:proofErr w:type="spellStart"/>
      <w:r>
        <w:rPr>
          <w:bCs/>
          <w:iCs/>
          <w:sz w:val="24"/>
          <w:szCs w:val="24"/>
        </w:rPr>
        <w:t>хххххххххх</w:t>
      </w:r>
      <w:proofErr w:type="spellEnd"/>
      <w:r>
        <w:rPr>
          <w:bCs/>
          <w:iCs/>
          <w:sz w:val="24"/>
          <w:szCs w:val="24"/>
        </w:rPr>
        <w:t xml:space="preserve"> КВР 1 208 </w:t>
      </w:r>
      <w:proofErr w:type="spellStart"/>
      <w:r>
        <w:rPr>
          <w:bCs/>
          <w:iCs/>
          <w:sz w:val="24"/>
          <w:szCs w:val="24"/>
        </w:rPr>
        <w:t>хх</w:t>
      </w:r>
      <w:proofErr w:type="spellEnd"/>
      <w:r>
        <w:rPr>
          <w:bCs/>
          <w:iCs/>
          <w:sz w:val="24"/>
          <w:szCs w:val="24"/>
        </w:rPr>
        <w:t xml:space="preserve"> 667</w:t>
      </w:r>
    </w:p>
    <w:p>
      <w:pPr>
        <w:pStyle w:val="3"/>
        <w:spacing w:after="0"/>
        <w:ind w:firstLine="708"/>
        <w:jc w:val="both"/>
        <w:rPr>
          <w:bCs/>
          <w:iCs/>
          <w:sz w:val="24"/>
          <w:szCs w:val="24"/>
        </w:rPr>
      </w:pPr>
      <w:r>
        <w:rPr>
          <w:bCs/>
          <w:iCs/>
          <w:sz w:val="24"/>
          <w:szCs w:val="24"/>
        </w:rPr>
        <w:t>Не возвращенная в срок дебиторская задолженность по подотчётным суммам (задолженность текущего года):</w:t>
      </w:r>
    </w:p>
    <w:p>
      <w:pPr>
        <w:pStyle w:val="3"/>
        <w:spacing w:after="0"/>
        <w:ind w:firstLine="708"/>
        <w:jc w:val="both"/>
        <w:rPr>
          <w:bCs/>
          <w:iCs/>
          <w:sz w:val="24"/>
          <w:szCs w:val="24"/>
        </w:rPr>
      </w:pPr>
      <w:proofErr w:type="gramStart"/>
      <w:r>
        <w:rPr>
          <w:bCs/>
          <w:iCs/>
          <w:sz w:val="24"/>
          <w:szCs w:val="24"/>
        </w:rPr>
        <w:t>дебет</w:t>
      </w:r>
      <w:proofErr w:type="gramEnd"/>
      <w:r>
        <w:rPr>
          <w:bCs/>
          <w:iCs/>
          <w:sz w:val="24"/>
          <w:szCs w:val="24"/>
        </w:rPr>
        <w:t xml:space="preserve"> </w:t>
      </w:r>
      <w:proofErr w:type="spellStart"/>
      <w:r>
        <w:rPr>
          <w:bCs/>
          <w:iCs/>
          <w:sz w:val="24"/>
          <w:szCs w:val="24"/>
        </w:rPr>
        <w:t>хххх</w:t>
      </w:r>
      <w:proofErr w:type="spellEnd"/>
      <w:r>
        <w:rPr>
          <w:bCs/>
          <w:iCs/>
          <w:sz w:val="24"/>
          <w:szCs w:val="24"/>
        </w:rPr>
        <w:t xml:space="preserve"> </w:t>
      </w:r>
      <w:proofErr w:type="spellStart"/>
      <w:r>
        <w:rPr>
          <w:bCs/>
          <w:iCs/>
          <w:sz w:val="24"/>
          <w:szCs w:val="24"/>
        </w:rPr>
        <w:t>хххххххххх</w:t>
      </w:r>
      <w:proofErr w:type="spellEnd"/>
      <w:r>
        <w:rPr>
          <w:bCs/>
          <w:iCs/>
          <w:sz w:val="24"/>
          <w:szCs w:val="24"/>
        </w:rPr>
        <w:t xml:space="preserve"> КВР 1 209 34 567 кредит </w:t>
      </w:r>
      <w:proofErr w:type="spellStart"/>
      <w:r>
        <w:rPr>
          <w:bCs/>
          <w:iCs/>
          <w:sz w:val="24"/>
          <w:szCs w:val="24"/>
        </w:rPr>
        <w:t>хххх</w:t>
      </w:r>
      <w:proofErr w:type="spellEnd"/>
      <w:r>
        <w:rPr>
          <w:bCs/>
          <w:iCs/>
          <w:sz w:val="24"/>
          <w:szCs w:val="24"/>
        </w:rPr>
        <w:t xml:space="preserve"> </w:t>
      </w:r>
      <w:proofErr w:type="spellStart"/>
      <w:r>
        <w:rPr>
          <w:bCs/>
          <w:iCs/>
          <w:sz w:val="24"/>
          <w:szCs w:val="24"/>
        </w:rPr>
        <w:t>хххххххххх</w:t>
      </w:r>
      <w:proofErr w:type="spellEnd"/>
      <w:r>
        <w:rPr>
          <w:bCs/>
          <w:iCs/>
          <w:sz w:val="24"/>
          <w:szCs w:val="24"/>
        </w:rPr>
        <w:t xml:space="preserve"> КВР 1 208 </w:t>
      </w:r>
      <w:proofErr w:type="spellStart"/>
      <w:r>
        <w:rPr>
          <w:bCs/>
          <w:iCs/>
          <w:sz w:val="24"/>
          <w:szCs w:val="24"/>
        </w:rPr>
        <w:t>хх</w:t>
      </w:r>
      <w:proofErr w:type="spellEnd"/>
      <w:r>
        <w:rPr>
          <w:bCs/>
          <w:iCs/>
          <w:sz w:val="24"/>
          <w:szCs w:val="24"/>
        </w:rPr>
        <w:t xml:space="preserve"> 667</w:t>
      </w:r>
    </w:p>
    <w:p>
      <w:pPr>
        <w:ind w:firstLine="708"/>
        <w:jc w:val="both"/>
        <w:rPr>
          <w:rFonts w:eastAsia="Calibri"/>
          <w:sz w:val="24"/>
          <w:szCs w:val="24"/>
        </w:rPr>
      </w:pPr>
      <w:r>
        <w:rPr>
          <w:rFonts w:eastAsia="Calibri"/>
          <w:sz w:val="24"/>
          <w:szCs w:val="24"/>
        </w:rPr>
        <w:t>Отсутствие возврата подотчётной суммы на отчётную дату по причине:</w:t>
      </w:r>
    </w:p>
    <w:p>
      <w:pPr>
        <w:ind w:firstLine="567"/>
        <w:jc w:val="both"/>
        <w:rPr>
          <w:rFonts w:eastAsia="Calibri"/>
          <w:sz w:val="24"/>
          <w:szCs w:val="24"/>
        </w:rPr>
      </w:pPr>
      <w:r>
        <w:rPr>
          <w:rFonts w:eastAsia="Calibri"/>
          <w:sz w:val="24"/>
          <w:szCs w:val="24"/>
        </w:rPr>
        <w:t xml:space="preserve">- нахождения лица в командировке (когда период командировки приходится на </w:t>
      </w:r>
      <w:proofErr w:type="spellStart"/>
      <w:r>
        <w:rPr>
          <w:rFonts w:eastAsia="Calibri"/>
          <w:sz w:val="24"/>
          <w:szCs w:val="24"/>
        </w:rPr>
        <w:t>межотчётный</w:t>
      </w:r>
      <w:proofErr w:type="spellEnd"/>
      <w:r>
        <w:rPr>
          <w:rFonts w:eastAsia="Calibri"/>
          <w:sz w:val="24"/>
          <w:szCs w:val="24"/>
        </w:rPr>
        <w:t xml:space="preserve"> период);</w:t>
      </w:r>
    </w:p>
    <w:p>
      <w:pPr>
        <w:ind w:firstLine="567"/>
        <w:jc w:val="both"/>
        <w:rPr>
          <w:rFonts w:eastAsia="Calibri"/>
          <w:sz w:val="24"/>
          <w:szCs w:val="24"/>
        </w:rPr>
      </w:pPr>
      <w:r>
        <w:rPr>
          <w:rFonts w:eastAsia="Calibri"/>
          <w:sz w:val="24"/>
          <w:szCs w:val="24"/>
        </w:rPr>
        <w:t>- увольнения подотчётного лица (при увольнении с него не была удержана сумма задолженности);</w:t>
      </w:r>
    </w:p>
    <w:p>
      <w:pPr>
        <w:ind w:firstLine="567"/>
        <w:jc w:val="both"/>
        <w:rPr>
          <w:rFonts w:eastAsia="Calibri"/>
          <w:sz w:val="24"/>
          <w:szCs w:val="24"/>
        </w:rPr>
      </w:pPr>
      <w:r>
        <w:rPr>
          <w:rFonts w:eastAsia="Calibri"/>
          <w:sz w:val="24"/>
          <w:szCs w:val="24"/>
        </w:rPr>
        <w:t>- смерти подотчётного лица.</w:t>
      </w:r>
    </w:p>
    <w:p>
      <w:pPr>
        <w:ind w:firstLine="567"/>
        <w:jc w:val="both"/>
        <w:rPr>
          <w:rFonts w:eastAsia="Calibri"/>
          <w:sz w:val="24"/>
          <w:szCs w:val="24"/>
        </w:rPr>
      </w:pPr>
      <w:r>
        <w:rPr>
          <w:rFonts w:eastAsia="Calibri"/>
          <w:sz w:val="24"/>
          <w:szCs w:val="24"/>
        </w:rPr>
        <w:t>Почтовые марки и конверты с марками выдаются под отчёт лицу, на которого возложена обязанность по отправке корреспонденции. Срок отчёта об израсходованных марках и конвертах с марками ежеквартально до 25 числа, месяца, следующего за отчётным. Подотчётное лицо должно составить авансовый отчёт и приложить к нему подтверждающие документы (реестр отправленной корреспонденции, а в случае порчи - приложенный к отчёту испорченный конверт).</w:t>
      </w:r>
    </w:p>
    <w:p>
      <w:pPr>
        <w:pStyle w:val="Style4"/>
        <w:widowControl/>
        <w:spacing w:line="240" w:lineRule="auto"/>
        <w:ind w:firstLine="709"/>
      </w:pPr>
      <w:r>
        <w:t>5.5 Порядок возмещения расходов за счёт личных средств сотрудников Управления и командировочных расходов.</w:t>
      </w:r>
    </w:p>
    <w:p>
      <w:pPr>
        <w:widowControl/>
        <w:ind w:firstLine="708"/>
        <w:jc w:val="both"/>
        <w:rPr>
          <w:sz w:val="24"/>
          <w:szCs w:val="24"/>
        </w:rPr>
      </w:pPr>
      <w:r>
        <w:rPr>
          <w:bCs/>
          <w:sz w:val="24"/>
          <w:szCs w:val="24"/>
        </w:rPr>
        <w:t xml:space="preserve">Размеры возмещения расходов, связанных со служебными командировками определяются </w:t>
      </w:r>
      <w:r>
        <w:rPr>
          <w:sz w:val="24"/>
          <w:szCs w:val="24"/>
        </w:rPr>
        <w:t>Постановлением Администрации ЗАТО Северск об утверждении Порядка               и размеров возмещения расходов, связанных со служебными командировками, работникам Администрации ЗАТО Северск и органов Администрации ЗАТО Северск, наделенных правами юридического лица.</w:t>
      </w:r>
    </w:p>
    <w:p>
      <w:pPr>
        <w:pStyle w:val="Style4"/>
        <w:widowControl/>
        <w:spacing w:line="240" w:lineRule="auto"/>
        <w:ind w:firstLine="709"/>
      </w:pPr>
      <w:r>
        <w:t xml:space="preserve">Расходы, понесённые сотрудниками за счёт личных средств на нужды Управления, возмещаются по решению начальника Управления на основании отчёта подотчётного лица с приложением документального подтверждения расходов. </w:t>
      </w:r>
    </w:p>
    <w:p>
      <w:pPr>
        <w:pStyle w:val="Style4"/>
        <w:widowControl/>
        <w:spacing w:line="240" w:lineRule="auto"/>
        <w:ind w:firstLine="709"/>
      </w:pPr>
      <w:r>
        <w:t xml:space="preserve">К документам, подтверждающим расходы на текущие нужды относятся: </w:t>
      </w:r>
    </w:p>
    <w:p>
      <w:pPr>
        <w:pStyle w:val="Style4"/>
        <w:widowControl/>
        <w:spacing w:line="240" w:lineRule="auto"/>
        <w:ind w:firstLine="709"/>
        <w:rPr>
          <w:rStyle w:val="FontStyle14"/>
          <w:sz w:val="24"/>
          <w:szCs w:val="24"/>
        </w:rPr>
      </w:pPr>
      <w:r>
        <w:t xml:space="preserve">- чек </w:t>
      </w:r>
      <w:r>
        <w:rPr>
          <w:rStyle w:val="FontStyle14"/>
          <w:sz w:val="24"/>
          <w:szCs w:val="24"/>
        </w:rPr>
        <w:t>контрольно-кассовой техники;</w:t>
      </w:r>
    </w:p>
    <w:p>
      <w:pPr>
        <w:pStyle w:val="Style4"/>
        <w:widowControl/>
        <w:spacing w:line="240" w:lineRule="auto"/>
        <w:ind w:firstLine="709"/>
      </w:pPr>
      <w:r>
        <w:rPr>
          <w:rStyle w:val="FontStyle14"/>
          <w:sz w:val="24"/>
          <w:szCs w:val="24"/>
        </w:rPr>
        <w:t>- </w:t>
      </w:r>
      <w:r>
        <w:t xml:space="preserve">товарный чек или квитанция, </w:t>
      </w:r>
      <w:r>
        <w:rPr>
          <w:rStyle w:val="FontStyle14"/>
          <w:sz w:val="24"/>
          <w:szCs w:val="24"/>
        </w:rPr>
        <w:t>оформленная на утвержденном бланке строгой отчётности.</w:t>
      </w:r>
      <w:r>
        <w:t xml:space="preserve"> </w:t>
      </w:r>
    </w:p>
    <w:p>
      <w:pPr>
        <w:pStyle w:val="Style4"/>
        <w:widowControl/>
        <w:spacing w:line="240" w:lineRule="auto"/>
        <w:ind w:firstLine="709"/>
        <w:rPr>
          <w:rStyle w:val="FontStyle14"/>
        </w:rPr>
      </w:pPr>
      <w:r>
        <w:rPr>
          <w:rStyle w:val="FontStyle14"/>
          <w:sz w:val="24"/>
          <w:szCs w:val="24"/>
        </w:rPr>
        <w:t>При представлении документов, подтверждающих оплату сотрудником Управления курортного сбора в течение нахождения в служебной командировке на территории субъекта Российской Федерации, с целью возмещения соответствующих расходов, данные расходы относить к иным расходам, связанным со служебной командировкой</w:t>
      </w:r>
      <w:r>
        <w:rPr>
          <w:rStyle w:val="FontStyle14"/>
        </w:rPr>
        <w:t>.</w:t>
      </w:r>
    </w:p>
    <w:p>
      <w:pPr>
        <w:widowControl/>
        <w:ind w:firstLine="708"/>
        <w:jc w:val="both"/>
        <w:rPr>
          <w:sz w:val="24"/>
          <w:szCs w:val="24"/>
        </w:rPr>
      </w:pPr>
      <w:r>
        <w:rPr>
          <w:sz w:val="24"/>
          <w:szCs w:val="24"/>
        </w:rPr>
        <w:t>Если по объективным причинам работник прибыл из командировки с задержкой, он должен представить помимо проездных билетов также оправдательные документы, подтверждающие причину задержки. В частности, таким документом может быть справка из аэропорта о причинах задержки вылета самолета из-за плохих метеорологических условий или аналогичная справка от железной дороги и т.д.</w:t>
      </w:r>
    </w:p>
    <w:p>
      <w:pPr>
        <w:pStyle w:val="ConsPlusNormal"/>
        <w:ind w:firstLine="709"/>
        <w:jc w:val="both"/>
        <w:rPr>
          <w:rStyle w:val="FontStyle14"/>
          <w:sz w:val="24"/>
          <w:szCs w:val="24"/>
        </w:rPr>
      </w:pPr>
      <w:r>
        <w:rPr>
          <w:rStyle w:val="FontStyle14"/>
          <w:sz w:val="24"/>
          <w:szCs w:val="24"/>
        </w:rPr>
        <w:t>Возмещение расходов, оплата которых производилась посредством платежной (банковской) карты, владельцем которой сотрудник не является, допускается при наличии заявления этого сотрудника.</w:t>
      </w:r>
    </w:p>
    <w:p>
      <w:pPr>
        <w:widowControl/>
        <w:ind w:firstLine="709"/>
        <w:jc w:val="both"/>
        <w:outlineLvl w:val="0"/>
        <w:rPr>
          <w:spacing w:val="1"/>
          <w:sz w:val="24"/>
          <w:szCs w:val="24"/>
        </w:rPr>
      </w:pPr>
      <w:r>
        <w:rPr>
          <w:spacing w:val="1"/>
          <w:sz w:val="24"/>
          <w:szCs w:val="24"/>
        </w:rPr>
        <w:t>5.6 Право на получение доверенностей имеют лица, работающие в Управлении.  Доверенность не является первичным учётным документом.</w:t>
      </w:r>
    </w:p>
    <w:p>
      <w:pPr>
        <w:widowControl/>
        <w:ind w:firstLine="709"/>
        <w:jc w:val="both"/>
        <w:rPr>
          <w:spacing w:val="1"/>
          <w:sz w:val="24"/>
          <w:szCs w:val="24"/>
        </w:rPr>
      </w:pPr>
      <w:r>
        <w:rPr>
          <w:spacing w:val="1"/>
          <w:sz w:val="24"/>
          <w:szCs w:val="24"/>
        </w:rPr>
        <w:t>Форма бланка применяется как в унифицированной форме, так и в свободной форме (в зависимости от объёма полномочий). Доверенность, оформленная                                  в произвольной форме, должна иметь следующие необходимые реквизиты: дату выдачи, срок действия, наименование доверителя (название, адрес, телефон, ИНН, КПП                        и банковские реквизиты), данные поверенного (фамилию, имя, отчество и паспортные данные), образец подписи поверенного.</w:t>
      </w:r>
    </w:p>
    <w:p>
      <w:pPr>
        <w:pStyle w:val="ConsPlusNormal"/>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Без подлинной подписи начальника Управления, скрепленной печатью Управления, доверенность считается не действительной.  </w:t>
      </w:r>
    </w:p>
    <w:p>
      <w:pPr>
        <w:pStyle w:val="ConsPlusNormal"/>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Срок действия доверенности составляет не более 10 календарных дней. </w:t>
      </w:r>
    </w:p>
    <w:p>
      <w:pPr>
        <w:widowControl/>
        <w:ind w:firstLine="709"/>
        <w:jc w:val="both"/>
        <w:rPr>
          <w:spacing w:val="1"/>
          <w:sz w:val="24"/>
          <w:szCs w:val="24"/>
        </w:rPr>
      </w:pPr>
      <w:r>
        <w:rPr>
          <w:spacing w:val="1"/>
          <w:sz w:val="24"/>
          <w:szCs w:val="24"/>
        </w:rPr>
        <w:t xml:space="preserve">Возвращенные неиспользованные доверенности погашаются надписью                     </w:t>
      </w:r>
      <w:proofErr w:type="gramStart"/>
      <w:r>
        <w:rPr>
          <w:spacing w:val="1"/>
          <w:sz w:val="24"/>
          <w:szCs w:val="24"/>
        </w:rPr>
        <w:t xml:space="preserve">   «</w:t>
      </w:r>
      <w:proofErr w:type="gramEnd"/>
      <w:r>
        <w:rPr>
          <w:spacing w:val="1"/>
          <w:sz w:val="24"/>
          <w:szCs w:val="24"/>
        </w:rPr>
        <w:t>не использована» и хранятся до конца отчётного года у лица, ответственного за их регистрацию. По окончании года неиспользованные доверенности уничтожаются                      с составлением соответствующего акта.</w:t>
      </w:r>
    </w:p>
    <w:p>
      <w:pPr>
        <w:widowControl/>
        <w:ind w:firstLine="709"/>
        <w:jc w:val="both"/>
        <w:rPr>
          <w:spacing w:val="1"/>
          <w:sz w:val="24"/>
          <w:szCs w:val="24"/>
        </w:rPr>
      </w:pPr>
      <w:r>
        <w:rPr>
          <w:spacing w:val="1"/>
          <w:sz w:val="24"/>
          <w:szCs w:val="24"/>
        </w:rPr>
        <w:t>Лицам, которые не отчитались в использовании доверенностей, по которым истёк срок действия, новые доверенности не выдаются.</w:t>
      </w:r>
    </w:p>
    <w:p>
      <w:pPr>
        <w:ind w:firstLine="567"/>
        <w:jc w:val="both"/>
        <w:rPr>
          <w:sz w:val="24"/>
          <w:szCs w:val="24"/>
        </w:rPr>
      </w:pPr>
    </w:p>
    <w:p>
      <w:pPr>
        <w:pStyle w:val="ConsNormal"/>
        <w:ind w:firstLine="567"/>
        <w:jc w:val="center"/>
        <w:rPr>
          <w:rFonts w:ascii="Times New Roman" w:hAnsi="Times New Roman" w:cs="Times New Roman"/>
          <w:b/>
          <w:sz w:val="24"/>
          <w:szCs w:val="24"/>
        </w:rPr>
      </w:pPr>
      <w:r>
        <w:rPr>
          <w:rFonts w:ascii="Times New Roman" w:hAnsi="Times New Roman" w:cs="Times New Roman"/>
          <w:b/>
          <w:sz w:val="24"/>
          <w:szCs w:val="24"/>
        </w:rPr>
        <w:t>6. Порядок учёта денежных средств</w:t>
      </w:r>
    </w:p>
    <w:p>
      <w:pPr>
        <w:pStyle w:val="ConsNormal"/>
        <w:ind w:firstLine="567"/>
        <w:jc w:val="center"/>
        <w:rPr>
          <w:rFonts w:ascii="Times New Roman" w:hAnsi="Times New Roman" w:cs="Times New Roman"/>
          <w:b/>
          <w:sz w:val="24"/>
          <w:szCs w:val="24"/>
        </w:rPr>
      </w:pPr>
    </w:p>
    <w:p>
      <w:pPr>
        <w:ind w:firstLine="708"/>
        <w:jc w:val="both"/>
        <w:rPr>
          <w:rFonts w:eastAsiaTheme="minorHAnsi"/>
          <w:sz w:val="24"/>
          <w:szCs w:val="24"/>
          <w:lang w:eastAsia="en-US"/>
        </w:rPr>
      </w:pPr>
      <w:r>
        <w:rPr>
          <w:sz w:val="24"/>
          <w:szCs w:val="24"/>
        </w:rPr>
        <w:t>6.1. Учёт денежных средств ведётся на лицевом счёте, открытом в органе Федерального казначейства на счёте 130405000 «</w:t>
      </w:r>
      <w:r>
        <w:rPr>
          <w:rFonts w:eastAsiaTheme="minorHAnsi"/>
          <w:sz w:val="24"/>
          <w:szCs w:val="24"/>
          <w:lang w:eastAsia="en-US"/>
        </w:rPr>
        <w:t xml:space="preserve">Расчёты по платежам из бюджета                     с финансовым органом». На </w:t>
      </w:r>
      <w:hyperlink r:id="rId65" w:history="1">
        <w:r>
          <w:rPr>
            <w:rFonts w:eastAsiaTheme="minorHAnsi"/>
            <w:sz w:val="24"/>
            <w:szCs w:val="24"/>
            <w:lang w:eastAsia="en-US"/>
          </w:rPr>
          <w:t>счёте 130405000</w:t>
        </w:r>
      </w:hyperlink>
      <w:r>
        <w:rPr>
          <w:rFonts w:eastAsiaTheme="minorHAnsi"/>
          <w:sz w:val="24"/>
          <w:szCs w:val="24"/>
          <w:lang w:eastAsia="en-US"/>
        </w:rPr>
        <w:t xml:space="preserve"> отражаются расчёты Управления</w:t>
      </w:r>
      <w:r>
        <w:rPr>
          <w:rFonts w:eastAsiaTheme="minorHAnsi"/>
          <w:sz w:val="24"/>
          <w:szCs w:val="24"/>
          <w:lang w:eastAsia="en-US"/>
        </w:rPr>
        <w:br/>
        <w:t>с финансовыми органами по платежам из бюджета, платежи Управления (получателя бюджетных средств), произведенные за счёт средств бюджета ЗАТО Северск, а также поступление на лицевой счет средств на восстановление расходов в отчётном году, погашение дебиторской задолженности, возмещение причиненного Управлению ущерба.</w:t>
      </w:r>
    </w:p>
    <w:p>
      <w:pPr>
        <w:ind w:firstLine="708"/>
        <w:jc w:val="both"/>
        <w:rPr>
          <w:rFonts w:eastAsiaTheme="minorHAnsi"/>
          <w:sz w:val="24"/>
          <w:szCs w:val="24"/>
          <w:lang w:eastAsia="en-US"/>
        </w:rPr>
      </w:pPr>
      <w:r>
        <w:rPr>
          <w:rFonts w:eastAsiaTheme="minorHAnsi"/>
          <w:sz w:val="24"/>
          <w:szCs w:val="24"/>
          <w:lang w:eastAsia="en-US"/>
        </w:rPr>
        <w:t>Расчёты осуществлять с учётом доведенных лимитов бюджетных обязательств, подтвержденных утвержденной сметой.</w:t>
      </w:r>
    </w:p>
    <w:p>
      <w:pPr>
        <w:ind w:firstLine="708"/>
        <w:jc w:val="both"/>
        <w:rPr>
          <w:rFonts w:eastAsia="Calibri"/>
          <w:sz w:val="24"/>
          <w:szCs w:val="24"/>
        </w:rPr>
      </w:pPr>
      <w:r>
        <w:rPr>
          <w:rFonts w:eastAsia="Calibri"/>
          <w:sz w:val="24"/>
          <w:szCs w:val="24"/>
        </w:rPr>
        <w:t>Бухгалтерские записи производить на основании документов, приложенных                              к выписке из лицевого счёта.</w:t>
      </w:r>
    </w:p>
    <w:p>
      <w:pPr>
        <w:ind w:firstLine="708"/>
        <w:jc w:val="both"/>
        <w:outlineLvl w:val="0"/>
        <w:rPr>
          <w:rFonts w:eastAsia="Calibri"/>
          <w:sz w:val="24"/>
          <w:szCs w:val="24"/>
        </w:rPr>
      </w:pPr>
      <w:r>
        <w:rPr>
          <w:sz w:val="24"/>
          <w:szCs w:val="24"/>
        </w:rPr>
        <w:t xml:space="preserve">6.2 На счёте 320101000 учитываются средства во временном распоряжении. </w:t>
      </w:r>
      <w:r>
        <w:rPr>
          <w:rFonts w:eastAsia="Calibri"/>
          <w:sz w:val="24"/>
          <w:szCs w:val="24"/>
        </w:rPr>
        <w:t>Средства, поступающие во временное распоряжение, - средства, которые при наступлении определенных условий должны быть возвращены их владельцу или направлены по назначению.</w:t>
      </w:r>
    </w:p>
    <w:p>
      <w:pPr>
        <w:ind w:firstLine="708"/>
        <w:jc w:val="both"/>
        <w:rPr>
          <w:rFonts w:eastAsia="Calibri"/>
          <w:sz w:val="24"/>
          <w:szCs w:val="24"/>
        </w:rPr>
      </w:pPr>
      <w:r>
        <w:rPr>
          <w:rFonts w:eastAsia="Calibri"/>
          <w:sz w:val="24"/>
          <w:szCs w:val="24"/>
        </w:rPr>
        <w:t>К средствам, поступающим во временное распоряжение, относятся, в частности:</w:t>
      </w:r>
    </w:p>
    <w:p>
      <w:pPr>
        <w:ind w:firstLine="708"/>
        <w:jc w:val="both"/>
        <w:rPr>
          <w:rFonts w:eastAsia="Calibri"/>
          <w:sz w:val="24"/>
          <w:szCs w:val="24"/>
        </w:rPr>
      </w:pPr>
      <w:r>
        <w:rPr>
          <w:rFonts w:eastAsia="Calibri"/>
          <w:sz w:val="24"/>
          <w:szCs w:val="24"/>
        </w:rPr>
        <w:t>- денежные средства, вносимые в качестве обеспечения заявки на участие в конкурсе или аукционе участником размещения заказа и (или) в качестве обеспечения исполнения договора;</w:t>
      </w:r>
    </w:p>
    <w:p>
      <w:pPr>
        <w:ind w:firstLine="708"/>
        <w:jc w:val="both"/>
        <w:rPr>
          <w:rFonts w:eastAsia="Calibri"/>
          <w:sz w:val="24"/>
          <w:szCs w:val="24"/>
        </w:rPr>
      </w:pPr>
      <w:r>
        <w:rPr>
          <w:rFonts w:eastAsia="Calibri"/>
          <w:sz w:val="24"/>
          <w:szCs w:val="24"/>
        </w:rPr>
        <w:t>- иные денежные средства.</w:t>
      </w:r>
    </w:p>
    <w:p>
      <w:pPr>
        <w:pStyle w:val="3"/>
        <w:spacing w:after="0"/>
        <w:ind w:firstLine="708"/>
        <w:jc w:val="both"/>
        <w:rPr>
          <w:sz w:val="24"/>
          <w:szCs w:val="24"/>
        </w:rPr>
      </w:pPr>
      <w:r>
        <w:rPr>
          <w:sz w:val="24"/>
          <w:szCs w:val="24"/>
        </w:rPr>
        <w:t>6.4 Денежными средствами в пути в целях бюджетного учёта признаются денежные средства, перечисленные Управлению, зачисленные не в один операционный день, а также средства, переведенные с одного счёта Управления на другой счёт, в том числе при осуществлении операций с использованием (дебетовых) банковских карт, при условии перечисления (зачисления) денежных средств не в один операционный день.</w:t>
      </w:r>
    </w:p>
    <w:p>
      <w:pPr>
        <w:widowControl/>
        <w:ind w:firstLine="709"/>
        <w:jc w:val="both"/>
        <w:outlineLvl w:val="0"/>
        <w:rPr>
          <w:rStyle w:val="FontStyle14"/>
          <w:sz w:val="24"/>
          <w:szCs w:val="24"/>
        </w:rPr>
      </w:pPr>
      <w:r>
        <w:rPr>
          <w:rStyle w:val="FontStyle14"/>
          <w:sz w:val="24"/>
          <w:szCs w:val="24"/>
        </w:rPr>
        <w:t>6.5 Лимит кассы. Лимит остатка наличных денег кассы утверждается приказом начальника Управления, действует бессрочно и пересматривается по необходимости.</w:t>
      </w:r>
    </w:p>
    <w:p>
      <w:pPr>
        <w:widowControl/>
        <w:ind w:firstLine="709"/>
        <w:jc w:val="both"/>
        <w:outlineLvl w:val="0"/>
        <w:rPr>
          <w:rStyle w:val="FontStyle14"/>
          <w:sz w:val="24"/>
          <w:szCs w:val="24"/>
        </w:rPr>
      </w:pPr>
      <w:r>
        <w:rPr>
          <w:rStyle w:val="FontStyle14"/>
          <w:sz w:val="24"/>
          <w:szCs w:val="24"/>
        </w:rPr>
        <w:t>Расчёт на установление лимита оформляется специалистами Отдела и определяется на основании регистров бюджетного учёта.</w:t>
      </w:r>
    </w:p>
    <w:p>
      <w:pPr>
        <w:ind w:firstLine="709"/>
        <w:jc w:val="both"/>
        <w:rPr>
          <w:rStyle w:val="FontStyle14"/>
          <w:sz w:val="24"/>
          <w:szCs w:val="24"/>
        </w:rPr>
      </w:pPr>
      <w:r>
        <w:rPr>
          <w:rStyle w:val="FontStyle14"/>
          <w:sz w:val="24"/>
          <w:szCs w:val="24"/>
        </w:rPr>
        <w:t>Лимит на оплату услуг сотовой связи утверждается Приказом начальника Управления.</w:t>
      </w:r>
    </w:p>
    <w:p>
      <w:pPr>
        <w:pStyle w:val="aa"/>
        <w:ind w:firstLine="709"/>
        <w:jc w:val="both"/>
        <w:rPr>
          <w:rStyle w:val="FontStyle14"/>
        </w:rPr>
      </w:pPr>
      <w:r>
        <w:rPr>
          <w:rStyle w:val="FontStyle14"/>
        </w:rPr>
        <w:t>Лимит возмещаемых расходов при направлении работников в служебные командировки, связанных с основной деятельностью Управления утверждается Постановлением Главы Администрации ЗАТО Северск.</w:t>
      </w:r>
    </w:p>
    <w:p>
      <w:pPr>
        <w:widowControl/>
        <w:ind w:firstLine="708"/>
        <w:jc w:val="center"/>
        <w:rPr>
          <w:b/>
          <w:spacing w:val="1"/>
          <w:sz w:val="24"/>
          <w:szCs w:val="24"/>
        </w:rPr>
      </w:pPr>
    </w:p>
    <w:p>
      <w:pPr>
        <w:widowControl/>
        <w:ind w:firstLine="708"/>
        <w:jc w:val="center"/>
        <w:rPr>
          <w:b/>
          <w:spacing w:val="1"/>
          <w:sz w:val="24"/>
          <w:szCs w:val="24"/>
        </w:rPr>
      </w:pPr>
      <w:r>
        <w:rPr>
          <w:b/>
          <w:spacing w:val="1"/>
          <w:sz w:val="24"/>
          <w:szCs w:val="24"/>
        </w:rPr>
        <w:t xml:space="preserve">7. Организации и обеспечения (осуществления) </w:t>
      </w:r>
    </w:p>
    <w:p>
      <w:pPr>
        <w:widowControl/>
        <w:ind w:firstLine="708"/>
        <w:jc w:val="center"/>
        <w:rPr>
          <w:b/>
          <w:spacing w:val="1"/>
          <w:sz w:val="24"/>
          <w:szCs w:val="24"/>
        </w:rPr>
      </w:pPr>
      <w:proofErr w:type="gramStart"/>
      <w:r>
        <w:rPr>
          <w:b/>
          <w:spacing w:val="1"/>
          <w:sz w:val="24"/>
          <w:szCs w:val="24"/>
        </w:rPr>
        <w:t>внутреннего</w:t>
      </w:r>
      <w:proofErr w:type="gramEnd"/>
      <w:r>
        <w:rPr>
          <w:b/>
          <w:spacing w:val="1"/>
          <w:sz w:val="24"/>
          <w:szCs w:val="24"/>
        </w:rPr>
        <w:t xml:space="preserve"> финансового аудита и внутреннего финансового контроля.</w:t>
      </w:r>
    </w:p>
    <w:p>
      <w:pPr>
        <w:widowControl/>
        <w:ind w:firstLine="708"/>
        <w:jc w:val="both"/>
        <w:rPr>
          <w:spacing w:val="1"/>
          <w:sz w:val="24"/>
          <w:szCs w:val="24"/>
        </w:rPr>
      </w:pPr>
    </w:p>
    <w:p>
      <w:pPr>
        <w:ind w:firstLine="709"/>
        <w:jc w:val="both"/>
        <w:rPr>
          <w:spacing w:val="1"/>
          <w:sz w:val="24"/>
          <w:szCs w:val="24"/>
        </w:rPr>
      </w:pPr>
      <w:r>
        <w:rPr>
          <w:rStyle w:val="FontStyle14"/>
          <w:sz w:val="24"/>
          <w:szCs w:val="24"/>
        </w:rPr>
        <w:t>На основании федеральных стандартов внутреннего финансового аудита,</w:t>
      </w:r>
      <w:r>
        <w:rPr>
          <w:sz w:val="24"/>
          <w:szCs w:val="24"/>
        </w:rPr>
        <w:t xml:space="preserve"> </w:t>
      </w:r>
      <w:r>
        <w:rPr>
          <w:spacing w:val="1"/>
          <w:sz w:val="24"/>
          <w:szCs w:val="24"/>
        </w:rPr>
        <w:t>приказа начальника Управления осуществляется внутренний финансовый аудит.</w:t>
      </w:r>
    </w:p>
    <w:p>
      <w:pPr>
        <w:widowControl/>
        <w:ind w:firstLine="709"/>
        <w:jc w:val="both"/>
        <w:outlineLvl w:val="0"/>
        <w:rPr>
          <w:bCs/>
          <w:spacing w:val="1"/>
          <w:sz w:val="24"/>
          <w:szCs w:val="24"/>
        </w:rPr>
      </w:pPr>
      <w:r>
        <w:rPr>
          <w:bCs/>
          <w:spacing w:val="1"/>
          <w:sz w:val="24"/>
          <w:szCs w:val="24"/>
        </w:rPr>
        <w:t xml:space="preserve">Порядок </w:t>
      </w:r>
      <w:r>
        <w:rPr>
          <w:sz w:val="24"/>
          <w:szCs w:val="24"/>
        </w:rPr>
        <w:t xml:space="preserve">взаимодействия должностных лиц при осуществлении внутреннего контроля, процедуры подготовки к осуществлению внутреннего контроля, формы систематизации и анализа информации о результатах внутреннего финансового контроля, выявления и разработки предложений по минимизации бюджетных рисков, контроля выполнения решений, принятых по рассмотрении информации о результатах внутреннего контроля </w:t>
      </w:r>
      <w:r>
        <w:rPr>
          <w:bCs/>
          <w:spacing w:val="1"/>
          <w:sz w:val="24"/>
          <w:szCs w:val="24"/>
        </w:rPr>
        <w:t xml:space="preserve">в Управлении регулируется положением </w:t>
      </w:r>
      <w:r>
        <w:rPr>
          <w:sz w:val="24"/>
          <w:szCs w:val="24"/>
        </w:rPr>
        <w:t>осуществления внутреннего контроля (Приложение № 13)</w:t>
      </w:r>
      <w:r>
        <w:rPr>
          <w:bCs/>
          <w:spacing w:val="1"/>
          <w:sz w:val="24"/>
          <w:szCs w:val="24"/>
        </w:rPr>
        <w:t>.</w:t>
      </w:r>
    </w:p>
    <w:p>
      <w:pPr>
        <w:ind w:firstLine="708"/>
        <w:jc w:val="both"/>
        <w:rPr>
          <w:b/>
          <w:spacing w:val="1"/>
          <w:sz w:val="24"/>
          <w:szCs w:val="24"/>
        </w:rPr>
      </w:pPr>
      <w:r>
        <w:rPr>
          <w:sz w:val="24"/>
          <w:szCs w:val="24"/>
        </w:rPr>
        <w:t xml:space="preserve"> </w:t>
      </w:r>
    </w:p>
    <w:p>
      <w:pPr>
        <w:widowControl/>
        <w:ind w:firstLine="709"/>
        <w:jc w:val="center"/>
        <w:outlineLvl w:val="0"/>
        <w:rPr>
          <w:b/>
          <w:spacing w:val="1"/>
          <w:sz w:val="24"/>
          <w:szCs w:val="24"/>
        </w:rPr>
      </w:pPr>
      <w:r>
        <w:rPr>
          <w:b/>
          <w:spacing w:val="1"/>
          <w:sz w:val="24"/>
          <w:szCs w:val="24"/>
        </w:rPr>
        <w:t>8. Порядок формирования бюджетной отчётности.</w:t>
      </w:r>
    </w:p>
    <w:p>
      <w:pPr>
        <w:ind w:firstLine="708"/>
        <w:jc w:val="both"/>
        <w:rPr>
          <w:rStyle w:val="FontStyle14"/>
          <w:sz w:val="24"/>
          <w:szCs w:val="24"/>
        </w:rPr>
      </w:pPr>
      <w:r>
        <w:rPr>
          <w:rStyle w:val="FontStyle14"/>
          <w:sz w:val="24"/>
          <w:szCs w:val="24"/>
        </w:rPr>
        <w:t xml:space="preserve"> </w:t>
      </w:r>
    </w:p>
    <w:p>
      <w:pPr>
        <w:ind w:firstLine="708"/>
        <w:jc w:val="both"/>
        <w:rPr>
          <w:sz w:val="24"/>
          <w:szCs w:val="24"/>
        </w:rPr>
      </w:pPr>
      <w:r>
        <w:rPr>
          <w:rStyle w:val="FontStyle14"/>
          <w:sz w:val="24"/>
          <w:szCs w:val="24"/>
        </w:rPr>
        <w:t xml:space="preserve">8.1 Бюджетная отчётность формируется в порядке, установленном Минфином России, Федеральным казначейством, Департаментом финансов Томской области.                   </w:t>
      </w:r>
      <w:r>
        <w:rPr>
          <w:sz w:val="24"/>
          <w:szCs w:val="24"/>
        </w:rPr>
        <w:t>На основании п. 13 СГС «Концептуальные основы» промежуточная, годовая отчётность представляются в виде электронного документа подписанного квалифицированной электронной подписью.</w:t>
      </w:r>
    </w:p>
    <w:p>
      <w:pPr>
        <w:widowControl/>
        <w:ind w:firstLine="709"/>
        <w:jc w:val="both"/>
        <w:outlineLvl w:val="0"/>
        <w:rPr>
          <w:spacing w:val="1"/>
          <w:sz w:val="24"/>
          <w:szCs w:val="24"/>
        </w:rPr>
      </w:pPr>
      <w:r>
        <w:rPr>
          <w:rStyle w:val="FontStyle14"/>
          <w:sz w:val="24"/>
          <w:szCs w:val="24"/>
        </w:rPr>
        <w:t>8.2 Сроки предоставления отчётности в вышестоящие органы (согласно подчиненности), а так же заинтересованным пользователям устанавливаются правовыми актами, письмами Департамента финансов Томской области, Управления.</w:t>
      </w:r>
      <w:r>
        <w:rPr>
          <w:spacing w:val="1"/>
          <w:sz w:val="24"/>
          <w:szCs w:val="24"/>
        </w:rPr>
        <w:t xml:space="preserve">    </w:t>
      </w:r>
    </w:p>
    <w:p>
      <w:pPr>
        <w:pStyle w:val="3"/>
        <w:spacing w:after="0"/>
        <w:ind w:firstLine="567"/>
        <w:jc w:val="both"/>
        <w:rPr>
          <w:bCs/>
          <w:iCs/>
          <w:sz w:val="24"/>
          <w:szCs w:val="24"/>
        </w:rPr>
      </w:pPr>
    </w:p>
    <w:p>
      <w:pPr>
        <w:pStyle w:val="3"/>
        <w:spacing w:after="0"/>
        <w:ind w:firstLine="567"/>
        <w:jc w:val="center"/>
        <w:rPr>
          <w:b/>
          <w:bCs/>
          <w:sz w:val="24"/>
          <w:szCs w:val="24"/>
        </w:rPr>
      </w:pPr>
      <w:r>
        <w:rPr>
          <w:b/>
          <w:bCs/>
          <w:sz w:val="24"/>
          <w:szCs w:val="24"/>
        </w:rPr>
        <w:t>9. Санкционирование</w:t>
      </w:r>
    </w:p>
    <w:p>
      <w:pPr>
        <w:pStyle w:val="3"/>
        <w:spacing w:after="0"/>
        <w:ind w:firstLine="567"/>
        <w:jc w:val="center"/>
        <w:rPr>
          <w:b/>
          <w:bCs/>
          <w:sz w:val="24"/>
          <w:szCs w:val="24"/>
        </w:rPr>
      </w:pPr>
    </w:p>
    <w:p>
      <w:pPr>
        <w:ind w:firstLine="708"/>
        <w:jc w:val="both"/>
        <w:rPr>
          <w:rFonts w:eastAsia="Calibri"/>
          <w:sz w:val="24"/>
          <w:szCs w:val="24"/>
        </w:rPr>
      </w:pPr>
      <w:r>
        <w:rPr>
          <w:bCs/>
          <w:sz w:val="24"/>
          <w:szCs w:val="24"/>
        </w:rPr>
        <w:t xml:space="preserve">9.1 </w:t>
      </w:r>
      <w:r>
        <w:rPr>
          <w:rFonts w:eastAsia="Calibri"/>
          <w:sz w:val="24"/>
          <w:szCs w:val="24"/>
        </w:rPr>
        <w:t>Для обобщения информации о принятых Управлением обязательств (денежных обязательств) на текущий (очередной; первый год, следующий за очередным; второй год, следующий за очередным) финансовый год применяются следующие группировочные счета:</w:t>
      </w:r>
    </w:p>
    <w:p>
      <w:pPr>
        <w:ind w:firstLine="708"/>
        <w:jc w:val="both"/>
        <w:rPr>
          <w:rFonts w:eastAsia="Calibri"/>
          <w:sz w:val="24"/>
          <w:szCs w:val="24"/>
        </w:rPr>
      </w:pPr>
      <w:r>
        <w:rPr>
          <w:rFonts w:eastAsia="Calibri"/>
          <w:sz w:val="24"/>
          <w:szCs w:val="24"/>
        </w:rPr>
        <w:t>1) в разрезе финансовых периодов:</w:t>
      </w:r>
    </w:p>
    <w:p>
      <w:pPr>
        <w:ind w:firstLine="708"/>
        <w:jc w:val="both"/>
        <w:rPr>
          <w:rFonts w:eastAsia="Calibri"/>
          <w:sz w:val="24"/>
          <w:szCs w:val="24"/>
        </w:rPr>
      </w:pPr>
      <w:r>
        <w:rPr>
          <w:rFonts w:eastAsia="Calibri"/>
          <w:sz w:val="24"/>
          <w:szCs w:val="24"/>
        </w:rPr>
        <w:t>- 050210000 «Принятые обязательства на текущий финансовый год»;</w:t>
      </w:r>
    </w:p>
    <w:p>
      <w:pPr>
        <w:ind w:firstLine="708"/>
        <w:jc w:val="both"/>
        <w:rPr>
          <w:rFonts w:eastAsia="Calibri"/>
          <w:sz w:val="24"/>
          <w:szCs w:val="24"/>
        </w:rPr>
      </w:pPr>
      <w:r>
        <w:rPr>
          <w:rFonts w:eastAsia="Calibri"/>
          <w:sz w:val="24"/>
          <w:szCs w:val="24"/>
        </w:rPr>
        <w:t>- 050220000 «Принятые обязательства на очередной финансовый год»;</w:t>
      </w:r>
    </w:p>
    <w:p>
      <w:pPr>
        <w:ind w:firstLine="708"/>
        <w:jc w:val="both"/>
        <w:rPr>
          <w:rFonts w:eastAsia="Calibri"/>
          <w:sz w:val="24"/>
          <w:szCs w:val="24"/>
        </w:rPr>
      </w:pPr>
      <w:r>
        <w:rPr>
          <w:rFonts w:eastAsia="Calibri"/>
          <w:sz w:val="24"/>
          <w:szCs w:val="24"/>
        </w:rPr>
        <w:t xml:space="preserve">- 050230000 «Принятые обязательства на второй год, следующий за текущим               </w:t>
      </w:r>
      <w:proofErr w:type="gramStart"/>
      <w:r>
        <w:rPr>
          <w:rFonts w:eastAsia="Calibri"/>
          <w:sz w:val="24"/>
          <w:szCs w:val="24"/>
        </w:rPr>
        <w:t xml:space="preserve">   (</w:t>
      </w:r>
      <w:proofErr w:type="gramEnd"/>
      <w:r>
        <w:rPr>
          <w:rFonts w:eastAsia="Calibri"/>
          <w:sz w:val="24"/>
          <w:szCs w:val="24"/>
        </w:rPr>
        <w:t>на первый, следующий за очередным)»;</w:t>
      </w:r>
    </w:p>
    <w:p>
      <w:pPr>
        <w:ind w:firstLine="708"/>
        <w:jc w:val="both"/>
        <w:rPr>
          <w:rFonts w:eastAsia="Calibri"/>
          <w:sz w:val="24"/>
          <w:szCs w:val="24"/>
        </w:rPr>
      </w:pPr>
      <w:r>
        <w:rPr>
          <w:rFonts w:eastAsia="Calibri"/>
          <w:sz w:val="24"/>
          <w:szCs w:val="24"/>
        </w:rPr>
        <w:t>- 050240000 «Принятые обязательства на второй год, следующий за очередным».</w:t>
      </w:r>
    </w:p>
    <w:p>
      <w:pPr>
        <w:ind w:firstLine="708"/>
        <w:jc w:val="both"/>
        <w:rPr>
          <w:rFonts w:eastAsia="Calibri"/>
          <w:sz w:val="24"/>
          <w:szCs w:val="24"/>
        </w:rPr>
      </w:pPr>
      <w:r>
        <w:rPr>
          <w:rFonts w:eastAsia="Calibri"/>
          <w:sz w:val="24"/>
          <w:szCs w:val="24"/>
        </w:rPr>
        <w:t>2) в разрезе объектов учёта:</w:t>
      </w:r>
    </w:p>
    <w:p>
      <w:pPr>
        <w:ind w:firstLine="708"/>
        <w:jc w:val="both"/>
        <w:rPr>
          <w:rFonts w:eastAsia="Calibri"/>
          <w:sz w:val="24"/>
          <w:szCs w:val="24"/>
        </w:rPr>
      </w:pPr>
      <w:r>
        <w:rPr>
          <w:rFonts w:eastAsia="Calibri"/>
          <w:sz w:val="24"/>
          <w:szCs w:val="24"/>
        </w:rPr>
        <w:t>- 050201000 «Принятые обязательства»;</w:t>
      </w:r>
    </w:p>
    <w:p>
      <w:pPr>
        <w:ind w:firstLine="708"/>
        <w:jc w:val="both"/>
        <w:rPr>
          <w:rFonts w:eastAsia="Calibri"/>
          <w:sz w:val="24"/>
          <w:szCs w:val="24"/>
        </w:rPr>
      </w:pPr>
      <w:r>
        <w:rPr>
          <w:rFonts w:eastAsia="Calibri"/>
          <w:sz w:val="24"/>
          <w:szCs w:val="24"/>
        </w:rPr>
        <w:t xml:space="preserve">- 050202000 «Принятые денежные обязательств»; </w:t>
      </w:r>
    </w:p>
    <w:p>
      <w:pPr>
        <w:ind w:firstLine="708"/>
        <w:jc w:val="both"/>
        <w:rPr>
          <w:rFonts w:eastAsia="Calibri"/>
          <w:sz w:val="24"/>
          <w:szCs w:val="24"/>
        </w:rPr>
      </w:pPr>
      <w:r>
        <w:rPr>
          <w:rFonts w:eastAsia="Calibri"/>
          <w:sz w:val="24"/>
          <w:szCs w:val="24"/>
        </w:rPr>
        <w:t>- 050207000 «Принимаемые обязательства»;</w:t>
      </w:r>
    </w:p>
    <w:p>
      <w:pPr>
        <w:ind w:firstLine="708"/>
        <w:jc w:val="both"/>
        <w:rPr>
          <w:rFonts w:eastAsia="Calibri"/>
          <w:sz w:val="24"/>
          <w:szCs w:val="24"/>
        </w:rPr>
      </w:pPr>
      <w:r>
        <w:rPr>
          <w:rFonts w:eastAsia="Calibri"/>
          <w:sz w:val="24"/>
          <w:szCs w:val="24"/>
        </w:rPr>
        <w:t>- 050209000 «Отложенные обязательства».</w:t>
      </w:r>
    </w:p>
    <w:p>
      <w:pPr>
        <w:ind w:firstLine="708"/>
        <w:jc w:val="both"/>
        <w:rPr>
          <w:rFonts w:eastAsia="Calibri"/>
          <w:sz w:val="24"/>
          <w:szCs w:val="24"/>
        </w:rPr>
      </w:pPr>
      <w:r>
        <w:rPr>
          <w:rFonts w:eastAsia="Calibri"/>
          <w:sz w:val="24"/>
          <w:szCs w:val="24"/>
        </w:rPr>
        <w:t xml:space="preserve">9.2 В показатели </w:t>
      </w:r>
      <w:r>
        <w:rPr>
          <w:rFonts w:eastAsia="Calibri"/>
          <w:b/>
          <w:bCs/>
          <w:sz w:val="24"/>
          <w:szCs w:val="24"/>
        </w:rPr>
        <w:t>принятых обязательств</w:t>
      </w:r>
      <w:r>
        <w:rPr>
          <w:rFonts w:eastAsia="Calibri"/>
          <w:sz w:val="24"/>
          <w:szCs w:val="24"/>
        </w:rPr>
        <w:t xml:space="preserve"> текущего финансового года включаются:</w:t>
      </w:r>
    </w:p>
    <w:p>
      <w:pPr>
        <w:ind w:firstLine="708"/>
        <w:jc w:val="both"/>
        <w:rPr>
          <w:rFonts w:eastAsia="Calibri"/>
          <w:sz w:val="24"/>
          <w:szCs w:val="24"/>
        </w:rPr>
      </w:pPr>
      <w:proofErr w:type="gramStart"/>
      <w:r>
        <w:rPr>
          <w:rFonts w:eastAsia="Calibri"/>
          <w:sz w:val="24"/>
          <w:szCs w:val="24"/>
        </w:rPr>
        <w:t>а</w:t>
      </w:r>
      <w:proofErr w:type="gramEnd"/>
      <w:r>
        <w:rPr>
          <w:rFonts w:eastAsia="Calibri"/>
          <w:sz w:val="24"/>
          <w:szCs w:val="24"/>
        </w:rPr>
        <w:t>) обязательства по предоставлению в текущем финансовом году средств, предусмотренные условиями заключенных в отчётном периоде Управлением договоров,               а также обязательства по договорам, принятым в прошлые годы и не исполненным по состоянию на начало текущего финансового года, подлежащие исполнению в текущем финансовом году;</w:t>
      </w:r>
    </w:p>
    <w:p>
      <w:pPr>
        <w:ind w:firstLine="708"/>
        <w:jc w:val="both"/>
        <w:rPr>
          <w:rFonts w:eastAsia="Calibri"/>
          <w:sz w:val="24"/>
          <w:szCs w:val="24"/>
        </w:rPr>
      </w:pPr>
      <w:proofErr w:type="gramStart"/>
      <w:r>
        <w:rPr>
          <w:rFonts w:eastAsia="Calibri"/>
          <w:sz w:val="24"/>
          <w:szCs w:val="24"/>
        </w:rPr>
        <w:t>б</w:t>
      </w:r>
      <w:proofErr w:type="gramEnd"/>
      <w:r>
        <w:rPr>
          <w:rFonts w:eastAsia="Calibri"/>
          <w:sz w:val="24"/>
          <w:szCs w:val="24"/>
        </w:rPr>
        <w:t>) обязательства по оплате труда;</w:t>
      </w:r>
    </w:p>
    <w:p>
      <w:pPr>
        <w:ind w:firstLine="708"/>
        <w:jc w:val="both"/>
        <w:rPr>
          <w:rFonts w:eastAsia="Calibri"/>
          <w:sz w:val="24"/>
          <w:szCs w:val="24"/>
        </w:rPr>
      </w:pPr>
      <w:proofErr w:type="gramStart"/>
      <w:r>
        <w:rPr>
          <w:rFonts w:eastAsia="Calibri"/>
          <w:sz w:val="24"/>
          <w:szCs w:val="24"/>
        </w:rPr>
        <w:t>в</w:t>
      </w:r>
      <w:proofErr w:type="gramEnd"/>
      <w:r>
        <w:rPr>
          <w:rFonts w:eastAsia="Calibri"/>
          <w:sz w:val="24"/>
          <w:szCs w:val="24"/>
        </w:rPr>
        <w:t>) обязательства по выплате работникам Управления командировочных расходов           (в том числе авансовых платежей), иных выплат (суточных и т.п.) в соответствии                         с коллективным договором Администрации ЗАТО Северск и законодательством Российской Федерации, предусмотренные к исполнению в текущем финансовом году;</w:t>
      </w:r>
    </w:p>
    <w:p>
      <w:pPr>
        <w:ind w:firstLine="708"/>
        <w:jc w:val="both"/>
        <w:rPr>
          <w:rFonts w:eastAsia="Calibri"/>
          <w:sz w:val="24"/>
          <w:szCs w:val="24"/>
        </w:rPr>
      </w:pPr>
      <w:proofErr w:type="gramStart"/>
      <w:r>
        <w:rPr>
          <w:rFonts w:eastAsia="Calibri"/>
          <w:sz w:val="24"/>
          <w:szCs w:val="24"/>
        </w:rPr>
        <w:t>г</w:t>
      </w:r>
      <w:proofErr w:type="gramEnd"/>
      <w:r>
        <w:rPr>
          <w:rFonts w:eastAsia="Calibri"/>
          <w:sz w:val="24"/>
          <w:szCs w:val="24"/>
        </w:rPr>
        <w:t>) обязательства по оплате обусловленных законодательством РФ выплат физическим лицам;</w:t>
      </w:r>
    </w:p>
    <w:p>
      <w:pPr>
        <w:ind w:firstLine="708"/>
        <w:jc w:val="both"/>
        <w:rPr>
          <w:rFonts w:eastAsia="Calibri"/>
          <w:sz w:val="24"/>
          <w:szCs w:val="24"/>
        </w:rPr>
      </w:pPr>
      <w:proofErr w:type="gramStart"/>
      <w:r>
        <w:rPr>
          <w:rFonts w:eastAsia="Calibri"/>
          <w:sz w:val="24"/>
          <w:szCs w:val="24"/>
        </w:rPr>
        <w:t>д</w:t>
      </w:r>
      <w:proofErr w:type="gramEnd"/>
      <w:r>
        <w:rPr>
          <w:rFonts w:eastAsia="Calibri"/>
          <w:sz w:val="24"/>
          <w:szCs w:val="24"/>
        </w:rPr>
        <w:t>) обязательства по оплате предусмотренных законодательством РФ обязательных платежей в бюджеты бюджетной системы РФ (налогов, сборов, пошлин, взносов, иных выплат), предусмотренные к исполнению в текущем финансовом году;</w:t>
      </w:r>
    </w:p>
    <w:p>
      <w:pPr>
        <w:ind w:firstLine="708"/>
        <w:jc w:val="both"/>
        <w:rPr>
          <w:rFonts w:eastAsia="Calibri"/>
          <w:sz w:val="24"/>
          <w:szCs w:val="24"/>
        </w:rPr>
      </w:pPr>
      <w:proofErr w:type="gramStart"/>
      <w:r>
        <w:rPr>
          <w:rFonts w:eastAsia="Calibri"/>
          <w:sz w:val="24"/>
          <w:szCs w:val="24"/>
        </w:rPr>
        <w:t>е</w:t>
      </w:r>
      <w:proofErr w:type="gramEnd"/>
      <w:r>
        <w:rPr>
          <w:rFonts w:eastAsia="Calibri"/>
          <w:sz w:val="24"/>
          <w:szCs w:val="24"/>
        </w:rPr>
        <w:t>) обязательства по возмещению вреда, причиненного Управлением при осуществлении им деятельности, по иным выплатам, обусловленным вступившим                     в законную силу решением суда, предусмотренные к исполнению в текущем финансовом году;</w:t>
      </w:r>
    </w:p>
    <w:p>
      <w:pPr>
        <w:ind w:firstLine="708"/>
        <w:jc w:val="both"/>
        <w:rPr>
          <w:rFonts w:eastAsia="Calibri"/>
          <w:sz w:val="24"/>
          <w:szCs w:val="24"/>
        </w:rPr>
      </w:pPr>
      <w:proofErr w:type="gramStart"/>
      <w:r>
        <w:rPr>
          <w:rFonts w:eastAsia="Calibri"/>
          <w:sz w:val="24"/>
          <w:szCs w:val="24"/>
        </w:rPr>
        <w:t>ж</w:t>
      </w:r>
      <w:proofErr w:type="gramEnd"/>
      <w:r>
        <w:rPr>
          <w:rFonts w:eastAsia="Calibri"/>
          <w:sz w:val="24"/>
          <w:szCs w:val="24"/>
        </w:rPr>
        <w:t>) иные обязательства, предусмотренные к исполнению в текущем финансовом году.</w:t>
      </w:r>
    </w:p>
    <w:p>
      <w:pPr>
        <w:ind w:firstLine="708"/>
        <w:jc w:val="both"/>
        <w:rPr>
          <w:rFonts w:eastAsia="Calibri"/>
          <w:sz w:val="24"/>
          <w:szCs w:val="24"/>
        </w:rPr>
      </w:pPr>
      <w:r>
        <w:rPr>
          <w:rFonts w:eastAsia="Calibri"/>
          <w:sz w:val="24"/>
          <w:szCs w:val="24"/>
        </w:rPr>
        <w:t xml:space="preserve">В показатели </w:t>
      </w:r>
      <w:r>
        <w:rPr>
          <w:rFonts w:eastAsia="Calibri"/>
          <w:b/>
          <w:bCs/>
          <w:sz w:val="24"/>
          <w:szCs w:val="24"/>
        </w:rPr>
        <w:t>принятых денежных обязательств</w:t>
      </w:r>
      <w:r>
        <w:rPr>
          <w:rFonts w:eastAsia="Calibri"/>
          <w:sz w:val="24"/>
          <w:szCs w:val="24"/>
        </w:rPr>
        <w:t xml:space="preserve"> текущего финансового года включаются:</w:t>
      </w:r>
    </w:p>
    <w:p>
      <w:pPr>
        <w:ind w:firstLine="708"/>
        <w:jc w:val="both"/>
        <w:rPr>
          <w:rFonts w:eastAsia="Calibri"/>
          <w:sz w:val="24"/>
          <w:szCs w:val="24"/>
        </w:rPr>
      </w:pPr>
      <w:r>
        <w:rPr>
          <w:rFonts w:eastAsia="Calibri"/>
          <w:sz w:val="24"/>
          <w:szCs w:val="24"/>
        </w:rPr>
        <w:t>1) в части расчётов с контрагентами, за исключением расчётов с подотчётными лицами и расчётов по платежам в бюджеты бюджетной системы РФ, в разрезе получателей авансовых платежей - юридических, физических лиц, иных контрагентов:</w:t>
      </w:r>
    </w:p>
    <w:p>
      <w:pPr>
        <w:ind w:firstLine="708"/>
        <w:jc w:val="both"/>
        <w:rPr>
          <w:rFonts w:eastAsia="Calibri"/>
          <w:sz w:val="24"/>
          <w:szCs w:val="24"/>
        </w:rPr>
      </w:pPr>
      <w:r>
        <w:rPr>
          <w:rFonts w:eastAsia="Calibri"/>
          <w:sz w:val="24"/>
          <w:szCs w:val="24"/>
        </w:rPr>
        <w:t>- на основании данных соответствующих счетов аналитического учёта счёта 020600000 (разница дебетовых оборотов, отражающих получение контрагентами денежных средств, и кредитовых оборотов, отражающих возвраты выданных в текущем периоде авансовых платежей и (или) зачёты авансовых платежей в оплату начисленных (принятых) в текущем периоде обязательств) - предоставленные в текущем периоде авансовые платежи по принятым обязательствам за минусом произведенных возвратов указанных авансовых платежей. Остатки выданных авансовых платежей, числящиеся на начало текущего периода по соответствующим счетам аналитического учёта счёта 020600000, а также кредитовые обороты, изменяющие указанные расчёты, в показатели принятых денежных обязательств за текущий период не включаются;</w:t>
      </w:r>
    </w:p>
    <w:p>
      <w:pPr>
        <w:ind w:firstLine="708"/>
        <w:jc w:val="both"/>
        <w:rPr>
          <w:rFonts w:eastAsia="Calibri"/>
          <w:sz w:val="24"/>
          <w:szCs w:val="24"/>
        </w:rPr>
      </w:pPr>
      <w:r>
        <w:rPr>
          <w:rFonts w:eastAsia="Calibri"/>
          <w:sz w:val="24"/>
          <w:szCs w:val="24"/>
        </w:rPr>
        <w:t>- на основании кредитовых оборотов соответствующих счетов аналитического учёта счёта 030200000 - начисленные (принятые) денежные обязательства, подлежащие исполнению в текущем (отчётном) финансовом году. Кредитовые и дебетовые обороты, отражающие увеличение (уменьшение) кредиторской задолженности по принятым                     в текущем периоде денежным обязательствам в счёт авансовых платежей прошлых лет                в показатели принятых денежных обязательств за текущий период не включаются;</w:t>
      </w:r>
    </w:p>
    <w:p>
      <w:pPr>
        <w:ind w:firstLine="708"/>
        <w:jc w:val="both"/>
        <w:rPr>
          <w:rFonts w:eastAsia="Calibri"/>
          <w:sz w:val="24"/>
          <w:szCs w:val="24"/>
        </w:rPr>
      </w:pPr>
      <w:r>
        <w:rPr>
          <w:rFonts w:eastAsia="Calibri"/>
          <w:sz w:val="24"/>
          <w:szCs w:val="24"/>
        </w:rPr>
        <w:t>- на основании дебетовых оборотов соответствующих счетов аналитического учёта счетов 030200000, 030402000, 030403000 - исполненные в текущем периоде принятые денежные обязательства прошлых лет;</w:t>
      </w:r>
    </w:p>
    <w:p>
      <w:pPr>
        <w:ind w:firstLine="708"/>
        <w:jc w:val="both"/>
        <w:rPr>
          <w:rFonts w:eastAsia="Calibri"/>
          <w:sz w:val="24"/>
          <w:szCs w:val="24"/>
        </w:rPr>
      </w:pPr>
      <w:r>
        <w:rPr>
          <w:rFonts w:eastAsia="Calibri"/>
          <w:sz w:val="24"/>
          <w:szCs w:val="24"/>
        </w:rPr>
        <w:t>2) в части расчётов с подотчётными лицами в разрезе контрагентов (подотчетных лиц):</w:t>
      </w:r>
    </w:p>
    <w:p>
      <w:pPr>
        <w:ind w:firstLine="708"/>
        <w:jc w:val="both"/>
        <w:rPr>
          <w:rFonts w:eastAsia="Calibri"/>
          <w:sz w:val="24"/>
          <w:szCs w:val="24"/>
        </w:rPr>
      </w:pPr>
      <w:r>
        <w:rPr>
          <w:rFonts w:eastAsia="Calibri"/>
          <w:sz w:val="24"/>
          <w:szCs w:val="24"/>
        </w:rPr>
        <w:t>- на основании дебетовых оборотов по соответствующим счетам аналитического учёта счета 020800000 за минусом кредитовых оборотов по соответствующим счетам аналитического учёта счета 020800000 - полученные подотчетными лицами денежные средства (вне зависимости от способа выплаты) за минусом возврата выданных в текущем периоде авансовых платежей;</w:t>
      </w:r>
    </w:p>
    <w:p>
      <w:pPr>
        <w:ind w:firstLine="708"/>
        <w:jc w:val="both"/>
        <w:rPr>
          <w:rFonts w:eastAsia="Calibri"/>
          <w:sz w:val="24"/>
          <w:szCs w:val="24"/>
        </w:rPr>
      </w:pPr>
      <w:r>
        <w:rPr>
          <w:rFonts w:eastAsia="Calibri"/>
          <w:sz w:val="24"/>
          <w:szCs w:val="24"/>
        </w:rPr>
        <w:t>- на основании дебетовых оборотов по соответствующим счетам аналитического учёта счёта 020800000 - полученные в текущем периоде подотчётными лицами денежные средства в возмещение перерасходов прошлых лет.</w:t>
      </w:r>
    </w:p>
    <w:p>
      <w:pPr>
        <w:ind w:firstLine="708"/>
        <w:jc w:val="both"/>
        <w:rPr>
          <w:rFonts w:eastAsia="Calibri"/>
          <w:sz w:val="24"/>
          <w:szCs w:val="24"/>
        </w:rPr>
      </w:pPr>
      <w:r>
        <w:rPr>
          <w:rFonts w:eastAsia="Calibri"/>
          <w:sz w:val="24"/>
          <w:szCs w:val="24"/>
        </w:rPr>
        <w:t xml:space="preserve">Остатки выданных авансовых платежей подотчётным лицам, числящиеся на начало отчётного года по соответствующим счетам аналитического учёта счёта </w:t>
      </w:r>
      <w:proofErr w:type="gramStart"/>
      <w:r>
        <w:rPr>
          <w:rFonts w:eastAsia="Calibri"/>
          <w:sz w:val="24"/>
          <w:szCs w:val="24"/>
        </w:rPr>
        <w:t xml:space="preserve">020800000,   </w:t>
      </w:r>
      <w:proofErr w:type="gramEnd"/>
      <w:r>
        <w:rPr>
          <w:rFonts w:eastAsia="Calibri"/>
          <w:sz w:val="24"/>
          <w:szCs w:val="24"/>
        </w:rPr>
        <w:t xml:space="preserve">                  а также кредитовые обороты, изменяющие указанные расчёты, в показатели принятых денежных обязательств текущего периода не включаются;</w:t>
      </w:r>
    </w:p>
    <w:p>
      <w:pPr>
        <w:ind w:firstLine="708"/>
        <w:jc w:val="both"/>
        <w:rPr>
          <w:rFonts w:eastAsia="Calibri"/>
          <w:sz w:val="24"/>
          <w:szCs w:val="24"/>
        </w:rPr>
      </w:pPr>
      <w:r>
        <w:rPr>
          <w:rFonts w:eastAsia="Calibri"/>
          <w:sz w:val="24"/>
          <w:szCs w:val="24"/>
        </w:rPr>
        <w:t>3) в части расчётов по обязательным платежам в бюджеты бюджетной системы РФ на основании аналитических данных в разрезе платежей в бюджеты бюджетной системы РФ:</w:t>
      </w:r>
    </w:p>
    <w:p>
      <w:pPr>
        <w:ind w:firstLine="708"/>
        <w:jc w:val="both"/>
        <w:rPr>
          <w:rFonts w:eastAsia="Calibri"/>
          <w:sz w:val="24"/>
          <w:szCs w:val="24"/>
        </w:rPr>
      </w:pPr>
      <w:r>
        <w:rPr>
          <w:rFonts w:eastAsia="Calibri"/>
          <w:sz w:val="24"/>
          <w:szCs w:val="24"/>
        </w:rPr>
        <w:t>- на основании кредитовых оборотов соответствующих счетов аналитического учёта счёта 030300000 (030302731 - 030313731) - начисленные (принятые) в текущем периоде платежи (налоги, взносы, пошлины, сборы и иные обязательные платежи);</w:t>
      </w:r>
    </w:p>
    <w:p>
      <w:pPr>
        <w:ind w:firstLine="708"/>
        <w:jc w:val="both"/>
        <w:rPr>
          <w:rFonts w:eastAsia="Calibri"/>
          <w:sz w:val="24"/>
          <w:szCs w:val="24"/>
        </w:rPr>
      </w:pPr>
      <w:r>
        <w:rPr>
          <w:rFonts w:eastAsia="Calibri"/>
          <w:sz w:val="24"/>
          <w:szCs w:val="24"/>
        </w:rPr>
        <w:t>- на основании дебетовых оборотов соответствующих счетов аналитического учёта счёта 030300000 (030302831 - 030313831) - исполнение обязательств по оплате платежей (налогов, взносов, пошлин, сборов и иных обязательных платежей) прошлых лет, числящихся на начало текущего года, исполненные в текущем периоде.</w:t>
      </w:r>
    </w:p>
    <w:p>
      <w:pPr>
        <w:ind w:firstLine="708"/>
        <w:jc w:val="both"/>
        <w:rPr>
          <w:rFonts w:eastAsia="Calibri"/>
          <w:sz w:val="24"/>
          <w:szCs w:val="24"/>
        </w:rPr>
      </w:pPr>
      <w:r>
        <w:rPr>
          <w:rFonts w:eastAsia="Calibri"/>
          <w:sz w:val="24"/>
          <w:szCs w:val="24"/>
        </w:rPr>
        <w:t>Показатели расчетов по излишне уплаченным платежам (налогам, взносам, пошлинам, сборам и иным обязательным платежам), числящиеся на начало текущего периода по соответствующим счетам аналитического учёта счёта 030300000, а также кредитовые обороты, изменяющие указанные расчёты, в принятых денежных обязательствах текущего периода не учитываются.</w:t>
      </w:r>
    </w:p>
    <w:p>
      <w:pPr>
        <w:ind w:firstLine="708"/>
        <w:jc w:val="both"/>
        <w:rPr>
          <w:rFonts w:eastAsiaTheme="minorHAnsi"/>
          <w:sz w:val="24"/>
          <w:szCs w:val="24"/>
          <w:lang w:eastAsia="en-US"/>
        </w:rPr>
      </w:pPr>
      <w:r>
        <w:rPr>
          <w:rFonts w:eastAsia="Calibri"/>
          <w:sz w:val="24"/>
          <w:szCs w:val="24"/>
        </w:rPr>
        <w:t>9.3</w:t>
      </w:r>
      <w:r>
        <w:rPr>
          <w:rFonts w:eastAsiaTheme="minorHAnsi"/>
          <w:sz w:val="24"/>
          <w:szCs w:val="24"/>
          <w:lang w:eastAsia="en-US"/>
        </w:rPr>
        <w:t xml:space="preserve"> Принятие к бухгалтерскому учёту принимаемых обязательств осуществляется на основании:</w:t>
      </w:r>
    </w:p>
    <w:p>
      <w:pPr>
        <w:ind w:firstLine="708"/>
        <w:jc w:val="both"/>
        <w:rPr>
          <w:rFonts w:eastAsiaTheme="minorHAnsi"/>
          <w:sz w:val="24"/>
          <w:szCs w:val="24"/>
          <w:lang w:eastAsia="en-US"/>
        </w:rPr>
      </w:pPr>
      <w:r>
        <w:rPr>
          <w:rFonts w:eastAsiaTheme="minorHAnsi"/>
          <w:sz w:val="24"/>
          <w:szCs w:val="24"/>
          <w:lang w:eastAsia="en-US"/>
        </w:rPr>
        <w:t>-извещения об осуществлении закупки - с даты размещения в Единой информационной системе в сфере закупок;</w:t>
      </w:r>
    </w:p>
    <w:p>
      <w:pPr>
        <w:ind w:firstLine="708"/>
        <w:jc w:val="both"/>
        <w:rPr>
          <w:rFonts w:eastAsiaTheme="minorHAnsi"/>
          <w:sz w:val="24"/>
          <w:szCs w:val="24"/>
          <w:lang w:eastAsia="en-US"/>
        </w:rPr>
      </w:pPr>
      <w:r>
        <w:rPr>
          <w:rFonts w:eastAsiaTheme="minorHAnsi"/>
          <w:sz w:val="24"/>
          <w:szCs w:val="24"/>
          <w:lang w:eastAsia="en-US"/>
        </w:rPr>
        <w:t>- Сведений о приглашении принять участие в определении поставщика (подрядчика, исполнителя).</w:t>
      </w:r>
    </w:p>
    <w:p>
      <w:pPr>
        <w:ind w:firstLine="567"/>
        <w:jc w:val="both"/>
        <w:rPr>
          <w:rFonts w:eastAsiaTheme="minorHAnsi"/>
          <w:sz w:val="24"/>
          <w:szCs w:val="24"/>
          <w:lang w:eastAsia="en-US"/>
        </w:rPr>
      </w:pPr>
      <w:r>
        <w:rPr>
          <w:rFonts w:eastAsiaTheme="minorHAnsi"/>
          <w:sz w:val="24"/>
          <w:szCs w:val="24"/>
          <w:lang w:eastAsia="en-US"/>
        </w:rPr>
        <w:t>Суммы ранее принятых бюджетных обязательств подлежат корректировке:</w:t>
      </w:r>
    </w:p>
    <w:p>
      <w:pPr>
        <w:ind w:firstLine="708"/>
        <w:jc w:val="both"/>
        <w:rPr>
          <w:rFonts w:eastAsiaTheme="minorHAnsi"/>
          <w:sz w:val="24"/>
          <w:szCs w:val="24"/>
          <w:lang w:eastAsia="en-US"/>
        </w:rPr>
      </w:pPr>
      <w:r>
        <w:rPr>
          <w:rFonts w:eastAsiaTheme="minorHAnsi"/>
          <w:sz w:val="24"/>
          <w:szCs w:val="24"/>
          <w:lang w:eastAsia="en-US"/>
        </w:rPr>
        <w:t>-</w:t>
      </w:r>
      <w:r>
        <w:rPr>
          <w:rFonts w:eastAsiaTheme="minorHAnsi"/>
        </w:rPr>
        <w:t> </w:t>
      </w:r>
      <w:r>
        <w:rPr>
          <w:rFonts w:eastAsiaTheme="minorHAnsi"/>
          <w:sz w:val="24"/>
          <w:szCs w:val="24"/>
          <w:lang w:eastAsia="en-US"/>
        </w:rPr>
        <w:t>по бюджетным обязательствам, принятым на основании договоров (муниципальных контрактов) - при изменении сумм договоров (муниципальных контрактов) на дату принятия такого изменения на основании дополнительного соглашения к договору (муниципальному контракту) либо иных документов, изменяющих сумму договора (муниципального контракта);</w:t>
      </w:r>
    </w:p>
    <w:p>
      <w:pPr>
        <w:ind w:firstLine="708"/>
        <w:jc w:val="both"/>
        <w:rPr>
          <w:rFonts w:eastAsiaTheme="minorHAnsi"/>
          <w:sz w:val="24"/>
          <w:szCs w:val="24"/>
          <w:lang w:eastAsia="en-US"/>
        </w:rPr>
      </w:pPr>
      <w:r>
        <w:rPr>
          <w:rFonts w:eastAsiaTheme="minorHAnsi"/>
          <w:sz w:val="24"/>
          <w:szCs w:val="24"/>
          <w:lang w:eastAsia="en-US"/>
        </w:rPr>
        <w:t>- по бюджетным обязательствам, принятым на основании плановой суммы                       к договору (муниципальному контракту) (на оказание услуг связи), по которым оплата производится за фактически полученный объём услуг - подлежит изменению на точную сумму, предъявленную по такому договору (муниципальному контракту);</w:t>
      </w:r>
    </w:p>
    <w:p>
      <w:pPr>
        <w:ind w:firstLine="708"/>
        <w:jc w:val="both"/>
        <w:rPr>
          <w:rFonts w:eastAsiaTheme="minorHAnsi"/>
          <w:sz w:val="24"/>
          <w:szCs w:val="24"/>
          <w:lang w:eastAsia="en-US"/>
        </w:rPr>
      </w:pPr>
      <w:r>
        <w:rPr>
          <w:rFonts w:eastAsiaTheme="minorHAnsi"/>
          <w:sz w:val="24"/>
          <w:szCs w:val="24"/>
          <w:lang w:eastAsia="en-US"/>
        </w:rPr>
        <w:t>- по бюджетным обязательствам, принятым в пределах выделенных лимитов на сумму отозванных лимитов бюджетных обязательств на основании расходного расписания, на сумму неиспользованных лимитов бюджетных обязательств на основании отчета о состоянии лицевого счета получателя бюджетных средств;</w:t>
      </w:r>
    </w:p>
    <w:p>
      <w:pPr>
        <w:ind w:firstLine="708"/>
        <w:jc w:val="both"/>
        <w:rPr>
          <w:rFonts w:eastAsiaTheme="minorHAnsi"/>
          <w:sz w:val="24"/>
          <w:szCs w:val="24"/>
          <w:lang w:eastAsia="en-US"/>
        </w:rPr>
      </w:pPr>
      <w:r>
        <w:rPr>
          <w:rFonts w:eastAsiaTheme="minorHAnsi"/>
          <w:sz w:val="24"/>
          <w:szCs w:val="24"/>
          <w:lang w:eastAsia="en-US"/>
        </w:rPr>
        <w:t>-</w:t>
      </w:r>
      <w:r>
        <w:rPr>
          <w:rFonts w:eastAsiaTheme="minorHAnsi"/>
        </w:rPr>
        <w:t> </w:t>
      </w:r>
      <w:r>
        <w:rPr>
          <w:rFonts w:eastAsiaTheme="minorHAnsi"/>
          <w:sz w:val="24"/>
          <w:szCs w:val="24"/>
          <w:lang w:eastAsia="en-US"/>
        </w:rPr>
        <w:t>по бюджетным обязательствам, принятым по заявлению на выдачу под отчёт денежных средств, подлежат изменению в сумме утвержденного авансового отчета;</w:t>
      </w:r>
    </w:p>
    <w:p>
      <w:pPr>
        <w:ind w:firstLine="708"/>
        <w:jc w:val="both"/>
        <w:rPr>
          <w:rFonts w:eastAsiaTheme="minorHAnsi"/>
          <w:sz w:val="24"/>
          <w:szCs w:val="24"/>
          <w:lang w:eastAsia="en-US"/>
        </w:rPr>
      </w:pPr>
      <w:r>
        <w:rPr>
          <w:rFonts w:eastAsiaTheme="minorHAnsi"/>
          <w:sz w:val="24"/>
          <w:szCs w:val="24"/>
          <w:lang w:eastAsia="en-US"/>
        </w:rPr>
        <w:t>-</w:t>
      </w:r>
      <w:r>
        <w:rPr>
          <w:rFonts w:eastAsiaTheme="minorHAnsi"/>
        </w:rPr>
        <w:t> </w:t>
      </w:r>
      <w:r>
        <w:rPr>
          <w:rFonts w:eastAsiaTheme="minorHAnsi"/>
          <w:sz w:val="24"/>
          <w:szCs w:val="24"/>
          <w:lang w:eastAsia="en-US"/>
        </w:rPr>
        <w:t>по бюджетным обязательствам по начисленным налогам и сборам, за исключением налогов и взносов на оплату труда - на основании налоговых деклараций.</w:t>
      </w:r>
    </w:p>
    <w:p>
      <w:pPr>
        <w:ind w:firstLine="708"/>
        <w:jc w:val="both"/>
        <w:rPr>
          <w:rFonts w:eastAsia="Calibri"/>
          <w:sz w:val="24"/>
          <w:szCs w:val="24"/>
        </w:rPr>
      </w:pPr>
      <w:r>
        <w:rPr>
          <w:rFonts w:eastAsia="Calibri"/>
          <w:sz w:val="24"/>
          <w:szCs w:val="24"/>
        </w:rPr>
        <w:t xml:space="preserve">9.4 В показатели «Принимаемые обязательства» включаются операции                            по конкурентным способам закупок. Датой постановки на учет является размещение извещение о закупке. </w:t>
      </w:r>
    </w:p>
    <w:p>
      <w:pPr>
        <w:ind w:firstLine="708"/>
        <w:jc w:val="both"/>
        <w:rPr>
          <w:rFonts w:eastAsia="Calibri"/>
          <w:sz w:val="24"/>
          <w:szCs w:val="24"/>
        </w:rPr>
      </w:pPr>
      <w:r>
        <w:rPr>
          <w:rFonts w:eastAsia="Calibri"/>
          <w:sz w:val="24"/>
          <w:szCs w:val="24"/>
        </w:rPr>
        <w:t>9.5 Порядок ведения санкционирования денежных обязательств в Управлении регулируется, утвержденным начальником Управления приказом о санкционировании денежных обязательств.</w:t>
      </w:r>
    </w:p>
    <w:p>
      <w:pPr>
        <w:ind w:firstLine="708"/>
        <w:jc w:val="both"/>
        <w:rPr>
          <w:sz w:val="24"/>
          <w:szCs w:val="24"/>
        </w:rPr>
      </w:pPr>
      <w:r>
        <w:rPr>
          <w:sz w:val="24"/>
          <w:szCs w:val="24"/>
        </w:rPr>
        <w:t xml:space="preserve">9.6 </w:t>
      </w:r>
      <w:bookmarkStart w:id="3" w:name="_Hlk68548371"/>
      <w:r>
        <w:rPr>
          <w:sz w:val="24"/>
          <w:szCs w:val="24"/>
        </w:rPr>
        <w:t>При отражении в бухгалтерском учёте Управления методом начисления принятых денежных обязательств по ранее предъявленным к Управлению исковым требованиям следует учитывать юридические обстоятельства возникновения обязанности субъекта учёта уплатить денежные средства кредитору - вступившие в законную силу судебные решения, следовательно, признание денежного обязательства в бухгалтерском учёте как объекта бухгалтерского учёта возникает с момента вступления в законную силу решения суда (</w:t>
      </w:r>
      <w:hyperlink r:id="rId66" w:history="1">
        <w:r>
          <w:rPr>
            <w:sz w:val="24"/>
            <w:szCs w:val="24"/>
          </w:rPr>
          <w:t>строка 010</w:t>
        </w:r>
      </w:hyperlink>
      <w:r>
        <w:rPr>
          <w:sz w:val="24"/>
          <w:szCs w:val="24"/>
        </w:rPr>
        <w:t xml:space="preserve"> графы 4 Сведений (ф. 0503295)) (письмо Минфина РФ от 28.01.2021 г. № 02-06-10/5366).</w:t>
      </w:r>
    </w:p>
    <w:bookmarkEnd w:id="3"/>
    <w:p>
      <w:pPr>
        <w:pStyle w:val="3"/>
        <w:spacing w:after="0"/>
        <w:ind w:firstLine="567"/>
        <w:jc w:val="center"/>
        <w:rPr>
          <w:b/>
          <w:bCs/>
          <w:iCs/>
          <w:sz w:val="24"/>
          <w:szCs w:val="24"/>
        </w:rPr>
      </w:pPr>
    </w:p>
    <w:p>
      <w:pPr>
        <w:pStyle w:val="3"/>
        <w:spacing w:after="0"/>
        <w:ind w:firstLine="567"/>
        <w:jc w:val="center"/>
        <w:rPr>
          <w:b/>
          <w:bCs/>
          <w:iCs/>
          <w:sz w:val="24"/>
          <w:szCs w:val="24"/>
        </w:rPr>
      </w:pPr>
      <w:r>
        <w:rPr>
          <w:b/>
          <w:bCs/>
          <w:iCs/>
          <w:sz w:val="24"/>
          <w:szCs w:val="24"/>
        </w:rPr>
        <w:t>10. Учёт дебиторской и кредиторской задолженности, резервов</w:t>
      </w:r>
    </w:p>
    <w:p>
      <w:pPr>
        <w:ind w:firstLine="708"/>
        <w:jc w:val="both"/>
        <w:rPr>
          <w:rFonts w:eastAsia="Calibri"/>
          <w:sz w:val="24"/>
          <w:szCs w:val="24"/>
        </w:rPr>
      </w:pPr>
    </w:p>
    <w:p>
      <w:pPr>
        <w:ind w:firstLine="708"/>
        <w:jc w:val="both"/>
        <w:rPr>
          <w:sz w:val="24"/>
          <w:szCs w:val="24"/>
        </w:rPr>
      </w:pPr>
      <w:r>
        <w:rPr>
          <w:rFonts w:eastAsia="Calibri"/>
          <w:sz w:val="24"/>
          <w:szCs w:val="24"/>
        </w:rPr>
        <w:t>10.1 </w:t>
      </w:r>
      <w:r>
        <w:rPr>
          <w:sz w:val="24"/>
          <w:szCs w:val="24"/>
        </w:rPr>
        <w:t xml:space="preserve">Основанием для отражения в учёте штрафных санкций поставщику является признанная им претензия. </w:t>
      </w:r>
    </w:p>
    <w:p>
      <w:pPr>
        <w:ind w:firstLine="708"/>
        <w:jc w:val="both"/>
        <w:rPr>
          <w:sz w:val="24"/>
          <w:szCs w:val="24"/>
        </w:rPr>
      </w:pPr>
      <w:r>
        <w:rPr>
          <w:bCs/>
          <w:sz w:val="24"/>
          <w:szCs w:val="24"/>
        </w:rPr>
        <w:t xml:space="preserve">10.2 Информацию о безвозмездно оказанных услугах (выполненных работах) раскрывать в Пояснительной записке без отражения в корреспонденции счетов (письмо Минфина России от </w:t>
      </w:r>
      <w:r>
        <w:rPr>
          <w:sz w:val="24"/>
          <w:szCs w:val="24"/>
        </w:rPr>
        <w:t>22.05.2019 г. № 02-07-10/36688).</w:t>
      </w:r>
    </w:p>
    <w:p>
      <w:pPr>
        <w:ind w:firstLine="708"/>
        <w:jc w:val="both"/>
        <w:rPr>
          <w:sz w:val="24"/>
          <w:szCs w:val="24"/>
        </w:rPr>
      </w:pPr>
      <w:r>
        <w:rPr>
          <w:sz w:val="24"/>
          <w:szCs w:val="24"/>
        </w:rPr>
        <w:t>10.5 Порядок создания резервов регулируется положением о методах оценки имущества и обязательств (Приложение № 9).</w:t>
      </w:r>
    </w:p>
    <w:p>
      <w:pPr>
        <w:pStyle w:val="ConsPlusNormal"/>
        <w:jc w:val="both"/>
        <w:rPr>
          <w:rFonts w:ascii="Times New Roman" w:hAnsi="Times New Roman" w:cs="Times New Roman"/>
          <w:sz w:val="24"/>
          <w:szCs w:val="24"/>
        </w:rPr>
      </w:pPr>
      <w:r>
        <w:rPr>
          <w:rFonts w:ascii="Times New Roman" w:hAnsi="Times New Roman" w:cs="Times New Roman"/>
          <w:sz w:val="24"/>
          <w:szCs w:val="24"/>
        </w:rPr>
        <w:t>Резерв должен использоваться только на покрытие тех затрат, в отношении которых этот резерв был изначально создан.</w:t>
      </w:r>
    </w:p>
    <w:p>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10.6 Уточнение ранее сформированного резерва отражается на дату его расчёта дополнительной бухгалтерской записью (увеличение ранее сформированного резерва), или бухгалтерской записью, оформленной по способу «Красное </w:t>
      </w:r>
      <w:proofErr w:type="spellStart"/>
      <w:r>
        <w:rPr>
          <w:rFonts w:ascii="Times New Roman" w:hAnsi="Times New Roman" w:cs="Times New Roman"/>
          <w:sz w:val="24"/>
          <w:szCs w:val="24"/>
        </w:rPr>
        <w:t>сторно</w:t>
      </w:r>
      <w:proofErr w:type="spellEnd"/>
      <w:r>
        <w:rPr>
          <w:rFonts w:ascii="Times New Roman" w:hAnsi="Times New Roman" w:cs="Times New Roman"/>
          <w:sz w:val="24"/>
          <w:szCs w:val="24"/>
        </w:rPr>
        <w:t>» (уменьшение ранее сформированного резерва).</w:t>
      </w:r>
    </w:p>
    <w:p>
      <w:pPr>
        <w:widowControl/>
        <w:ind w:firstLine="708"/>
        <w:jc w:val="both"/>
        <w:rPr>
          <w:sz w:val="24"/>
          <w:szCs w:val="24"/>
        </w:rPr>
      </w:pPr>
      <w:r>
        <w:rPr>
          <w:sz w:val="24"/>
          <w:szCs w:val="24"/>
        </w:rPr>
        <w:t xml:space="preserve">10.7 Суммы создаваемых резервов отражаются на счёте 1 401 60 000 </w:t>
      </w:r>
      <w:r>
        <w:rPr>
          <w:sz w:val="24"/>
          <w:szCs w:val="24"/>
        </w:rPr>
        <w:br/>
        <w:t>с использованием в 23-м разряде номера счёта следующих дополнительных аналитических кодов:</w:t>
      </w:r>
    </w:p>
    <w:p>
      <w:pPr>
        <w:widowControl/>
        <w:ind w:firstLine="708"/>
        <w:jc w:val="both"/>
        <w:rPr>
          <w:sz w:val="24"/>
          <w:szCs w:val="24"/>
        </w:rPr>
      </w:pPr>
      <w:r>
        <w:rPr>
          <w:sz w:val="24"/>
          <w:szCs w:val="24"/>
        </w:rPr>
        <w:t>"1" - Резерв для оплаты отпусков за фактически отработанное время и компенсаций за неиспользованный отпуск работникам Управления, включая платежи по страховым взносам с указанных сумм;</w:t>
      </w:r>
    </w:p>
    <w:p>
      <w:pPr>
        <w:widowControl/>
        <w:ind w:firstLine="708"/>
        <w:jc w:val="both"/>
        <w:rPr>
          <w:sz w:val="24"/>
          <w:szCs w:val="24"/>
        </w:rPr>
      </w:pPr>
      <w:r>
        <w:rPr>
          <w:sz w:val="24"/>
          <w:szCs w:val="24"/>
        </w:rPr>
        <w:t>"2" - Резерв для оплаты фактически осуществленных на отчетную дату затрат, по которым не поступили документы контрагентов.</w:t>
      </w:r>
    </w:p>
    <w:p>
      <w:pPr>
        <w:pStyle w:val="ConsNormal"/>
        <w:ind w:firstLine="567"/>
        <w:jc w:val="both"/>
        <w:rPr>
          <w:rFonts w:ascii="Times New Roman" w:hAnsi="Times New Roman" w:cs="Times New Roman"/>
          <w:sz w:val="24"/>
          <w:szCs w:val="24"/>
        </w:rPr>
      </w:pPr>
    </w:p>
    <w:p>
      <w:pPr>
        <w:pStyle w:val="3"/>
        <w:spacing w:after="0"/>
        <w:ind w:firstLine="567"/>
        <w:jc w:val="center"/>
        <w:rPr>
          <w:b/>
          <w:bCs/>
          <w:iCs/>
          <w:sz w:val="24"/>
          <w:szCs w:val="24"/>
        </w:rPr>
      </w:pPr>
      <w:r>
        <w:rPr>
          <w:b/>
          <w:bCs/>
          <w:iCs/>
          <w:sz w:val="24"/>
          <w:szCs w:val="24"/>
        </w:rPr>
        <w:t xml:space="preserve">11.  Списание задолженности на </w:t>
      </w:r>
      <w:proofErr w:type="spellStart"/>
      <w:r>
        <w:rPr>
          <w:b/>
          <w:bCs/>
          <w:iCs/>
          <w:sz w:val="24"/>
          <w:szCs w:val="24"/>
        </w:rPr>
        <w:t>забалансовые</w:t>
      </w:r>
      <w:proofErr w:type="spellEnd"/>
      <w:r>
        <w:rPr>
          <w:b/>
          <w:bCs/>
          <w:iCs/>
          <w:sz w:val="24"/>
          <w:szCs w:val="24"/>
        </w:rPr>
        <w:t xml:space="preserve"> счета</w:t>
      </w:r>
    </w:p>
    <w:p>
      <w:pPr>
        <w:ind w:firstLine="567"/>
        <w:jc w:val="center"/>
        <w:rPr>
          <w:rFonts w:eastAsia="Calibri"/>
          <w:bCs/>
          <w:sz w:val="24"/>
          <w:szCs w:val="24"/>
        </w:rPr>
      </w:pPr>
    </w:p>
    <w:p>
      <w:pPr>
        <w:ind w:firstLine="708"/>
        <w:jc w:val="both"/>
        <w:rPr>
          <w:rFonts w:eastAsia="Calibri"/>
          <w:bCs/>
          <w:sz w:val="24"/>
          <w:szCs w:val="24"/>
        </w:rPr>
      </w:pPr>
      <w:r>
        <w:rPr>
          <w:rFonts w:eastAsia="Calibri"/>
          <w:bCs/>
          <w:sz w:val="24"/>
          <w:szCs w:val="24"/>
        </w:rPr>
        <w:t>11.</w:t>
      </w:r>
      <w:r>
        <w:rPr>
          <w:rFonts w:eastAsia="Calibri"/>
          <w:sz w:val="24"/>
          <w:szCs w:val="24"/>
        </w:rPr>
        <w:t>1 К</w:t>
      </w:r>
      <w:r>
        <w:rPr>
          <w:rFonts w:eastAsia="Calibri"/>
          <w:bCs/>
          <w:sz w:val="24"/>
          <w:szCs w:val="24"/>
        </w:rPr>
        <w:t xml:space="preserve"> обстоятельствам, на основании которых задолженность признается нереальной (безнадежной) к взысканию, относятся:</w:t>
      </w:r>
    </w:p>
    <w:p>
      <w:pPr>
        <w:ind w:firstLine="708"/>
        <w:jc w:val="both"/>
        <w:rPr>
          <w:rFonts w:eastAsia="Calibri"/>
          <w:bCs/>
          <w:sz w:val="24"/>
          <w:szCs w:val="24"/>
        </w:rPr>
      </w:pPr>
      <w:r>
        <w:rPr>
          <w:rFonts w:eastAsia="Calibri"/>
          <w:bCs/>
          <w:sz w:val="24"/>
          <w:szCs w:val="24"/>
        </w:rPr>
        <w:t>- издание акта амнистии, если такой акт устраняет применение административного наказания;</w:t>
      </w:r>
    </w:p>
    <w:p>
      <w:pPr>
        <w:ind w:firstLine="708"/>
        <w:jc w:val="both"/>
        <w:rPr>
          <w:rFonts w:eastAsia="Calibri"/>
          <w:bCs/>
          <w:sz w:val="24"/>
          <w:szCs w:val="24"/>
        </w:rPr>
      </w:pPr>
      <w:r>
        <w:rPr>
          <w:rFonts w:eastAsia="Calibri"/>
          <w:bCs/>
          <w:sz w:val="24"/>
          <w:szCs w:val="24"/>
        </w:rPr>
        <w:t>- отмена или признание утратившими силу закона или его положения, устанавливающих административную ответственность за административное правонарушение;</w:t>
      </w:r>
    </w:p>
    <w:p>
      <w:pPr>
        <w:ind w:firstLine="708"/>
        <w:jc w:val="both"/>
        <w:rPr>
          <w:rFonts w:eastAsia="Calibri"/>
          <w:bCs/>
          <w:sz w:val="24"/>
          <w:szCs w:val="24"/>
        </w:rPr>
      </w:pPr>
      <w:r>
        <w:rPr>
          <w:rFonts w:eastAsia="Calibri"/>
          <w:bCs/>
          <w:sz w:val="24"/>
          <w:szCs w:val="24"/>
        </w:rPr>
        <w:t xml:space="preserve">- смерть физического лица или объявление его умершим в порядке, установленном гражданским процессуальным </w:t>
      </w:r>
      <w:hyperlink r:id="rId67" w:history="1">
        <w:r>
          <w:rPr>
            <w:rFonts w:eastAsia="Calibri"/>
            <w:bCs/>
            <w:sz w:val="24"/>
            <w:szCs w:val="24"/>
          </w:rPr>
          <w:t>законодательством</w:t>
        </w:r>
      </w:hyperlink>
      <w:r>
        <w:rPr>
          <w:rFonts w:eastAsia="Calibri"/>
          <w:bCs/>
          <w:sz w:val="24"/>
          <w:szCs w:val="24"/>
        </w:rPr>
        <w:t xml:space="preserve"> Российской Федерации;</w:t>
      </w:r>
    </w:p>
    <w:p>
      <w:pPr>
        <w:ind w:firstLine="567"/>
        <w:jc w:val="both"/>
        <w:rPr>
          <w:rFonts w:eastAsia="Calibri"/>
          <w:bCs/>
          <w:sz w:val="24"/>
          <w:szCs w:val="24"/>
        </w:rPr>
      </w:pPr>
      <w:r>
        <w:rPr>
          <w:rFonts w:eastAsia="Calibri"/>
          <w:bCs/>
          <w:sz w:val="24"/>
          <w:szCs w:val="24"/>
        </w:rPr>
        <w:t xml:space="preserve">- признание банкротом индивидуального предпринимателя в соответствии                           с Федеральным </w:t>
      </w:r>
      <w:hyperlink r:id="rId68" w:history="1">
        <w:r>
          <w:rPr>
            <w:rFonts w:eastAsia="Calibri"/>
            <w:bCs/>
            <w:sz w:val="24"/>
            <w:szCs w:val="24"/>
          </w:rPr>
          <w:t>законом</w:t>
        </w:r>
      </w:hyperlink>
      <w:r>
        <w:rPr>
          <w:rFonts w:eastAsia="Calibri"/>
          <w:bCs/>
          <w:sz w:val="24"/>
          <w:szCs w:val="24"/>
        </w:rPr>
        <w:t xml:space="preserve"> от 26 октября 2002 г. № 127-ФЗ «О несостоятельности (банкротстве)» - в части задолженности, не погашенным по причине недостаточности имущества должника;</w:t>
      </w:r>
    </w:p>
    <w:p>
      <w:pPr>
        <w:ind w:firstLine="708"/>
        <w:jc w:val="both"/>
        <w:rPr>
          <w:rFonts w:eastAsia="Calibri"/>
          <w:bCs/>
          <w:sz w:val="24"/>
          <w:szCs w:val="24"/>
        </w:rPr>
      </w:pPr>
      <w:r>
        <w:rPr>
          <w:rFonts w:eastAsia="Calibri"/>
          <w:bCs/>
          <w:sz w:val="24"/>
          <w:szCs w:val="24"/>
        </w:rPr>
        <w:t>- ликвидация организации, в том числе в случае применения процедуры в деле                      о банкротстве юридического лица, и (или) исключение организации из единого муниципального реестра юридических лиц.</w:t>
      </w:r>
    </w:p>
    <w:p>
      <w:pPr>
        <w:ind w:firstLine="708"/>
        <w:jc w:val="both"/>
        <w:rPr>
          <w:rFonts w:eastAsia="Calibri"/>
          <w:sz w:val="24"/>
          <w:szCs w:val="24"/>
        </w:rPr>
      </w:pPr>
      <w:r>
        <w:rPr>
          <w:rFonts w:eastAsia="Calibri"/>
          <w:sz w:val="24"/>
          <w:szCs w:val="24"/>
        </w:rPr>
        <w:t>11.2 В целях обеспечения управленческого учёта использовать к забалансовому счёту 04 «Сомнительная задолженность» рабочего плана счетов с ведением аналитического учёта по данному субсчёту, в разрезе контрагентов. Учёт просроченной дебиторской задолженности осуществляется в течение срока возможного возобновления согласно законодательству Российской Федерации процедуры взыскания задолженности, в том числе в случае изменения имущественного положения должников, либо до поступления в указанный срок в погашение задолженности неплатежеспособных дебиторов денежных средств, до исполнения (прекращения) задолженности иным не противоречащим законодательству Российской Федерации способом.</w:t>
      </w:r>
    </w:p>
    <w:p>
      <w:pPr>
        <w:ind w:firstLine="567"/>
        <w:jc w:val="both"/>
        <w:rPr>
          <w:strike/>
          <w:sz w:val="24"/>
          <w:szCs w:val="24"/>
        </w:rPr>
      </w:pPr>
      <w:r>
        <w:rPr>
          <w:sz w:val="24"/>
          <w:szCs w:val="24"/>
        </w:rPr>
        <w:t xml:space="preserve">Аналитический учёт по счёту 04 «Сомнительная задолженность» ведется в разрезе контрагентов. </w:t>
      </w:r>
    </w:p>
    <w:p>
      <w:pPr>
        <w:pStyle w:val="ConsPlusNormal"/>
        <w:ind w:firstLine="708"/>
        <w:jc w:val="both"/>
        <w:rPr>
          <w:rFonts w:ascii="Times New Roman" w:eastAsia="Calibri" w:hAnsi="Times New Roman" w:cs="Times New Roman"/>
          <w:strike/>
          <w:sz w:val="24"/>
          <w:szCs w:val="24"/>
        </w:rPr>
      </w:pPr>
      <w:r>
        <w:rPr>
          <w:rFonts w:ascii="Times New Roman" w:eastAsia="Calibri" w:hAnsi="Times New Roman" w:cs="Times New Roman"/>
          <w:bCs/>
          <w:sz w:val="24"/>
          <w:szCs w:val="24"/>
        </w:rPr>
        <w:t xml:space="preserve">11.3 </w:t>
      </w:r>
      <w:r>
        <w:rPr>
          <w:rFonts w:ascii="Times New Roman" w:eastAsia="Calibri" w:hAnsi="Times New Roman" w:cs="Times New Roman"/>
          <w:sz w:val="24"/>
          <w:szCs w:val="24"/>
        </w:rPr>
        <w:t xml:space="preserve">Признание задолженности нереальной (безнадежной) к взысканию                              с отнесением её на </w:t>
      </w:r>
      <w:proofErr w:type="spellStart"/>
      <w:r>
        <w:rPr>
          <w:rFonts w:ascii="Times New Roman" w:eastAsia="Calibri" w:hAnsi="Times New Roman" w:cs="Times New Roman"/>
          <w:sz w:val="24"/>
          <w:szCs w:val="24"/>
        </w:rPr>
        <w:t>забалансовый</w:t>
      </w:r>
      <w:proofErr w:type="spellEnd"/>
      <w:r>
        <w:rPr>
          <w:rFonts w:ascii="Times New Roman" w:eastAsia="Calibri" w:hAnsi="Times New Roman" w:cs="Times New Roman"/>
          <w:sz w:val="24"/>
          <w:szCs w:val="24"/>
        </w:rPr>
        <w:t xml:space="preserve"> счёт осуществляется на основании Протокола заседания комиссии по поступлению и выбытию активов.</w:t>
      </w:r>
    </w:p>
    <w:p>
      <w:pPr>
        <w:ind w:firstLine="708"/>
        <w:jc w:val="both"/>
        <w:rPr>
          <w:rFonts w:eastAsia="Calibri"/>
          <w:sz w:val="24"/>
          <w:szCs w:val="24"/>
        </w:rPr>
      </w:pPr>
      <w:r>
        <w:rPr>
          <w:rFonts w:eastAsia="Calibri"/>
          <w:sz w:val="24"/>
          <w:szCs w:val="24"/>
        </w:rPr>
        <w:t>11.4 При возобновлении взыскания задолженности, признанной в соответствии                  с настоящим Порядком нереальной (безнадежной) к взысканию, или поступлении средств в погашение задолженности неплатежеспособных дебиторов, осуществляется восстановление данной задолженности с отражением операций на балансовом счёте 020930000 на дату возобновления взыскания задолженности или на дату зачисления на лицевые счета Управления.</w:t>
      </w:r>
    </w:p>
    <w:p>
      <w:pPr>
        <w:ind w:firstLine="567"/>
        <w:jc w:val="both"/>
        <w:rPr>
          <w:rFonts w:eastAsia="Calibri"/>
          <w:sz w:val="24"/>
          <w:szCs w:val="24"/>
        </w:rPr>
      </w:pPr>
    </w:p>
    <w:p>
      <w:pPr>
        <w:pStyle w:val="3"/>
        <w:spacing w:after="0"/>
        <w:ind w:firstLine="567"/>
        <w:jc w:val="center"/>
        <w:rPr>
          <w:b/>
          <w:bCs/>
          <w:iCs/>
          <w:sz w:val="24"/>
          <w:szCs w:val="24"/>
        </w:rPr>
      </w:pPr>
      <w:r>
        <w:rPr>
          <w:b/>
          <w:bCs/>
          <w:iCs/>
          <w:sz w:val="24"/>
          <w:szCs w:val="24"/>
        </w:rPr>
        <w:t>12. Финансовый результат</w:t>
      </w:r>
    </w:p>
    <w:p>
      <w:pPr>
        <w:pStyle w:val="3"/>
        <w:spacing w:after="0"/>
        <w:ind w:firstLine="567"/>
        <w:jc w:val="both"/>
        <w:rPr>
          <w:b/>
          <w:bCs/>
          <w:iCs/>
          <w:sz w:val="24"/>
          <w:szCs w:val="24"/>
        </w:rPr>
      </w:pPr>
    </w:p>
    <w:p>
      <w:pPr>
        <w:pStyle w:val="3"/>
        <w:spacing w:after="0"/>
        <w:ind w:firstLine="708"/>
        <w:jc w:val="both"/>
        <w:rPr>
          <w:sz w:val="24"/>
          <w:szCs w:val="24"/>
        </w:rPr>
      </w:pPr>
      <w:r>
        <w:rPr>
          <w:sz w:val="24"/>
          <w:szCs w:val="24"/>
        </w:rPr>
        <w:t>12.1. Для учёта финансового результата применяются следующие счета:</w:t>
      </w:r>
    </w:p>
    <w:p>
      <w:pPr>
        <w:pStyle w:val="3"/>
        <w:spacing w:after="0"/>
        <w:ind w:firstLine="708"/>
        <w:jc w:val="both"/>
        <w:rPr>
          <w:sz w:val="24"/>
          <w:szCs w:val="24"/>
        </w:rPr>
      </w:pPr>
      <w:r>
        <w:rPr>
          <w:sz w:val="24"/>
          <w:szCs w:val="24"/>
        </w:rPr>
        <w:t>040110000 «Доходы текущего финансового года»;</w:t>
      </w:r>
    </w:p>
    <w:p>
      <w:pPr>
        <w:pStyle w:val="3"/>
        <w:spacing w:after="0"/>
        <w:ind w:firstLine="567"/>
        <w:jc w:val="both"/>
        <w:rPr>
          <w:sz w:val="24"/>
          <w:szCs w:val="24"/>
        </w:rPr>
      </w:pPr>
      <w:r>
        <w:rPr>
          <w:sz w:val="24"/>
          <w:szCs w:val="24"/>
        </w:rPr>
        <w:t xml:space="preserve"> </w:t>
      </w:r>
      <w:r>
        <w:rPr>
          <w:sz w:val="24"/>
          <w:szCs w:val="24"/>
        </w:rPr>
        <w:tab/>
        <w:t>040120000 «Расходы текущего финансового года»;</w:t>
      </w:r>
    </w:p>
    <w:p>
      <w:pPr>
        <w:pStyle w:val="3"/>
        <w:spacing w:after="0"/>
        <w:ind w:firstLine="708"/>
        <w:jc w:val="both"/>
        <w:rPr>
          <w:sz w:val="24"/>
          <w:szCs w:val="24"/>
        </w:rPr>
      </w:pPr>
      <w:r>
        <w:rPr>
          <w:sz w:val="24"/>
          <w:szCs w:val="24"/>
        </w:rPr>
        <w:t>040130000 «Финансовый результат прошлых отчетных периодов»;</w:t>
      </w:r>
    </w:p>
    <w:p>
      <w:pPr>
        <w:pStyle w:val="3"/>
        <w:spacing w:after="0"/>
        <w:ind w:firstLine="708"/>
        <w:jc w:val="both"/>
        <w:rPr>
          <w:sz w:val="24"/>
          <w:szCs w:val="24"/>
        </w:rPr>
      </w:pPr>
      <w:r>
        <w:rPr>
          <w:sz w:val="24"/>
          <w:szCs w:val="24"/>
        </w:rPr>
        <w:t>0 40140 000 «Доходы будущих периодов»;</w:t>
      </w:r>
    </w:p>
    <w:p>
      <w:pPr>
        <w:pStyle w:val="3"/>
        <w:spacing w:after="0"/>
        <w:ind w:firstLine="708"/>
        <w:jc w:val="both"/>
        <w:rPr>
          <w:sz w:val="24"/>
          <w:szCs w:val="24"/>
        </w:rPr>
      </w:pPr>
      <w:r>
        <w:rPr>
          <w:sz w:val="24"/>
          <w:szCs w:val="24"/>
        </w:rPr>
        <w:t>0 40150 000 «Расходы будущих периодов»;</w:t>
      </w:r>
    </w:p>
    <w:p>
      <w:pPr>
        <w:pStyle w:val="3"/>
        <w:spacing w:after="0"/>
        <w:ind w:firstLine="708"/>
        <w:jc w:val="both"/>
        <w:rPr>
          <w:sz w:val="24"/>
          <w:szCs w:val="24"/>
        </w:rPr>
      </w:pPr>
      <w:r>
        <w:rPr>
          <w:sz w:val="24"/>
          <w:szCs w:val="24"/>
        </w:rPr>
        <w:t>0 40160 000 «Резервы предстоящих расходов».</w:t>
      </w:r>
    </w:p>
    <w:p>
      <w:pPr>
        <w:ind w:firstLine="708"/>
        <w:jc w:val="both"/>
        <w:outlineLvl w:val="2"/>
        <w:rPr>
          <w:rFonts w:eastAsia="Calibri"/>
          <w:sz w:val="24"/>
          <w:szCs w:val="24"/>
          <w:lang w:eastAsia="en-US"/>
        </w:rPr>
      </w:pPr>
      <w:r>
        <w:rPr>
          <w:rFonts w:eastAsia="Calibri"/>
          <w:sz w:val="24"/>
          <w:szCs w:val="24"/>
          <w:lang w:eastAsia="en-US"/>
        </w:rPr>
        <w:t>Финансовый результат текущей деятельности определяется как разница между начисленными доходами и начисленными расходами Управления за отчётный период. Суммы начисленных доходов Управления сопоставляются с суммами начисленных расходов, при этом кредитовый остаток по указанным выше счетам отражает положительный результат, дебетовый - отрицательный.</w:t>
      </w:r>
    </w:p>
    <w:p>
      <w:pPr>
        <w:pStyle w:val="3"/>
        <w:spacing w:after="0"/>
        <w:ind w:firstLine="708"/>
        <w:jc w:val="both"/>
        <w:rPr>
          <w:bCs/>
          <w:sz w:val="24"/>
          <w:szCs w:val="24"/>
        </w:rPr>
      </w:pPr>
      <w:r>
        <w:rPr>
          <w:sz w:val="24"/>
          <w:szCs w:val="24"/>
        </w:rPr>
        <w:t xml:space="preserve">12.2. В конце финансового года финансовый результат текущей деятельности </w:t>
      </w:r>
      <w:r>
        <w:rPr>
          <w:sz w:val="24"/>
          <w:szCs w:val="24"/>
          <w:lang w:eastAsia="en-US"/>
        </w:rPr>
        <w:t>Управления</w:t>
      </w:r>
      <w:r>
        <w:rPr>
          <w:sz w:val="24"/>
          <w:szCs w:val="24"/>
        </w:rPr>
        <w:t xml:space="preserve"> закрывается на счёт </w:t>
      </w:r>
      <w:r>
        <w:rPr>
          <w:bCs/>
          <w:sz w:val="24"/>
          <w:szCs w:val="24"/>
        </w:rPr>
        <w:t>040130000</w:t>
      </w:r>
      <w:r>
        <w:rPr>
          <w:bCs/>
          <w:i/>
          <w:iCs/>
          <w:sz w:val="24"/>
          <w:szCs w:val="24"/>
        </w:rPr>
        <w:t xml:space="preserve"> </w:t>
      </w:r>
      <w:r>
        <w:rPr>
          <w:bCs/>
          <w:iCs/>
          <w:sz w:val="24"/>
          <w:szCs w:val="24"/>
        </w:rPr>
        <w:t>«Финансовый результат прошлых отчётных периодов»</w:t>
      </w:r>
      <w:r>
        <w:rPr>
          <w:bCs/>
          <w:sz w:val="24"/>
          <w:szCs w:val="24"/>
        </w:rPr>
        <w:t>.</w:t>
      </w:r>
    </w:p>
    <w:p>
      <w:pPr>
        <w:ind w:firstLine="708"/>
        <w:jc w:val="both"/>
        <w:rPr>
          <w:rFonts w:eastAsia="Calibri"/>
          <w:sz w:val="24"/>
          <w:szCs w:val="24"/>
          <w:lang w:eastAsia="en-US"/>
        </w:rPr>
      </w:pPr>
      <w:r>
        <w:rPr>
          <w:bCs/>
          <w:sz w:val="24"/>
          <w:szCs w:val="24"/>
        </w:rPr>
        <w:t xml:space="preserve">12.3 Учёт расходов будущих периодов вести на счёте 040150000. </w:t>
      </w:r>
      <w:r>
        <w:rPr>
          <w:rFonts w:eastAsia="Calibri"/>
          <w:sz w:val="24"/>
          <w:szCs w:val="24"/>
          <w:lang w:eastAsia="en-US"/>
        </w:rPr>
        <w:t>В частности, на этом счёте в случае, когда Управление не создает соответствующий резерв предстоящих расходов, отражать расходы, связанные:</w:t>
      </w:r>
    </w:p>
    <w:p>
      <w:pPr>
        <w:ind w:firstLine="708"/>
        <w:jc w:val="both"/>
        <w:outlineLvl w:val="2"/>
        <w:rPr>
          <w:rFonts w:eastAsia="Calibri"/>
          <w:sz w:val="24"/>
          <w:szCs w:val="24"/>
          <w:lang w:eastAsia="en-US"/>
        </w:rPr>
      </w:pPr>
      <w:proofErr w:type="gramStart"/>
      <w:r>
        <w:rPr>
          <w:rFonts w:eastAsia="Calibri"/>
          <w:sz w:val="24"/>
          <w:szCs w:val="24"/>
          <w:lang w:eastAsia="en-US"/>
        </w:rPr>
        <w:t>неравномерно</w:t>
      </w:r>
      <w:proofErr w:type="gramEnd"/>
      <w:r>
        <w:rPr>
          <w:rFonts w:eastAsia="Calibri"/>
          <w:sz w:val="24"/>
          <w:szCs w:val="24"/>
          <w:lang w:eastAsia="en-US"/>
        </w:rPr>
        <w:t xml:space="preserve"> производимым в течение года ремонтом основных средств;</w:t>
      </w:r>
    </w:p>
    <w:p>
      <w:pPr>
        <w:ind w:firstLine="708"/>
        <w:jc w:val="both"/>
        <w:rPr>
          <w:rFonts w:eastAsia="Calibri"/>
          <w:sz w:val="24"/>
          <w:szCs w:val="24"/>
        </w:rPr>
      </w:pPr>
      <w:proofErr w:type="gramStart"/>
      <w:r>
        <w:rPr>
          <w:rFonts w:eastAsia="Calibri"/>
          <w:sz w:val="24"/>
          <w:szCs w:val="24"/>
        </w:rPr>
        <w:t>выплатой</w:t>
      </w:r>
      <w:proofErr w:type="gramEnd"/>
      <w:r>
        <w:rPr>
          <w:rFonts w:eastAsia="Calibri"/>
          <w:sz w:val="24"/>
          <w:szCs w:val="24"/>
        </w:rPr>
        <w:t xml:space="preserve"> отпускных;</w:t>
      </w:r>
    </w:p>
    <w:p>
      <w:pPr>
        <w:ind w:firstLine="708"/>
        <w:jc w:val="both"/>
        <w:outlineLvl w:val="2"/>
        <w:rPr>
          <w:rFonts w:eastAsia="Calibri"/>
          <w:sz w:val="24"/>
          <w:szCs w:val="24"/>
          <w:lang w:eastAsia="en-US"/>
        </w:rPr>
      </w:pPr>
      <w:proofErr w:type="gramStart"/>
      <w:r>
        <w:rPr>
          <w:rFonts w:eastAsia="Calibri"/>
          <w:sz w:val="24"/>
          <w:szCs w:val="24"/>
          <w:lang w:eastAsia="en-US"/>
        </w:rPr>
        <w:t>иными</w:t>
      </w:r>
      <w:proofErr w:type="gramEnd"/>
      <w:r>
        <w:rPr>
          <w:rFonts w:eastAsia="Calibri"/>
          <w:sz w:val="24"/>
          <w:szCs w:val="24"/>
          <w:lang w:eastAsia="en-US"/>
        </w:rPr>
        <w:t xml:space="preserve"> аналогичными расходами.</w:t>
      </w:r>
    </w:p>
    <w:p>
      <w:pPr>
        <w:ind w:firstLine="708"/>
        <w:jc w:val="both"/>
        <w:outlineLvl w:val="2"/>
        <w:rPr>
          <w:rFonts w:eastAsia="Calibri"/>
          <w:sz w:val="24"/>
          <w:szCs w:val="24"/>
          <w:lang w:eastAsia="en-US"/>
        </w:rPr>
      </w:pPr>
      <w:r>
        <w:rPr>
          <w:rFonts w:eastAsia="Calibri"/>
          <w:sz w:val="24"/>
          <w:szCs w:val="24"/>
          <w:lang w:eastAsia="en-US"/>
        </w:rPr>
        <w:t>Затраты, произведенные Управлением в отчётном периоде, но относящиеся                          к следующим отчётным периодам, отражаются по дебету счёта как расходы будущих периодов и подлежат отнесению на финансовый результат текущего финансового года (по кредиту счёта), в течение периода, к которому они относятся.</w:t>
      </w:r>
    </w:p>
    <w:p>
      <w:pPr>
        <w:ind w:firstLine="708"/>
        <w:jc w:val="both"/>
        <w:rPr>
          <w:rFonts w:eastAsia="Calibri"/>
          <w:sz w:val="24"/>
          <w:szCs w:val="24"/>
        </w:rPr>
      </w:pPr>
      <w:r>
        <w:rPr>
          <w:rFonts w:eastAsia="Calibri"/>
          <w:sz w:val="24"/>
          <w:szCs w:val="24"/>
        </w:rPr>
        <w:t xml:space="preserve">12.4 На счете </w:t>
      </w:r>
      <w:hyperlink r:id="rId69" w:history="1">
        <w:r>
          <w:rPr>
            <w:rFonts w:eastAsia="Calibri"/>
            <w:sz w:val="24"/>
            <w:szCs w:val="24"/>
          </w:rPr>
          <w:t>140150000</w:t>
        </w:r>
      </w:hyperlink>
      <w:r>
        <w:rPr>
          <w:rFonts w:eastAsia="Calibri"/>
          <w:sz w:val="24"/>
          <w:szCs w:val="24"/>
        </w:rPr>
        <w:t xml:space="preserve"> «Расходы будущих периодов» отражаются расходы, связанные в том числе с выплатой отпускных, которые оплачены в текущем отчётном периоде, но фактически работник за них не отработал (письмо Минфина РФ от 09.11.2016 г. № 02-06-10/65506).</w:t>
      </w:r>
    </w:p>
    <w:p>
      <w:pPr>
        <w:pStyle w:val="3"/>
        <w:spacing w:after="0"/>
        <w:ind w:firstLine="567"/>
        <w:jc w:val="both"/>
        <w:rPr>
          <w:bCs/>
          <w:sz w:val="24"/>
          <w:szCs w:val="24"/>
        </w:rPr>
      </w:pPr>
    </w:p>
    <w:p>
      <w:pPr>
        <w:pStyle w:val="ConsPlusNormal"/>
        <w:ind w:firstLine="540"/>
        <w:jc w:val="center"/>
        <w:rPr>
          <w:rFonts w:ascii="Times New Roman" w:hAnsi="Times New Roman" w:cs="Times New Roman"/>
          <w:b/>
          <w:sz w:val="24"/>
          <w:szCs w:val="24"/>
        </w:rPr>
      </w:pPr>
      <w:r>
        <w:rPr>
          <w:rFonts w:ascii="Times New Roman" w:hAnsi="Times New Roman" w:cs="Times New Roman"/>
          <w:b/>
          <w:spacing w:val="-3"/>
          <w:sz w:val="24"/>
          <w:szCs w:val="24"/>
        </w:rPr>
        <w:t>13. Ведение бюджетного учёта.</w:t>
      </w:r>
      <w:r>
        <w:rPr>
          <w:rFonts w:ascii="Times New Roman" w:hAnsi="Times New Roman" w:cs="Times New Roman"/>
          <w:sz w:val="24"/>
          <w:szCs w:val="24"/>
        </w:rPr>
        <w:t xml:space="preserve"> </w:t>
      </w:r>
      <w:r>
        <w:rPr>
          <w:rFonts w:ascii="Times New Roman" w:hAnsi="Times New Roman" w:cs="Times New Roman"/>
          <w:b/>
          <w:sz w:val="24"/>
          <w:szCs w:val="24"/>
        </w:rPr>
        <w:t>Особенности учёта операций.</w:t>
      </w:r>
    </w:p>
    <w:p>
      <w:pPr>
        <w:pStyle w:val="3"/>
        <w:tabs>
          <w:tab w:val="left" w:pos="912"/>
        </w:tabs>
        <w:spacing w:after="0"/>
        <w:jc w:val="both"/>
        <w:rPr>
          <w:sz w:val="24"/>
          <w:szCs w:val="24"/>
        </w:rPr>
      </w:pPr>
    </w:p>
    <w:p>
      <w:pPr>
        <w:pStyle w:val="3"/>
        <w:spacing w:after="0"/>
        <w:ind w:firstLine="708"/>
        <w:jc w:val="both"/>
        <w:rPr>
          <w:b/>
          <w:spacing w:val="-3"/>
          <w:sz w:val="24"/>
          <w:szCs w:val="24"/>
        </w:rPr>
      </w:pPr>
      <w:r>
        <w:rPr>
          <w:b/>
          <w:spacing w:val="-3"/>
          <w:sz w:val="24"/>
          <w:szCs w:val="24"/>
        </w:rPr>
        <w:t>13.1</w:t>
      </w:r>
      <w:r>
        <w:rPr>
          <w:b/>
          <w:iCs/>
        </w:rPr>
        <w:t xml:space="preserve"> </w:t>
      </w:r>
      <w:r>
        <w:rPr>
          <w:b/>
          <w:spacing w:val="-3"/>
          <w:sz w:val="24"/>
          <w:szCs w:val="24"/>
        </w:rPr>
        <w:t>Учёт основных средств.</w:t>
      </w:r>
    </w:p>
    <w:p>
      <w:pPr>
        <w:pStyle w:val="3"/>
        <w:spacing w:after="0"/>
        <w:ind w:firstLine="708"/>
        <w:jc w:val="both"/>
        <w:rPr>
          <w:iCs/>
          <w:sz w:val="24"/>
          <w:szCs w:val="24"/>
        </w:rPr>
      </w:pPr>
      <w:r>
        <w:rPr>
          <w:iCs/>
          <w:sz w:val="24"/>
          <w:szCs w:val="24"/>
        </w:rPr>
        <w:t>Управлением к бухгалтерскому учёту в качестве основных средств принимаются материальные ценности, являющиеся активами:</w:t>
      </w:r>
    </w:p>
    <w:p>
      <w:pPr>
        <w:pStyle w:val="3"/>
        <w:tabs>
          <w:tab w:val="left" w:pos="900"/>
        </w:tabs>
        <w:spacing w:after="0"/>
        <w:jc w:val="both"/>
        <w:rPr>
          <w:iCs/>
          <w:sz w:val="24"/>
          <w:szCs w:val="24"/>
        </w:rPr>
      </w:pPr>
      <w:r>
        <w:rPr>
          <w:iCs/>
          <w:sz w:val="24"/>
          <w:szCs w:val="24"/>
        </w:rPr>
        <w:t xml:space="preserve">            1) предназначенные для неоднократного или постоянного использования в процессе деятельности при выполнении работ или оказании услуг, либо для управленческих нужд;</w:t>
      </w:r>
    </w:p>
    <w:p>
      <w:pPr>
        <w:pStyle w:val="3"/>
        <w:spacing w:after="0"/>
        <w:ind w:firstLine="708"/>
        <w:jc w:val="both"/>
        <w:rPr>
          <w:iCs/>
          <w:sz w:val="24"/>
          <w:szCs w:val="24"/>
        </w:rPr>
      </w:pPr>
      <w:r>
        <w:rPr>
          <w:iCs/>
          <w:sz w:val="24"/>
          <w:szCs w:val="24"/>
        </w:rPr>
        <w:t>2) находящиеся в эксплуатации, в запасе, на консервации, сданные в аренду, либо переданные по договору безвозмездного пользования;</w:t>
      </w:r>
    </w:p>
    <w:p>
      <w:pPr>
        <w:pStyle w:val="3"/>
        <w:spacing w:after="0"/>
        <w:ind w:firstLine="708"/>
        <w:jc w:val="both"/>
        <w:rPr>
          <w:iCs/>
          <w:sz w:val="24"/>
          <w:szCs w:val="24"/>
        </w:rPr>
      </w:pPr>
      <w:r>
        <w:rPr>
          <w:iCs/>
          <w:sz w:val="24"/>
          <w:szCs w:val="24"/>
        </w:rPr>
        <w:t>3) независимо от стоимости со сроком полезного использования более 12 месяцев;</w:t>
      </w:r>
    </w:p>
    <w:p>
      <w:pPr>
        <w:pStyle w:val="3"/>
        <w:spacing w:after="0"/>
        <w:ind w:firstLine="708"/>
        <w:jc w:val="both"/>
        <w:rPr>
          <w:iCs/>
          <w:sz w:val="24"/>
          <w:szCs w:val="24"/>
        </w:rPr>
      </w:pPr>
      <w:r>
        <w:rPr>
          <w:iCs/>
          <w:sz w:val="24"/>
          <w:szCs w:val="24"/>
        </w:rPr>
        <w:t>Управление прогнозирует получение от использования объектов полезный потенциал и (или) экономические выгоды.</w:t>
      </w:r>
    </w:p>
    <w:p>
      <w:pPr>
        <w:pStyle w:val="3"/>
        <w:spacing w:after="0"/>
        <w:ind w:firstLine="708"/>
        <w:jc w:val="both"/>
        <w:rPr>
          <w:iCs/>
          <w:sz w:val="24"/>
          <w:szCs w:val="24"/>
        </w:rPr>
      </w:pPr>
      <w:r>
        <w:rPr>
          <w:iCs/>
          <w:sz w:val="24"/>
          <w:szCs w:val="24"/>
        </w:rPr>
        <w:t>Решение об отнесении объектов имущества к основным средствам или материальным запасам принимает постоянно действующая комиссия по поступлению                и выбытию активов в соответствии с положением Управления (письмо Минфина России от 27.12.2017 № 02-07-08/78243).</w:t>
      </w:r>
    </w:p>
    <w:p>
      <w:pPr>
        <w:pStyle w:val="3"/>
        <w:spacing w:after="0"/>
        <w:ind w:firstLine="708"/>
        <w:jc w:val="both"/>
        <w:rPr>
          <w:iCs/>
          <w:sz w:val="24"/>
          <w:szCs w:val="24"/>
        </w:rPr>
      </w:pPr>
      <w:r>
        <w:rPr>
          <w:iCs/>
          <w:sz w:val="24"/>
          <w:szCs w:val="24"/>
        </w:rPr>
        <w:t>13.2 Полезный потенциал, заключенный в активе, это его пригодность для:</w:t>
      </w:r>
    </w:p>
    <w:p>
      <w:pPr>
        <w:pStyle w:val="3"/>
        <w:spacing w:after="0"/>
        <w:ind w:firstLine="708"/>
        <w:jc w:val="both"/>
        <w:rPr>
          <w:iCs/>
          <w:sz w:val="24"/>
          <w:szCs w:val="24"/>
        </w:rPr>
      </w:pPr>
      <w:proofErr w:type="gramStart"/>
      <w:r>
        <w:rPr>
          <w:iCs/>
          <w:sz w:val="24"/>
          <w:szCs w:val="24"/>
        </w:rPr>
        <w:t>а</w:t>
      </w:r>
      <w:proofErr w:type="gramEnd"/>
      <w:r>
        <w:rPr>
          <w:iCs/>
          <w:sz w:val="24"/>
          <w:szCs w:val="24"/>
        </w:rPr>
        <w:t>) использования Управлением самостоятельно или совместно с другими активами              в целях выполнения муниципальных функций (полномочий) в соответствии с целями создания Управления, для управленческих нужд Управления, не обязательно обеспечивая при этом поступление денежных средств (эквивалентов денежных средств);</w:t>
      </w:r>
    </w:p>
    <w:p>
      <w:pPr>
        <w:pStyle w:val="3"/>
        <w:spacing w:after="0"/>
        <w:ind w:firstLine="708"/>
        <w:jc w:val="both"/>
        <w:rPr>
          <w:iCs/>
          <w:sz w:val="24"/>
          <w:szCs w:val="24"/>
        </w:rPr>
      </w:pPr>
      <w:proofErr w:type="gramStart"/>
      <w:r>
        <w:rPr>
          <w:iCs/>
          <w:sz w:val="24"/>
          <w:szCs w:val="24"/>
        </w:rPr>
        <w:t>б</w:t>
      </w:r>
      <w:proofErr w:type="gramEnd"/>
      <w:r>
        <w:rPr>
          <w:iCs/>
          <w:sz w:val="24"/>
          <w:szCs w:val="24"/>
        </w:rPr>
        <w:t>) обмена на другие активы;</w:t>
      </w:r>
    </w:p>
    <w:p>
      <w:pPr>
        <w:pStyle w:val="3"/>
        <w:spacing w:after="0"/>
        <w:ind w:firstLine="708"/>
        <w:jc w:val="both"/>
        <w:rPr>
          <w:iCs/>
          <w:sz w:val="24"/>
          <w:szCs w:val="24"/>
        </w:rPr>
      </w:pPr>
      <w:proofErr w:type="gramStart"/>
      <w:r>
        <w:rPr>
          <w:iCs/>
          <w:sz w:val="24"/>
          <w:szCs w:val="24"/>
        </w:rPr>
        <w:t>в</w:t>
      </w:r>
      <w:proofErr w:type="gramEnd"/>
      <w:r>
        <w:rPr>
          <w:iCs/>
          <w:sz w:val="24"/>
          <w:szCs w:val="24"/>
        </w:rPr>
        <w:t>) погашения обязательств, принятых Управлением (п.37 СГС «Концептуальные основы»).</w:t>
      </w:r>
    </w:p>
    <w:p>
      <w:pPr>
        <w:pStyle w:val="3"/>
        <w:spacing w:after="0"/>
        <w:ind w:firstLine="708"/>
        <w:jc w:val="both"/>
        <w:rPr>
          <w:iCs/>
          <w:sz w:val="24"/>
          <w:szCs w:val="24"/>
        </w:rPr>
      </w:pPr>
      <w:r>
        <w:rPr>
          <w:iCs/>
          <w:sz w:val="24"/>
          <w:szCs w:val="24"/>
        </w:rPr>
        <w:t>13.3 При отражении в учёте хозяйственных операций в 5 - 17 разрядах счетов аналитического учёта счетов 0 101 00 000, 0 104 00 000, 0 401 20 240, 0 401 20 270, 0 401 20 250, 0 401 20 280 приводятся коды согласно целевому назначению имущества                         и средств, являющихся источником финансового обеспечения приобретаемого имущества (п.2 Приказа № 162н).</w:t>
      </w:r>
    </w:p>
    <w:p>
      <w:pPr>
        <w:pStyle w:val="3"/>
        <w:spacing w:after="0"/>
        <w:ind w:firstLine="708"/>
        <w:jc w:val="both"/>
        <w:rPr>
          <w:iCs/>
          <w:sz w:val="24"/>
          <w:szCs w:val="24"/>
        </w:rPr>
      </w:pPr>
      <w:r>
        <w:rPr>
          <w:iCs/>
          <w:sz w:val="24"/>
          <w:szCs w:val="24"/>
        </w:rPr>
        <w:t>13.4 Приобретение объектов основных средств, операции, приводящие к увеличению стоимости основных средств, отражать по подстатье 310 «Увеличение стоимости основных средств» КОСГУ.</w:t>
      </w:r>
    </w:p>
    <w:p>
      <w:pPr>
        <w:pStyle w:val="3"/>
        <w:spacing w:after="0"/>
        <w:ind w:firstLine="708"/>
        <w:jc w:val="both"/>
        <w:rPr>
          <w:iCs/>
          <w:sz w:val="24"/>
          <w:szCs w:val="24"/>
        </w:rPr>
      </w:pPr>
      <w:r>
        <w:rPr>
          <w:iCs/>
          <w:sz w:val="24"/>
          <w:szCs w:val="24"/>
        </w:rPr>
        <w:t>Услуги и работы капитального характера, приводящие к возникновению объектов основных средств, либо увеличению их стоимости, отражать по подстатье 228 КОСГУ.</w:t>
      </w:r>
    </w:p>
    <w:p>
      <w:pPr>
        <w:pStyle w:val="3"/>
        <w:spacing w:after="0"/>
        <w:ind w:firstLine="708"/>
        <w:jc w:val="both"/>
        <w:rPr>
          <w:iCs/>
          <w:sz w:val="24"/>
          <w:szCs w:val="24"/>
        </w:rPr>
      </w:pPr>
      <w:r>
        <w:rPr>
          <w:iCs/>
          <w:sz w:val="24"/>
          <w:szCs w:val="24"/>
        </w:rPr>
        <w:t>13.5 Определение способа ведения бухгалтерского учёта объектов основных средств (на балансовых счётах либо на забалансовых счётах) относится к исключительной компетенции Управления, не является распоряжением имуществом и не требует согласования с Управлением имущественных отношений Администрации ЗАТО Северск (далее – Собственник имущества) (письмо Минфина России от 21.09.2018 № 02-07-10/67934).</w:t>
      </w:r>
    </w:p>
    <w:p>
      <w:pPr>
        <w:pStyle w:val="3"/>
        <w:spacing w:after="0"/>
        <w:ind w:firstLine="708"/>
        <w:jc w:val="both"/>
        <w:rPr>
          <w:sz w:val="24"/>
          <w:szCs w:val="24"/>
        </w:rPr>
      </w:pPr>
      <w:r>
        <w:rPr>
          <w:iCs/>
          <w:sz w:val="24"/>
          <w:szCs w:val="24"/>
        </w:rPr>
        <w:t xml:space="preserve"> 13.6 В случае, когда комиссией Управления по поступлению и выбытию активов установлено, что объект основных средств не соответствует критериям признания актива (невозможно использовать объект основных средств для целей, предусмотренных при его признании, и прекращено получение Управлением экономических выгод или полезного потенциала от дальнейшего использования объекта Управлением (эксплуатации объекта), такое имущество подлежит отражению Управлением на забалансовом </w:t>
      </w:r>
      <w:hyperlink r:id="rId70" w:history="1">
        <w:r>
          <w:rPr>
            <w:iCs/>
            <w:sz w:val="24"/>
            <w:szCs w:val="24"/>
          </w:rPr>
          <w:t>счёте                                  02</w:t>
        </w:r>
      </w:hyperlink>
      <w:r>
        <w:rPr>
          <w:iCs/>
          <w:sz w:val="24"/>
          <w:szCs w:val="24"/>
        </w:rPr>
        <w:t xml:space="preserve"> «Материальные ценности на хранении» в условной оценке 1 объект – 1 рубль                          до дальнейшего определения функционального назначения указанного имущества (вовлечения в хозяйственный оборот, списания).</w:t>
      </w:r>
      <w:r>
        <w:rPr>
          <w:iCs/>
          <w:sz w:val="24"/>
          <w:szCs w:val="24"/>
        </w:rPr>
        <w:br/>
      </w:r>
      <w:r>
        <w:rPr>
          <w:sz w:val="24"/>
          <w:szCs w:val="24"/>
        </w:rPr>
        <w:t xml:space="preserve">             Если списанию подлежит объект </w:t>
      </w:r>
      <w:r>
        <w:rPr>
          <w:iCs/>
          <w:sz w:val="24"/>
          <w:szCs w:val="24"/>
        </w:rPr>
        <w:t>основных средств</w:t>
      </w:r>
      <w:r>
        <w:rPr>
          <w:sz w:val="24"/>
          <w:szCs w:val="24"/>
        </w:rPr>
        <w:t xml:space="preserve"> по причине морального износа, который на момент принятия решения используется в деятельности </w:t>
      </w:r>
      <w:r>
        <w:rPr>
          <w:iCs/>
          <w:sz w:val="24"/>
          <w:szCs w:val="24"/>
        </w:rPr>
        <w:t>Управления</w:t>
      </w:r>
      <w:r>
        <w:rPr>
          <w:sz w:val="24"/>
          <w:szCs w:val="24"/>
        </w:rPr>
        <w:t xml:space="preserve"> – продолжает эксплуатироваться, выбытие такого морально устаревшего имущества с балансового учета (забалансового счета 21) не допускается до утверждения Акта о списании, который служит основанием для прекращения эксплуатации объекта и отражения его выбытия с учета. </w:t>
      </w:r>
    </w:p>
    <w:p>
      <w:pPr>
        <w:pStyle w:val="s1"/>
        <w:spacing w:before="0" w:beforeAutospacing="0" w:after="0" w:afterAutospacing="0"/>
        <w:ind w:firstLine="709"/>
        <w:jc w:val="both"/>
      </w:pPr>
      <w:r>
        <w:t xml:space="preserve">При условии, что в день утверждения начальником </w:t>
      </w:r>
      <w:r>
        <w:rPr>
          <w:iCs/>
        </w:rPr>
        <w:t>Управления</w:t>
      </w:r>
      <w:r>
        <w:t xml:space="preserve"> Акта о списании оформлен и подписан комиссионно Акт об утилизации (уничтожении) материальных ценностей (ф. 0510435), подтверждающий проведение мероприятий по утилизации (уничтожению) имущества, предусмотренных Актом о списании, имущество не учитывается на счете 02. Решение (ф. 0510440) в отношении данного объекта не оформляется. Акт о списании с приложением Акта об утилизации (ф. 0510435) являются основанием для отражения выбытия объекта с учета.</w:t>
      </w:r>
    </w:p>
    <w:p>
      <w:pPr>
        <w:pStyle w:val="s1"/>
        <w:spacing w:before="0" w:beforeAutospacing="0" w:after="0" w:afterAutospacing="0"/>
        <w:ind w:firstLine="709"/>
        <w:jc w:val="both"/>
      </w:pPr>
      <w:r>
        <w:t xml:space="preserve">Если необходимо время для утилизации (уничтожения) такого имущества, Акт на списание, утвержденный начальником </w:t>
      </w:r>
      <w:r>
        <w:rPr>
          <w:iCs/>
        </w:rPr>
        <w:t>Управления</w:t>
      </w:r>
      <w:r>
        <w:t xml:space="preserve">, служит основанием для прекращения эксплуатации объекта и оформления Решения о прекращении признания активами объектов нефинансовых активов (ф. 0510440) в отношении данного объекта. Согласно утвержденному Решению (ф. 0510440) отражается его списания со счетов </w:t>
      </w:r>
      <w:r>
        <w:rPr>
          <w:bCs/>
        </w:rPr>
        <w:t xml:space="preserve">0 100 00 000 «Нефинансовые активы», забалансового счета 21 «Основные средства в эксплуатации» с одновременным принятием объекта к учету на забалансовом счете 02. Выбытие объектов с забалансового счета 02 отражается на основании утвержденных </w:t>
      </w:r>
      <w:r>
        <w:t>Актов об утилизации (ф. 0510435).</w:t>
      </w:r>
    </w:p>
    <w:p>
      <w:pPr>
        <w:pStyle w:val="3"/>
        <w:spacing w:after="0"/>
        <w:ind w:firstLine="708"/>
        <w:jc w:val="both"/>
        <w:rPr>
          <w:iCs/>
          <w:sz w:val="24"/>
          <w:szCs w:val="24"/>
        </w:rPr>
      </w:pPr>
      <w:r>
        <w:rPr>
          <w:iCs/>
          <w:sz w:val="24"/>
          <w:szCs w:val="24"/>
        </w:rPr>
        <w:t>13.7 Имущество, учитываемое на забалансовых счётах, может учитываться следующими методами оценки учёта:</w:t>
      </w:r>
    </w:p>
    <w:p>
      <w:pPr>
        <w:pStyle w:val="3"/>
        <w:spacing w:after="0"/>
        <w:ind w:firstLine="708"/>
        <w:jc w:val="both"/>
        <w:rPr>
          <w:iCs/>
          <w:sz w:val="24"/>
          <w:szCs w:val="24"/>
        </w:rPr>
      </w:pPr>
      <w:r>
        <w:rPr>
          <w:iCs/>
          <w:sz w:val="24"/>
          <w:szCs w:val="24"/>
        </w:rPr>
        <w:t>– по остаточной стоимости (при наличии);</w:t>
      </w:r>
    </w:p>
    <w:p>
      <w:pPr>
        <w:pStyle w:val="3"/>
        <w:spacing w:after="0"/>
        <w:ind w:firstLine="708"/>
        <w:jc w:val="both"/>
        <w:rPr>
          <w:iCs/>
          <w:sz w:val="24"/>
          <w:szCs w:val="24"/>
        </w:rPr>
      </w:pPr>
      <w:r>
        <w:rPr>
          <w:iCs/>
          <w:sz w:val="24"/>
          <w:szCs w:val="24"/>
        </w:rPr>
        <w:t>– в условной оценке один объект, один рубль – при полной амортизации объекта (при нулевой остаточной стоимости) (письмо Минфина России от 15.12.2017г.                          № 02-07-07/84237).</w:t>
      </w:r>
    </w:p>
    <w:p>
      <w:pPr>
        <w:pStyle w:val="3"/>
        <w:spacing w:after="0"/>
        <w:ind w:firstLine="708"/>
        <w:jc w:val="both"/>
        <w:rPr>
          <w:iCs/>
          <w:sz w:val="24"/>
          <w:szCs w:val="24"/>
        </w:rPr>
      </w:pPr>
      <w:bookmarkStart w:id="4" w:name="_Hlk37065251"/>
      <w:r>
        <w:rPr>
          <w:iCs/>
          <w:sz w:val="24"/>
          <w:szCs w:val="24"/>
        </w:rPr>
        <w:t>К счёту 02 «Материальные ценности на хранении» открывать следующие аналитические счёта:</w:t>
      </w:r>
    </w:p>
    <w:p>
      <w:pPr>
        <w:pStyle w:val="3"/>
        <w:spacing w:after="0"/>
        <w:ind w:firstLine="708"/>
        <w:jc w:val="both"/>
        <w:rPr>
          <w:iCs/>
          <w:sz w:val="24"/>
          <w:szCs w:val="24"/>
        </w:rPr>
      </w:pPr>
      <w:r>
        <w:rPr>
          <w:iCs/>
          <w:sz w:val="24"/>
          <w:szCs w:val="24"/>
        </w:rPr>
        <w:t>02.11 «Материальные ценности на ответственном хранении (основные средства, материальные запасы)»;</w:t>
      </w:r>
    </w:p>
    <w:p>
      <w:pPr>
        <w:pStyle w:val="3"/>
        <w:spacing w:after="0"/>
        <w:ind w:firstLine="708"/>
        <w:jc w:val="both"/>
        <w:rPr>
          <w:iCs/>
          <w:sz w:val="24"/>
          <w:szCs w:val="24"/>
        </w:rPr>
      </w:pPr>
      <w:hyperlink r:id="rId71" w:history="1">
        <w:r>
          <w:rPr>
            <w:iCs/>
            <w:sz w:val="24"/>
            <w:szCs w:val="24"/>
          </w:rPr>
          <w:t>02.12</w:t>
        </w:r>
      </w:hyperlink>
      <w:r>
        <w:rPr>
          <w:iCs/>
          <w:sz w:val="24"/>
          <w:szCs w:val="24"/>
        </w:rPr>
        <w:t xml:space="preserve"> «Материальные ценности на хранении - не активы»;</w:t>
      </w:r>
    </w:p>
    <w:p>
      <w:pPr>
        <w:pStyle w:val="3"/>
        <w:spacing w:after="0"/>
        <w:ind w:firstLine="708"/>
        <w:jc w:val="both"/>
        <w:rPr>
          <w:iCs/>
          <w:sz w:val="24"/>
          <w:szCs w:val="24"/>
        </w:rPr>
      </w:pPr>
      <w:r>
        <w:rPr>
          <w:iCs/>
          <w:sz w:val="24"/>
          <w:szCs w:val="24"/>
        </w:rPr>
        <w:t xml:space="preserve">На </w:t>
      </w:r>
      <w:hyperlink r:id="rId72" w:history="1">
        <w:r>
          <w:rPr>
            <w:iCs/>
            <w:sz w:val="24"/>
            <w:szCs w:val="24"/>
          </w:rPr>
          <w:t>счёте 02.11</w:t>
        </w:r>
      </w:hyperlink>
      <w:r>
        <w:rPr>
          <w:iCs/>
          <w:sz w:val="24"/>
          <w:szCs w:val="24"/>
        </w:rPr>
        <w:t xml:space="preserve"> «Материальные ценности на ответственном хранении (основные средства, материальные запасы)» учитываются основные средства, материальные запасы на ответственном хранении Управления.</w:t>
      </w:r>
    </w:p>
    <w:p>
      <w:pPr>
        <w:pStyle w:val="3"/>
        <w:spacing w:after="0"/>
        <w:ind w:firstLine="708"/>
        <w:jc w:val="both"/>
        <w:rPr>
          <w:iCs/>
          <w:sz w:val="24"/>
          <w:szCs w:val="24"/>
        </w:rPr>
      </w:pPr>
      <w:r>
        <w:rPr>
          <w:iCs/>
          <w:sz w:val="24"/>
          <w:szCs w:val="24"/>
        </w:rPr>
        <w:t xml:space="preserve">На </w:t>
      </w:r>
      <w:hyperlink r:id="rId73" w:history="1">
        <w:r>
          <w:rPr>
            <w:iCs/>
            <w:sz w:val="24"/>
            <w:szCs w:val="24"/>
          </w:rPr>
          <w:t>счёте 02.12</w:t>
        </w:r>
      </w:hyperlink>
      <w:r>
        <w:rPr>
          <w:iCs/>
          <w:sz w:val="24"/>
          <w:szCs w:val="24"/>
        </w:rPr>
        <w:t xml:space="preserve"> «Материальные ценности на хранении - не активы» учитываются материальные ценности на хранении Управления - не активы в разрезе объектов иного движимого имущества.</w:t>
      </w:r>
    </w:p>
    <w:bookmarkEnd w:id="4"/>
    <w:p>
      <w:pPr>
        <w:pStyle w:val="3"/>
        <w:spacing w:after="0"/>
        <w:ind w:firstLine="708"/>
        <w:jc w:val="both"/>
        <w:rPr>
          <w:iCs/>
          <w:sz w:val="24"/>
          <w:szCs w:val="24"/>
        </w:rPr>
      </w:pPr>
      <w:r>
        <w:rPr>
          <w:iCs/>
          <w:sz w:val="24"/>
          <w:szCs w:val="24"/>
        </w:rPr>
        <w:t>Дальнейшее начисление амортизации на указанные объекты имущества                             не производится (п. 8 п</w:t>
      </w:r>
      <w:r>
        <w:rPr>
          <w:sz w:val="24"/>
          <w:szCs w:val="24"/>
        </w:rPr>
        <w:t>риказа Минфина РФ от 31.03.2016г. № 257н «</w:t>
      </w:r>
      <w:r>
        <w:rPr>
          <w:sz w:val="24"/>
          <w:szCs w:val="24"/>
          <w:lang w:eastAsia="en-US"/>
        </w:rPr>
        <w:t>Об утверждении федерального стандарта бюджетного учёта для организаций муниципального сектора «Основные средства» (далее – СГС «Основные средства»)</w:t>
      </w:r>
      <w:r>
        <w:rPr>
          <w:iCs/>
          <w:sz w:val="24"/>
          <w:szCs w:val="24"/>
        </w:rPr>
        <w:t>, письмо Минфина России от 15.12.2017г. № 02-07-07/84237).</w:t>
      </w:r>
    </w:p>
    <w:p>
      <w:pPr>
        <w:pStyle w:val="a3"/>
        <w:autoSpaceDE w:val="0"/>
        <w:autoSpaceDN w:val="0"/>
        <w:adjustRightInd w:val="0"/>
        <w:ind w:left="0" w:firstLine="708"/>
        <w:jc w:val="both"/>
        <w:rPr>
          <w:lang w:eastAsia="en-US"/>
        </w:rPr>
      </w:pPr>
      <w:r>
        <w:rPr>
          <w:iCs/>
        </w:rPr>
        <w:t>Перенос объектов</w:t>
      </w:r>
      <w:r>
        <w:rPr>
          <w:lang w:eastAsia="en-US"/>
        </w:rPr>
        <w:t xml:space="preserve"> на </w:t>
      </w:r>
      <w:proofErr w:type="spellStart"/>
      <w:r>
        <w:rPr>
          <w:lang w:eastAsia="en-US"/>
        </w:rPr>
        <w:t>забалансовый</w:t>
      </w:r>
      <w:proofErr w:type="spellEnd"/>
      <w:r>
        <w:rPr>
          <w:lang w:eastAsia="en-US"/>
        </w:rPr>
        <w:t xml:space="preserve"> счет 02 не означает процедуру списания.</w:t>
      </w:r>
    </w:p>
    <w:p>
      <w:pPr>
        <w:pStyle w:val="a3"/>
        <w:autoSpaceDE w:val="0"/>
        <w:autoSpaceDN w:val="0"/>
        <w:adjustRightInd w:val="0"/>
        <w:ind w:left="0" w:firstLine="708"/>
        <w:jc w:val="both"/>
        <w:rPr>
          <w:lang w:eastAsia="en-US"/>
        </w:rPr>
      </w:pPr>
      <w:r>
        <w:rPr>
          <w:lang w:eastAsia="en-US"/>
        </w:rPr>
        <w:t xml:space="preserve">Операции по переносу на </w:t>
      </w:r>
      <w:proofErr w:type="spellStart"/>
      <w:r>
        <w:rPr>
          <w:lang w:eastAsia="en-US"/>
        </w:rPr>
        <w:t>забалансовый</w:t>
      </w:r>
      <w:proofErr w:type="spellEnd"/>
      <w:r>
        <w:rPr>
          <w:lang w:eastAsia="en-US"/>
        </w:rPr>
        <w:t xml:space="preserve"> счет оформлять Бухгалтерской справкой           </w:t>
      </w:r>
      <w:proofErr w:type="gramStart"/>
      <w:r>
        <w:rPr>
          <w:lang w:eastAsia="en-US"/>
        </w:rPr>
        <w:t xml:space="preserve">   (</w:t>
      </w:r>
      <w:proofErr w:type="gramEnd"/>
      <w:r>
        <w:rPr>
          <w:lang w:eastAsia="en-US"/>
        </w:rPr>
        <w:t>ф. 0504833) с отражением записи в Инвентарную карточку объекта.</w:t>
      </w:r>
    </w:p>
    <w:p>
      <w:pPr>
        <w:pStyle w:val="a3"/>
        <w:autoSpaceDE w:val="0"/>
        <w:autoSpaceDN w:val="0"/>
        <w:adjustRightInd w:val="0"/>
        <w:ind w:left="0" w:firstLine="708"/>
        <w:jc w:val="both"/>
        <w:rPr>
          <w:lang w:eastAsia="en-US"/>
        </w:rPr>
      </w:pPr>
      <w:r>
        <w:rPr>
          <w:lang w:eastAsia="en-US"/>
        </w:rPr>
        <w:t xml:space="preserve">Учёт материальных ценностей, принятых на хранение, ведется в Карточке учёта материальных ценностей </w:t>
      </w:r>
      <w:hyperlink r:id="rId74" w:history="1">
        <w:r>
          <w:rPr>
            <w:lang w:eastAsia="en-US"/>
          </w:rPr>
          <w:t>(форма 0504043)</w:t>
        </w:r>
      </w:hyperlink>
      <w:r>
        <w:rPr>
          <w:lang w:eastAsia="en-US"/>
        </w:rPr>
        <w:t xml:space="preserve"> в разрезе материально ответственных лиц по видам, сортам, местам хранения (нахождения).</w:t>
      </w:r>
    </w:p>
    <w:p>
      <w:pPr>
        <w:ind w:firstLine="708"/>
        <w:jc w:val="both"/>
        <w:rPr>
          <w:rFonts w:eastAsia="Calibri"/>
          <w:sz w:val="24"/>
          <w:szCs w:val="24"/>
          <w:lang w:eastAsia="en-US"/>
        </w:rPr>
      </w:pPr>
      <w:r>
        <w:rPr>
          <w:rFonts w:eastAsia="Calibri"/>
          <w:sz w:val="24"/>
          <w:szCs w:val="24"/>
          <w:lang w:eastAsia="en-US"/>
        </w:rPr>
        <w:t>13.8 В случае когда при рассмотрении решения комиссии Управления по поступлению и выбытию активов о списании имущества в отношении объекта, который для Управления не является активом, Собственником имущества принято решение, определяющее дальнейшее функциональное назначение такого объекта как актива (принято решение по передаче объекта в целях эксплуатации иным Управлением), такой объект подлежит восстановлению на балансовом учёте с восстановлением данных                      в Инвентарной карточке нефинансовых активов (письмо Минфина России от 21.09.2018 № 02-07-10/67931).</w:t>
      </w:r>
    </w:p>
    <w:p>
      <w:pPr>
        <w:pStyle w:val="a3"/>
        <w:autoSpaceDE w:val="0"/>
        <w:autoSpaceDN w:val="0"/>
        <w:adjustRightInd w:val="0"/>
        <w:ind w:left="0" w:firstLine="708"/>
        <w:jc w:val="both"/>
        <w:rPr>
          <w:lang w:eastAsia="en-US"/>
        </w:rPr>
      </w:pPr>
      <w:r>
        <w:rPr>
          <w:lang w:eastAsia="en-US"/>
        </w:rPr>
        <w:t xml:space="preserve">При принятии решения Собственником имущества о передаче имущества, признанного Управлением как «не актив», объекты основных средств должны быть восстановлены на балансе. </w:t>
      </w:r>
    </w:p>
    <w:p>
      <w:pPr>
        <w:pStyle w:val="a3"/>
        <w:autoSpaceDE w:val="0"/>
        <w:autoSpaceDN w:val="0"/>
        <w:adjustRightInd w:val="0"/>
        <w:ind w:left="0" w:firstLine="708"/>
        <w:jc w:val="both"/>
        <w:rPr>
          <w:lang w:eastAsia="en-US"/>
        </w:rPr>
      </w:pPr>
      <w:r>
        <w:rPr>
          <w:lang w:eastAsia="en-US"/>
        </w:rPr>
        <w:t>Отражение в бухгалтерском учёте выбытия объекта основных средств                                   с забалансового счёта 02 «Материальные ценности на хранении» до утверждения                        в установленном порядке решения о списании (выбытии) объекта основного средства                 и реализация мероприятий, предусмотренных Актом о списании, не допускается.</w:t>
      </w:r>
    </w:p>
    <w:p>
      <w:pPr>
        <w:ind w:firstLine="708"/>
        <w:jc w:val="both"/>
        <w:rPr>
          <w:rFonts w:eastAsia="Calibri"/>
          <w:sz w:val="24"/>
          <w:szCs w:val="24"/>
          <w:lang w:eastAsia="en-US"/>
        </w:rPr>
      </w:pPr>
      <w:r>
        <w:rPr>
          <w:rFonts w:eastAsia="Calibri"/>
          <w:sz w:val="24"/>
          <w:szCs w:val="24"/>
          <w:lang w:eastAsia="en-US"/>
        </w:rPr>
        <w:t xml:space="preserve">13.9 В случае восстановления объекта основного средства с забалансового счёта на баланс, отражать по стоимости, определенной до момента перевода. Доначисление амортизации за период нахождения объекта на забалансовом </w:t>
      </w:r>
      <w:hyperlink r:id="rId75" w:history="1">
        <w:r>
          <w:rPr>
            <w:rFonts w:eastAsia="Calibri"/>
            <w:sz w:val="24"/>
            <w:szCs w:val="24"/>
            <w:lang w:eastAsia="en-US"/>
          </w:rPr>
          <w:t>счёте</w:t>
        </w:r>
      </w:hyperlink>
      <w:r>
        <w:rPr>
          <w:rFonts w:eastAsia="Calibri"/>
          <w:sz w:val="24"/>
          <w:szCs w:val="24"/>
          <w:lang w:eastAsia="en-US"/>
        </w:rPr>
        <w:t xml:space="preserve"> не производить.</w:t>
      </w:r>
    </w:p>
    <w:p>
      <w:pPr>
        <w:pStyle w:val="a3"/>
        <w:autoSpaceDE w:val="0"/>
        <w:autoSpaceDN w:val="0"/>
        <w:adjustRightInd w:val="0"/>
        <w:ind w:left="0" w:firstLine="708"/>
        <w:jc w:val="both"/>
        <w:rPr>
          <w:lang w:eastAsia="en-US"/>
        </w:rPr>
      </w:pPr>
      <w:r>
        <w:rPr>
          <w:lang w:eastAsia="en-US"/>
        </w:rPr>
        <w:t>Использовать прежний инвентарный номер объекта.</w:t>
      </w:r>
    </w:p>
    <w:p>
      <w:pPr>
        <w:widowControl/>
        <w:ind w:firstLine="708"/>
        <w:jc w:val="both"/>
        <w:rPr>
          <w:iCs/>
          <w:sz w:val="24"/>
          <w:szCs w:val="24"/>
        </w:rPr>
      </w:pPr>
      <w:r>
        <w:rPr>
          <w:iCs/>
          <w:sz w:val="24"/>
          <w:szCs w:val="24"/>
        </w:rPr>
        <w:t>Ликвидируемое имущество списывается с балансового учёта на основании решения комиссии по поступлению и выбытию активов. До утилизации имущество может учитываться на забалансовом счёте 02 «Материальные ценности на хранении». Имущество списывается на основании акта о списании, с разрешения Собственника имущества в соответствии с п</w:t>
      </w:r>
      <w:r>
        <w:rPr>
          <w:sz w:val="24"/>
          <w:szCs w:val="24"/>
        </w:rPr>
        <w:t>оложением о порядке управления и распоряжения имуществом, находящимся в муниципальной собственности городского округа ЗАТО Северск Томской области, утвержденного Решением Думы ЗАТО Северск</w:t>
      </w:r>
      <w:r>
        <w:rPr>
          <w:iCs/>
          <w:sz w:val="24"/>
          <w:szCs w:val="24"/>
        </w:rPr>
        <w:t xml:space="preserve">. </w:t>
      </w:r>
    </w:p>
    <w:p>
      <w:pPr>
        <w:pStyle w:val="Style4"/>
        <w:widowControl/>
        <w:spacing w:line="240" w:lineRule="auto"/>
        <w:ind w:firstLine="709"/>
      </w:pPr>
      <w:r>
        <w:t>13.10 Списание нефинансовых активов с забалансового счёта и списание материальных ценностей стоимостью до 10 000 руб. производить на основании ведомости выдачи в эксплуатацию.</w:t>
      </w:r>
    </w:p>
    <w:p>
      <w:pPr>
        <w:widowControl/>
        <w:ind w:firstLine="708"/>
        <w:jc w:val="both"/>
        <w:rPr>
          <w:sz w:val="24"/>
          <w:szCs w:val="24"/>
        </w:rPr>
      </w:pPr>
      <w:r>
        <w:rPr>
          <w:sz w:val="24"/>
          <w:szCs w:val="24"/>
        </w:rPr>
        <w:t xml:space="preserve">Безвозмездная передача объектов основных средств Управлением оформляется Актом о приёме-передаче объектов нефинансовых активов </w:t>
      </w:r>
      <w:hyperlink r:id="rId76" w:history="1">
        <w:r>
          <w:rPr>
            <w:sz w:val="24"/>
            <w:szCs w:val="24"/>
          </w:rPr>
          <w:t>(ф.0510448)</w:t>
        </w:r>
      </w:hyperlink>
      <w:r>
        <w:rPr>
          <w:sz w:val="24"/>
          <w:szCs w:val="24"/>
        </w:rPr>
        <w:t>.</w:t>
      </w:r>
    </w:p>
    <w:p>
      <w:pPr>
        <w:widowControl/>
        <w:ind w:firstLine="709"/>
        <w:jc w:val="both"/>
        <w:outlineLvl w:val="0"/>
        <w:rPr>
          <w:sz w:val="24"/>
          <w:szCs w:val="24"/>
        </w:rPr>
      </w:pPr>
      <w:proofErr w:type="spellStart"/>
      <w:r>
        <w:rPr>
          <w:sz w:val="24"/>
          <w:szCs w:val="24"/>
        </w:rPr>
        <w:t>Забалансовый</w:t>
      </w:r>
      <w:proofErr w:type="spellEnd"/>
      <w:r>
        <w:rPr>
          <w:sz w:val="24"/>
          <w:szCs w:val="24"/>
        </w:rPr>
        <w:t xml:space="preserve"> учёт нефинансовых активов ведётся в </w:t>
      </w:r>
      <w:proofErr w:type="spellStart"/>
      <w:r>
        <w:rPr>
          <w:sz w:val="24"/>
          <w:szCs w:val="24"/>
        </w:rPr>
        <w:t>оборотно</w:t>
      </w:r>
      <w:proofErr w:type="spellEnd"/>
      <w:r>
        <w:rPr>
          <w:sz w:val="24"/>
          <w:szCs w:val="24"/>
        </w:rPr>
        <w:t>-сальдовой ведомости.</w:t>
      </w:r>
    </w:p>
    <w:p>
      <w:pPr>
        <w:pStyle w:val="ConsPlusNormal"/>
        <w:ind w:firstLine="708"/>
        <w:jc w:val="both"/>
        <w:rPr>
          <w:rFonts w:ascii="Times New Roman" w:hAnsi="Times New Roman"/>
          <w:sz w:val="24"/>
          <w:szCs w:val="24"/>
        </w:rPr>
      </w:pPr>
      <w:r>
        <w:rPr>
          <w:rFonts w:ascii="Times New Roman" w:hAnsi="Times New Roman"/>
          <w:iCs/>
          <w:sz w:val="24"/>
          <w:szCs w:val="24"/>
        </w:rPr>
        <w:t>13.11</w:t>
      </w:r>
      <w:r>
        <w:rPr>
          <w:iCs/>
          <w:sz w:val="24"/>
          <w:szCs w:val="24"/>
        </w:rPr>
        <w:t xml:space="preserve"> </w:t>
      </w:r>
      <w:r>
        <w:rPr>
          <w:rFonts w:ascii="Times New Roman" w:hAnsi="Times New Roman"/>
          <w:sz w:val="24"/>
          <w:szCs w:val="24"/>
        </w:rPr>
        <w:t xml:space="preserve">В бюджетном учёте основные средства группируются по стоимостному критерию в зависимости от даты ввода в эксплуатацию: </w:t>
      </w:r>
    </w:p>
    <w:p>
      <w:pPr>
        <w:pStyle w:val="ConsPlusNormal"/>
        <w:ind w:firstLine="567"/>
        <w:jc w:val="both"/>
        <w:rPr>
          <w:rFonts w:ascii="Times New Roman" w:hAnsi="Times New Roman"/>
          <w:sz w:val="24"/>
          <w:szCs w:val="24"/>
        </w:rPr>
      </w:pPr>
      <w:r>
        <w:rPr>
          <w:rFonts w:ascii="Times New Roman" w:hAnsi="Times New Roman"/>
          <w:sz w:val="24"/>
          <w:szCs w:val="24"/>
        </w:rPr>
        <w:t>Введенные в эксплуатацию до 01.01.2018:</w:t>
      </w:r>
    </w:p>
    <w:p>
      <w:pPr>
        <w:pStyle w:val="ConsPlusNormal"/>
        <w:ind w:firstLine="708"/>
        <w:jc w:val="both"/>
        <w:rPr>
          <w:rFonts w:ascii="Times New Roman" w:hAnsi="Times New Roman"/>
          <w:sz w:val="24"/>
          <w:szCs w:val="24"/>
        </w:rPr>
      </w:pPr>
      <w:r>
        <w:rPr>
          <w:rFonts w:ascii="Times New Roman" w:hAnsi="Times New Roman"/>
          <w:sz w:val="24"/>
          <w:szCs w:val="24"/>
        </w:rPr>
        <w:t>– до 3 000 руб.;</w:t>
      </w:r>
    </w:p>
    <w:p>
      <w:pPr>
        <w:pStyle w:val="ConsPlusNormal"/>
        <w:ind w:firstLine="708"/>
        <w:jc w:val="both"/>
        <w:rPr>
          <w:rFonts w:ascii="Times New Roman" w:hAnsi="Times New Roman"/>
          <w:sz w:val="24"/>
          <w:szCs w:val="24"/>
        </w:rPr>
      </w:pPr>
      <w:r>
        <w:rPr>
          <w:rFonts w:ascii="Times New Roman" w:hAnsi="Times New Roman"/>
          <w:sz w:val="24"/>
          <w:szCs w:val="24"/>
        </w:rPr>
        <w:t>– от 3 000 до 40 000 руб.;</w:t>
      </w:r>
    </w:p>
    <w:p>
      <w:pPr>
        <w:pStyle w:val="ConsPlusNormal"/>
        <w:ind w:firstLine="708"/>
        <w:jc w:val="both"/>
        <w:rPr>
          <w:rFonts w:ascii="Times New Roman" w:hAnsi="Times New Roman"/>
          <w:sz w:val="24"/>
          <w:szCs w:val="24"/>
        </w:rPr>
      </w:pPr>
      <w:r>
        <w:rPr>
          <w:rFonts w:ascii="Times New Roman" w:hAnsi="Times New Roman"/>
          <w:sz w:val="24"/>
          <w:szCs w:val="24"/>
        </w:rPr>
        <w:t xml:space="preserve">– свыше 40 000 руб. (письмо Минфина России от </w:t>
      </w:r>
      <w:r>
        <w:rPr>
          <w:rFonts w:ascii="Times New Roman" w:eastAsia="Calibri" w:hAnsi="Times New Roman"/>
          <w:sz w:val="24"/>
          <w:szCs w:val="24"/>
          <w:lang w:eastAsia="en-US"/>
        </w:rPr>
        <w:t>15.12.2017г. № 02-07-07/84237).</w:t>
      </w:r>
    </w:p>
    <w:p>
      <w:pPr>
        <w:pStyle w:val="ConsPlusNormal"/>
        <w:ind w:firstLine="567"/>
        <w:jc w:val="both"/>
        <w:rPr>
          <w:rFonts w:ascii="Times New Roman" w:hAnsi="Times New Roman"/>
          <w:sz w:val="24"/>
          <w:szCs w:val="24"/>
        </w:rPr>
      </w:pPr>
      <w:r>
        <w:rPr>
          <w:rFonts w:ascii="Times New Roman" w:hAnsi="Times New Roman"/>
          <w:sz w:val="24"/>
          <w:szCs w:val="24"/>
        </w:rPr>
        <w:t>Введенные в эксплуатацию после 01.01.2018 (п. 39 СГС «Основные средства»):</w:t>
      </w:r>
    </w:p>
    <w:p>
      <w:pPr>
        <w:pStyle w:val="ConsPlusNormal"/>
        <w:ind w:firstLine="708"/>
        <w:jc w:val="both"/>
        <w:rPr>
          <w:rFonts w:ascii="Times New Roman" w:hAnsi="Times New Roman"/>
          <w:sz w:val="24"/>
          <w:szCs w:val="24"/>
        </w:rPr>
      </w:pPr>
      <w:r>
        <w:rPr>
          <w:rFonts w:ascii="Times New Roman" w:hAnsi="Times New Roman"/>
          <w:sz w:val="24"/>
          <w:szCs w:val="24"/>
        </w:rPr>
        <w:t>– до 10 000 руб.;</w:t>
      </w:r>
    </w:p>
    <w:p>
      <w:pPr>
        <w:pStyle w:val="ConsPlusNormal"/>
        <w:ind w:firstLine="708"/>
        <w:jc w:val="both"/>
        <w:rPr>
          <w:rFonts w:ascii="Times New Roman" w:hAnsi="Times New Roman"/>
          <w:sz w:val="24"/>
          <w:szCs w:val="24"/>
        </w:rPr>
      </w:pPr>
      <w:r>
        <w:rPr>
          <w:rFonts w:ascii="Times New Roman" w:hAnsi="Times New Roman"/>
          <w:sz w:val="24"/>
          <w:szCs w:val="24"/>
        </w:rPr>
        <w:t>– от 10 000 руб. до 100 000 руб.;</w:t>
      </w:r>
    </w:p>
    <w:p>
      <w:pPr>
        <w:pStyle w:val="3"/>
        <w:spacing w:after="0"/>
        <w:ind w:left="567" w:firstLine="141"/>
        <w:jc w:val="both"/>
        <w:rPr>
          <w:sz w:val="24"/>
          <w:szCs w:val="24"/>
        </w:rPr>
      </w:pPr>
      <w:r>
        <w:rPr>
          <w:sz w:val="24"/>
          <w:szCs w:val="24"/>
        </w:rPr>
        <w:t>– свыше 100 000 руб.</w:t>
      </w:r>
    </w:p>
    <w:p>
      <w:pPr>
        <w:ind w:firstLine="708"/>
        <w:jc w:val="both"/>
        <w:rPr>
          <w:sz w:val="24"/>
          <w:szCs w:val="24"/>
          <w:lang w:eastAsia="en-US"/>
        </w:rPr>
      </w:pPr>
      <w:r>
        <w:rPr>
          <w:sz w:val="24"/>
          <w:szCs w:val="24"/>
        </w:rPr>
        <w:t>13.12 </w:t>
      </w:r>
      <w:r>
        <w:rPr>
          <w:sz w:val="24"/>
          <w:szCs w:val="24"/>
          <w:lang w:eastAsia="en-US"/>
        </w:rPr>
        <w:t>В целях получения дополнительных данных для раскрытия бухгалтерской (финансовой) отчётности предусмотреть следующую аналитику по объектам основных средств (</w:t>
      </w:r>
      <w:hyperlink r:id="rId77" w:history="1">
        <w:r>
          <w:rPr>
            <w:sz w:val="24"/>
            <w:szCs w:val="24"/>
            <w:lang w:eastAsia="en-US"/>
          </w:rPr>
          <w:t>п. 3</w:t>
        </w:r>
      </w:hyperlink>
      <w:r>
        <w:rPr>
          <w:sz w:val="24"/>
          <w:szCs w:val="24"/>
          <w:lang w:eastAsia="en-US"/>
        </w:rPr>
        <w:t xml:space="preserve"> письма Минфина России от 15.12.2017 № 02-07-07/84237):</w:t>
      </w:r>
    </w:p>
    <w:p>
      <w:pPr>
        <w:ind w:firstLine="708"/>
        <w:jc w:val="both"/>
        <w:rPr>
          <w:sz w:val="24"/>
          <w:szCs w:val="24"/>
          <w:lang w:eastAsia="en-US"/>
        </w:rPr>
      </w:pPr>
      <w:r>
        <w:rPr>
          <w:sz w:val="24"/>
          <w:szCs w:val="24"/>
          <w:lang w:eastAsia="en-US"/>
        </w:rPr>
        <w:t>– в эксплуатации;</w:t>
      </w:r>
    </w:p>
    <w:p>
      <w:pPr>
        <w:ind w:firstLine="708"/>
        <w:jc w:val="both"/>
        <w:rPr>
          <w:sz w:val="24"/>
          <w:szCs w:val="24"/>
          <w:lang w:eastAsia="en-US"/>
        </w:rPr>
      </w:pPr>
      <w:r>
        <w:rPr>
          <w:sz w:val="24"/>
          <w:szCs w:val="24"/>
          <w:lang w:eastAsia="en-US"/>
        </w:rPr>
        <w:t>– в запасе;</w:t>
      </w:r>
    </w:p>
    <w:p>
      <w:pPr>
        <w:ind w:firstLine="708"/>
        <w:jc w:val="both"/>
        <w:rPr>
          <w:sz w:val="24"/>
          <w:szCs w:val="24"/>
          <w:lang w:eastAsia="en-US"/>
        </w:rPr>
      </w:pPr>
      <w:r>
        <w:rPr>
          <w:sz w:val="24"/>
          <w:szCs w:val="24"/>
          <w:lang w:eastAsia="en-US"/>
        </w:rPr>
        <w:t>– иную категорию объектов бухгалтерского учёта.</w:t>
      </w:r>
    </w:p>
    <w:p>
      <w:pPr>
        <w:pStyle w:val="3"/>
        <w:spacing w:after="0"/>
        <w:ind w:firstLine="708"/>
        <w:jc w:val="both"/>
        <w:rPr>
          <w:sz w:val="24"/>
          <w:szCs w:val="24"/>
        </w:rPr>
      </w:pPr>
      <w:r>
        <w:rPr>
          <w:sz w:val="24"/>
          <w:szCs w:val="24"/>
        </w:rPr>
        <w:t xml:space="preserve">13.13 Относить на </w:t>
      </w:r>
      <w:proofErr w:type="spellStart"/>
      <w:r>
        <w:rPr>
          <w:sz w:val="24"/>
          <w:szCs w:val="24"/>
        </w:rPr>
        <w:t>забалансовый</w:t>
      </w:r>
      <w:proofErr w:type="spellEnd"/>
      <w:r>
        <w:rPr>
          <w:sz w:val="24"/>
          <w:szCs w:val="24"/>
        </w:rPr>
        <w:t xml:space="preserve"> счет 21 «Основные средства в эксплуатации» объекты основных средств, стоимостью до 10 000 рублей.</w:t>
      </w:r>
    </w:p>
    <w:p>
      <w:pPr>
        <w:ind w:firstLine="708"/>
        <w:jc w:val="both"/>
        <w:rPr>
          <w:rFonts w:eastAsia="Calibri"/>
          <w:sz w:val="24"/>
          <w:szCs w:val="24"/>
          <w:lang w:eastAsia="en-US"/>
        </w:rPr>
      </w:pPr>
      <w:r>
        <w:rPr>
          <w:iCs/>
          <w:sz w:val="24"/>
          <w:szCs w:val="24"/>
        </w:rPr>
        <w:t xml:space="preserve">13.14 </w:t>
      </w:r>
      <w:r>
        <w:rPr>
          <w:rFonts w:eastAsia="Calibri"/>
          <w:sz w:val="24"/>
          <w:szCs w:val="24"/>
          <w:lang w:eastAsia="en-US"/>
        </w:rPr>
        <w:t xml:space="preserve">Если согласно классификатору </w:t>
      </w:r>
      <w:hyperlink r:id="rId78" w:history="1">
        <w:r>
          <w:rPr>
            <w:rFonts w:eastAsia="Calibri"/>
            <w:sz w:val="24"/>
            <w:szCs w:val="24"/>
            <w:lang w:eastAsia="en-US"/>
          </w:rPr>
          <w:t>ОКОФ ОК 013-2014 (СНС 2008)</w:t>
        </w:r>
      </w:hyperlink>
      <w:r>
        <w:rPr>
          <w:rFonts w:eastAsia="Calibri"/>
          <w:sz w:val="24"/>
          <w:szCs w:val="24"/>
          <w:lang w:eastAsia="en-US"/>
        </w:rPr>
        <w:t xml:space="preserve"> материальные ценности отнесены к основным фондам, но в соответствии с СГС указанные ценности относятся к материальным запасам (несмотря на то, что срок полезного использования данных объектов более 12 месяцев), такие объекты принимаются к учёту в составе материальных запасов (письмо Минфина России от 27.12.2016г. № 02-07-08/78243).</w:t>
      </w:r>
    </w:p>
    <w:p>
      <w:pPr>
        <w:ind w:firstLine="708"/>
        <w:jc w:val="both"/>
        <w:rPr>
          <w:rFonts w:eastAsia="Calibri"/>
          <w:sz w:val="24"/>
          <w:szCs w:val="24"/>
          <w:lang w:eastAsia="en-US"/>
        </w:rPr>
      </w:pPr>
      <w:r>
        <w:rPr>
          <w:rFonts w:eastAsia="Calibri"/>
          <w:sz w:val="24"/>
          <w:szCs w:val="24"/>
          <w:lang w:eastAsia="en-US"/>
        </w:rPr>
        <w:t>13.</w:t>
      </w:r>
      <w:r>
        <w:rPr>
          <w:rFonts w:eastAsia="Calibri"/>
          <w:sz w:val="24"/>
          <w:szCs w:val="24"/>
        </w:rPr>
        <w:t>15 При</w:t>
      </w:r>
      <w:r>
        <w:rPr>
          <w:rFonts w:eastAsia="Calibri"/>
          <w:sz w:val="24"/>
          <w:szCs w:val="24"/>
          <w:lang w:eastAsia="en-US"/>
        </w:rPr>
        <w:t xml:space="preserve"> выборе кодов ОКОФ для определения амортизационной группы                          в соответствии с </w:t>
      </w:r>
      <w:hyperlink r:id="rId79" w:history="1">
        <w:r>
          <w:rPr>
            <w:rFonts w:eastAsia="Calibri"/>
            <w:sz w:val="24"/>
            <w:szCs w:val="24"/>
            <w:lang w:eastAsia="en-US"/>
          </w:rPr>
          <w:t>классификацией</w:t>
        </w:r>
      </w:hyperlink>
      <w:r>
        <w:rPr>
          <w:rFonts w:eastAsia="Calibri"/>
          <w:sz w:val="24"/>
          <w:szCs w:val="24"/>
          <w:lang w:eastAsia="en-US"/>
        </w:rPr>
        <w:t xml:space="preserve"> основных средств, включаемых в амортизационные группы, утвержденной постановлением Правительства Российской Федерации                         от 01.012002 г. № 1, выбирать амортизационную группу с наибольшим сроком полезного использования (письмо Минфина России от 21.09.2017г. № 02-06-10/61195).</w:t>
      </w:r>
    </w:p>
    <w:p>
      <w:pPr>
        <w:ind w:firstLine="708"/>
        <w:jc w:val="both"/>
        <w:rPr>
          <w:rFonts w:eastAsia="Calibri"/>
          <w:sz w:val="24"/>
          <w:szCs w:val="24"/>
          <w:lang w:eastAsia="en-US"/>
        </w:rPr>
      </w:pPr>
      <w:r>
        <w:rPr>
          <w:rFonts w:eastAsia="Calibri"/>
          <w:sz w:val="24"/>
          <w:szCs w:val="24"/>
          <w:lang w:eastAsia="en-US"/>
        </w:rPr>
        <w:t xml:space="preserve">В случае, когда материальные ценности, признанные для целей бюджетного учёта              в составе объектов основных средств, изменили исходя из новых условий их использования свое первоначальное назначение (первоначальную целевую функцию), по решению постоянно действующей комиссии по поступлению и выбытию активов такие объекты основных средств </w:t>
      </w:r>
      <w:proofErr w:type="spellStart"/>
      <w:r>
        <w:rPr>
          <w:rFonts w:eastAsia="Calibri"/>
          <w:sz w:val="24"/>
          <w:szCs w:val="24"/>
          <w:lang w:eastAsia="en-US"/>
        </w:rPr>
        <w:t>реклассифицируются</w:t>
      </w:r>
      <w:proofErr w:type="spellEnd"/>
      <w:r>
        <w:rPr>
          <w:rFonts w:eastAsia="Calibri"/>
          <w:sz w:val="24"/>
          <w:szCs w:val="24"/>
          <w:lang w:eastAsia="en-US"/>
        </w:rPr>
        <w:t xml:space="preserve"> в иную группу основных средств или в иную категорию объектов бюджетного учёта (например, в материальные запасы)                                       (п.13 СГС «Основные средства», письмо Минфина России от 15.12.2017г.                                                № 02-07-07/84237).</w:t>
      </w:r>
    </w:p>
    <w:p>
      <w:pPr>
        <w:ind w:firstLine="708"/>
        <w:jc w:val="both"/>
        <w:rPr>
          <w:sz w:val="24"/>
          <w:szCs w:val="24"/>
        </w:rPr>
      </w:pPr>
      <w:r>
        <w:rPr>
          <w:rFonts w:eastAsiaTheme="minorHAnsi"/>
          <w:sz w:val="24"/>
          <w:szCs w:val="24"/>
          <w:lang w:eastAsia="en-US"/>
        </w:rPr>
        <w:t>13.16 Имущество, учитываемое на забалансовых счётах, может учитываться следующими м</w:t>
      </w:r>
      <w:r>
        <w:rPr>
          <w:sz w:val="24"/>
          <w:szCs w:val="24"/>
        </w:rPr>
        <w:t>етодами оценки учёта:</w:t>
      </w:r>
    </w:p>
    <w:p>
      <w:pPr>
        <w:ind w:firstLine="708"/>
        <w:jc w:val="both"/>
        <w:rPr>
          <w:sz w:val="24"/>
          <w:szCs w:val="24"/>
        </w:rPr>
      </w:pPr>
      <w:r>
        <w:rPr>
          <w:sz w:val="24"/>
          <w:szCs w:val="24"/>
        </w:rPr>
        <w:t>– по остаточной стоимости (при наличии);</w:t>
      </w:r>
    </w:p>
    <w:p>
      <w:pPr>
        <w:ind w:firstLine="708"/>
        <w:jc w:val="both"/>
        <w:rPr>
          <w:rFonts w:eastAsiaTheme="minorHAnsi"/>
          <w:sz w:val="24"/>
          <w:szCs w:val="24"/>
          <w:lang w:eastAsia="en-US"/>
        </w:rPr>
      </w:pPr>
      <w:r>
        <w:rPr>
          <w:sz w:val="24"/>
          <w:szCs w:val="24"/>
        </w:rPr>
        <w:t>– в условной оценке один объект, один рубль – при полной амортизации объекта (при нулевой остаточной стоимости) (</w:t>
      </w:r>
      <w:r>
        <w:rPr>
          <w:rFonts w:eastAsiaTheme="minorHAnsi"/>
          <w:sz w:val="24"/>
          <w:szCs w:val="24"/>
          <w:lang w:eastAsia="en-US"/>
        </w:rPr>
        <w:t>письмо Минфина России от 15.12.2017г.                          № 02-07-07/84237</w:t>
      </w:r>
      <w:r>
        <w:rPr>
          <w:sz w:val="24"/>
          <w:szCs w:val="24"/>
        </w:rPr>
        <w:t>).</w:t>
      </w:r>
    </w:p>
    <w:p>
      <w:pPr>
        <w:ind w:firstLine="708"/>
        <w:jc w:val="both"/>
        <w:rPr>
          <w:sz w:val="24"/>
          <w:szCs w:val="24"/>
        </w:rPr>
      </w:pPr>
      <w:r>
        <w:rPr>
          <w:rFonts w:eastAsia="Calibri"/>
          <w:sz w:val="24"/>
          <w:szCs w:val="24"/>
          <w:lang w:eastAsia="en-US"/>
        </w:rPr>
        <w:t xml:space="preserve">13.17 </w:t>
      </w:r>
      <w:r>
        <w:rPr>
          <w:sz w:val="24"/>
          <w:szCs w:val="24"/>
        </w:rPr>
        <w:t xml:space="preserve">Единицей учёта основных средств является инвентарный объект (п.9 СГС «Основные средства»). </w:t>
      </w:r>
    </w:p>
    <w:p>
      <w:pPr>
        <w:ind w:firstLine="708"/>
        <w:jc w:val="both"/>
        <w:rPr>
          <w:rFonts w:eastAsia="Calibri"/>
          <w:sz w:val="24"/>
          <w:szCs w:val="24"/>
          <w:lang w:eastAsia="en-US"/>
        </w:rPr>
      </w:pPr>
      <w:r>
        <w:rPr>
          <w:rFonts w:eastAsia="Calibri"/>
          <w:sz w:val="24"/>
          <w:szCs w:val="24"/>
          <w:lang w:eastAsia="en-US"/>
        </w:rPr>
        <w:t>Отдельными инвентарными объектами, называемые комплексом, являются:</w:t>
      </w:r>
    </w:p>
    <w:p>
      <w:pPr>
        <w:ind w:firstLine="708"/>
        <w:jc w:val="both"/>
        <w:rPr>
          <w:rFonts w:eastAsia="Calibri"/>
          <w:sz w:val="24"/>
          <w:szCs w:val="24"/>
          <w:lang w:eastAsia="en-US"/>
        </w:rPr>
      </w:pPr>
      <w:r>
        <w:rPr>
          <w:rFonts w:eastAsia="Calibri"/>
          <w:sz w:val="24"/>
          <w:szCs w:val="24"/>
          <w:lang w:eastAsia="en-US"/>
        </w:rPr>
        <w:t>- локально-вычислительная сеть;</w:t>
      </w:r>
    </w:p>
    <w:p>
      <w:pPr>
        <w:ind w:firstLine="708"/>
        <w:jc w:val="both"/>
        <w:rPr>
          <w:rFonts w:eastAsia="Calibri"/>
          <w:sz w:val="24"/>
          <w:szCs w:val="24"/>
          <w:lang w:eastAsia="en-US"/>
        </w:rPr>
      </w:pPr>
      <w:r>
        <w:rPr>
          <w:rFonts w:eastAsia="Calibri"/>
          <w:sz w:val="24"/>
          <w:szCs w:val="24"/>
          <w:lang w:eastAsia="en-US"/>
        </w:rPr>
        <w:t>- принтеры;</w:t>
      </w:r>
    </w:p>
    <w:p>
      <w:pPr>
        <w:ind w:firstLine="708"/>
        <w:jc w:val="both"/>
        <w:rPr>
          <w:rFonts w:eastAsia="Calibri"/>
          <w:sz w:val="24"/>
          <w:szCs w:val="24"/>
          <w:lang w:eastAsia="en-US"/>
        </w:rPr>
      </w:pPr>
      <w:r>
        <w:rPr>
          <w:rFonts w:eastAsia="Calibri"/>
          <w:sz w:val="24"/>
          <w:szCs w:val="24"/>
          <w:lang w:eastAsia="en-US"/>
        </w:rPr>
        <w:t>- сканеры.</w:t>
      </w:r>
    </w:p>
    <w:p>
      <w:pPr>
        <w:ind w:firstLine="708"/>
        <w:jc w:val="both"/>
        <w:rPr>
          <w:rFonts w:eastAsia="Calibri"/>
          <w:sz w:val="24"/>
          <w:szCs w:val="24"/>
          <w:lang w:eastAsia="en-US"/>
        </w:rPr>
      </w:pPr>
      <w:r>
        <w:rPr>
          <w:rFonts w:eastAsia="Calibri"/>
          <w:sz w:val="24"/>
          <w:szCs w:val="24"/>
          <w:lang w:eastAsia="en-US"/>
        </w:rPr>
        <w:t xml:space="preserve">Критерии признания объекта основных средств, предусмотренные </w:t>
      </w:r>
      <w:hyperlink r:id="rId80" w:history="1">
        <w:r>
          <w:rPr>
            <w:rFonts w:eastAsia="Calibri"/>
            <w:sz w:val="24"/>
            <w:szCs w:val="24"/>
            <w:lang w:eastAsia="en-US"/>
          </w:rPr>
          <w:t>пунктом 8</w:t>
        </w:r>
      </w:hyperlink>
      <w:r>
        <w:rPr>
          <w:rFonts w:eastAsia="Calibri"/>
          <w:sz w:val="24"/>
          <w:szCs w:val="24"/>
          <w:lang w:eastAsia="en-US"/>
        </w:rPr>
        <w:t xml:space="preserve"> СГС «Основные средства» (критерии актива), должны применяться к инвентарному объекту              в целом (письмо Минфина России от 15.12.2017г. № 02-07-07/84237).</w:t>
      </w:r>
    </w:p>
    <w:p>
      <w:pPr>
        <w:ind w:firstLine="708"/>
        <w:jc w:val="both"/>
        <w:rPr>
          <w:rFonts w:eastAsia="Calibri"/>
          <w:sz w:val="24"/>
          <w:szCs w:val="24"/>
          <w:lang w:eastAsia="en-US"/>
        </w:rPr>
      </w:pPr>
      <w:r>
        <w:rPr>
          <w:rFonts w:eastAsia="Calibri"/>
          <w:sz w:val="24"/>
          <w:szCs w:val="24"/>
          <w:lang w:eastAsia="en-US"/>
        </w:rPr>
        <w:t xml:space="preserve">13.18 В соответствии с </w:t>
      </w:r>
      <w:hyperlink r:id="rId81" w:history="1">
        <w:r>
          <w:rPr>
            <w:rFonts w:eastAsia="Calibri"/>
            <w:sz w:val="24"/>
            <w:szCs w:val="24"/>
            <w:lang w:eastAsia="en-US"/>
          </w:rPr>
          <w:t>п.10</w:t>
        </w:r>
      </w:hyperlink>
      <w:r>
        <w:rPr>
          <w:rFonts w:eastAsia="Calibri"/>
          <w:sz w:val="24"/>
          <w:szCs w:val="24"/>
          <w:lang w:eastAsia="en-US"/>
        </w:rPr>
        <w:t xml:space="preserve"> СГС «Основные средства» объекты основных средств, срок полезного использования которых одинаков, стоимость которых не является существенной (до </w:t>
      </w:r>
      <w:r>
        <w:rPr>
          <w:rFonts w:eastAsia="Calibri"/>
          <w:iCs/>
          <w:sz w:val="24"/>
          <w:szCs w:val="24"/>
          <w:lang w:eastAsia="en-US"/>
        </w:rPr>
        <w:t>100 000 руб</w:t>
      </w:r>
      <w:r>
        <w:rPr>
          <w:rFonts w:eastAsia="Calibri"/>
          <w:i/>
          <w:sz w:val="24"/>
          <w:szCs w:val="24"/>
          <w:lang w:eastAsia="en-US"/>
        </w:rPr>
        <w:t>.</w:t>
      </w:r>
      <w:r>
        <w:rPr>
          <w:rFonts w:eastAsia="Calibri"/>
          <w:sz w:val="24"/>
          <w:szCs w:val="24"/>
          <w:lang w:eastAsia="en-US"/>
        </w:rPr>
        <w:t xml:space="preserve"> за один объект – комплекс объектов основных средств) (периферийные устройства и компьютерное оборудование, мебель, используемая                       в течение одного и того же периода времени (столы, стулья, шкафы, иная мебель, используемая для обстановки одного помещения) могут объединятся в один инвентарный объект (комплекс объектов основных средств). На комплекс объектов основных средств открывается инвентарная карточка группового учёта основных средств.</w:t>
      </w:r>
    </w:p>
    <w:p>
      <w:pPr>
        <w:ind w:firstLine="708"/>
        <w:jc w:val="both"/>
        <w:rPr>
          <w:rFonts w:eastAsia="Calibri"/>
          <w:sz w:val="24"/>
          <w:szCs w:val="24"/>
          <w:lang w:eastAsia="en-US"/>
        </w:rPr>
      </w:pPr>
      <w:r>
        <w:rPr>
          <w:rFonts w:eastAsia="Calibri"/>
          <w:sz w:val="24"/>
          <w:szCs w:val="24"/>
          <w:lang w:eastAsia="en-US"/>
        </w:rPr>
        <w:t>13.19 Каждому объекту основных средств, входящему в комплекс объектов основных средств, признаваемый для целей бюджетного учёта единым инвентарным объектом, присваивается внутренний порядковый инвентарный номер комплекса объектов, формируемый как совокупность инвентарного номера комплекса объектов                                              и порядкового номера объекта, входящего в комплекс.</w:t>
      </w:r>
    </w:p>
    <w:p>
      <w:pPr>
        <w:ind w:firstLine="708"/>
        <w:jc w:val="both"/>
        <w:rPr>
          <w:rFonts w:eastAsia="Calibri"/>
          <w:sz w:val="24"/>
          <w:szCs w:val="24"/>
          <w:lang w:eastAsia="en-US"/>
        </w:rPr>
      </w:pPr>
      <w:r>
        <w:rPr>
          <w:rFonts w:eastAsia="Calibri"/>
          <w:sz w:val="24"/>
          <w:szCs w:val="24"/>
          <w:lang w:eastAsia="en-US"/>
        </w:rPr>
        <w:t xml:space="preserve">Инвентарный номер объектов основных средств при </w:t>
      </w:r>
      <w:proofErr w:type="spellStart"/>
      <w:r>
        <w:rPr>
          <w:rFonts w:eastAsia="Calibri"/>
          <w:sz w:val="24"/>
          <w:szCs w:val="24"/>
          <w:lang w:eastAsia="en-US"/>
        </w:rPr>
        <w:t>реклассификации</w:t>
      </w:r>
      <w:proofErr w:type="spellEnd"/>
      <w:r>
        <w:rPr>
          <w:rFonts w:eastAsia="Calibri"/>
          <w:sz w:val="24"/>
          <w:szCs w:val="24"/>
          <w:lang w:eastAsia="en-US"/>
        </w:rPr>
        <w:t xml:space="preserve"> объектов не изменяется (в том числе при условии изменения группы учёта нефинансовых активов              </w:t>
      </w:r>
      <w:proofErr w:type="gramStart"/>
      <w:r>
        <w:rPr>
          <w:rFonts w:eastAsia="Calibri"/>
          <w:sz w:val="24"/>
          <w:szCs w:val="24"/>
          <w:lang w:eastAsia="en-US"/>
        </w:rPr>
        <w:t xml:space="preserve">   (</w:t>
      </w:r>
      <w:proofErr w:type="gramEnd"/>
      <w:r>
        <w:rPr>
          <w:rFonts w:eastAsia="Calibri"/>
          <w:sz w:val="24"/>
          <w:szCs w:val="24"/>
          <w:lang w:eastAsia="en-US"/>
        </w:rPr>
        <w:t xml:space="preserve">в том числе при условии принятия на балансовый учёт объектов, учитываемых                        на забалансовых счётах) </w:t>
      </w:r>
    </w:p>
    <w:p>
      <w:pPr>
        <w:widowControl/>
        <w:ind w:firstLine="708"/>
        <w:jc w:val="both"/>
        <w:outlineLvl w:val="0"/>
        <w:rPr>
          <w:spacing w:val="-3"/>
          <w:sz w:val="24"/>
          <w:szCs w:val="24"/>
        </w:rPr>
      </w:pPr>
      <w:r>
        <w:rPr>
          <w:spacing w:val="-3"/>
          <w:sz w:val="24"/>
          <w:szCs w:val="24"/>
        </w:rPr>
        <w:t xml:space="preserve">13.20 При формировании инвентарных номеров, присваиваемых основным средствам                         </w:t>
      </w:r>
      <w:proofErr w:type="gramStart"/>
      <w:r>
        <w:rPr>
          <w:spacing w:val="-3"/>
          <w:sz w:val="24"/>
          <w:szCs w:val="24"/>
        </w:rPr>
        <w:t xml:space="preserve">   (</w:t>
      </w:r>
      <w:proofErr w:type="gramEnd"/>
      <w:r>
        <w:rPr>
          <w:spacing w:val="-3"/>
          <w:sz w:val="24"/>
          <w:szCs w:val="24"/>
        </w:rPr>
        <w:t xml:space="preserve">за исключением объектов стоимостью до 10 000 руб.), применяется следующая методика: </w:t>
      </w:r>
    </w:p>
    <w:p>
      <w:pPr>
        <w:pStyle w:val="Style5"/>
        <w:widowControl/>
        <w:tabs>
          <w:tab w:val="left" w:pos="941"/>
        </w:tabs>
        <w:spacing w:line="240" w:lineRule="auto"/>
        <w:ind w:firstLine="709"/>
        <w:jc w:val="both"/>
        <w:rPr>
          <w:spacing w:val="-3"/>
        </w:rPr>
      </w:pPr>
      <w:proofErr w:type="gramStart"/>
      <w:r>
        <w:rPr>
          <w:spacing w:val="-3"/>
        </w:rPr>
        <w:t>а</w:t>
      </w:r>
      <w:proofErr w:type="gramEnd"/>
      <w:r>
        <w:rPr>
          <w:spacing w:val="-3"/>
        </w:rPr>
        <w:t>) первый знак - код вида деятельности;</w:t>
      </w:r>
    </w:p>
    <w:p>
      <w:pPr>
        <w:pStyle w:val="Style5"/>
        <w:widowControl/>
        <w:tabs>
          <w:tab w:val="left" w:pos="941"/>
        </w:tabs>
        <w:spacing w:line="240" w:lineRule="auto"/>
        <w:ind w:firstLine="709"/>
        <w:jc w:val="both"/>
        <w:rPr>
          <w:spacing w:val="-3"/>
        </w:rPr>
      </w:pPr>
      <w:proofErr w:type="gramStart"/>
      <w:r>
        <w:rPr>
          <w:spacing w:val="-3"/>
        </w:rPr>
        <w:t>б</w:t>
      </w:r>
      <w:proofErr w:type="gramEnd"/>
      <w:r>
        <w:rPr>
          <w:spacing w:val="-3"/>
        </w:rPr>
        <w:t>) второй, третий, четвёртый знак – код синтетического счёта Плана счётов</w:t>
      </w:r>
      <w:r>
        <w:rPr>
          <w:spacing w:val="-3"/>
        </w:rPr>
        <w:br/>
        <w:t>бюджетного учёта;</w:t>
      </w:r>
    </w:p>
    <w:p>
      <w:pPr>
        <w:pStyle w:val="Style5"/>
        <w:widowControl/>
        <w:tabs>
          <w:tab w:val="left" w:pos="943"/>
        </w:tabs>
        <w:spacing w:line="240" w:lineRule="auto"/>
        <w:ind w:firstLine="709"/>
        <w:jc w:val="both"/>
        <w:rPr>
          <w:spacing w:val="-3"/>
        </w:rPr>
      </w:pPr>
      <w:proofErr w:type="gramStart"/>
      <w:r>
        <w:rPr>
          <w:spacing w:val="-3"/>
        </w:rPr>
        <w:t>в)</w:t>
      </w:r>
      <w:r>
        <w:rPr>
          <w:spacing w:val="-3"/>
        </w:rPr>
        <w:tab/>
      </w:r>
      <w:proofErr w:type="gramEnd"/>
      <w:r>
        <w:rPr>
          <w:spacing w:val="-3"/>
        </w:rPr>
        <w:t>с пятого по девятый знак -</w:t>
      </w:r>
      <w:r>
        <w:t xml:space="preserve"> код аналитического счёта Плана счётов бюджетного учёта</w:t>
      </w:r>
      <w:r>
        <w:rPr>
          <w:spacing w:val="-3"/>
        </w:rPr>
        <w:t>;</w:t>
      </w:r>
    </w:p>
    <w:p>
      <w:pPr>
        <w:pStyle w:val="Style5"/>
        <w:widowControl/>
        <w:tabs>
          <w:tab w:val="left" w:pos="960"/>
        </w:tabs>
        <w:spacing w:line="240" w:lineRule="auto"/>
        <w:ind w:firstLine="709"/>
        <w:jc w:val="both"/>
      </w:pPr>
      <w:proofErr w:type="gramStart"/>
      <w:r>
        <w:t>г</w:t>
      </w:r>
      <w:proofErr w:type="gramEnd"/>
      <w:r>
        <w:t>) с десятого и последующие - порядковый номер (в зависимости от количества).</w:t>
      </w:r>
    </w:p>
    <w:p>
      <w:pPr>
        <w:pStyle w:val="ConsNormal"/>
        <w:ind w:firstLine="708"/>
        <w:jc w:val="both"/>
        <w:rPr>
          <w:rFonts w:ascii="Times New Roman" w:hAnsi="Times New Roman" w:cs="Times New Roman"/>
          <w:sz w:val="24"/>
          <w:szCs w:val="24"/>
        </w:rPr>
      </w:pPr>
      <w:r>
        <w:rPr>
          <w:rFonts w:ascii="Times New Roman" w:hAnsi="Times New Roman" w:cs="Times New Roman"/>
          <w:sz w:val="24"/>
          <w:szCs w:val="24"/>
        </w:rPr>
        <w:t>Инвентарный номер, присвоенный объекту основных средств, сохраняется за ним на весь период его нахождения в Управлении. Инвентарные номера списанных с бюджетного учёта объектов основных средств не присваиваются вновь принятым к учёту объектам.</w:t>
      </w:r>
    </w:p>
    <w:p>
      <w:pPr>
        <w:pStyle w:val="ConsNormal"/>
        <w:ind w:firstLine="708"/>
        <w:jc w:val="both"/>
        <w:rPr>
          <w:rFonts w:ascii="Times New Roman" w:hAnsi="Times New Roman" w:cs="Times New Roman"/>
          <w:sz w:val="24"/>
          <w:szCs w:val="24"/>
        </w:rPr>
      </w:pPr>
      <w:r>
        <w:rPr>
          <w:rFonts w:ascii="Times New Roman" w:hAnsi="Times New Roman" w:cs="Times New Roman"/>
          <w:sz w:val="24"/>
          <w:szCs w:val="24"/>
        </w:rPr>
        <w:t xml:space="preserve">В случае отнесения объекта основного средства, не признаваемого активом, на </w:t>
      </w:r>
      <w:proofErr w:type="spellStart"/>
      <w:r>
        <w:rPr>
          <w:rFonts w:ascii="Times New Roman" w:hAnsi="Times New Roman" w:cs="Times New Roman"/>
          <w:sz w:val="24"/>
          <w:szCs w:val="24"/>
        </w:rPr>
        <w:t>забалансовый</w:t>
      </w:r>
      <w:proofErr w:type="spellEnd"/>
      <w:r>
        <w:rPr>
          <w:rFonts w:ascii="Times New Roman" w:hAnsi="Times New Roman" w:cs="Times New Roman"/>
          <w:sz w:val="24"/>
          <w:szCs w:val="24"/>
        </w:rPr>
        <w:t xml:space="preserve"> счет, инвентарный номер за ним сохраняется до момента списания имущества.</w:t>
      </w:r>
    </w:p>
    <w:p>
      <w:pPr>
        <w:ind w:firstLine="708"/>
        <w:jc w:val="both"/>
        <w:rPr>
          <w:rFonts w:eastAsia="Calibri"/>
          <w:sz w:val="24"/>
          <w:szCs w:val="24"/>
          <w:lang w:eastAsia="en-US"/>
        </w:rPr>
      </w:pPr>
      <w:r>
        <w:rPr>
          <w:rFonts w:eastAsia="Calibri"/>
          <w:sz w:val="24"/>
          <w:szCs w:val="24"/>
          <w:lang w:eastAsia="en-US"/>
        </w:rPr>
        <w:t>Присвоенный объекту инвентарный номер должен быть обозначен материально ответственным лицом в присутствии уполномоченного члена комиссии по поступлению           и выбытию активов путем нанесения на объект учёта краски или иным способом, обеспечивающим сохранность маркировки. Объектам основных средств, имеющим уникальный номер однозначно его идентифицирующий в качестве индивидуально-определенной вещи</w:t>
      </w:r>
      <w:r>
        <w:rPr>
          <w:rFonts w:eastAsia="Calibri"/>
          <w:i/>
          <w:iCs/>
          <w:sz w:val="24"/>
          <w:szCs w:val="24"/>
          <w:lang w:eastAsia="en-US"/>
        </w:rPr>
        <w:t>,</w:t>
      </w:r>
      <w:r>
        <w:rPr>
          <w:rFonts w:eastAsia="Calibri"/>
          <w:sz w:val="24"/>
          <w:szCs w:val="24"/>
          <w:lang w:eastAsia="en-US"/>
        </w:rPr>
        <w:t xml:space="preserve"> присваивается инвентарный номер без нанесения его на объект.</w:t>
      </w:r>
    </w:p>
    <w:p>
      <w:pPr>
        <w:pStyle w:val="ConsNormal"/>
        <w:ind w:firstLine="708"/>
        <w:jc w:val="both"/>
        <w:rPr>
          <w:rFonts w:ascii="Times New Roman" w:hAnsi="Times New Roman" w:cs="Times New Roman"/>
          <w:sz w:val="24"/>
          <w:szCs w:val="24"/>
        </w:rPr>
      </w:pPr>
      <w:r>
        <w:rPr>
          <w:rFonts w:ascii="Times New Roman" w:hAnsi="Times New Roman" w:cs="Times New Roman"/>
          <w:sz w:val="24"/>
          <w:szCs w:val="24"/>
        </w:rPr>
        <w:t>При невозможности обозначения инвентарного номера на объекте основных средств, он обозначается в инвентарной карточке в соответствующих регистрах бюджетного учёта без нанесения на объект.</w:t>
      </w:r>
    </w:p>
    <w:p>
      <w:pPr>
        <w:pStyle w:val="ConsNormal"/>
        <w:ind w:firstLine="708"/>
        <w:jc w:val="both"/>
        <w:rPr>
          <w:rFonts w:ascii="Times New Roman" w:hAnsi="Times New Roman" w:cs="Times New Roman"/>
          <w:sz w:val="24"/>
          <w:szCs w:val="24"/>
        </w:rPr>
      </w:pPr>
      <w:r>
        <w:rPr>
          <w:rFonts w:ascii="Times New Roman" w:hAnsi="Times New Roman" w:cs="Times New Roman"/>
          <w:sz w:val="24"/>
          <w:szCs w:val="24"/>
        </w:rPr>
        <w:t>13.21 Регистры и первичные документы, в которых должны указываться инвентарные номера:</w:t>
      </w:r>
    </w:p>
    <w:p>
      <w:pPr>
        <w:tabs>
          <w:tab w:val="left" w:pos="540"/>
        </w:tabs>
        <w:ind w:firstLine="567"/>
        <w:jc w:val="both"/>
        <w:rPr>
          <w:rFonts w:eastAsia="Calibri"/>
          <w:sz w:val="24"/>
          <w:szCs w:val="24"/>
          <w:lang w:eastAsia="en-US"/>
        </w:rPr>
      </w:pPr>
      <w:r>
        <w:rPr>
          <w:rFonts w:eastAsia="Calibri"/>
          <w:sz w:val="24"/>
          <w:szCs w:val="24"/>
          <w:lang w:eastAsia="en-US"/>
        </w:rPr>
        <w:tab/>
        <w:t xml:space="preserve">- Акт о приеме-передаче объектов нефинансовых активов </w:t>
      </w:r>
      <w:r>
        <w:rPr>
          <w:sz w:val="24"/>
          <w:szCs w:val="24"/>
        </w:rPr>
        <w:t xml:space="preserve">(форма </w:t>
      </w:r>
      <w:hyperlink r:id="rId82" w:history="1">
        <w:r>
          <w:rPr>
            <w:rFonts w:eastAsia="Calibri"/>
            <w:sz w:val="24"/>
            <w:szCs w:val="24"/>
            <w:lang w:eastAsia="en-US"/>
          </w:rPr>
          <w:t>0510448)</w:t>
        </w:r>
      </w:hyperlink>
      <w:r>
        <w:rPr>
          <w:rFonts w:eastAsia="Calibri"/>
          <w:sz w:val="24"/>
          <w:szCs w:val="24"/>
          <w:lang w:eastAsia="en-US"/>
        </w:rPr>
        <w:t>;</w:t>
      </w:r>
    </w:p>
    <w:p>
      <w:pPr>
        <w:tabs>
          <w:tab w:val="left" w:pos="540"/>
        </w:tabs>
        <w:ind w:firstLine="567"/>
        <w:jc w:val="both"/>
        <w:rPr>
          <w:rFonts w:eastAsia="Calibri"/>
          <w:sz w:val="24"/>
          <w:szCs w:val="24"/>
          <w:lang w:eastAsia="en-US"/>
        </w:rPr>
      </w:pPr>
      <w:r>
        <w:rPr>
          <w:rFonts w:eastAsia="Calibri"/>
          <w:sz w:val="24"/>
          <w:szCs w:val="24"/>
          <w:lang w:eastAsia="en-US"/>
        </w:rPr>
        <w:tab/>
        <w:t>- Инвентарная карточка учёта нефинансовых активов (форма 0509215)</w:t>
      </w:r>
      <w:hyperlink r:id="rId83" w:history="1"/>
      <w:r>
        <w:rPr>
          <w:rFonts w:eastAsia="Calibri"/>
          <w:sz w:val="24"/>
          <w:szCs w:val="24"/>
          <w:lang w:eastAsia="en-US"/>
        </w:rPr>
        <w:t>;</w:t>
      </w:r>
    </w:p>
    <w:p>
      <w:pPr>
        <w:tabs>
          <w:tab w:val="left" w:pos="540"/>
        </w:tabs>
        <w:ind w:firstLine="567"/>
        <w:jc w:val="both"/>
        <w:rPr>
          <w:rFonts w:eastAsia="Calibri"/>
          <w:sz w:val="24"/>
          <w:szCs w:val="24"/>
          <w:lang w:eastAsia="en-US"/>
        </w:rPr>
      </w:pPr>
      <w:r>
        <w:rPr>
          <w:rFonts w:eastAsia="Calibri"/>
          <w:sz w:val="24"/>
          <w:szCs w:val="24"/>
          <w:lang w:eastAsia="en-US"/>
        </w:rPr>
        <w:tab/>
        <w:t xml:space="preserve">- Инвентарная карточка группового учёта нефинансовых активов </w:t>
      </w:r>
      <w:hyperlink r:id="rId84" w:history="1">
        <w:r>
          <w:rPr>
            <w:rFonts w:eastAsia="Calibri"/>
            <w:sz w:val="24"/>
            <w:szCs w:val="24"/>
            <w:lang w:eastAsia="en-US"/>
          </w:rPr>
          <w:t>(форма 0504032)</w:t>
        </w:r>
      </w:hyperlink>
      <w:r>
        <w:rPr>
          <w:rFonts w:eastAsia="Calibri"/>
          <w:sz w:val="24"/>
          <w:szCs w:val="24"/>
          <w:lang w:eastAsia="en-US"/>
        </w:rPr>
        <w:t>;</w:t>
      </w:r>
    </w:p>
    <w:p>
      <w:pPr>
        <w:tabs>
          <w:tab w:val="left" w:pos="540"/>
        </w:tabs>
        <w:ind w:firstLine="567"/>
        <w:jc w:val="both"/>
        <w:rPr>
          <w:rFonts w:eastAsia="Calibri"/>
          <w:sz w:val="24"/>
          <w:szCs w:val="24"/>
          <w:lang w:eastAsia="en-US"/>
        </w:rPr>
      </w:pPr>
      <w:r>
        <w:rPr>
          <w:rFonts w:eastAsia="Calibri"/>
          <w:sz w:val="24"/>
          <w:szCs w:val="24"/>
          <w:lang w:eastAsia="en-US"/>
        </w:rPr>
        <w:tab/>
        <w:t xml:space="preserve">- Опись инвентарных карточек по учёту нефинансовых активов </w:t>
      </w:r>
      <w:hyperlink r:id="rId85" w:history="1">
        <w:r>
          <w:rPr>
            <w:rFonts w:eastAsia="Calibri"/>
            <w:sz w:val="24"/>
            <w:szCs w:val="24"/>
            <w:lang w:eastAsia="en-US"/>
          </w:rPr>
          <w:t>(форма 0509216)</w:t>
        </w:r>
      </w:hyperlink>
      <w:r>
        <w:rPr>
          <w:rFonts w:eastAsia="Calibri"/>
          <w:sz w:val="24"/>
          <w:szCs w:val="24"/>
          <w:lang w:eastAsia="en-US"/>
        </w:rPr>
        <w:t>;</w:t>
      </w:r>
    </w:p>
    <w:p>
      <w:pPr>
        <w:tabs>
          <w:tab w:val="left" w:pos="540"/>
        </w:tabs>
        <w:ind w:firstLine="567"/>
        <w:jc w:val="both"/>
        <w:rPr>
          <w:rFonts w:eastAsia="Calibri"/>
          <w:sz w:val="24"/>
          <w:szCs w:val="24"/>
          <w:lang w:eastAsia="en-US"/>
        </w:rPr>
      </w:pPr>
      <w:r>
        <w:rPr>
          <w:rFonts w:eastAsia="Calibri"/>
          <w:sz w:val="24"/>
          <w:szCs w:val="24"/>
          <w:lang w:eastAsia="en-US"/>
        </w:rPr>
        <w:tab/>
        <w:t xml:space="preserve">- Инвентарный список нефинансовых активов </w:t>
      </w:r>
      <w:hyperlink r:id="rId86" w:history="1">
        <w:r>
          <w:rPr>
            <w:rFonts w:eastAsia="Calibri"/>
            <w:sz w:val="24"/>
            <w:szCs w:val="24"/>
            <w:lang w:eastAsia="en-US"/>
          </w:rPr>
          <w:t>(форма 0504034)</w:t>
        </w:r>
      </w:hyperlink>
      <w:r>
        <w:rPr>
          <w:rFonts w:eastAsia="Calibri"/>
          <w:sz w:val="24"/>
          <w:szCs w:val="24"/>
          <w:lang w:eastAsia="en-US"/>
        </w:rPr>
        <w:t>;</w:t>
      </w:r>
    </w:p>
    <w:p>
      <w:pPr>
        <w:tabs>
          <w:tab w:val="left" w:pos="540"/>
        </w:tabs>
        <w:ind w:firstLine="567"/>
        <w:jc w:val="both"/>
        <w:rPr>
          <w:rFonts w:eastAsia="Calibri"/>
          <w:sz w:val="24"/>
          <w:szCs w:val="24"/>
          <w:lang w:eastAsia="en-US"/>
        </w:rPr>
      </w:pPr>
      <w:r>
        <w:rPr>
          <w:rFonts w:eastAsia="Calibri"/>
          <w:sz w:val="24"/>
          <w:szCs w:val="24"/>
          <w:lang w:eastAsia="en-US"/>
        </w:rPr>
        <w:tab/>
        <w:t xml:space="preserve">- Накладная на внутреннее перемещение объектов нефинансовых активов </w:t>
      </w:r>
      <w:hyperlink r:id="rId87" w:history="1">
        <w:r>
          <w:rPr>
            <w:rFonts w:eastAsia="Calibri"/>
            <w:sz w:val="24"/>
            <w:szCs w:val="24"/>
            <w:lang w:eastAsia="en-US"/>
          </w:rPr>
          <w:t>(форма 0510450)</w:t>
        </w:r>
      </w:hyperlink>
      <w:r>
        <w:rPr>
          <w:rFonts w:eastAsia="Calibri"/>
          <w:sz w:val="24"/>
          <w:szCs w:val="24"/>
          <w:lang w:eastAsia="en-US"/>
        </w:rPr>
        <w:t>;</w:t>
      </w:r>
    </w:p>
    <w:p>
      <w:pPr>
        <w:tabs>
          <w:tab w:val="left" w:pos="540"/>
        </w:tabs>
        <w:ind w:firstLine="567"/>
        <w:jc w:val="both"/>
        <w:rPr>
          <w:rFonts w:eastAsia="Calibri"/>
          <w:sz w:val="24"/>
          <w:szCs w:val="24"/>
          <w:lang w:eastAsia="en-US"/>
        </w:rPr>
      </w:pPr>
      <w:r>
        <w:rPr>
          <w:rFonts w:eastAsia="Calibri"/>
          <w:sz w:val="24"/>
          <w:szCs w:val="24"/>
          <w:lang w:eastAsia="en-US"/>
        </w:rPr>
        <w:tab/>
        <w:t xml:space="preserve">- Оборотная ведомость по нефинансовым активам </w:t>
      </w:r>
      <w:hyperlink r:id="rId88" w:history="1">
        <w:r>
          <w:rPr>
            <w:rFonts w:eastAsia="Calibri"/>
            <w:sz w:val="24"/>
            <w:szCs w:val="24"/>
            <w:lang w:eastAsia="en-US"/>
          </w:rPr>
          <w:t>(форма 0504035)</w:t>
        </w:r>
      </w:hyperlink>
      <w:r>
        <w:rPr>
          <w:rFonts w:eastAsia="Calibri"/>
          <w:sz w:val="24"/>
          <w:szCs w:val="24"/>
          <w:lang w:eastAsia="en-US"/>
        </w:rPr>
        <w:t>;</w:t>
      </w:r>
    </w:p>
    <w:p>
      <w:pPr>
        <w:tabs>
          <w:tab w:val="left" w:pos="540"/>
        </w:tabs>
        <w:ind w:firstLine="567"/>
        <w:jc w:val="both"/>
        <w:rPr>
          <w:rFonts w:eastAsia="Calibri"/>
          <w:sz w:val="24"/>
          <w:szCs w:val="24"/>
          <w:lang w:eastAsia="en-US"/>
        </w:rPr>
      </w:pPr>
      <w:r>
        <w:rPr>
          <w:rFonts w:eastAsia="Calibri"/>
          <w:sz w:val="24"/>
          <w:szCs w:val="24"/>
          <w:lang w:eastAsia="en-US"/>
        </w:rPr>
        <w:tab/>
        <w:t>- Инвентаризационная опись (сличительная ведомость) по объектам нефинансовых активов (форма 0510465);</w:t>
      </w:r>
    </w:p>
    <w:p>
      <w:pPr>
        <w:tabs>
          <w:tab w:val="left" w:pos="540"/>
        </w:tabs>
        <w:ind w:firstLine="567"/>
        <w:jc w:val="both"/>
        <w:rPr>
          <w:rFonts w:eastAsia="Calibri"/>
          <w:sz w:val="24"/>
          <w:szCs w:val="24"/>
          <w:lang w:eastAsia="en-US"/>
        </w:rPr>
      </w:pPr>
      <w:r>
        <w:rPr>
          <w:rFonts w:eastAsia="Calibri"/>
          <w:sz w:val="24"/>
          <w:szCs w:val="24"/>
          <w:lang w:eastAsia="en-US"/>
        </w:rPr>
        <w:tab/>
        <w:t xml:space="preserve">- Ведомость расхождений по результатам инвентаризации </w:t>
      </w:r>
      <w:hyperlink r:id="rId89" w:history="1">
        <w:r>
          <w:rPr>
            <w:rFonts w:eastAsia="Calibri"/>
            <w:sz w:val="24"/>
            <w:szCs w:val="24"/>
            <w:lang w:eastAsia="en-US"/>
          </w:rPr>
          <w:t>(форма 0504092)</w:t>
        </w:r>
      </w:hyperlink>
      <w:r>
        <w:rPr>
          <w:rFonts w:eastAsia="Calibri"/>
          <w:sz w:val="24"/>
          <w:szCs w:val="24"/>
          <w:lang w:eastAsia="en-US"/>
        </w:rPr>
        <w:t>;</w:t>
      </w:r>
    </w:p>
    <w:p>
      <w:pPr>
        <w:tabs>
          <w:tab w:val="left" w:pos="540"/>
        </w:tabs>
        <w:ind w:firstLine="567"/>
        <w:jc w:val="both"/>
        <w:rPr>
          <w:rFonts w:eastAsia="Calibri"/>
          <w:sz w:val="24"/>
          <w:szCs w:val="24"/>
          <w:lang w:eastAsia="en-US"/>
        </w:rPr>
      </w:pPr>
      <w:r>
        <w:rPr>
          <w:rFonts w:eastAsia="Calibri"/>
          <w:sz w:val="24"/>
          <w:szCs w:val="24"/>
          <w:lang w:eastAsia="en-US"/>
        </w:rPr>
        <w:tab/>
        <w:t xml:space="preserve">- Акт о списании объектов нефинансовых активов (кроме транспортных средств) </w:t>
      </w:r>
      <w:r>
        <w:rPr>
          <w:rFonts w:eastAsia="Calibri"/>
          <w:sz w:val="24"/>
          <w:szCs w:val="24"/>
          <w:lang w:eastAsia="en-US"/>
        </w:rPr>
        <w:br/>
      </w:r>
      <w:hyperlink r:id="rId90" w:history="1">
        <w:r>
          <w:rPr>
            <w:rFonts w:eastAsia="Calibri"/>
            <w:sz w:val="24"/>
            <w:szCs w:val="24"/>
            <w:lang w:eastAsia="en-US"/>
          </w:rPr>
          <w:t xml:space="preserve">(форма </w:t>
        </w:r>
      </w:hyperlink>
      <w:r>
        <w:rPr>
          <w:rFonts w:eastAsia="Calibri"/>
          <w:sz w:val="24"/>
          <w:szCs w:val="24"/>
          <w:lang w:eastAsia="en-US"/>
        </w:rPr>
        <w:t>0510454)</w:t>
      </w:r>
      <w:r>
        <w:rPr>
          <w:sz w:val="24"/>
          <w:szCs w:val="24"/>
        </w:rPr>
        <w:t xml:space="preserve"> </w:t>
      </w:r>
      <w:r>
        <w:rPr>
          <w:rFonts w:eastAsia="Calibri"/>
          <w:sz w:val="24"/>
          <w:szCs w:val="24"/>
          <w:lang w:eastAsia="en-US"/>
        </w:rPr>
        <w:t>и др.</w:t>
      </w:r>
    </w:p>
    <w:p>
      <w:pPr>
        <w:ind w:firstLine="708"/>
        <w:jc w:val="both"/>
        <w:rPr>
          <w:rFonts w:eastAsia="Calibri"/>
          <w:sz w:val="24"/>
          <w:szCs w:val="24"/>
          <w:lang w:eastAsia="en-US"/>
        </w:rPr>
      </w:pPr>
      <w:r>
        <w:rPr>
          <w:rFonts w:eastAsia="Calibri"/>
          <w:sz w:val="24"/>
          <w:szCs w:val="24"/>
          <w:lang w:eastAsia="en-US"/>
        </w:rPr>
        <w:t>13.22 Структурная часть объекта основных средств, которая имеет срок полезного использования, существенно отличающийся от сроков полезного использования других частей этого же объекта, и стоимость, составляющую значительную величину от его общей стоимости, учитывается как самостоятельный инвентарный объект.</w:t>
      </w:r>
    </w:p>
    <w:p>
      <w:pPr>
        <w:ind w:firstLine="708"/>
        <w:jc w:val="both"/>
        <w:rPr>
          <w:rFonts w:eastAsia="Calibri"/>
          <w:sz w:val="24"/>
          <w:szCs w:val="24"/>
          <w:lang w:eastAsia="en-US"/>
        </w:rPr>
      </w:pPr>
      <w:r>
        <w:rPr>
          <w:rFonts w:eastAsia="Calibri"/>
          <w:sz w:val="24"/>
          <w:szCs w:val="24"/>
          <w:lang w:eastAsia="en-US"/>
        </w:rPr>
        <w:t xml:space="preserve">Для целей настоящего пункта сроки полезного использования считаются существенно отличающимися, если они относятся к разным амортизационным группам, определенным в </w:t>
      </w:r>
      <w:hyperlink r:id="rId91" w:history="1">
        <w:r>
          <w:rPr>
            <w:rFonts w:eastAsia="Calibri"/>
            <w:sz w:val="24"/>
            <w:szCs w:val="24"/>
            <w:lang w:eastAsia="en-US"/>
          </w:rPr>
          <w:t>Постановлении</w:t>
        </w:r>
      </w:hyperlink>
      <w:r>
        <w:rPr>
          <w:rFonts w:eastAsia="Calibri"/>
          <w:sz w:val="24"/>
          <w:szCs w:val="24"/>
          <w:lang w:eastAsia="en-US"/>
        </w:rPr>
        <w:t xml:space="preserve"> Правительства РФ от 01.01.2002 № 1.</w:t>
      </w:r>
    </w:p>
    <w:p>
      <w:pPr>
        <w:ind w:firstLine="708"/>
        <w:jc w:val="both"/>
        <w:rPr>
          <w:rFonts w:eastAsia="Calibri"/>
          <w:iCs/>
          <w:sz w:val="24"/>
          <w:szCs w:val="24"/>
          <w:lang w:eastAsia="en-US"/>
        </w:rPr>
      </w:pPr>
      <w:r>
        <w:rPr>
          <w:rFonts w:eastAsia="Calibri"/>
          <w:sz w:val="24"/>
          <w:szCs w:val="24"/>
          <w:lang w:eastAsia="en-US"/>
        </w:rPr>
        <w:t>Для целей настоящего пункта стоимость части объекта основного средства считается значительной, если она составляет не менее 10 процентов его общей стоимости (</w:t>
      </w:r>
      <w:hyperlink r:id="rId92" w:history="1">
        <w:r>
          <w:rPr>
            <w:rFonts w:eastAsia="Calibri"/>
            <w:iCs/>
            <w:sz w:val="24"/>
            <w:szCs w:val="24"/>
            <w:lang w:eastAsia="en-US"/>
          </w:rPr>
          <w:t>п. 10</w:t>
        </w:r>
      </w:hyperlink>
      <w:r>
        <w:rPr>
          <w:rFonts w:eastAsia="Calibri"/>
          <w:iCs/>
          <w:sz w:val="24"/>
          <w:szCs w:val="24"/>
          <w:lang w:eastAsia="en-US"/>
        </w:rPr>
        <w:t xml:space="preserve"> СГС «Основные средства»). </w:t>
      </w:r>
    </w:p>
    <w:p>
      <w:pPr>
        <w:ind w:firstLine="708"/>
        <w:jc w:val="both"/>
        <w:outlineLvl w:val="0"/>
        <w:rPr>
          <w:rFonts w:eastAsia="Calibri"/>
          <w:sz w:val="24"/>
          <w:szCs w:val="24"/>
          <w:lang w:eastAsia="en-US"/>
        </w:rPr>
      </w:pPr>
      <w:r>
        <w:rPr>
          <w:rFonts w:eastAsia="Calibri"/>
          <w:bCs/>
          <w:sz w:val="24"/>
          <w:szCs w:val="24"/>
          <w:lang w:eastAsia="en-US"/>
        </w:rPr>
        <w:t xml:space="preserve">3.23 Установить следующий порядок формирования первоначальной стоимости основного средства, приобретенного в результате необменных операций (пп.22,23,24 СГС «Основные средства»). </w:t>
      </w:r>
    </w:p>
    <w:p>
      <w:pPr>
        <w:ind w:firstLine="708"/>
        <w:jc w:val="both"/>
        <w:rPr>
          <w:rFonts w:eastAsia="Calibri"/>
          <w:sz w:val="24"/>
          <w:szCs w:val="24"/>
          <w:lang w:eastAsia="en-US"/>
        </w:rPr>
      </w:pPr>
      <w:r>
        <w:rPr>
          <w:rFonts w:eastAsia="Calibri"/>
          <w:bCs/>
          <w:sz w:val="24"/>
          <w:szCs w:val="24"/>
          <w:lang w:eastAsia="en-US"/>
        </w:rPr>
        <w:t>Первоначальной стоимостью объекта основных средств, приобретенного                              в результате необменной операции, является его справедливая стоимость</w:t>
      </w:r>
      <w:r>
        <w:rPr>
          <w:rFonts w:eastAsia="Calibri"/>
          <w:sz w:val="24"/>
          <w:szCs w:val="24"/>
          <w:lang w:eastAsia="en-US"/>
        </w:rPr>
        <w:t xml:space="preserve"> на дату приобретения</w:t>
      </w:r>
      <w:r>
        <w:rPr>
          <w:rFonts w:eastAsia="Calibri"/>
          <w:bCs/>
          <w:sz w:val="24"/>
          <w:szCs w:val="24"/>
          <w:lang w:eastAsia="en-US"/>
        </w:rPr>
        <w:t>.</w:t>
      </w:r>
    </w:p>
    <w:p>
      <w:pPr>
        <w:ind w:firstLine="708"/>
        <w:jc w:val="both"/>
        <w:rPr>
          <w:rFonts w:eastAsia="Calibri"/>
          <w:sz w:val="24"/>
          <w:szCs w:val="24"/>
          <w:lang w:eastAsia="en-US"/>
        </w:rPr>
      </w:pPr>
      <w:r>
        <w:rPr>
          <w:rFonts w:eastAsia="Calibri"/>
          <w:sz w:val="24"/>
          <w:szCs w:val="24"/>
          <w:lang w:eastAsia="en-US"/>
        </w:rPr>
        <w:t>Если справедливая стоимость объекта основных средств не может быть оценена, его первоначальная стоимость определяется на основании остаточной стоимости переданного взамен актива.</w:t>
      </w:r>
    </w:p>
    <w:p>
      <w:pPr>
        <w:ind w:firstLine="708"/>
        <w:jc w:val="both"/>
        <w:rPr>
          <w:rFonts w:eastAsia="Calibri"/>
          <w:sz w:val="24"/>
          <w:szCs w:val="24"/>
          <w:lang w:eastAsia="en-US"/>
        </w:rPr>
      </w:pPr>
      <w:r>
        <w:rPr>
          <w:rFonts w:eastAsia="Calibri"/>
          <w:sz w:val="24"/>
          <w:szCs w:val="24"/>
          <w:lang w:eastAsia="en-US"/>
        </w:rPr>
        <w:t>Если данные об остаточной стоимости передаваемого взамен актива по каким-либо причинам недоступны либо на дату передачи остаточная стоимость передаваемого взамен актива нулевая, приобретенное путем такой необменной операции основное средство учитывается в условной оценке, равной одному рублю.</w:t>
      </w:r>
    </w:p>
    <w:p>
      <w:pPr>
        <w:ind w:firstLine="708"/>
        <w:jc w:val="both"/>
        <w:rPr>
          <w:rFonts w:eastAsia="Calibri"/>
          <w:sz w:val="24"/>
          <w:szCs w:val="24"/>
          <w:lang w:eastAsia="en-US"/>
        </w:rPr>
      </w:pPr>
      <w:r>
        <w:rPr>
          <w:rFonts w:eastAsia="Calibri"/>
          <w:bCs/>
          <w:sz w:val="24"/>
          <w:szCs w:val="24"/>
          <w:lang w:eastAsia="en-US"/>
        </w:rPr>
        <w:t>Первоначальной стоимостью объектов основных средств, полученных                              от собственника</w:t>
      </w:r>
      <w:r>
        <w:rPr>
          <w:rFonts w:eastAsia="Calibri"/>
          <w:sz w:val="24"/>
          <w:szCs w:val="24"/>
          <w:lang w:eastAsia="en-US"/>
        </w:rPr>
        <w:t>, иной организации муниципального сектора, признается стоимость, определенная передающей стороной (собственником) и отраженная в передаточных документах.</w:t>
      </w:r>
    </w:p>
    <w:p>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13.23 Принятие к учёту объекта нефинансовых активов оформляется следующими документами:</w:t>
      </w:r>
    </w:p>
    <w:p>
      <w:pPr>
        <w:pStyle w:val="ConsPlusNormal"/>
        <w:ind w:firstLine="708"/>
        <w:jc w:val="both"/>
        <w:rPr>
          <w:rFonts w:ascii="Times New Roman" w:hAnsi="Times New Roman"/>
          <w:i/>
          <w:sz w:val="24"/>
          <w:szCs w:val="24"/>
        </w:rPr>
      </w:pPr>
      <w:r>
        <w:rPr>
          <w:rFonts w:ascii="Times New Roman" w:hAnsi="Times New Roman"/>
          <w:sz w:val="24"/>
          <w:szCs w:val="24"/>
        </w:rPr>
        <w:t>- при покупке новых объектов – решением комиссии по поступлению и выбытию активов;</w:t>
      </w:r>
    </w:p>
    <w:p>
      <w:pPr>
        <w:pStyle w:val="ConsPlusNormal"/>
        <w:ind w:firstLine="708"/>
        <w:jc w:val="both"/>
        <w:rPr>
          <w:rFonts w:ascii="Times New Roman" w:eastAsia="Calibri" w:hAnsi="Times New Roman"/>
          <w:sz w:val="24"/>
          <w:szCs w:val="24"/>
        </w:rPr>
      </w:pPr>
      <w:r>
        <w:rPr>
          <w:rFonts w:ascii="Times New Roman" w:eastAsia="Calibri" w:hAnsi="Times New Roman"/>
          <w:sz w:val="24"/>
          <w:szCs w:val="24"/>
        </w:rPr>
        <w:t>- при передаче объектов основных средств – акт о приемке – передаче объектов нефинансовых активов (форма 0510448).</w:t>
      </w:r>
    </w:p>
    <w:p>
      <w:pPr>
        <w:ind w:firstLine="708"/>
        <w:jc w:val="both"/>
        <w:rPr>
          <w:rFonts w:eastAsia="Calibri"/>
          <w:sz w:val="24"/>
          <w:szCs w:val="24"/>
        </w:rPr>
      </w:pPr>
      <w:r>
        <w:rPr>
          <w:rFonts w:eastAsia="Calibri"/>
          <w:sz w:val="24"/>
          <w:szCs w:val="24"/>
        </w:rPr>
        <w:t>Акт о приеме-передаче (форма 0510448) применяется при оформлении приема-передачи как одного, так и нескольких объектов нефинансовых активов.</w:t>
      </w:r>
    </w:p>
    <w:p>
      <w:pPr>
        <w:ind w:firstLine="708"/>
        <w:jc w:val="both"/>
        <w:rPr>
          <w:rFonts w:eastAsia="Calibri"/>
          <w:sz w:val="24"/>
          <w:szCs w:val="24"/>
          <w:lang w:eastAsia="en-US"/>
        </w:rPr>
      </w:pPr>
      <w:r>
        <w:rPr>
          <w:rFonts w:eastAsia="Calibri"/>
          <w:sz w:val="24"/>
          <w:szCs w:val="24"/>
        </w:rPr>
        <w:t xml:space="preserve">13.24 </w:t>
      </w:r>
      <w:r>
        <w:rPr>
          <w:rFonts w:eastAsia="Calibri"/>
          <w:sz w:val="24"/>
          <w:szCs w:val="24"/>
          <w:lang w:eastAsia="en-US"/>
        </w:rPr>
        <w:t>Ответственными за хранение документов производителя, входящих                             в комплектацию объекта основных средств (технической документации, гарантийных талонов), являются ответственные лица, за которыми закреплены основные средства.</w:t>
      </w:r>
    </w:p>
    <w:p>
      <w:pPr>
        <w:ind w:firstLine="708"/>
        <w:jc w:val="both"/>
        <w:rPr>
          <w:rFonts w:eastAsia="Calibri"/>
          <w:sz w:val="24"/>
          <w:szCs w:val="24"/>
          <w:lang w:eastAsia="en-US"/>
        </w:rPr>
      </w:pPr>
      <w:r>
        <w:rPr>
          <w:rFonts w:eastAsia="Calibri"/>
          <w:sz w:val="24"/>
          <w:szCs w:val="24"/>
        </w:rPr>
        <w:t xml:space="preserve">13.25 </w:t>
      </w:r>
      <w:r>
        <w:rPr>
          <w:rFonts w:eastAsia="Calibri"/>
          <w:bCs/>
          <w:sz w:val="24"/>
          <w:szCs w:val="24"/>
          <w:lang w:eastAsia="en-US"/>
        </w:rPr>
        <w:t>Изменение балансовой стоимости</w:t>
      </w:r>
      <w:r>
        <w:rPr>
          <w:rFonts w:eastAsia="Calibri"/>
          <w:sz w:val="24"/>
          <w:szCs w:val="24"/>
          <w:lang w:eastAsia="en-US"/>
        </w:rPr>
        <w:t xml:space="preserve"> объекта основных средств после его признания в бухгалтерском учёте возможно только в таких случаях:</w:t>
      </w:r>
    </w:p>
    <w:p>
      <w:pPr>
        <w:ind w:firstLine="708"/>
        <w:jc w:val="both"/>
        <w:rPr>
          <w:rFonts w:eastAsia="Calibri"/>
          <w:sz w:val="24"/>
          <w:szCs w:val="24"/>
          <w:lang w:eastAsia="en-US"/>
        </w:rPr>
      </w:pPr>
      <w:r>
        <w:rPr>
          <w:rFonts w:eastAsia="Calibri"/>
          <w:sz w:val="24"/>
          <w:szCs w:val="24"/>
          <w:lang w:eastAsia="en-US"/>
        </w:rPr>
        <w:t>- достройка;</w:t>
      </w:r>
    </w:p>
    <w:p>
      <w:pPr>
        <w:ind w:firstLine="708"/>
        <w:jc w:val="both"/>
        <w:rPr>
          <w:rFonts w:eastAsia="Calibri"/>
          <w:sz w:val="24"/>
          <w:szCs w:val="24"/>
          <w:lang w:eastAsia="en-US"/>
        </w:rPr>
      </w:pPr>
      <w:r>
        <w:rPr>
          <w:rFonts w:eastAsia="Calibri"/>
          <w:sz w:val="24"/>
          <w:szCs w:val="24"/>
          <w:lang w:eastAsia="en-US"/>
        </w:rPr>
        <w:t>- дооборудование;</w:t>
      </w:r>
    </w:p>
    <w:p>
      <w:pPr>
        <w:ind w:firstLine="708"/>
        <w:jc w:val="both"/>
        <w:rPr>
          <w:rFonts w:eastAsia="Calibri"/>
          <w:sz w:val="24"/>
          <w:szCs w:val="24"/>
          <w:lang w:eastAsia="en-US"/>
        </w:rPr>
      </w:pPr>
      <w:r>
        <w:rPr>
          <w:rFonts w:eastAsia="Calibri"/>
          <w:sz w:val="24"/>
          <w:szCs w:val="24"/>
          <w:lang w:eastAsia="en-US"/>
        </w:rPr>
        <w:t>- реконструкция, в том числе с элементами реставрации;</w:t>
      </w:r>
    </w:p>
    <w:p>
      <w:pPr>
        <w:ind w:firstLine="708"/>
        <w:jc w:val="both"/>
        <w:rPr>
          <w:rFonts w:eastAsia="Calibri"/>
          <w:sz w:val="24"/>
          <w:szCs w:val="24"/>
          <w:lang w:eastAsia="en-US"/>
        </w:rPr>
      </w:pPr>
      <w:r>
        <w:rPr>
          <w:rFonts w:eastAsia="Calibri"/>
          <w:sz w:val="24"/>
          <w:szCs w:val="24"/>
          <w:lang w:eastAsia="en-US"/>
        </w:rPr>
        <w:t>- техническое перевооружение;</w:t>
      </w:r>
    </w:p>
    <w:p>
      <w:pPr>
        <w:ind w:firstLine="708"/>
        <w:jc w:val="both"/>
        <w:rPr>
          <w:rFonts w:eastAsia="Calibri"/>
          <w:sz w:val="24"/>
          <w:szCs w:val="24"/>
          <w:lang w:eastAsia="en-US"/>
        </w:rPr>
      </w:pPr>
      <w:r>
        <w:rPr>
          <w:rFonts w:eastAsia="Calibri"/>
          <w:sz w:val="24"/>
          <w:szCs w:val="24"/>
          <w:lang w:eastAsia="en-US"/>
        </w:rPr>
        <w:t>- модернизация;</w:t>
      </w:r>
    </w:p>
    <w:p>
      <w:pPr>
        <w:ind w:firstLine="708"/>
        <w:jc w:val="both"/>
        <w:rPr>
          <w:rFonts w:eastAsia="Calibri"/>
          <w:sz w:val="24"/>
          <w:szCs w:val="24"/>
          <w:lang w:eastAsia="en-US"/>
        </w:rPr>
      </w:pPr>
      <w:r>
        <w:rPr>
          <w:rFonts w:eastAsia="Calibri"/>
          <w:sz w:val="24"/>
          <w:szCs w:val="24"/>
          <w:lang w:eastAsia="en-US"/>
        </w:rPr>
        <w:t>- частичная ликвидация (</w:t>
      </w:r>
      <w:proofErr w:type="spellStart"/>
      <w:r>
        <w:rPr>
          <w:rFonts w:eastAsia="Calibri"/>
          <w:sz w:val="24"/>
          <w:szCs w:val="24"/>
          <w:lang w:eastAsia="en-US"/>
        </w:rPr>
        <w:t>разукомплектация</w:t>
      </w:r>
      <w:proofErr w:type="spellEnd"/>
      <w:r>
        <w:rPr>
          <w:rFonts w:eastAsia="Calibri"/>
          <w:sz w:val="24"/>
          <w:szCs w:val="24"/>
          <w:lang w:eastAsia="en-US"/>
        </w:rPr>
        <w:t>);</w:t>
      </w:r>
    </w:p>
    <w:p>
      <w:pPr>
        <w:ind w:firstLine="708"/>
        <w:jc w:val="both"/>
        <w:rPr>
          <w:rFonts w:eastAsia="Calibri"/>
          <w:sz w:val="24"/>
          <w:szCs w:val="24"/>
          <w:lang w:eastAsia="en-US"/>
        </w:rPr>
      </w:pPr>
      <w:r>
        <w:rPr>
          <w:rFonts w:eastAsia="Calibri"/>
          <w:sz w:val="24"/>
          <w:szCs w:val="24"/>
          <w:lang w:eastAsia="en-US"/>
        </w:rPr>
        <w:t>- переоценка объектов основных средств;</w:t>
      </w:r>
    </w:p>
    <w:p>
      <w:pPr>
        <w:ind w:firstLine="708"/>
        <w:jc w:val="both"/>
        <w:rPr>
          <w:rFonts w:eastAsia="Calibri"/>
          <w:sz w:val="24"/>
          <w:szCs w:val="24"/>
          <w:lang w:eastAsia="en-US"/>
        </w:rPr>
      </w:pPr>
      <w:r>
        <w:rPr>
          <w:rFonts w:eastAsia="Calibri"/>
          <w:sz w:val="24"/>
          <w:szCs w:val="24"/>
          <w:lang w:eastAsia="en-US"/>
        </w:rPr>
        <w:t>- замещение (частичная замена в рамках капитального ремонта в целях реконструкции, технического перевооружения, модернизации) объекта или его составной части.</w:t>
      </w:r>
    </w:p>
    <w:p>
      <w:pPr>
        <w:ind w:firstLine="708"/>
        <w:jc w:val="both"/>
        <w:rPr>
          <w:rFonts w:eastAsia="Calibri"/>
          <w:sz w:val="24"/>
          <w:szCs w:val="24"/>
          <w:lang w:eastAsia="en-US"/>
        </w:rPr>
      </w:pPr>
      <w:proofErr w:type="gramStart"/>
      <w:r>
        <w:rPr>
          <w:rFonts w:eastAsia="Calibri"/>
          <w:sz w:val="24"/>
          <w:szCs w:val="24"/>
          <w:lang w:eastAsia="en-US"/>
        </w:rPr>
        <w:t>затраты</w:t>
      </w:r>
      <w:proofErr w:type="gramEnd"/>
      <w:r>
        <w:rPr>
          <w:rFonts w:eastAsia="Calibri"/>
          <w:sz w:val="24"/>
          <w:szCs w:val="24"/>
          <w:lang w:eastAsia="en-US"/>
        </w:rPr>
        <w:t xml:space="preserve"> по замене отдельных составных частей включаются в стоимость объекта основных средств, если порядок эксплуатации объекта (его составных частей) требует такой замены, в том числе в ходе капитального ремонта.</w:t>
      </w:r>
    </w:p>
    <w:p>
      <w:pPr>
        <w:ind w:firstLine="708"/>
        <w:jc w:val="both"/>
        <w:rPr>
          <w:rFonts w:eastAsia="Calibri"/>
          <w:sz w:val="24"/>
          <w:szCs w:val="24"/>
          <w:lang w:eastAsia="en-US"/>
        </w:rPr>
      </w:pPr>
      <w:r>
        <w:rPr>
          <w:rFonts w:eastAsia="Calibri"/>
          <w:sz w:val="24"/>
          <w:szCs w:val="24"/>
          <w:lang w:eastAsia="en-US"/>
        </w:rPr>
        <w:t>Стоимость объекта основных средств уменьшается на стоимость заменяемых (выбывающих) частей.</w:t>
      </w:r>
    </w:p>
    <w:p>
      <w:pPr>
        <w:ind w:firstLine="708"/>
        <w:jc w:val="both"/>
        <w:rPr>
          <w:rFonts w:eastAsia="Calibri"/>
          <w:sz w:val="24"/>
          <w:szCs w:val="24"/>
          <w:lang w:eastAsia="en-US"/>
        </w:rPr>
      </w:pPr>
      <w:r>
        <w:rPr>
          <w:rFonts w:eastAsia="Calibri"/>
          <w:sz w:val="24"/>
          <w:szCs w:val="24"/>
          <w:lang w:eastAsia="en-US"/>
        </w:rPr>
        <w:t>Затраты признаются в момент их возникновения при условии, что соблюдены критерии признания объекта основных средств.</w:t>
      </w:r>
    </w:p>
    <w:p>
      <w:pPr>
        <w:ind w:firstLine="708"/>
        <w:jc w:val="both"/>
        <w:rPr>
          <w:rFonts w:eastAsia="Calibri"/>
          <w:sz w:val="24"/>
          <w:szCs w:val="24"/>
          <w:lang w:eastAsia="en-US"/>
        </w:rPr>
      </w:pPr>
      <w:r>
        <w:rPr>
          <w:rFonts w:eastAsia="Calibri"/>
          <w:sz w:val="24"/>
          <w:szCs w:val="24"/>
          <w:lang w:eastAsia="en-US"/>
        </w:rPr>
        <w:t>Затраты на проведение регулярных осмотров, являющихся обязательным условием их эксплуатации, на предмет наличия дефектов, в том числе при проведении ремонтов, формируют объём произведенных капитальных вложений с дальнейшим признанием                в стоимости основных средств.</w:t>
      </w:r>
    </w:p>
    <w:p>
      <w:pPr>
        <w:ind w:firstLine="708"/>
        <w:jc w:val="both"/>
        <w:rPr>
          <w:rFonts w:eastAsia="Calibri"/>
          <w:sz w:val="24"/>
          <w:szCs w:val="24"/>
          <w:lang w:eastAsia="en-US"/>
        </w:rPr>
      </w:pPr>
      <w:r>
        <w:rPr>
          <w:rFonts w:eastAsia="Calibri"/>
          <w:sz w:val="24"/>
          <w:szCs w:val="24"/>
          <w:lang w:eastAsia="en-US"/>
        </w:rPr>
        <w:t>В этом случае любая учтённая ранее в стоимости объекта основных средств сумма затрат на проведение предыдущего ремонта подлежит списанию в расходы текущего периода (на уменьшение финансового результата).</w:t>
      </w:r>
    </w:p>
    <w:p>
      <w:pPr>
        <w:pStyle w:val="1151256"/>
        <w:spacing w:before="0" w:after="0" w:line="240" w:lineRule="auto"/>
        <w:ind w:firstLine="708"/>
        <w:rPr>
          <w:sz w:val="24"/>
          <w:szCs w:val="24"/>
        </w:rPr>
      </w:pPr>
      <w:r>
        <w:rPr>
          <w:sz w:val="24"/>
          <w:szCs w:val="24"/>
        </w:rPr>
        <w:t xml:space="preserve">13.26 Срок полезного использования устанавливается в соответствии                                    с требованиями п.35 СГС «Основные средства». </w:t>
      </w:r>
    </w:p>
    <w:p>
      <w:pPr>
        <w:widowControl/>
        <w:ind w:firstLine="709"/>
        <w:jc w:val="both"/>
        <w:outlineLvl w:val="0"/>
        <w:rPr>
          <w:spacing w:val="-3"/>
          <w:sz w:val="24"/>
          <w:szCs w:val="24"/>
        </w:rPr>
      </w:pPr>
      <w:r>
        <w:rPr>
          <w:spacing w:val="-3"/>
          <w:sz w:val="24"/>
          <w:szCs w:val="24"/>
        </w:rPr>
        <w:t>Сроком полезного использования объекта основных средств является период, в течение которого предусматривается использование в процессе деятельности Управления объекта нефинансовых активов в тех целях, ради которых он был приобретен или получен.</w:t>
      </w:r>
    </w:p>
    <w:p>
      <w:pPr>
        <w:widowControl/>
        <w:ind w:firstLine="709"/>
        <w:jc w:val="both"/>
        <w:outlineLvl w:val="0"/>
        <w:rPr>
          <w:spacing w:val="-3"/>
          <w:sz w:val="24"/>
          <w:szCs w:val="24"/>
        </w:rPr>
      </w:pPr>
      <w:r>
        <w:rPr>
          <w:spacing w:val="-3"/>
          <w:sz w:val="24"/>
          <w:szCs w:val="24"/>
        </w:rPr>
        <w:t>Срок полезного использования объектов нефинансовых активов в целях принятия               к учёту в составе основных средств и начисления амортизации определяется исходя из:</w:t>
      </w:r>
    </w:p>
    <w:p>
      <w:pPr>
        <w:widowControl/>
        <w:ind w:firstLine="709"/>
        <w:jc w:val="both"/>
        <w:outlineLvl w:val="0"/>
        <w:rPr>
          <w:spacing w:val="-3"/>
          <w:sz w:val="24"/>
          <w:szCs w:val="24"/>
        </w:rPr>
      </w:pPr>
      <w:r>
        <w:rPr>
          <w:spacing w:val="-3"/>
          <w:sz w:val="24"/>
          <w:szCs w:val="24"/>
        </w:rPr>
        <w:t xml:space="preserve">- информации, содержащейся в законодательстве </w:t>
      </w:r>
      <w:r>
        <w:rPr>
          <w:sz w:val="24"/>
          <w:szCs w:val="24"/>
        </w:rPr>
        <w:t>Российской Федерации</w:t>
      </w:r>
      <w:r>
        <w:rPr>
          <w:spacing w:val="-3"/>
          <w:sz w:val="24"/>
          <w:szCs w:val="24"/>
        </w:rPr>
        <w:t>, устанавливающем сроки полезного использования имущества в целях начисления амортизации,</w:t>
      </w:r>
    </w:p>
    <w:p>
      <w:pPr>
        <w:widowControl/>
        <w:ind w:firstLine="709"/>
        <w:jc w:val="both"/>
        <w:outlineLvl w:val="0"/>
        <w:rPr>
          <w:spacing w:val="-3"/>
          <w:sz w:val="24"/>
          <w:szCs w:val="24"/>
        </w:rPr>
      </w:pPr>
      <w:r>
        <w:rPr>
          <w:spacing w:val="-3"/>
          <w:sz w:val="24"/>
          <w:szCs w:val="24"/>
        </w:rPr>
        <w:t>-</w:t>
      </w:r>
      <w:r>
        <w:t> </w:t>
      </w:r>
      <w:r>
        <w:rPr>
          <w:spacing w:val="-3"/>
          <w:sz w:val="24"/>
          <w:szCs w:val="24"/>
        </w:rPr>
        <w:t xml:space="preserve">рекомендаций, содержащихся в документах производителя, входящих                                 в комплектацию объекта имущества, при отсутствии в законодательстве </w:t>
      </w:r>
      <w:r>
        <w:rPr>
          <w:sz w:val="24"/>
          <w:szCs w:val="24"/>
        </w:rPr>
        <w:t>Российской Федерации</w:t>
      </w:r>
      <w:r>
        <w:rPr>
          <w:spacing w:val="-3"/>
          <w:sz w:val="24"/>
          <w:szCs w:val="24"/>
        </w:rPr>
        <w:t xml:space="preserve"> норм, устанавливающих сроки полезного использования имущества в целях начисления амортизации,</w:t>
      </w:r>
    </w:p>
    <w:p>
      <w:pPr>
        <w:widowControl/>
        <w:ind w:firstLine="709"/>
        <w:jc w:val="both"/>
        <w:rPr>
          <w:spacing w:val="-3"/>
          <w:sz w:val="24"/>
          <w:szCs w:val="24"/>
        </w:rPr>
      </w:pPr>
      <w:r>
        <w:rPr>
          <w:spacing w:val="-3"/>
          <w:sz w:val="24"/>
          <w:szCs w:val="24"/>
        </w:rPr>
        <w:t>- ожидаемого срока использования этого объекта в соответствии с ожидаемой производительностью или мощностью,</w:t>
      </w:r>
    </w:p>
    <w:p>
      <w:pPr>
        <w:widowControl/>
        <w:ind w:firstLine="709"/>
        <w:jc w:val="both"/>
        <w:rPr>
          <w:spacing w:val="-3"/>
          <w:sz w:val="24"/>
          <w:szCs w:val="24"/>
        </w:rPr>
      </w:pPr>
      <w:r>
        <w:rPr>
          <w:spacing w:val="-3"/>
          <w:sz w:val="24"/>
          <w:szCs w:val="24"/>
        </w:rPr>
        <w:t>- ожидаемого физического износа, зависящего от режима эксплуатации, естественных условий и влияния агрессивной среды, системы проведения ремонта.</w:t>
      </w:r>
    </w:p>
    <w:p>
      <w:pPr>
        <w:widowControl/>
        <w:ind w:firstLine="709"/>
        <w:jc w:val="both"/>
        <w:outlineLvl w:val="0"/>
        <w:rPr>
          <w:spacing w:val="-3"/>
          <w:sz w:val="24"/>
          <w:szCs w:val="24"/>
        </w:rPr>
      </w:pPr>
      <w:r>
        <w:rPr>
          <w:spacing w:val="-3"/>
          <w:sz w:val="24"/>
          <w:szCs w:val="24"/>
        </w:rPr>
        <w:t xml:space="preserve">В случаях отсутствия информации в законодательстве </w:t>
      </w:r>
      <w:r>
        <w:rPr>
          <w:sz w:val="24"/>
          <w:szCs w:val="24"/>
        </w:rPr>
        <w:t>Российской Федерации</w:t>
      </w:r>
      <w:r>
        <w:rPr>
          <w:spacing w:val="-3"/>
          <w:sz w:val="24"/>
          <w:szCs w:val="24"/>
        </w:rPr>
        <w:t xml:space="preserve">                                  и в документах производителя – на основании решения комиссии по поступлению                              и выбытию активов.</w:t>
      </w:r>
    </w:p>
    <w:p>
      <w:pPr>
        <w:pStyle w:val="1151256"/>
        <w:spacing w:before="0" w:after="0" w:line="240" w:lineRule="auto"/>
        <w:ind w:firstLine="708"/>
        <w:rPr>
          <w:sz w:val="24"/>
          <w:szCs w:val="24"/>
        </w:rPr>
      </w:pPr>
      <w:r>
        <w:rPr>
          <w:sz w:val="24"/>
          <w:szCs w:val="24"/>
        </w:rPr>
        <w:t xml:space="preserve">В случае если присвоенный код по ОКОФ не позволяет установить амортизационную группу, комиссия по поступлению и выбытию активов определяет срок на основании рекомендаций производителя. </w:t>
      </w:r>
    </w:p>
    <w:p>
      <w:pPr>
        <w:pStyle w:val="1151256"/>
        <w:spacing w:before="0" w:after="0" w:line="240" w:lineRule="auto"/>
        <w:ind w:firstLine="708"/>
        <w:rPr>
          <w:sz w:val="24"/>
          <w:szCs w:val="24"/>
        </w:rPr>
      </w:pPr>
      <w:r>
        <w:rPr>
          <w:sz w:val="24"/>
          <w:szCs w:val="24"/>
        </w:rPr>
        <w:t>В рамках амортизационной группы устанавливать максимальный срок полезного использования.</w:t>
      </w:r>
    </w:p>
    <w:p>
      <w:pPr>
        <w:pStyle w:val="1151256"/>
        <w:spacing w:before="0" w:after="0" w:line="240" w:lineRule="auto"/>
        <w:ind w:firstLine="708"/>
        <w:rPr>
          <w:sz w:val="24"/>
          <w:szCs w:val="24"/>
        </w:rPr>
      </w:pPr>
      <w:r>
        <w:rPr>
          <w:sz w:val="24"/>
          <w:szCs w:val="24"/>
        </w:rPr>
        <w:t>13.27 Списание затрат по восстановлению объектов основных средств осуществляется на основании первичных документов о выполнении работ, представляемых в Отдел (актов приёмки-сдачи отремонтированных, реконструированных и модернизированных объектов, справок об изменении (или не изменении) нормативных показателей функционирования и т.п.).</w:t>
      </w:r>
    </w:p>
    <w:p>
      <w:pPr>
        <w:ind w:firstLine="708"/>
        <w:jc w:val="both"/>
        <w:rPr>
          <w:rFonts w:eastAsia="Calibri"/>
          <w:sz w:val="24"/>
          <w:szCs w:val="24"/>
        </w:rPr>
      </w:pPr>
      <w:r>
        <w:rPr>
          <w:rFonts w:eastAsia="Calibri"/>
          <w:sz w:val="24"/>
          <w:szCs w:val="24"/>
        </w:rPr>
        <w:t xml:space="preserve">Для подтверждения необходимости осуществления ремонта могут применяться дефектные ведомости. </w:t>
      </w:r>
    </w:p>
    <w:p>
      <w:pPr>
        <w:ind w:firstLine="708"/>
        <w:jc w:val="both"/>
        <w:outlineLvl w:val="1"/>
        <w:rPr>
          <w:sz w:val="24"/>
          <w:szCs w:val="24"/>
        </w:rPr>
      </w:pPr>
      <w:r>
        <w:rPr>
          <w:sz w:val="24"/>
          <w:szCs w:val="24"/>
        </w:rPr>
        <w:t>Согласно Приказа № 209н в рамках осуществления ремонтных работ проводятся:</w:t>
      </w:r>
    </w:p>
    <w:p>
      <w:pPr>
        <w:ind w:firstLine="567"/>
        <w:jc w:val="both"/>
        <w:rPr>
          <w:sz w:val="24"/>
          <w:szCs w:val="24"/>
        </w:rPr>
      </w:pPr>
      <w:r>
        <w:rPr>
          <w:sz w:val="24"/>
          <w:szCs w:val="24"/>
        </w:rPr>
        <w:t>-</w:t>
      </w:r>
      <w:r>
        <w:t> </w:t>
      </w:r>
      <w:r>
        <w:rPr>
          <w:sz w:val="24"/>
          <w:szCs w:val="24"/>
        </w:rPr>
        <w:t>устранение неисправностей (восстановление работоспособности) отдельных объектов нефинансовых активов;</w:t>
      </w:r>
    </w:p>
    <w:p>
      <w:pPr>
        <w:ind w:firstLine="567"/>
        <w:jc w:val="both"/>
        <w:rPr>
          <w:sz w:val="24"/>
          <w:szCs w:val="24"/>
        </w:rPr>
      </w:pPr>
      <w:r>
        <w:rPr>
          <w:sz w:val="24"/>
          <w:szCs w:val="24"/>
        </w:rPr>
        <w:t>- поддержание технико-экономических и эксплуатационных показателей объектов нефинансовых активов (срок полезного использования, мощность, качество применения и т.п.) на изначально предусмотренном уровне.</w:t>
      </w:r>
    </w:p>
    <w:p>
      <w:pPr>
        <w:ind w:right="74" w:firstLine="708"/>
        <w:jc w:val="both"/>
        <w:rPr>
          <w:sz w:val="24"/>
          <w:szCs w:val="24"/>
        </w:rPr>
      </w:pPr>
      <w:r>
        <w:rPr>
          <w:sz w:val="24"/>
          <w:szCs w:val="24"/>
        </w:rPr>
        <w:t>При проведении ремонта не происходит увеличения или улучшения качественных характеристик объекта и первоначальная (балансовая) стоимость основных средств не изменяется.</w:t>
      </w:r>
    </w:p>
    <w:p>
      <w:pPr>
        <w:ind w:right="74" w:firstLine="708"/>
        <w:jc w:val="both"/>
        <w:rPr>
          <w:sz w:val="24"/>
          <w:szCs w:val="24"/>
        </w:rPr>
      </w:pPr>
      <w:r>
        <w:rPr>
          <w:sz w:val="24"/>
          <w:szCs w:val="24"/>
        </w:rPr>
        <w:t>Учёт затрат на производство капитального ремонта организуется по отдельным объектам или группам основных средств.</w:t>
      </w:r>
    </w:p>
    <w:p>
      <w:pPr>
        <w:ind w:firstLine="708"/>
        <w:jc w:val="both"/>
        <w:rPr>
          <w:rFonts w:eastAsia="Calibri"/>
          <w:sz w:val="24"/>
          <w:szCs w:val="24"/>
        </w:rPr>
      </w:pPr>
      <w:r>
        <w:rPr>
          <w:rFonts w:eastAsia="Calibri"/>
          <w:sz w:val="24"/>
          <w:szCs w:val="24"/>
        </w:rPr>
        <w:t>Расходы по капитальному ремонту относить на счет 140120225.</w:t>
      </w:r>
    </w:p>
    <w:p>
      <w:pPr>
        <w:ind w:right="74" w:firstLine="708"/>
        <w:jc w:val="both"/>
        <w:rPr>
          <w:sz w:val="24"/>
          <w:szCs w:val="24"/>
        </w:rPr>
      </w:pPr>
      <w:r>
        <w:rPr>
          <w:sz w:val="24"/>
          <w:szCs w:val="24"/>
        </w:rPr>
        <w:t>Результаты ремонтных работ отражать в Инвентарной карточке объектов нефинансовых активов (форма 0504101).</w:t>
      </w:r>
    </w:p>
    <w:p>
      <w:pPr>
        <w:ind w:firstLine="708"/>
        <w:jc w:val="both"/>
        <w:rPr>
          <w:sz w:val="24"/>
          <w:szCs w:val="24"/>
          <w:lang w:eastAsia="en-US"/>
        </w:rPr>
      </w:pPr>
      <w:r>
        <w:rPr>
          <w:sz w:val="24"/>
          <w:szCs w:val="24"/>
        </w:rPr>
        <w:t>13.28 В</w:t>
      </w:r>
      <w:r>
        <w:rPr>
          <w:sz w:val="24"/>
          <w:szCs w:val="24"/>
          <w:lang w:eastAsia="en-US"/>
        </w:rPr>
        <w:t xml:space="preserve"> целях обеспечения контроля информация о передаче объектов нефинансовых активов на время проведения капитального ремонта отражать в Инвентарной карточке учёта нефинансовых активов </w:t>
      </w:r>
      <w:hyperlink r:id="rId93" w:history="1">
        <w:r>
          <w:rPr>
            <w:sz w:val="24"/>
            <w:szCs w:val="24"/>
            <w:lang w:eastAsia="en-US"/>
          </w:rPr>
          <w:t>(ф. 0504031)</w:t>
        </w:r>
      </w:hyperlink>
      <w:r>
        <w:rPr>
          <w:sz w:val="24"/>
          <w:szCs w:val="24"/>
          <w:lang w:eastAsia="en-US"/>
        </w:rPr>
        <w:t xml:space="preserve"> (письмо Минфина России от 20.03.2019 № 02-07-10/18574, от 21.03.2019 № 02-06-10/18886). </w:t>
      </w:r>
    </w:p>
    <w:p>
      <w:pPr>
        <w:ind w:firstLine="708"/>
        <w:jc w:val="both"/>
        <w:outlineLvl w:val="1"/>
        <w:rPr>
          <w:sz w:val="24"/>
          <w:szCs w:val="24"/>
        </w:rPr>
      </w:pPr>
      <w:r>
        <w:rPr>
          <w:sz w:val="24"/>
          <w:szCs w:val="24"/>
        </w:rPr>
        <w:t>13.29 Первоначальной (фактической) стоимостью основных средств, полученных Управлением по договору дарения (пожертвования), в иных случаях безвозмездного поступления признается их справедливая стоимость на дату принятия к бухгалтерскому учёту, а также стоимость услуг, связанных с их доставкой, регистрацией и приведением их в состояние, пригодное для использования.</w:t>
      </w:r>
    </w:p>
    <w:p>
      <w:pPr>
        <w:pStyle w:val="Oaeno"/>
        <w:ind w:firstLine="708"/>
        <w:jc w:val="both"/>
        <w:rPr>
          <w:rFonts w:ascii="Times New Roman" w:eastAsia="Calibri" w:hAnsi="Times New Roman"/>
          <w:sz w:val="24"/>
          <w:szCs w:val="24"/>
          <w:lang w:eastAsia="en-US"/>
        </w:rPr>
      </w:pPr>
      <w:r>
        <w:rPr>
          <w:rFonts w:ascii="Times New Roman" w:hAnsi="Times New Roman"/>
          <w:sz w:val="24"/>
          <w:szCs w:val="24"/>
        </w:rPr>
        <w:t xml:space="preserve">Определение справедливой стоимости производится методом рыночных цен, которые </w:t>
      </w:r>
      <w:r>
        <w:rPr>
          <w:rFonts w:ascii="Times New Roman" w:eastAsia="Calibri" w:hAnsi="Times New Roman"/>
          <w:sz w:val="24"/>
          <w:szCs w:val="24"/>
          <w:lang w:eastAsia="en-US"/>
        </w:rPr>
        <w:t>должны быть подтверждены документально, а в случаях невозможности документального подтверждения - экспертным путем.</w:t>
      </w:r>
    </w:p>
    <w:p>
      <w:pPr>
        <w:ind w:firstLine="708"/>
        <w:jc w:val="both"/>
        <w:outlineLvl w:val="1"/>
        <w:rPr>
          <w:sz w:val="24"/>
          <w:szCs w:val="24"/>
        </w:rPr>
      </w:pPr>
      <w:r>
        <w:rPr>
          <w:rFonts w:eastAsia="Calibri"/>
          <w:sz w:val="24"/>
          <w:szCs w:val="24"/>
          <w:lang w:eastAsia="en-US"/>
        </w:rPr>
        <w:t>13.30. При отчуждении основных средств не пользу муниципального сектора, Управление</w:t>
      </w:r>
      <w:r>
        <w:rPr>
          <w:sz w:val="24"/>
          <w:szCs w:val="24"/>
        </w:rPr>
        <w:t xml:space="preserve"> проводит переоценку стоимости объектов (п.41 СГС «Основные средства»).</w:t>
      </w:r>
    </w:p>
    <w:p>
      <w:pPr>
        <w:ind w:firstLine="708"/>
        <w:jc w:val="both"/>
        <w:rPr>
          <w:rFonts w:eastAsiaTheme="minorHAnsi"/>
          <w:sz w:val="24"/>
          <w:szCs w:val="24"/>
          <w:lang w:eastAsia="en-US"/>
        </w:rPr>
      </w:pPr>
      <w:r>
        <w:rPr>
          <w:rFonts w:eastAsiaTheme="minorHAnsi"/>
          <w:sz w:val="24"/>
          <w:szCs w:val="24"/>
          <w:lang w:eastAsia="en-US"/>
        </w:rPr>
        <w:t>Результат переоценки до справедливой стоимости, определяемой методом рыночных цен, отражается в бухгалтерском учёте и раскрывается в бухгалтерской (финансовой) отчётности обособленно в составе финансового результата текущего периода.</w:t>
      </w:r>
    </w:p>
    <w:p>
      <w:pPr>
        <w:widowControl/>
        <w:ind w:firstLine="709"/>
        <w:jc w:val="both"/>
        <w:outlineLvl w:val="0"/>
        <w:rPr>
          <w:sz w:val="24"/>
          <w:szCs w:val="24"/>
        </w:rPr>
      </w:pPr>
      <w:r>
        <w:rPr>
          <w:sz w:val="24"/>
          <w:szCs w:val="24"/>
        </w:rPr>
        <w:t xml:space="preserve">При переоценке объекта основных средств накопленная амортизация на дату переоценки пересчитывается пропорционально изменению первоначальной стоимости объекта таким образом, чтобы его остаточная стоимость после переоценки равнялась его переоцененной стоимости. При этом балансовая стоимость и накопленная амортизация увеличиваются (умножаются) на одинаковый коэффициент таким образом, чтобы при их суммировании получить переоцененную стоимость на дату проведения переоценки. Срок полезного использования объектов основных средств устанавливает комиссия по поступлению и выбытию в соответствии с пунктом 35 СГС «Основные средства». </w:t>
      </w:r>
    </w:p>
    <w:p>
      <w:pPr>
        <w:widowControl/>
        <w:ind w:firstLine="708"/>
        <w:jc w:val="both"/>
        <w:rPr>
          <w:sz w:val="24"/>
          <w:szCs w:val="24"/>
        </w:rPr>
      </w:pPr>
      <w:r>
        <w:rPr>
          <w:sz w:val="24"/>
          <w:szCs w:val="24"/>
        </w:rPr>
        <w:t>Сроки и порядок переоценки устанавливаются Правительством Российской Федерации. Если из акта Правительства Российской Федерации о проведении переоценки невозможно определить, в отношении каких объектов ОС она проводится, перечень объектов ОС, подлежащих переоценке, устанавливается руководителем Управления по согласованию с Собственником.</w:t>
      </w:r>
    </w:p>
    <w:p>
      <w:pPr>
        <w:widowControl/>
        <w:ind w:firstLine="708"/>
        <w:jc w:val="both"/>
        <w:rPr>
          <w:sz w:val="24"/>
          <w:szCs w:val="24"/>
        </w:rPr>
      </w:pPr>
      <w:r>
        <w:rPr>
          <w:sz w:val="24"/>
          <w:szCs w:val="24"/>
        </w:rPr>
        <w:t>При отражении результатов переоценки Управление производит пересчет накопленной амортизации пропорционально изменению первоначальной стоимости объекта основных средств таким образом, чтобы его остаточная стоимость после переоценки равнялась его переоцененной стоимости.</w:t>
      </w:r>
    </w:p>
    <w:p>
      <w:pPr>
        <w:ind w:firstLine="708"/>
        <w:jc w:val="both"/>
        <w:rPr>
          <w:sz w:val="24"/>
          <w:szCs w:val="24"/>
        </w:rPr>
      </w:pPr>
      <w:r>
        <w:rPr>
          <w:rFonts w:eastAsiaTheme="minorHAnsi"/>
          <w:sz w:val="24"/>
          <w:szCs w:val="24"/>
          <w:lang w:eastAsia="en-US"/>
        </w:rPr>
        <w:t>13.30.1 Начисление амортизации на объект основных средств осуществляется передающей стороной до месяца фактической передачи указанного объекта, поскольку издание распоряжения, согласно которому осуществляется передача объекта, не является основанием для прекращения начисления амортизации (письмо Минфина РФ от 07.05.2020 г. № 02-06-05/36826).</w:t>
      </w:r>
    </w:p>
    <w:p>
      <w:pPr>
        <w:pStyle w:val="ConsNormal"/>
        <w:ind w:firstLine="708"/>
        <w:jc w:val="both"/>
        <w:rPr>
          <w:rFonts w:ascii="Times New Roman" w:hAnsi="Times New Roman" w:cs="Times New Roman"/>
          <w:sz w:val="24"/>
          <w:szCs w:val="24"/>
        </w:rPr>
      </w:pPr>
      <w:r>
        <w:rPr>
          <w:rFonts w:ascii="Times New Roman" w:hAnsi="Times New Roman" w:cs="Times New Roman"/>
          <w:sz w:val="24"/>
          <w:szCs w:val="24"/>
        </w:rPr>
        <w:t xml:space="preserve">13.32 Перевод объектов в иную группу при </w:t>
      </w:r>
      <w:proofErr w:type="spellStart"/>
      <w:r>
        <w:rPr>
          <w:rFonts w:ascii="Times New Roman" w:hAnsi="Times New Roman" w:cs="Times New Roman"/>
          <w:sz w:val="24"/>
          <w:szCs w:val="24"/>
        </w:rPr>
        <w:t>реклассификации</w:t>
      </w:r>
      <w:proofErr w:type="spellEnd"/>
      <w:r>
        <w:rPr>
          <w:rFonts w:ascii="Times New Roman" w:hAnsi="Times New Roman" w:cs="Times New Roman"/>
          <w:sz w:val="24"/>
          <w:szCs w:val="24"/>
        </w:rPr>
        <w:t xml:space="preserve"> осуществлять следующими бухгалтерскими записями:</w:t>
      </w:r>
    </w:p>
    <w:p>
      <w:pPr>
        <w:pStyle w:val="ConsNormal"/>
        <w:ind w:firstLine="708"/>
        <w:jc w:val="both"/>
        <w:rPr>
          <w:rFonts w:ascii="Times New Roman" w:hAnsi="Times New Roman" w:cs="Times New Roman"/>
          <w:sz w:val="24"/>
          <w:szCs w:val="24"/>
        </w:rPr>
      </w:pPr>
      <w:proofErr w:type="gramStart"/>
      <w:r>
        <w:rPr>
          <w:rFonts w:ascii="Times New Roman" w:hAnsi="Times New Roman" w:cs="Times New Roman"/>
          <w:sz w:val="24"/>
          <w:szCs w:val="24"/>
        </w:rPr>
        <w:t>дебет</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хххх</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хххххххххх</w:t>
      </w:r>
      <w:proofErr w:type="spellEnd"/>
      <w:r>
        <w:rPr>
          <w:rFonts w:ascii="Times New Roman" w:hAnsi="Times New Roman" w:cs="Times New Roman"/>
          <w:sz w:val="24"/>
          <w:szCs w:val="24"/>
        </w:rPr>
        <w:t xml:space="preserve"> 000 140110172 кредит </w:t>
      </w:r>
      <w:proofErr w:type="spellStart"/>
      <w:r>
        <w:rPr>
          <w:rFonts w:ascii="Times New Roman" w:hAnsi="Times New Roman" w:cs="Times New Roman"/>
          <w:sz w:val="24"/>
          <w:szCs w:val="24"/>
        </w:rPr>
        <w:t>хххх</w:t>
      </w:r>
      <w:proofErr w:type="spellEnd"/>
      <w:r>
        <w:rPr>
          <w:rFonts w:ascii="Times New Roman" w:hAnsi="Times New Roman" w:cs="Times New Roman"/>
          <w:sz w:val="24"/>
          <w:szCs w:val="24"/>
        </w:rPr>
        <w:t xml:space="preserve"> 00000000000 000 1101хх410 – по балансовой стоимости объекта;</w:t>
      </w:r>
    </w:p>
    <w:p>
      <w:pPr>
        <w:pStyle w:val="ConsNormal"/>
        <w:ind w:firstLine="708"/>
        <w:jc w:val="both"/>
        <w:rPr>
          <w:rFonts w:ascii="Times New Roman" w:hAnsi="Times New Roman" w:cs="Times New Roman"/>
          <w:sz w:val="24"/>
          <w:szCs w:val="24"/>
        </w:rPr>
      </w:pPr>
      <w:proofErr w:type="gramStart"/>
      <w:r>
        <w:rPr>
          <w:rFonts w:ascii="Times New Roman" w:hAnsi="Times New Roman" w:cs="Times New Roman"/>
          <w:sz w:val="24"/>
          <w:szCs w:val="24"/>
        </w:rPr>
        <w:t>дебет</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хххх</w:t>
      </w:r>
      <w:proofErr w:type="spellEnd"/>
      <w:r>
        <w:rPr>
          <w:rFonts w:ascii="Times New Roman" w:hAnsi="Times New Roman" w:cs="Times New Roman"/>
          <w:sz w:val="24"/>
          <w:szCs w:val="24"/>
        </w:rPr>
        <w:t xml:space="preserve"> 0000000000 000 1104хх411, </w:t>
      </w:r>
      <w:proofErr w:type="spellStart"/>
      <w:r>
        <w:rPr>
          <w:rFonts w:ascii="Times New Roman" w:hAnsi="Times New Roman" w:cs="Times New Roman"/>
          <w:sz w:val="24"/>
          <w:szCs w:val="24"/>
        </w:rPr>
        <w:t>хххх</w:t>
      </w:r>
      <w:proofErr w:type="spellEnd"/>
      <w:r>
        <w:rPr>
          <w:rFonts w:ascii="Times New Roman" w:hAnsi="Times New Roman" w:cs="Times New Roman"/>
          <w:sz w:val="24"/>
          <w:szCs w:val="24"/>
        </w:rPr>
        <w:t xml:space="preserve"> 00000000000 000 1114хх412 кредит </w:t>
      </w:r>
      <w:proofErr w:type="spellStart"/>
      <w:r>
        <w:rPr>
          <w:rFonts w:ascii="Times New Roman" w:hAnsi="Times New Roman" w:cs="Times New Roman"/>
          <w:sz w:val="24"/>
          <w:szCs w:val="24"/>
        </w:rPr>
        <w:t>хххх</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ххххххххх</w:t>
      </w:r>
      <w:proofErr w:type="spellEnd"/>
      <w:r>
        <w:rPr>
          <w:rFonts w:ascii="Times New Roman" w:hAnsi="Times New Roman" w:cs="Times New Roman"/>
          <w:sz w:val="24"/>
          <w:szCs w:val="24"/>
        </w:rPr>
        <w:t xml:space="preserve"> 000 140110172 – на сумму начисленной амортизации и убытка от обесценения актива.</w:t>
      </w:r>
    </w:p>
    <w:p>
      <w:pPr>
        <w:ind w:firstLine="708"/>
        <w:jc w:val="both"/>
        <w:rPr>
          <w:rFonts w:eastAsiaTheme="minorHAnsi"/>
          <w:sz w:val="24"/>
          <w:szCs w:val="24"/>
          <w:lang w:eastAsia="en-US"/>
        </w:rPr>
      </w:pPr>
      <w:r>
        <w:rPr>
          <w:sz w:val="24"/>
          <w:szCs w:val="24"/>
        </w:rPr>
        <w:t>13.33 </w:t>
      </w:r>
      <w:r>
        <w:rPr>
          <w:rFonts w:eastAsiaTheme="minorHAnsi"/>
          <w:sz w:val="24"/>
          <w:szCs w:val="24"/>
          <w:lang w:eastAsia="en-US"/>
        </w:rPr>
        <w:t xml:space="preserve">В соответствии с </w:t>
      </w:r>
      <w:hyperlink r:id="rId94" w:history="1">
        <w:r>
          <w:rPr>
            <w:rFonts w:eastAsiaTheme="minorHAnsi"/>
            <w:sz w:val="24"/>
            <w:szCs w:val="24"/>
            <w:lang w:eastAsia="en-US"/>
          </w:rPr>
          <w:t>п. 45</w:t>
        </w:r>
      </w:hyperlink>
      <w:r>
        <w:rPr>
          <w:rFonts w:eastAsiaTheme="minorHAnsi"/>
          <w:sz w:val="24"/>
          <w:szCs w:val="24"/>
          <w:lang w:eastAsia="en-US"/>
        </w:rPr>
        <w:t xml:space="preserve"> СГС «Основные средства» признание объекта основных средств в бухгалтерском учёте Управления в качестве актива прекращается в случае выбытия объекта имущества:</w:t>
      </w:r>
    </w:p>
    <w:p>
      <w:pPr>
        <w:ind w:firstLine="708"/>
        <w:jc w:val="both"/>
        <w:rPr>
          <w:rFonts w:eastAsiaTheme="minorHAnsi"/>
          <w:sz w:val="24"/>
          <w:szCs w:val="24"/>
          <w:lang w:eastAsia="en-US"/>
        </w:rPr>
      </w:pPr>
      <w:proofErr w:type="gramStart"/>
      <w:r>
        <w:rPr>
          <w:rFonts w:eastAsiaTheme="minorHAnsi"/>
          <w:sz w:val="24"/>
          <w:szCs w:val="24"/>
          <w:lang w:eastAsia="en-US"/>
        </w:rPr>
        <w:t>а</w:t>
      </w:r>
      <w:proofErr w:type="gramEnd"/>
      <w:r>
        <w:rPr>
          <w:rFonts w:eastAsiaTheme="minorHAnsi"/>
          <w:sz w:val="24"/>
          <w:szCs w:val="24"/>
          <w:lang w:eastAsia="en-US"/>
        </w:rPr>
        <w:t>) при принятии решения о списании муниципального имущества;</w:t>
      </w:r>
    </w:p>
    <w:p>
      <w:pPr>
        <w:ind w:firstLine="708"/>
        <w:jc w:val="both"/>
        <w:rPr>
          <w:rFonts w:eastAsiaTheme="minorHAnsi"/>
          <w:sz w:val="24"/>
          <w:szCs w:val="24"/>
          <w:lang w:eastAsia="en-US"/>
        </w:rPr>
      </w:pPr>
      <w:proofErr w:type="gramStart"/>
      <w:r>
        <w:rPr>
          <w:rFonts w:eastAsiaTheme="minorHAnsi"/>
          <w:sz w:val="24"/>
          <w:szCs w:val="24"/>
          <w:lang w:eastAsia="en-US"/>
        </w:rPr>
        <w:t>б</w:t>
      </w:r>
      <w:proofErr w:type="gramEnd"/>
      <w:r>
        <w:rPr>
          <w:rFonts w:eastAsiaTheme="minorHAnsi"/>
          <w:sz w:val="24"/>
          <w:szCs w:val="24"/>
          <w:lang w:eastAsia="en-US"/>
        </w:rPr>
        <w:t>) при решении о прекращении использования объекта основных средств для целей, предусмотренных при признании объекта основных средств, и прекращении получения Управлением экономических выгод или полезного потенциала от дальнейшего использования объекта основных средств;</w:t>
      </w:r>
    </w:p>
    <w:p>
      <w:pPr>
        <w:ind w:firstLine="708"/>
        <w:jc w:val="both"/>
        <w:rPr>
          <w:rFonts w:eastAsiaTheme="minorHAnsi"/>
          <w:sz w:val="24"/>
          <w:szCs w:val="24"/>
          <w:lang w:eastAsia="en-US"/>
        </w:rPr>
      </w:pPr>
      <w:proofErr w:type="gramStart"/>
      <w:r>
        <w:rPr>
          <w:rFonts w:eastAsiaTheme="minorHAnsi"/>
          <w:sz w:val="24"/>
          <w:szCs w:val="24"/>
          <w:lang w:eastAsia="en-US"/>
        </w:rPr>
        <w:t>в</w:t>
      </w:r>
      <w:proofErr w:type="gramEnd"/>
      <w:r>
        <w:rPr>
          <w:rFonts w:eastAsiaTheme="minorHAnsi"/>
          <w:sz w:val="24"/>
          <w:szCs w:val="24"/>
          <w:lang w:eastAsia="en-US"/>
        </w:rPr>
        <w:t>) при передаче в соответствии с договором безвозмездного пользования, в случае возникновения у получателя такого имущества объекта бюджетного учёта в составе основных средств;</w:t>
      </w:r>
    </w:p>
    <w:p>
      <w:pPr>
        <w:ind w:firstLine="708"/>
        <w:jc w:val="both"/>
        <w:rPr>
          <w:rFonts w:eastAsiaTheme="minorHAnsi"/>
          <w:sz w:val="24"/>
          <w:szCs w:val="24"/>
          <w:lang w:eastAsia="en-US"/>
        </w:rPr>
      </w:pPr>
      <w:proofErr w:type="gramStart"/>
      <w:r>
        <w:rPr>
          <w:rFonts w:eastAsiaTheme="minorHAnsi"/>
          <w:sz w:val="24"/>
          <w:szCs w:val="24"/>
          <w:lang w:eastAsia="en-US"/>
        </w:rPr>
        <w:t>г</w:t>
      </w:r>
      <w:proofErr w:type="gramEnd"/>
      <w:r>
        <w:rPr>
          <w:rFonts w:eastAsiaTheme="minorHAnsi"/>
          <w:sz w:val="24"/>
          <w:szCs w:val="24"/>
          <w:lang w:eastAsia="en-US"/>
        </w:rPr>
        <w:t>) при передаче другой организации муниципального сектора;</w:t>
      </w:r>
    </w:p>
    <w:p>
      <w:pPr>
        <w:ind w:firstLine="708"/>
        <w:jc w:val="both"/>
        <w:rPr>
          <w:rFonts w:eastAsiaTheme="minorHAnsi"/>
          <w:sz w:val="24"/>
          <w:szCs w:val="24"/>
          <w:lang w:eastAsia="en-US"/>
        </w:rPr>
      </w:pPr>
      <w:proofErr w:type="gramStart"/>
      <w:r>
        <w:rPr>
          <w:rFonts w:eastAsiaTheme="minorHAnsi"/>
          <w:sz w:val="24"/>
          <w:szCs w:val="24"/>
          <w:lang w:eastAsia="en-US"/>
        </w:rPr>
        <w:t>д</w:t>
      </w:r>
      <w:proofErr w:type="gramEnd"/>
      <w:r>
        <w:rPr>
          <w:rFonts w:eastAsiaTheme="minorHAnsi"/>
          <w:sz w:val="24"/>
          <w:szCs w:val="24"/>
          <w:lang w:eastAsia="en-US"/>
        </w:rPr>
        <w:t>) при передаче в результате дарения;</w:t>
      </w:r>
    </w:p>
    <w:p>
      <w:pPr>
        <w:ind w:firstLine="708"/>
        <w:jc w:val="both"/>
        <w:rPr>
          <w:rFonts w:eastAsiaTheme="minorHAnsi"/>
          <w:sz w:val="24"/>
          <w:szCs w:val="24"/>
          <w:lang w:eastAsia="en-US"/>
        </w:rPr>
      </w:pPr>
      <w:proofErr w:type="gramStart"/>
      <w:r>
        <w:rPr>
          <w:rFonts w:eastAsiaTheme="minorHAnsi"/>
          <w:sz w:val="24"/>
          <w:szCs w:val="24"/>
          <w:lang w:eastAsia="en-US"/>
        </w:rPr>
        <w:t>е</w:t>
      </w:r>
      <w:proofErr w:type="gramEnd"/>
      <w:r>
        <w:rPr>
          <w:rFonts w:eastAsiaTheme="minorHAnsi"/>
          <w:sz w:val="24"/>
          <w:szCs w:val="24"/>
          <w:lang w:eastAsia="en-US"/>
        </w:rPr>
        <w:t>) по иным основаниям, предусматривающим в соответствии с законодательством Российской Федерации прекращение права оперативного управления имуществом (права владения и (или) пользования имуществом, полученным по договору аренды (имущественного найма) либо договору безвозмездного пользования).</w:t>
      </w:r>
    </w:p>
    <w:p>
      <w:pPr>
        <w:ind w:firstLine="708"/>
        <w:jc w:val="both"/>
        <w:rPr>
          <w:rFonts w:eastAsiaTheme="minorHAnsi"/>
          <w:sz w:val="24"/>
          <w:szCs w:val="24"/>
          <w:lang w:eastAsia="en-US"/>
        </w:rPr>
      </w:pPr>
      <w:r>
        <w:rPr>
          <w:rFonts w:eastAsiaTheme="minorHAnsi"/>
          <w:sz w:val="24"/>
          <w:szCs w:val="24"/>
          <w:lang w:eastAsia="en-US"/>
        </w:rPr>
        <w:t>При принятии решения об отражении выбытия с бюджетного учёта объекта основных средств Управлением применяются следующие критерии прекращения признания объекта основных средств:</w:t>
      </w:r>
    </w:p>
    <w:p>
      <w:pPr>
        <w:ind w:firstLine="708"/>
        <w:jc w:val="both"/>
        <w:rPr>
          <w:rFonts w:eastAsiaTheme="minorHAnsi"/>
          <w:sz w:val="24"/>
          <w:szCs w:val="24"/>
          <w:lang w:eastAsia="en-US"/>
        </w:rPr>
      </w:pPr>
      <w:proofErr w:type="gramStart"/>
      <w:r>
        <w:rPr>
          <w:rFonts w:eastAsiaTheme="minorHAnsi"/>
          <w:sz w:val="24"/>
          <w:szCs w:val="24"/>
          <w:lang w:eastAsia="en-US"/>
        </w:rPr>
        <w:t>а</w:t>
      </w:r>
      <w:proofErr w:type="gramEnd"/>
      <w:r>
        <w:rPr>
          <w:rFonts w:eastAsiaTheme="minorHAnsi"/>
          <w:sz w:val="24"/>
          <w:szCs w:val="24"/>
          <w:lang w:eastAsia="en-US"/>
        </w:rPr>
        <w:t>) не осуществляет контроль над активом, признанным в составе основных средств, не несет расходов и не обладает правом получения экономических выгод, извлечения полезного потенциала, связанных с распоряжением (владением и (или) пользованием) объектом имущества, отраженного в бухгалтерском учёте в составе основных средств;</w:t>
      </w:r>
    </w:p>
    <w:p>
      <w:pPr>
        <w:ind w:firstLine="708"/>
        <w:jc w:val="both"/>
        <w:rPr>
          <w:rFonts w:eastAsiaTheme="minorHAnsi"/>
          <w:sz w:val="24"/>
          <w:szCs w:val="24"/>
          <w:lang w:eastAsia="en-US"/>
        </w:rPr>
      </w:pPr>
      <w:proofErr w:type="gramStart"/>
      <w:r>
        <w:rPr>
          <w:rFonts w:eastAsiaTheme="minorHAnsi"/>
          <w:sz w:val="24"/>
          <w:szCs w:val="24"/>
          <w:lang w:eastAsia="en-US"/>
        </w:rPr>
        <w:t>б</w:t>
      </w:r>
      <w:proofErr w:type="gramEnd"/>
      <w:r>
        <w:rPr>
          <w:rFonts w:eastAsiaTheme="minorHAnsi"/>
          <w:sz w:val="24"/>
          <w:szCs w:val="24"/>
          <w:lang w:eastAsia="en-US"/>
        </w:rPr>
        <w:t>) не участвует в распоряжении (владении и (или) пользовании) выбывшим объектом имущества, отраженным в бухгалтерском учёте в составе основных средств или в осуществлении его использования в той степени, которая предусматривалась при признании объекта имущества в составе основных средств;</w:t>
      </w:r>
    </w:p>
    <w:p>
      <w:pPr>
        <w:ind w:firstLine="708"/>
        <w:jc w:val="both"/>
        <w:rPr>
          <w:rFonts w:eastAsiaTheme="minorHAnsi"/>
          <w:sz w:val="24"/>
          <w:szCs w:val="24"/>
          <w:lang w:eastAsia="en-US"/>
        </w:rPr>
      </w:pPr>
      <w:proofErr w:type="gramStart"/>
      <w:r>
        <w:rPr>
          <w:rFonts w:eastAsiaTheme="minorHAnsi"/>
          <w:sz w:val="24"/>
          <w:szCs w:val="24"/>
          <w:lang w:eastAsia="en-US"/>
        </w:rPr>
        <w:t>в</w:t>
      </w:r>
      <w:proofErr w:type="gramEnd"/>
      <w:r>
        <w:rPr>
          <w:rFonts w:eastAsiaTheme="minorHAnsi"/>
          <w:sz w:val="24"/>
          <w:szCs w:val="24"/>
          <w:lang w:eastAsia="en-US"/>
        </w:rPr>
        <w:t>) величина дохода (расхода) от выбытия объекта основных средств имеет оценку;</w:t>
      </w:r>
    </w:p>
    <w:p>
      <w:pPr>
        <w:ind w:firstLine="708"/>
        <w:jc w:val="both"/>
        <w:rPr>
          <w:rFonts w:eastAsiaTheme="minorHAnsi"/>
          <w:sz w:val="24"/>
          <w:szCs w:val="24"/>
          <w:lang w:eastAsia="en-US"/>
        </w:rPr>
      </w:pPr>
      <w:proofErr w:type="gramStart"/>
      <w:r>
        <w:rPr>
          <w:rFonts w:eastAsiaTheme="minorHAnsi"/>
          <w:sz w:val="24"/>
          <w:szCs w:val="24"/>
          <w:lang w:eastAsia="en-US"/>
        </w:rPr>
        <w:t>г</w:t>
      </w:r>
      <w:proofErr w:type="gramEnd"/>
      <w:r>
        <w:rPr>
          <w:rFonts w:eastAsiaTheme="minorHAnsi"/>
          <w:sz w:val="24"/>
          <w:szCs w:val="24"/>
          <w:lang w:eastAsia="en-US"/>
        </w:rPr>
        <w:t>) прогнозируемые к получению экономические выгоды или полезный потенциал, связанные с объектом основных средств, а также прогнозируемые (понесенные) затраты (убытки), связанные с выбытием объекта основных средств, имеют оценку.</w:t>
      </w:r>
    </w:p>
    <w:p>
      <w:pPr>
        <w:ind w:firstLine="708"/>
        <w:jc w:val="both"/>
        <w:rPr>
          <w:rFonts w:eastAsiaTheme="minorHAnsi"/>
          <w:sz w:val="24"/>
          <w:szCs w:val="24"/>
          <w:lang w:eastAsia="en-US"/>
        </w:rPr>
      </w:pPr>
      <w:r>
        <w:rPr>
          <w:sz w:val="24"/>
          <w:szCs w:val="24"/>
        </w:rPr>
        <w:t>13.34 </w:t>
      </w:r>
      <w:r>
        <w:rPr>
          <w:rFonts w:eastAsiaTheme="minorHAnsi"/>
          <w:sz w:val="24"/>
          <w:szCs w:val="24"/>
          <w:lang w:eastAsia="en-US"/>
        </w:rPr>
        <w:t xml:space="preserve">Комиссия по поступлению и выбытию составляет акты о списании </w:t>
      </w:r>
      <w:hyperlink r:id="rId95" w:history="1">
        <w:r>
          <w:rPr>
            <w:rFonts w:eastAsiaTheme="minorHAnsi"/>
            <w:sz w:val="24"/>
            <w:szCs w:val="24"/>
            <w:lang w:eastAsia="en-US"/>
          </w:rPr>
          <w:t>нефинансовых</w:t>
        </w:r>
      </w:hyperlink>
      <w:r>
        <w:rPr>
          <w:rFonts w:eastAsiaTheme="minorHAnsi"/>
          <w:sz w:val="24"/>
          <w:szCs w:val="24"/>
          <w:lang w:eastAsia="en-US"/>
        </w:rPr>
        <w:t xml:space="preserve"> активов по унифицированным формам, предусмотренным Приказом                № 52н, в которых должно быть основание для принятия решения о прекращении использования объекта основных средств. Такое решение также может принять инвентаризационная комиссия, о чем составляется Акт о результатах инвентаризации </w:t>
      </w:r>
      <w:hyperlink r:id="rId96" w:history="1">
        <w:r>
          <w:rPr>
            <w:rFonts w:eastAsiaTheme="minorHAnsi"/>
            <w:sz w:val="24"/>
            <w:szCs w:val="24"/>
            <w:lang w:eastAsia="en-US"/>
          </w:rPr>
          <w:t>(форма 0504835)</w:t>
        </w:r>
      </w:hyperlink>
      <w:r>
        <w:rPr>
          <w:rFonts w:eastAsiaTheme="minorHAnsi"/>
          <w:sz w:val="24"/>
          <w:szCs w:val="24"/>
          <w:lang w:eastAsia="en-US"/>
        </w:rPr>
        <w:t>, который служит основанием для выбытия основного средства с баланса.</w:t>
      </w:r>
    </w:p>
    <w:p>
      <w:pPr>
        <w:ind w:firstLine="567"/>
        <w:jc w:val="both"/>
        <w:rPr>
          <w:rFonts w:eastAsiaTheme="minorHAnsi"/>
          <w:sz w:val="24"/>
          <w:szCs w:val="24"/>
          <w:lang w:eastAsia="en-US"/>
        </w:rPr>
      </w:pPr>
      <w:r>
        <w:rPr>
          <w:rFonts w:eastAsiaTheme="minorHAnsi"/>
          <w:sz w:val="24"/>
          <w:szCs w:val="24"/>
          <w:lang w:eastAsia="en-US"/>
        </w:rPr>
        <w:t xml:space="preserve">На основании принятых комиссией решений Отделом составляется Бухгалтерская справка </w:t>
      </w:r>
      <w:hyperlink r:id="rId97" w:history="1">
        <w:r>
          <w:rPr>
            <w:rFonts w:eastAsiaTheme="minorHAnsi"/>
            <w:sz w:val="24"/>
            <w:szCs w:val="24"/>
            <w:lang w:eastAsia="en-US"/>
          </w:rPr>
          <w:t>(форма 0504833)</w:t>
        </w:r>
      </w:hyperlink>
      <w:r>
        <w:rPr>
          <w:rFonts w:eastAsiaTheme="minorHAnsi"/>
          <w:sz w:val="24"/>
          <w:szCs w:val="24"/>
          <w:lang w:eastAsia="en-US"/>
        </w:rPr>
        <w:t>, в которой отражаются бухгалтерские записи по выбытию основных средств с баланса с одновременным отражением информации об указанных объектах имущества на забалансовом счёте 02 «Материальные ценности, принятые на хранение» (письмо Минфина России от 15.12.2017г. № 02-07-07/84237).</w:t>
      </w:r>
    </w:p>
    <w:p>
      <w:pPr>
        <w:ind w:firstLine="708"/>
        <w:jc w:val="both"/>
        <w:rPr>
          <w:rFonts w:eastAsia="Calibri"/>
          <w:sz w:val="24"/>
          <w:szCs w:val="24"/>
        </w:rPr>
      </w:pPr>
      <w:r>
        <w:rPr>
          <w:rFonts w:eastAsia="Calibri"/>
          <w:sz w:val="24"/>
          <w:szCs w:val="24"/>
        </w:rPr>
        <w:t xml:space="preserve">К оформленным актам о списании нефинансовых активов прикладываются копии Инвентарных карточек учёта нефинансовых активов </w:t>
      </w:r>
      <w:hyperlink r:id="rId98" w:history="1">
        <w:r>
          <w:rPr>
            <w:rFonts w:eastAsia="Calibri"/>
            <w:sz w:val="24"/>
            <w:szCs w:val="24"/>
          </w:rPr>
          <w:t>(форма 0509215)</w:t>
        </w:r>
      </w:hyperlink>
      <w:r>
        <w:rPr>
          <w:rFonts w:eastAsia="Calibri"/>
          <w:sz w:val="24"/>
          <w:szCs w:val="24"/>
        </w:rPr>
        <w:t>, сформированные на дату составления.</w:t>
      </w:r>
    </w:p>
    <w:p>
      <w:pPr>
        <w:pStyle w:val="ConsNormal"/>
        <w:ind w:firstLine="708"/>
        <w:jc w:val="both"/>
        <w:rPr>
          <w:rFonts w:ascii="Times New Roman" w:eastAsia="Calibri" w:hAnsi="Times New Roman" w:cs="Times New Roman"/>
          <w:sz w:val="24"/>
          <w:szCs w:val="24"/>
        </w:rPr>
      </w:pPr>
      <w:r>
        <w:rPr>
          <w:rFonts w:ascii="Times New Roman" w:hAnsi="Times New Roman" w:cs="Times New Roman"/>
          <w:sz w:val="24"/>
          <w:szCs w:val="24"/>
        </w:rPr>
        <w:t xml:space="preserve">13.35 Лица, ответственные за хранение основных средств, ведут Инвентарные списки нефинансовых активов, за исключением библиотечных фондов (форма 0504034). </w:t>
      </w:r>
      <w:r>
        <w:rPr>
          <w:rFonts w:ascii="Times New Roman" w:eastAsia="Calibri" w:hAnsi="Times New Roman" w:cs="Times New Roman"/>
          <w:sz w:val="24"/>
          <w:szCs w:val="24"/>
        </w:rPr>
        <w:t xml:space="preserve">Инвентарный список (форма 0504034) применяется для учёта объектов основных средств (кроме объектов библиотечных фондов, предметов мягкого инвентаря, посуды), а также нематериальных активов в местах их нахождения (хранения, эксплуатации). Ведется ответственным лицом Управления. В Инвентарный список </w:t>
      </w:r>
      <w:hyperlink r:id="rId99" w:history="1">
        <w:r>
          <w:rPr>
            <w:rFonts w:ascii="Times New Roman" w:eastAsia="Calibri" w:hAnsi="Times New Roman" w:cs="Times New Roman"/>
            <w:sz w:val="24"/>
            <w:szCs w:val="24"/>
          </w:rPr>
          <w:t>(форма 0504034)</w:t>
        </w:r>
      </w:hyperlink>
      <w:r>
        <w:rPr>
          <w:rFonts w:ascii="Times New Roman" w:eastAsia="Calibri" w:hAnsi="Times New Roman" w:cs="Times New Roman"/>
          <w:sz w:val="24"/>
          <w:szCs w:val="24"/>
        </w:rPr>
        <w:t xml:space="preserve"> записывается каждый объект с указанием номера инвентарной карточки, заводского номера (при наличии), инвентарного номера, наименования объекта. При выбытии объектов указывается дата и номер документа и причина выбытия.</w:t>
      </w:r>
    </w:p>
    <w:p>
      <w:pPr>
        <w:pStyle w:val="Style4"/>
        <w:widowControl/>
        <w:spacing w:line="240" w:lineRule="auto"/>
        <w:ind w:firstLine="709"/>
      </w:pPr>
      <w:r>
        <w:t>13.36 Начисление амортизации осуществляется следующим образом (п. 39 СГС «Основные средства»):</w:t>
      </w:r>
    </w:p>
    <w:p>
      <w:pPr>
        <w:pStyle w:val="Style4"/>
        <w:widowControl/>
        <w:spacing w:line="240" w:lineRule="auto"/>
        <w:ind w:firstLine="709"/>
      </w:pPr>
      <w:r>
        <w:t xml:space="preserve">- методом уменьшаемого остатка с применением коэффициента 2 на компьютерное оборудование и сотовые телефоны; </w:t>
      </w:r>
    </w:p>
    <w:p>
      <w:pPr>
        <w:pStyle w:val="Style4"/>
        <w:widowControl/>
        <w:spacing w:line="240" w:lineRule="auto"/>
        <w:ind w:firstLine="709"/>
      </w:pPr>
      <w:r>
        <w:t xml:space="preserve">- линейным методом – на остальные объекты основных средств. </w:t>
      </w:r>
    </w:p>
    <w:p>
      <w:pPr>
        <w:ind w:firstLine="708"/>
        <w:jc w:val="both"/>
        <w:rPr>
          <w:rFonts w:eastAsia="Calibri"/>
          <w:sz w:val="24"/>
          <w:szCs w:val="24"/>
          <w:lang w:eastAsia="en-US"/>
        </w:rPr>
      </w:pPr>
      <w:r>
        <w:rPr>
          <w:sz w:val="24"/>
          <w:szCs w:val="24"/>
        </w:rPr>
        <w:t>М</w:t>
      </w:r>
      <w:r>
        <w:rPr>
          <w:rFonts w:eastAsia="Calibri"/>
          <w:sz w:val="24"/>
          <w:szCs w:val="24"/>
          <w:lang w:eastAsia="en-US"/>
        </w:rPr>
        <w:t>етод начисления амортизации применяется относительно объекта основных средств последовательно от периода к периоду, кроме случаев изменения ожидаемого способа получения будущих экономических выгод или полезного потенциала от использования объекта основных средств.</w:t>
      </w:r>
    </w:p>
    <w:p>
      <w:pPr>
        <w:widowControl/>
        <w:ind w:firstLine="708"/>
        <w:jc w:val="both"/>
        <w:rPr>
          <w:sz w:val="24"/>
          <w:szCs w:val="24"/>
        </w:rPr>
      </w:pPr>
      <w:r>
        <w:rPr>
          <w:bCs/>
          <w:sz w:val="24"/>
          <w:szCs w:val="24"/>
        </w:rPr>
        <w:t>Размер амортизации объекта основных средств движимого или недвижимого имущества</w:t>
      </w:r>
      <w:r>
        <w:rPr>
          <w:sz w:val="24"/>
          <w:szCs w:val="24"/>
        </w:rPr>
        <w:t xml:space="preserve"> зависит от его стоимости:</w:t>
      </w:r>
    </w:p>
    <w:p>
      <w:pPr>
        <w:widowControl/>
        <w:ind w:firstLine="708"/>
        <w:jc w:val="both"/>
        <w:rPr>
          <w:sz w:val="24"/>
          <w:szCs w:val="24"/>
        </w:rPr>
      </w:pPr>
      <w:r>
        <w:rPr>
          <w:sz w:val="24"/>
          <w:szCs w:val="24"/>
        </w:rPr>
        <w:t>- до 10 000 руб. (включительно) - не начисляется, стоимость объекта единовременно списывается с учёта при вводе (передаче) в эксплуатацию;</w:t>
      </w:r>
    </w:p>
    <w:p>
      <w:pPr>
        <w:widowControl/>
        <w:ind w:firstLine="708"/>
        <w:jc w:val="both"/>
        <w:rPr>
          <w:sz w:val="24"/>
          <w:szCs w:val="24"/>
        </w:rPr>
      </w:pPr>
      <w:r>
        <w:rPr>
          <w:sz w:val="24"/>
          <w:szCs w:val="24"/>
        </w:rPr>
        <w:t>- от 10 000 до 100 000 руб. (включительно) - начисляется 100% при выдаче                           в эксплуатацию;</w:t>
      </w:r>
    </w:p>
    <w:p>
      <w:pPr>
        <w:widowControl/>
        <w:ind w:firstLine="708"/>
        <w:jc w:val="both"/>
        <w:rPr>
          <w:sz w:val="24"/>
          <w:szCs w:val="24"/>
        </w:rPr>
      </w:pPr>
      <w:r>
        <w:rPr>
          <w:sz w:val="24"/>
          <w:szCs w:val="24"/>
        </w:rPr>
        <w:t>- свыше 100 000 руб. - начисляется по нормам амортизации.</w:t>
      </w:r>
    </w:p>
    <w:p>
      <w:pPr>
        <w:widowControl/>
        <w:ind w:firstLine="708"/>
        <w:jc w:val="both"/>
        <w:rPr>
          <w:sz w:val="24"/>
          <w:szCs w:val="24"/>
        </w:rPr>
      </w:pPr>
      <w:r>
        <w:rPr>
          <w:sz w:val="24"/>
          <w:szCs w:val="24"/>
        </w:rPr>
        <w:t xml:space="preserve">При выборе кодов ОКОФ для определения амортизационной группы в соответствии с </w:t>
      </w:r>
      <w:hyperlink r:id="rId100" w:history="1">
        <w:r>
          <w:rPr>
            <w:sz w:val="24"/>
            <w:szCs w:val="24"/>
          </w:rPr>
          <w:t>Классификацией</w:t>
        </w:r>
      </w:hyperlink>
      <w:r>
        <w:rPr>
          <w:sz w:val="24"/>
          <w:szCs w:val="24"/>
        </w:rPr>
        <w:t xml:space="preserve"> основных средств, включаемых в амортизационные группы, утвержденной постановлением Правительства Российской Федерации от 01.012002 № 1, выбирать амортизационную группу с наибольшим сроком полезного использования.</w:t>
      </w:r>
    </w:p>
    <w:p>
      <w:pPr>
        <w:widowControl/>
        <w:ind w:firstLine="708"/>
        <w:jc w:val="both"/>
        <w:rPr>
          <w:sz w:val="24"/>
          <w:szCs w:val="24"/>
        </w:rPr>
      </w:pPr>
      <w:r>
        <w:rPr>
          <w:bCs/>
          <w:sz w:val="24"/>
          <w:szCs w:val="24"/>
        </w:rPr>
        <w:t>Амортизация может начисляться самостоятельно на структурную часть объекта</w:t>
      </w:r>
      <w:r>
        <w:rPr>
          <w:sz w:val="24"/>
          <w:szCs w:val="24"/>
        </w:rPr>
        <w:t xml:space="preserve"> основных средств отдельно от иных частей, составляющих совместно со структурными частями объекта единый объект основных средств.</w:t>
      </w:r>
    </w:p>
    <w:p>
      <w:pPr>
        <w:ind w:firstLine="708"/>
        <w:jc w:val="both"/>
        <w:rPr>
          <w:rFonts w:eastAsia="SimSun"/>
          <w:sz w:val="24"/>
          <w:szCs w:val="24"/>
          <w:lang w:eastAsia="zh-CN"/>
        </w:rPr>
      </w:pPr>
      <w:r>
        <w:rPr>
          <w:rFonts w:eastAsia="SimSun"/>
          <w:sz w:val="24"/>
          <w:szCs w:val="24"/>
          <w:lang w:eastAsia="zh-CN"/>
        </w:rPr>
        <w:t xml:space="preserve">13.37 Выявленные при инвентаризации излишки основных средств отражать записью дебет </w:t>
      </w:r>
      <w:proofErr w:type="spellStart"/>
      <w:r>
        <w:rPr>
          <w:rFonts w:eastAsia="SimSun"/>
          <w:sz w:val="24"/>
          <w:szCs w:val="24"/>
          <w:lang w:eastAsia="zh-CN"/>
        </w:rPr>
        <w:t>хххх</w:t>
      </w:r>
      <w:proofErr w:type="spellEnd"/>
      <w:r>
        <w:rPr>
          <w:rFonts w:eastAsia="SimSun"/>
          <w:sz w:val="24"/>
          <w:szCs w:val="24"/>
          <w:lang w:eastAsia="zh-CN"/>
        </w:rPr>
        <w:t xml:space="preserve"> 0000000000 000 1 1013х 310 кредит </w:t>
      </w:r>
      <w:proofErr w:type="spellStart"/>
      <w:r>
        <w:rPr>
          <w:rFonts w:eastAsia="SimSun"/>
          <w:sz w:val="24"/>
          <w:szCs w:val="24"/>
          <w:lang w:eastAsia="zh-CN"/>
        </w:rPr>
        <w:t>хххх</w:t>
      </w:r>
      <w:proofErr w:type="spellEnd"/>
      <w:r>
        <w:rPr>
          <w:rFonts w:eastAsia="SimSun"/>
          <w:sz w:val="24"/>
          <w:szCs w:val="24"/>
          <w:lang w:eastAsia="zh-CN"/>
        </w:rPr>
        <w:t xml:space="preserve"> </w:t>
      </w:r>
      <w:proofErr w:type="spellStart"/>
      <w:r>
        <w:rPr>
          <w:rFonts w:eastAsia="SimSun"/>
          <w:sz w:val="24"/>
          <w:szCs w:val="24"/>
          <w:lang w:eastAsia="zh-CN"/>
        </w:rPr>
        <w:t>хххххххххх</w:t>
      </w:r>
      <w:proofErr w:type="spellEnd"/>
      <w:r>
        <w:rPr>
          <w:rFonts w:eastAsia="SimSun"/>
          <w:sz w:val="24"/>
          <w:szCs w:val="24"/>
          <w:lang w:eastAsia="zh-CN"/>
        </w:rPr>
        <w:t xml:space="preserve"> 000 1 40110 199 по справедливой стоимости.</w:t>
      </w:r>
    </w:p>
    <w:p>
      <w:pPr>
        <w:ind w:firstLine="708"/>
        <w:jc w:val="both"/>
        <w:rPr>
          <w:rFonts w:eastAsia="Calibri"/>
          <w:sz w:val="24"/>
          <w:szCs w:val="24"/>
        </w:rPr>
      </w:pPr>
      <w:r>
        <w:rPr>
          <w:sz w:val="24"/>
          <w:szCs w:val="24"/>
        </w:rPr>
        <w:t xml:space="preserve">13.38 </w:t>
      </w:r>
      <w:r>
        <w:rPr>
          <w:rFonts w:eastAsia="Calibri"/>
          <w:sz w:val="24"/>
          <w:szCs w:val="24"/>
        </w:rPr>
        <w:t>В случае, если замена отдельной части в составе объекта основного средства позволит поддержать его рабочее состояние, производить частичную ликвидацию (</w:t>
      </w:r>
      <w:proofErr w:type="spellStart"/>
      <w:r>
        <w:rPr>
          <w:rFonts w:eastAsia="Calibri"/>
          <w:sz w:val="24"/>
          <w:szCs w:val="24"/>
        </w:rPr>
        <w:t>разукомплектацию</w:t>
      </w:r>
      <w:proofErr w:type="spellEnd"/>
      <w:r>
        <w:rPr>
          <w:rFonts w:eastAsia="Calibri"/>
          <w:sz w:val="24"/>
          <w:szCs w:val="24"/>
        </w:rPr>
        <w:t>) этого объекта. Если дальнейшая эксплуатация объекта как единого комплекса невозможна, этот инвентарный объект подлежит списанию с балансового учёта, а его составные части следует оприходовать в качестве других объектов основных средств или материальных запасов, если они могут быть использованы в качестве запасных частей.</w:t>
      </w:r>
    </w:p>
    <w:p>
      <w:pPr>
        <w:ind w:firstLine="708"/>
        <w:jc w:val="both"/>
        <w:rPr>
          <w:rFonts w:eastAsia="Calibri"/>
          <w:sz w:val="24"/>
          <w:szCs w:val="24"/>
        </w:rPr>
      </w:pPr>
      <w:r>
        <w:rPr>
          <w:rFonts w:eastAsia="Calibri"/>
          <w:sz w:val="24"/>
          <w:szCs w:val="24"/>
        </w:rPr>
        <w:t>Если частичная разборка основного средства не влияет на его функциональное назначение и возможна его дальнейшая эксплуатация, то первоначальная стоимость основного средства уменьшается на стоимость пришедших в негодность составных частей, а затем увеличивается на стоимость установления новых. Необходимо также пересчитать начисленную амортизацию и уменьшить ее на сумму амортизации списываемых составных частей.</w:t>
      </w:r>
    </w:p>
    <w:p>
      <w:pPr>
        <w:ind w:firstLine="708"/>
        <w:jc w:val="both"/>
        <w:rPr>
          <w:rFonts w:eastAsia="Calibri"/>
          <w:sz w:val="24"/>
          <w:szCs w:val="24"/>
        </w:rPr>
      </w:pPr>
      <w:r>
        <w:rPr>
          <w:rFonts w:eastAsia="Calibri"/>
          <w:sz w:val="24"/>
          <w:szCs w:val="24"/>
        </w:rPr>
        <w:t>Если стоимость частей не указана либо ее невозможно определить на основании данных первичных учётных документов, которыми была оформлена постановка объекта на учёт, то ее определяет комиссия по поступлению и выбытию активов либо экспертным путем.</w:t>
      </w:r>
    </w:p>
    <w:p>
      <w:pPr>
        <w:ind w:firstLine="708"/>
        <w:jc w:val="both"/>
        <w:rPr>
          <w:rFonts w:eastAsia="Calibri"/>
          <w:sz w:val="24"/>
          <w:szCs w:val="24"/>
        </w:rPr>
      </w:pPr>
      <w:r>
        <w:rPr>
          <w:rFonts w:eastAsia="Calibri"/>
          <w:sz w:val="24"/>
          <w:szCs w:val="24"/>
        </w:rPr>
        <w:t>Определение цены разукомплектованного объекта основного средства определять в следующем порядке:</w:t>
      </w:r>
    </w:p>
    <w:p>
      <w:pPr>
        <w:ind w:firstLine="708"/>
        <w:jc w:val="both"/>
        <w:rPr>
          <w:rFonts w:eastAsia="Calibri"/>
          <w:sz w:val="24"/>
          <w:szCs w:val="24"/>
        </w:rPr>
      </w:pPr>
      <w:r>
        <w:rPr>
          <w:rFonts w:eastAsia="Calibri"/>
          <w:sz w:val="24"/>
          <w:szCs w:val="24"/>
        </w:rPr>
        <w:t>- определять стоимость объекта основного средства в укомплектованном состоянии;</w:t>
      </w:r>
    </w:p>
    <w:p>
      <w:pPr>
        <w:ind w:firstLine="708"/>
        <w:jc w:val="both"/>
        <w:rPr>
          <w:rFonts w:eastAsia="Calibri"/>
          <w:sz w:val="24"/>
          <w:szCs w:val="24"/>
        </w:rPr>
      </w:pPr>
      <w:r>
        <w:rPr>
          <w:rFonts w:eastAsia="Calibri"/>
          <w:sz w:val="24"/>
          <w:szCs w:val="24"/>
        </w:rPr>
        <w:t>- устанавливать перечень и цен отсутствующих деталей и узлов;</w:t>
      </w:r>
    </w:p>
    <w:p>
      <w:pPr>
        <w:ind w:firstLine="708"/>
        <w:jc w:val="both"/>
        <w:rPr>
          <w:rFonts w:eastAsia="Calibri"/>
          <w:sz w:val="24"/>
          <w:szCs w:val="24"/>
        </w:rPr>
      </w:pPr>
      <w:r>
        <w:rPr>
          <w:rFonts w:eastAsia="Calibri"/>
          <w:sz w:val="24"/>
          <w:szCs w:val="24"/>
        </w:rPr>
        <w:t>- устанавливать перечень и цен работ по установке недостающих деталей и узлов;</w:t>
      </w:r>
    </w:p>
    <w:p>
      <w:pPr>
        <w:ind w:firstLine="708"/>
        <w:jc w:val="both"/>
        <w:rPr>
          <w:rFonts w:eastAsia="Calibri"/>
          <w:sz w:val="24"/>
          <w:szCs w:val="24"/>
        </w:rPr>
      </w:pPr>
      <w:r>
        <w:rPr>
          <w:rFonts w:eastAsia="Calibri"/>
          <w:sz w:val="24"/>
          <w:szCs w:val="24"/>
        </w:rPr>
        <w:t>- определяется окончательная стоимость объекта основного средства путем вычета цены отсутствующих деталей, узлов, агрегатов и работ из стоимости укомплектованного объекта (т.е. вычета стоимости доукомплектования).</w:t>
      </w:r>
    </w:p>
    <w:p>
      <w:pPr>
        <w:ind w:firstLine="708"/>
        <w:jc w:val="both"/>
        <w:rPr>
          <w:sz w:val="24"/>
          <w:szCs w:val="24"/>
        </w:rPr>
      </w:pPr>
      <w:r>
        <w:rPr>
          <w:sz w:val="24"/>
          <w:szCs w:val="24"/>
        </w:rPr>
        <w:t xml:space="preserve">Заключение о принятом решении делает комиссия по поступлению и выбытию нефинансовых активов. </w:t>
      </w:r>
    </w:p>
    <w:p>
      <w:pPr>
        <w:ind w:firstLine="708"/>
        <w:jc w:val="both"/>
        <w:rPr>
          <w:rFonts w:eastAsia="Calibri"/>
          <w:sz w:val="24"/>
          <w:szCs w:val="24"/>
        </w:rPr>
      </w:pPr>
      <w:r>
        <w:rPr>
          <w:rFonts w:eastAsia="Calibri"/>
          <w:sz w:val="24"/>
          <w:szCs w:val="24"/>
        </w:rPr>
        <w:t xml:space="preserve">Частичная ликвидация объекта основных средств при принятии комиссией решения о списании имущества оформляется актом о списании объекта основных средств (кроме автотранспортных средств) </w:t>
      </w:r>
      <w:hyperlink r:id="rId101" w:history="1">
        <w:r>
          <w:rPr>
            <w:rFonts w:eastAsia="Calibri"/>
            <w:sz w:val="24"/>
            <w:szCs w:val="24"/>
          </w:rPr>
          <w:t>(форма 0306003)</w:t>
        </w:r>
      </w:hyperlink>
      <w:r>
        <w:rPr>
          <w:rFonts w:eastAsia="Calibri"/>
          <w:sz w:val="24"/>
          <w:szCs w:val="24"/>
        </w:rPr>
        <w:t>.</w:t>
      </w:r>
    </w:p>
    <w:p>
      <w:pPr>
        <w:widowControl/>
        <w:ind w:firstLine="708"/>
        <w:jc w:val="both"/>
        <w:rPr>
          <w:rFonts w:eastAsia="Calibri"/>
          <w:sz w:val="24"/>
          <w:szCs w:val="24"/>
        </w:rPr>
      </w:pPr>
      <w:r>
        <w:rPr>
          <w:rFonts w:eastAsia="Calibri"/>
          <w:sz w:val="24"/>
          <w:szCs w:val="24"/>
        </w:rPr>
        <w:t xml:space="preserve">Для оформления в учёте дальнейшего дооборудования объекта применять акт                 о приёме-сдаче отремонтированных, реконструированных и модернизированных объектов основных средств </w:t>
      </w:r>
      <w:hyperlink r:id="rId102" w:history="1">
        <w:r>
          <w:rPr>
            <w:rFonts w:eastAsia="Calibri"/>
            <w:sz w:val="24"/>
            <w:szCs w:val="24"/>
          </w:rPr>
          <w:t>(форма 0510448)</w:t>
        </w:r>
      </w:hyperlink>
      <w:r>
        <w:rPr>
          <w:rFonts w:eastAsia="Calibri"/>
          <w:sz w:val="24"/>
          <w:szCs w:val="24"/>
        </w:rPr>
        <w:t xml:space="preserve">. В инвентарной карточке учёта основных средств </w:t>
      </w:r>
      <w:hyperlink r:id="rId103" w:history="1">
        <w:r>
          <w:rPr>
            <w:rFonts w:eastAsia="Calibri"/>
            <w:sz w:val="24"/>
            <w:szCs w:val="24"/>
          </w:rPr>
          <w:t>(форма 0504031)</w:t>
        </w:r>
      </w:hyperlink>
      <w:r>
        <w:rPr>
          <w:rFonts w:eastAsia="Calibri"/>
          <w:sz w:val="24"/>
          <w:szCs w:val="24"/>
        </w:rPr>
        <w:t xml:space="preserve"> или в и</w:t>
      </w:r>
      <w:r>
        <w:rPr>
          <w:rFonts w:eastAsiaTheme="minorHAnsi"/>
          <w:sz w:val="24"/>
          <w:szCs w:val="24"/>
          <w:lang w:eastAsia="en-US"/>
        </w:rPr>
        <w:t xml:space="preserve">нвентарная </w:t>
      </w:r>
      <w:hyperlink r:id="rId104" w:history="1">
        <w:r>
          <w:rPr>
            <w:rFonts w:eastAsiaTheme="minorHAnsi"/>
            <w:sz w:val="24"/>
            <w:szCs w:val="24"/>
            <w:lang w:eastAsia="en-US"/>
          </w:rPr>
          <w:t>карточк</w:t>
        </w:r>
      </w:hyperlink>
      <w:r>
        <w:rPr>
          <w:rFonts w:eastAsiaTheme="minorHAnsi"/>
          <w:sz w:val="24"/>
          <w:szCs w:val="24"/>
          <w:lang w:eastAsia="en-US"/>
        </w:rPr>
        <w:t xml:space="preserve">е учёта нефинансовых активов (форма 0509215) </w:t>
      </w:r>
      <w:r>
        <w:rPr>
          <w:rFonts w:eastAsia="Calibri"/>
          <w:sz w:val="24"/>
          <w:szCs w:val="24"/>
        </w:rPr>
        <w:t xml:space="preserve">ставить соответствующую отметку о </w:t>
      </w:r>
      <w:proofErr w:type="spellStart"/>
      <w:r>
        <w:rPr>
          <w:rFonts w:eastAsia="Calibri"/>
          <w:sz w:val="24"/>
          <w:szCs w:val="24"/>
        </w:rPr>
        <w:t>разукомплектации</w:t>
      </w:r>
      <w:proofErr w:type="spellEnd"/>
      <w:r>
        <w:rPr>
          <w:rFonts w:eastAsia="Calibri"/>
          <w:sz w:val="24"/>
          <w:szCs w:val="24"/>
        </w:rPr>
        <w:t xml:space="preserve"> данного объекта.</w:t>
      </w:r>
    </w:p>
    <w:p>
      <w:pPr>
        <w:ind w:firstLine="708"/>
        <w:jc w:val="both"/>
        <w:rPr>
          <w:rFonts w:eastAsia="Calibri"/>
          <w:sz w:val="24"/>
          <w:szCs w:val="24"/>
        </w:rPr>
      </w:pPr>
      <w:r>
        <w:rPr>
          <w:rFonts w:eastAsia="Calibri"/>
          <w:sz w:val="24"/>
          <w:szCs w:val="24"/>
        </w:rPr>
        <w:t xml:space="preserve">13.38 Основные средства, находящиеся в личном пользовании сотрудника (сотовый телефон, ноутбук и пр.), </w:t>
      </w:r>
      <w:r>
        <w:rPr>
          <w:sz w:val="24"/>
          <w:szCs w:val="24"/>
        </w:rPr>
        <w:t xml:space="preserve">за исключением объектов недвижимого имущества и основных средств, стоимостью до 10 000 рублей, </w:t>
      </w:r>
      <w:r>
        <w:rPr>
          <w:rFonts w:eastAsia="Calibri"/>
          <w:sz w:val="24"/>
          <w:szCs w:val="24"/>
        </w:rPr>
        <w:t>учитывать в период нахождения на забалансовом счёте 27 «Материальные ценности, выданные в личное пользование работникам (сотрудникам)» без списания объекта с балансового учёта.</w:t>
      </w:r>
    </w:p>
    <w:p>
      <w:pPr>
        <w:ind w:firstLine="708"/>
        <w:jc w:val="both"/>
        <w:rPr>
          <w:sz w:val="24"/>
          <w:szCs w:val="24"/>
        </w:rPr>
      </w:pPr>
      <w:r>
        <w:rPr>
          <w:sz w:val="24"/>
          <w:szCs w:val="24"/>
        </w:rPr>
        <w:t>Одновременно осуществлять операции по внутреннему перемещению объекта основного средства бухгалтерской записью с оформлением Накладной на внутреннее перемещение объектов нефинансовых активов (ф. 0510450).</w:t>
      </w:r>
    </w:p>
    <w:p>
      <w:pPr>
        <w:ind w:firstLine="708"/>
        <w:jc w:val="both"/>
        <w:rPr>
          <w:rFonts w:eastAsia="Calibri"/>
          <w:sz w:val="24"/>
          <w:szCs w:val="24"/>
        </w:rPr>
      </w:pPr>
      <w:r>
        <w:rPr>
          <w:rFonts w:eastAsia="Calibri"/>
          <w:sz w:val="24"/>
          <w:szCs w:val="24"/>
        </w:rPr>
        <w:t xml:space="preserve">Аналитический учёт по забалансовому счёту 27 ведется в Карточке количественно-суммового учёта материальных ценностей </w:t>
      </w:r>
      <w:hyperlink r:id="rId105" w:history="1">
        <w:r>
          <w:rPr>
            <w:rFonts w:eastAsia="Calibri"/>
            <w:sz w:val="24"/>
            <w:szCs w:val="24"/>
          </w:rPr>
          <w:t>(форма 0504041)</w:t>
        </w:r>
      </w:hyperlink>
      <w:r>
        <w:rPr>
          <w:rFonts w:eastAsia="Calibri"/>
          <w:sz w:val="24"/>
          <w:szCs w:val="24"/>
        </w:rPr>
        <w:t xml:space="preserve"> в разрезе пользователей имущества, мест его нахождения, по видам имущества, его количеству и стоимости.</w:t>
      </w:r>
    </w:p>
    <w:p>
      <w:pPr>
        <w:ind w:firstLine="708"/>
        <w:jc w:val="both"/>
        <w:rPr>
          <w:sz w:val="24"/>
          <w:szCs w:val="24"/>
        </w:rPr>
      </w:pPr>
      <w:r>
        <w:rPr>
          <w:sz w:val="24"/>
          <w:szCs w:val="24"/>
        </w:rPr>
        <w:t>13.39 Стоимость объекта основного средства, требующего замены отдельных составных частей, корректируется на документально подтвержденную стоимость заменяемых (</w:t>
      </w:r>
      <w:proofErr w:type="spellStart"/>
      <w:r>
        <w:rPr>
          <w:sz w:val="24"/>
          <w:szCs w:val="24"/>
        </w:rPr>
        <w:t>выбываемых</w:t>
      </w:r>
      <w:proofErr w:type="spellEnd"/>
      <w:r>
        <w:rPr>
          <w:sz w:val="24"/>
          <w:szCs w:val="24"/>
        </w:rPr>
        <w:t>) частей (п. 27 СГС «Основные средства»).</w:t>
      </w:r>
    </w:p>
    <w:p>
      <w:pPr>
        <w:ind w:firstLine="708"/>
        <w:jc w:val="both"/>
        <w:rPr>
          <w:sz w:val="24"/>
          <w:szCs w:val="24"/>
        </w:rPr>
      </w:pPr>
      <w:r>
        <w:rPr>
          <w:sz w:val="24"/>
          <w:szCs w:val="24"/>
        </w:rPr>
        <w:t>При включении в балансовую стоимость основных средств затрат по замене их частей остаточная стоимость замененной (выбывшей) части основного средства списывается с учёта на финансовый результат текущего периода вне зависимости от того, амортизировалась эта часть основного средства отдельно или нет. Если определить остаточную стоимость замененной части основного средства невозможно, то ее стоимость может быть равна затратам на ее замену (приобретения или строительства) на момент, когда она принята к учёту.</w:t>
      </w:r>
    </w:p>
    <w:p>
      <w:pPr>
        <w:pStyle w:val="Style4"/>
        <w:widowControl/>
        <w:spacing w:line="240" w:lineRule="auto"/>
        <w:ind w:firstLine="708"/>
      </w:pPr>
      <w:r>
        <w:t>13.40 </w:t>
      </w:r>
      <w:r>
        <w:rPr>
          <w:bCs/>
        </w:rPr>
        <w:t>Амортизация может начисляться самостоятельно на структурную часть объекта</w:t>
      </w:r>
      <w:r>
        <w:t xml:space="preserve"> основных средств отдельно от иных частей, составляющих совместно со структурными частями объекта единый объект основных средств.</w:t>
      </w:r>
    </w:p>
    <w:p>
      <w:pPr>
        <w:widowControl/>
        <w:ind w:firstLine="709"/>
        <w:jc w:val="both"/>
        <w:outlineLvl w:val="0"/>
        <w:rPr>
          <w:b/>
          <w:spacing w:val="-3"/>
          <w:sz w:val="24"/>
          <w:szCs w:val="24"/>
        </w:rPr>
      </w:pPr>
      <w:r>
        <w:rPr>
          <w:spacing w:val="-3"/>
          <w:sz w:val="24"/>
          <w:szCs w:val="24"/>
        </w:rPr>
        <w:t xml:space="preserve">13.41 </w:t>
      </w:r>
      <w:r>
        <w:rPr>
          <w:b/>
          <w:spacing w:val="-3"/>
          <w:sz w:val="24"/>
          <w:szCs w:val="24"/>
        </w:rPr>
        <w:t xml:space="preserve">Учёт материальных запасов. </w:t>
      </w:r>
    </w:p>
    <w:p>
      <w:pPr>
        <w:widowControl/>
        <w:ind w:firstLine="709"/>
        <w:jc w:val="both"/>
        <w:outlineLvl w:val="0"/>
        <w:rPr>
          <w:spacing w:val="-3"/>
          <w:sz w:val="24"/>
          <w:szCs w:val="24"/>
        </w:rPr>
      </w:pPr>
      <w:r>
        <w:rPr>
          <w:spacing w:val="-3"/>
          <w:sz w:val="24"/>
          <w:szCs w:val="24"/>
        </w:rPr>
        <w:t>Единицей материальных запасов является номенклатурный номер.</w:t>
      </w:r>
    </w:p>
    <w:p>
      <w:pPr>
        <w:widowControl/>
        <w:ind w:firstLine="709"/>
        <w:jc w:val="both"/>
        <w:outlineLvl w:val="0"/>
        <w:rPr>
          <w:sz w:val="24"/>
          <w:szCs w:val="24"/>
        </w:rPr>
      </w:pPr>
      <w:r>
        <w:rPr>
          <w:sz w:val="24"/>
          <w:szCs w:val="24"/>
        </w:rPr>
        <w:t>Материальные запасы принимаются к бухгалтерскому учёту по фактической стоимости, с учётом сумм налога на добавленную стоимость, предъявленных Управлению поставщиками и подрядчиками.</w:t>
      </w:r>
    </w:p>
    <w:p>
      <w:pPr>
        <w:pStyle w:val="s1"/>
        <w:spacing w:before="0" w:beforeAutospacing="0" w:after="0" w:afterAutospacing="0"/>
        <w:ind w:firstLine="709"/>
        <w:jc w:val="both"/>
      </w:pPr>
      <w:r>
        <w:t xml:space="preserve">При необходимости формирования первоначальной (фактической) стоимости вложения в материальные запасы первоначально накапливаются на </w:t>
      </w:r>
      <w:hyperlink r:id="rId106" w:history="1">
        <w:r>
          <w:t>счете 106 04</w:t>
        </w:r>
      </w:hyperlink>
      <w:r>
        <w:t xml:space="preserve"> «Вложения в материальные запасы».</w:t>
      </w:r>
      <w:r>
        <w:rPr>
          <w:rFonts w:ascii="Arial" w:hAnsi="Arial" w:cs="Arial"/>
          <w:shd w:val="clear" w:color="auto" w:fill="FFFFFF"/>
        </w:rPr>
        <w:t xml:space="preserve"> </w:t>
      </w:r>
      <w:r>
        <w:t>Первоначальная стоимость находящихся в пути материальных запасов, принятых к учету в оценке, предусмотренной контрактом (договором), уточняется с учетом транспортных и других аналогичных расходов, непосредственно связанных с приобретением материальных запасов.</w:t>
      </w:r>
    </w:p>
    <w:p>
      <w:pPr>
        <w:widowControl/>
        <w:ind w:firstLine="709"/>
        <w:jc w:val="both"/>
        <w:outlineLvl w:val="0"/>
        <w:rPr>
          <w:sz w:val="24"/>
          <w:szCs w:val="24"/>
        </w:rPr>
      </w:pPr>
      <w:r>
        <w:rPr>
          <w:sz w:val="24"/>
          <w:szCs w:val="24"/>
        </w:rPr>
        <w:t>Материальные запасы, отнесенные к одинаковой номенклатуре, но имеющие                      в 1 – 17 разрядах номера счёта разные аналитические коды по классификационному признаку поступления (выбытия), рассматриваются как самостоятельные группы объектов материальных запасов.</w:t>
      </w:r>
    </w:p>
    <w:p>
      <w:pPr>
        <w:widowControl/>
        <w:ind w:firstLine="709"/>
        <w:jc w:val="both"/>
        <w:outlineLvl w:val="0"/>
        <w:rPr>
          <w:sz w:val="24"/>
          <w:szCs w:val="24"/>
        </w:rPr>
      </w:pPr>
      <w:r>
        <w:rPr>
          <w:sz w:val="24"/>
          <w:szCs w:val="24"/>
        </w:rPr>
        <w:t>Выбытие (отпуск) материальных запасов осуществляется по фактической стоимости каждой единицы.</w:t>
      </w:r>
    </w:p>
    <w:p>
      <w:pPr>
        <w:pStyle w:val="s1"/>
        <w:spacing w:before="0" w:beforeAutospacing="0" w:after="0" w:afterAutospacing="0"/>
        <w:ind w:firstLine="709"/>
        <w:jc w:val="both"/>
      </w:pPr>
      <w:r>
        <w:t>Для отражения в учете выбытия (отпуска) материальных запасов помимо Акта о списании материальных запасов для соответствующих групп (видов) материальных запасов применяется Ведомость выдачи материальных ценностей на нужды учреждения (ф. 0504210).</w:t>
      </w:r>
    </w:p>
    <w:p>
      <w:pPr>
        <w:widowControl/>
        <w:ind w:firstLine="709"/>
        <w:jc w:val="both"/>
        <w:outlineLvl w:val="0"/>
        <w:rPr>
          <w:spacing w:val="-3"/>
          <w:sz w:val="24"/>
          <w:szCs w:val="24"/>
        </w:rPr>
      </w:pPr>
      <w:r>
        <w:rPr>
          <w:spacing w:val="-3"/>
          <w:sz w:val="24"/>
          <w:szCs w:val="24"/>
        </w:rPr>
        <w:t>Фактическая стоимость материальных запасов, полученных в результате ремонта, разборки, утилизации</w:t>
      </w:r>
      <w:r>
        <w:t xml:space="preserve"> </w:t>
      </w:r>
      <w:r>
        <w:rPr>
          <w:spacing w:val="-3"/>
          <w:sz w:val="24"/>
          <w:szCs w:val="24"/>
        </w:rPr>
        <w:t xml:space="preserve">(ликвидации), основных средств или иного имущества определяется исходя из следующих факторов: </w:t>
      </w:r>
    </w:p>
    <w:p>
      <w:pPr>
        <w:widowControl/>
        <w:ind w:firstLine="709"/>
        <w:jc w:val="both"/>
        <w:outlineLvl w:val="0"/>
        <w:rPr>
          <w:spacing w:val="-3"/>
          <w:sz w:val="24"/>
          <w:szCs w:val="24"/>
        </w:rPr>
      </w:pPr>
      <w:r>
        <w:rPr>
          <w:spacing w:val="-3"/>
          <w:sz w:val="24"/>
          <w:szCs w:val="24"/>
        </w:rPr>
        <w:t>- их справедливой стоимости на дату принятия к бухгалтерскому учёту;</w:t>
      </w:r>
    </w:p>
    <w:p>
      <w:pPr>
        <w:widowControl/>
        <w:ind w:firstLine="709"/>
        <w:jc w:val="both"/>
        <w:outlineLvl w:val="0"/>
        <w:rPr>
          <w:spacing w:val="-3"/>
          <w:sz w:val="24"/>
          <w:szCs w:val="24"/>
        </w:rPr>
      </w:pPr>
      <w:r>
        <w:rPr>
          <w:spacing w:val="-3"/>
          <w:sz w:val="24"/>
          <w:szCs w:val="24"/>
        </w:rPr>
        <w:t xml:space="preserve">- рассчитанной методом рыночных цен;  </w:t>
      </w:r>
    </w:p>
    <w:p>
      <w:pPr>
        <w:widowControl/>
        <w:ind w:firstLine="709"/>
        <w:jc w:val="both"/>
        <w:outlineLvl w:val="0"/>
        <w:rPr>
          <w:spacing w:val="-3"/>
          <w:sz w:val="24"/>
          <w:szCs w:val="24"/>
        </w:rPr>
      </w:pPr>
      <w:r>
        <w:rPr>
          <w:spacing w:val="-3"/>
          <w:sz w:val="24"/>
          <w:szCs w:val="24"/>
        </w:rPr>
        <w:t xml:space="preserve">- сумм, уплачиваемых Управлением за доставку материальных запасов, приведение их в состояние, пригодное для использования. </w:t>
      </w:r>
    </w:p>
    <w:p>
      <w:pPr>
        <w:ind w:firstLine="708"/>
        <w:jc w:val="both"/>
        <w:rPr>
          <w:rFonts w:eastAsia="Calibri"/>
          <w:sz w:val="24"/>
          <w:szCs w:val="24"/>
        </w:rPr>
      </w:pPr>
      <w:r>
        <w:rPr>
          <w:rFonts w:eastAsia="SimSun"/>
          <w:sz w:val="24"/>
          <w:szCs w:val="24"/>
          <w:lang w:eastAsia="zh-CN"/>
        </w:rPr>
        <w:t xml:space="preserve">13.42 </w:t>
      </w:r>
      <w:r>
        <w:rPr>
          <w:sz w:val="24"/>
          <w:szCs w:val="24"/>
        </w:rPr>
        <w:t xml:space="preserve">При замене комплектующих к компьютерам в учёте отражать операции по демонтажу снятых запасных частей, в актах на списание отражать дальнейшее движение или утилизацию снятых с объекта основных средств и материальных запасов. </w:t>
      </w:r>
      <w:r>
        <w:rPr>
          <w:rFonts w:eastAsia="Calibri"/>
          <w:sz w:val="24"/>
          <w:szCs w:val="24"/>
        </w:rPr>
        <w:t>Приобретаемые Управлением по отдельности комплектующие компьютера для последующей сборки или для замены его отдельных деталей: системных блоков, мониторов, клавиатур, мышей, звуковых карт, видеокарт и т.п. отражаются по статье 340 «Увеличение стоимости материальных запасов» и учитываются на счёте 0 105 36 000 «Прочие материальные запасы».</w:t>
      </w:r>
    </w:p>
    <w:p>
      <w:pPr>
        <w:ind w:firstLine="708"/>
        <w:jc w:val="both"/>
        <w:rPr>
          <w:spacing w:val="-3"/>
          <w:sz w:val="24"/>
          <w:szCs w:val="24"/>
        </w:rPr>
      </w:pPr>
      <w:r>
        <w:rPr>
          <w:rFonts w:eastAsia="Calibri"/>
          <w:sz w:val="24"/>
          <w:szCs w:val="24"/>
        </w:rPr>
        <w:t xml:space="preserve">Комплектующие (составные части) компьютера принимаются к учёту в составе материальных запасов по фактической стоимости. </w:t>
      </w:r>
    </w:p>
    <w:p>
      <w:pPr>
        <w:widowControl/>
        <w:ind w:firstLine="708"/>
        <w:jc w:val="both"/>
        <w:rPr>
          <w:bCs/>
          <w:sz w:val="24"/>
          <w:szCs w:val="24"/>
        </w:rPr>
      </w:pPr>
      <w:r>
        <w:rPr>
          <w:bCs/>
          <w:sz w:val="24"/>
          <w:szCs w:val="24"/>
        </w:rPr>
        <w:t>Сумма возмещения ущерба, причиненного в результате хищений, недостач, порчи и пр., подлежащих возмещению виновными лицами, признается по справедливой стоимости, определяемой методом рыночных цен.</w:t>
      </w:r>
    </w:p>
    <w:p>
      <w:pPr>
        <w:ind w:firstLine="708"/>
        <w:jc w:val="both"/>
        <w:rPr>
          <w:rFonts w:eastAsiaTheme="minorHAnsi"/>
          <w:sz w:val="24"/>
          <w:szCs w:val="24"/>
          <w:lang w:eastAsia="en-US"/>
        </w:rPr>
      </w:pPr>
      <w:r>
        <w:rPr>
          <w:bCs/>
          <w:sz w:val="24"/>
          <w:szCs w:val="24"/>
        </w:rPr>
        <w:t>13.43 Оприходование</w:t>
      </w:r>
      <w:r>
        <w:rPr>
          <w:rFonts w:eastAsia="Calibri"/>
          <w:sz w:val="24"/>
          <w:szCs w:val="24"/>
        </w:rPr>
        <w:t xml:space="preserve"> </w:t>
      </w:r>
      <w:r>
        <w:rPr>
          <w:rFonts w:eastAsiaTheme="minorHAnsi"/>
          <w:sz w:val="24"/>
          <w:szCs w:val="24"/>
          <w:lang w:eastAsia="en-US"/>
        </w:rPr>
        <w:t>материальных запасов в рамках мер, направленных на сокращение производственного травматизма и профессиональных заболеваний работников в счёт начисляемых страховых взносов на обязательное социальное страхование от несчастных случаев на производстве и профессиональных заболеваний отражать следующими записями:</w:t>
      </w:r>
    </w:p>
    <w:p>
      <w:pPr>
        <w:ind w:firstLine="708"/>
        <w:jc w:val="both"/>
        <w:rPr>
          <w:rFonts w:eastAsiaTheme="minorHAnsi"/>
          <w:sz w:val="24"/>
          <w:szCs w:val="24"/>
          <w:lang w:eastAsia="en-US"/>
        </w:rPr>
      </w:pPr>
      <w:proofErr w:type="gramStart"/>
      <w:r>
        <w:rPr>
          <w:rFonts w:eastAsiaTheme="minorHAnsi"/>
          <w:sz w:val="24"/>
          <w:szCs w:val="24"/>
          <w:lang w:eastAsia="en-US"/>
        </w:rPr>
        <w:t>дебет</w:t>
      </w:r>
      <w:proofErr w:type="gramEnd"/>
      <w:r>
        <w:rPr>
          <w:rFonts w:eastAsiaTheme="minorHAnsi"/>
          <w:sz w:val="24"/>
          <w:szCs w:val="24"/>
          <w:lang w:eastAsia="en-US"/>
        </w:rPr>
        <w:t xml:space="preserve"> </w:t>
      </w:r>
      <w:proofErr w:type="spellStart"/>
      <w:r>
        <w:rPr>
          <w:rFonts w:eastAsiaTheme="minorHAnsi"/>
          <w:sz w:val="24"/>
          <w:szCs w:val="24"/>
          <w:lang w:eastAsia="en-US"/>
        </w:rPr>
        <w:t>хххх</w:t>
      </w:r>
      <w:proofErr w:type="spellEnd"/>
      <w:r>
        <w:rPr>
          <w:rFonts w:eastAsiaTheme="minorHAnsi"/>
          <w:sz w:val="24"/>
          <w:szCs w:val="24"/>
          <w:lang w:eastAsia="en-US"/>
        </w:rPr>
        <w:t xml:space="preserve"> 0000000000 000 1 1053х 34х кредит </w:t>
      </w:r>
      <w:proofErr w:type="spellStart"/>
      <w:r>
        <w:rPr>
          <w:rFonts w:eastAsiaTheme="minorHAnsi"/>
          <w:sz w:val="24"/>
          <w:szCs w:val="24"/>
          <w:lang w:eastAsia="en-US"/>
        </w:rPr>
        <w:t>хххх</w:t>
      </w:r>
      <w:proofErr w:type="spellEnd"/>
      <w:r>
        <w:rPr>
          <w:rFonts w:eastAsiaTheme="minorHAnsi"/>
          <w:sz w:val="24"/>
          <w:szCs w:val="24"/>
          <w:lang w:eastAsia="en-US"/>
        </w:rPr>
        <w:t xml:space="preserve"> </w:t>
      </w:r>
      <w:proofErr w:type="spellStart"/>
      <w:r>
        <w:rPr>
          <w:rFonts w:eastAsiaTheme="minorHAnsi"/>
          <w:sz w:val="24"/>
          <w:szCs w:val="24"/>
          <w:lang w:eastAsia="en-US"/>
        </w:rPr>
        <w:t>ххххххххххх</w:t>
      </w:r>
      <w:proofErr w:type="spellEnd"/>
      <w:r>
        <w:rPr>
          <w:rFonts w:eastAsiaTheme="minorHAnsi"/>
          <w:sz w:val="24"/>
          <w:szCs w:val="24"/>
          <w:lang w:eastAsia="en-US"/>
        </w:rPr>
        <w:t xml:space="preserve"> 244 1 30234 73х – на сумму приобретённых материальных запасов;</w:t>
      </w:r>
    </w:p>
    <w:p>
      <w:pPr>
        <w:ind w:firstLine="708"/>
        <w:jc w:val="both"/>
        <w:rPr>
          <w:rFonts w:eastAsiaTheme="minorHAnsi"/>
          <w:sz w:val="24"/>
          <w:szCs w:val="24"/>
          <w:lang w:eastAsia="en-US"/>
        </w:rPr>
      </w:pPr>
      <w:proofErr w:type="gramStart"/>
      <w:r>
        <w:rPr>
          <w:rFonts w:eastAsiaTheme="minorHAnsi"/>
          <w:sz w:val="24"/>
          <w:szCs w:val="24"/>
          <w:lang w:eastAsia="en-US"/>
        </w:rPr>
        <w:t>дебет</w:t>
      </w:r>
      <w:proofErr w:type="gramEnd"/>
      <w:r>
        <w:rPr>
          <w:rFonts w:eastAsiaTheme="minorHAnsi"/>
          <w:sz w:val="24"/>
          <w:szCs w:val="24"/>
          <w:lang w:eastAsia="en-US"/>
        </w:rPr>
        <w:t xml:space="preserve"> </w:t>
      </w:r>
      <w:proofErr w:type="spellStart"/>
      <w:r>
        <w:rPr>
          <w:rFonts w:eastAsiaTheme="minorHAnsi"/>
          <w:sz w:val="24"/>
          <w:szCs w:val="24"/>
          <w:lang w:eastAsia="en-US"/>
        </w:rPr>
        <w:t>хххх</w:t>
      </w:r>
      <w:proofErr w:type="spellEnd"/>
      <w:r>
        <w:rPr>
          <w:rFonts w:eastAsiaTheme="minorHAnsi"/>
          <w:sz w:val="24"/>
          <w:szCs w:val="24"/>
          <w:lang w:eastAsia="en-US"/>
        </w:rPr>
        <w:t xml:space="preserve"> </w:t>
      </w:r>
      <w:proofErr w:type="spellStart"/>
      <w:r>
        <w:rPr>
          <w:rFonts w:eastAsiaTheme="minorHAnsi"/>
          <w:sz w:val="24"/>
          <w:szCs w:val="24"/>
          <w:lang w:eastAsia="en-US"/>
        </w:rPr>
        <w:t>ххххххххххх</w:t>
      </w:r>
      <w:proofErr w:type="spellEnd"/>
      <w:r>
        <w:rPr>
          <w:rFonts w:eastAsiaTheme="minorHAnsi"/>
          <w:sz w:val="24"/>
          <w:szCs w:val="24"/>
          <w:lang w:eastAsia="en-US"/>
        </w:rPr>
        <w:t xml:space="preserve"> 244 1 30234 83х кредит </w:t>
      </w:r>
      <w:proofErr w:type="spellStart"/>
      <w:r>
        <w:rPr>
          <w:rFonts w:eastAsiaTheme="minorHAnsi"/>
          <w:sz w:val="24"/>
          <w:szCs w:val="24"/>
          <w:lang w:eastAsia="en-US"/>
        </w:rPr>
        <w:t>хххх</w:t>
      </w:r>
      <w:proofErr w:type="spellEnd"/>
      <w:r>
        <w:rPr>
          <w:rFonts w:eastAsiaTheme="minorHAnsi"/>
          <w:sz w:val="24"/>
          <w:szCs w:val="24"/>
          <w:lang w:eastAsia="en-US"/>
        </w:rPr>
        <w:t xml:space="preserve"> </w:t>
      </w:r>
      <w:proofErr w:type="spellStart"/>
      <w:r>
        <w:rPr>
          <w:rFonts w:eastAsiaTheme="minorHAnsi"/>
          <w:sz w:val="24"/>
          <w:szCs w:val="24"/>
          <w:lang w:eastAsia="en-US"/>
        </w:rPr>
        <w:t>хххххххххх</w:t>
      </w:r>
      <w:proofErr w:type="spellEnd"/>
      <w:r>
        <w:rPr>
          <w:rFonts w:eastAsiaTheme="minorHAnsi"/>
          <w:sz w:val="24"/>
          <w:szCs w:val="24"/>
          <w:lang w:eastAsia="en-US"/>
        </w:rPr>
        <w:t xml:space="preserve"> 244 1 30405 34х - произведена оплата поставщику;</w:t>
      </w:r>
    </w:p>
    <w:p>
      <w:pPr>
        <w:widowControl/>
        <w:ind w:firstLine="708"/>
        <w:jc w:val="both"/>
        <w:rPr>
          <w:rFonts w:eastAsiaTheme="minorHAnsi"/>
          <w:sz w:val="24"/>
          <w:szCs w:val="24"/>
          <w:lang w:eastAsia="en-US"/>
        </w:rPr>
      </w:pPr>
      <w:proofErr w:type="gramStart"/>
      <w:r>
        <w:rPr>
          <w:rFonts w:eastAsiaTheme="minorHAnsi"/>
          <w:sz w:val="24"/>
          <w:szCs w:val="24"/>
          <w:lang w:eastAsia="en-US"/>
        </w:rPr>
        <w:t>дебет</w:t>
      </w:r>
      <w:proofErr w:type="gramEnd"/>
      <w:r>
        <w:rPr>
          <w:rFonts w:eastAsiaTheme="minorHAnsi"/>
          <w:sz w:val="24"/>
          <w:szCs w:val="24"/>
          <w:lang w:eastAsia="en-US"/>
        </w:rPr>
        <w:t xml:space="preserve"> </w:t>
      </w:r>
      <w:proofErr w:type="spellStart"/>
      <w:r>
        <w:rPr>
          <w:rFonts w:eastAsiaTheme="minorHAnsi"/>
          <w:sz w:val="24"/>
          <w:szCs w:val="24"/>
          <w:lang w:eastAsia="en-US"/>
        </w:rPr>
        <w:t>хххх</w:t>
      </w:r>
      <w:proofErr w:type="spellEnd"/>
      <w:r>
        <w:rPr>
          <w:rFonts w:eastAsiaTheme="minorHAnsi"/>
          <w:sz w:val="24"/>
          <w:szCs w:val="24"/>
          <w:lang w:eastAsia="en-US"/>
        </w:rPr>
        <w:t xml:space="preserve"> </w:t>
      </w:r>
      <w:proofErr w:type="spellStart"/>
      <w:r>
        <w:rPr>
          <w:rFonts w:eastAsiaTheme="minorHAnsi"/>
          <w:sz w:val="24"/>
          <w:szCs w:val="24"/>
          <w:lang w:eastAsia="en-US"/>
        </w:rPr>
        <w:t>хххххххххх</w:t>
      </w:r>
      <w:proofErr w:type="spellEnd"/>
      <w:r>
        <w:rPr>
          <w:rFonts w:eastAsiaTheme="minorHAnsi"/>
          <w:sz w:val="24"/>
          <w:szCs w:val="24"/>
          <w:lang w:eastAsia="en-US"/>
        </w:rPr>
        <w:t xml:space="preserve"> 130 1 20934 561 кредит </w:t>
      </w:r>
      <w:proofErr w:type="spellStart"/>
      <w:r>
        <w:rPr>
          <w:rFonts w:eastAsiaTheme="minorHAnsi"/>
          <w:sz w:val="24"/>
          <w:szCs w:val="24"/>
          <w:lang w:eastAsia="en-US"/>
        </w:rPr>
        <w:t>хххх</w:t>
      </w:r>
      <w:proofErr w:type="spellEnd"/>
      <w:r>
        <w:rPr>
          <w:rFonts w:eastAsiaTheme="minorHAnsi"/>
          <w:sz w:val="24"/>
          <w:szCs w:val="24"/>
          <w:lang w:eastAsia="en-US"/>
        </w:rPr>
        <w:t xml:space="preserve"> </w:t>
      </w:r>
      <w:proofErr w:type="spellStart"/>
      <w:r>
        <w:rPr>
          <w:rFonts w:eastAsiaTheme="minorHAnsi"/>
          <w:sz w:val="24"/>
          <w:szCs w:val="24"/>
          <w:lang w:eastAsia="en-US"/>
        </w:rPr>
        <w:t>ххххххххх</w:t>
      </w:r>
      <w:proofErr w:type="spellEnd"/>
      <w:r>
        <w:rPr>
          <w:rFonts w:eastAsiaTheme="minorHAnsi"/>
          <w:sz w:val="24"/>
          <w:szCs w:val="24"/>
          <w:lang w:eastAsia="en-US"/>
        </w:rPr>
        <w:t xml:space="preserve"> 130 1 40110 139 – предъявлена к возмещению из Социального фонда России компенсации затрат.</w:t>
      </w:r>
    </w:p>
    <w:p>
      <w:pPr>
        <w:ind w:firstLine="708"/>
        <w:jc w:val="both"/>
        <w:rPr>
          <w:sz w:val="24"/>
          <w:szCs w:val="24"/>
        </w:rPr>
      </w:pPr>
      <w:r>
        <w:rPr>
          <w:rFonts w:eastAsiaTheme="minorHAnsi"/>
          <w:sz w:val="24"/>
          <w:szCs w:val="24"/>
          <w:lang w:eastAsia="en-US"/>
        </w:rPr>
        <w:t xml:space="preserve">13.44 </w:t>
      </w:r>
      <w:r>
        <w:rPr>
          <w:sz w:val="24"/>
          <w:szCs w:val="24"/>
        </w:rPr>
        <w:t xml:space="preserve">При переводе материальных запасов из одной группы в другую либо                               в категорию объектов учёта проводить </w:t>
      </w:r>
      <w:proofErr w:type="spellStart"/>
      <w:r>
        <w:rPr>
          <w:sz w:val="24"/>
          <w:szCs w:val="24"/>
        </w:rPr>
        <w:t>реклассификацию</w:t>
      </w:r>
      <w:proofErr w:type="spellEnd"/>
      <w:r>
        <w:rPr>
          <w:sz w:val="24"/>
          <w:szCs w:val="24"/>
        </w:rPr>
        <w:t xml:space="preserve"> без изменения их стоимости                 с одновременным отражением проводок по выбытию и поступлению (п.27 п</w:t>
      </w:r>
      <w:r>
        <w:rPr>
          <w:sz w:val="24"/>
          <w:szCs w:val="24"/>
          <w:lang w:eastAsia="en-US"/>
        </w:rPr>
        <w:t>риказа Минфина РФ от 07.12.2018 № 256н «Об утверждении федерального стандарта бюджетного учёта для организации муниципального сектора «Запасы» (далее – СГС «Запасы)</w:t>
      </w:r>
      <w:r>
        <w:rPr>
          <w:sz w:val="24"/>
          <w:szCs w:val="24"/>
        </w:rPr>
        <w:t>).</w:t>
      </w:r>
    </w:p>
    <w:p>
      <w:pPr>
        <w:ind w:firstLine="708"/>
        <w:jc w:val="both"/>
        <w:rPr>
          <w:sz w:val="24"/>
          <w:szCs w:val="24"/>
        </w:rPr>
      </w:pPr>
      <w:bookmarkStart w:id="5" w:name="_Hlk68289267"/>
      <w:proofErr w:type="spellStart"/>
      <w:r>
        <w:rPr>
          <w:sz w:val="24"/>
          <w:szCs w:val="24"/>
        </w:rPr>
        <w:t>Реклассификацию</w:t>
      </w:r>
      <w:proofErr w:type="spellEnd"/>
      <w:r>
        <w:rPr>
          <w:sz w:val="24"/>
          <w:szCs w:val="24"/>
        </w:rPr>
        <w:t xml:space="preserve"> материальных запасов осуществлять в учёте следующими записями:</w:t>
      </w:r>
    </w:p>
    <w:p>
      <w:pPr>
        <w:ind w:firstLine="567"/>
        <w:jc w:val="both"/>
        <w:rPr>
          <w:sz w:val="24"/>
          <w:szCs w:val="24"/>
        </w:rPr>
      </w:pPr>
      <w:proofErr w:type="gramStart"/>
      <w:r>
        <w:rPr>
          <w:sz w:val="24"/>
          <w:szCs w:val="24"/>
        </w:rPr>
        <w:t>дебет</w:t>
      </w:r>
      <w:proofErr w:type="gramEnd"/>
      <w:r>
        <w:rPr>
          <w:sz w:val="24"/>
          <w:szCs w:val="24"/>
        </w:rPr>
        <w:t xml:space="preserve"> </w:t>
      </w:r>
      <w:proofErr w:type="spellStart"/>
      <w:r>
        <w:rPr>
          <w:sz w:val="24"/>
          <w:szCs w:val="24"/>
        </w:rPr>
        <w:t>хххх</w:t>
      </w:r>
      <w:proofErr w:type="spellEnd"/>
      <w:r>
        <w:rPr>
          <w:sz w:val="24"/>
          <w:szCs w:val="24"/>
        </w:rPr>
        <w:t xml:space="preserve"> 0000000000 000 1 1053х 34х кредит </w:t>
      </w:r>
      <w:proofErr w:type="spellStart"/>
      <w:r>
        <w:rPr>
          <w:sz w:val="24"/>
          <w:szCs w:val="24"/>
        </w:rPr>
        <w:t>хххх</w:t>
      </w:r>
      <w:proofErr w:type="spellEnd"/>
      <w:r>
        <w:rPr>
          <w:sz w:val="24"/>
          <w:szCs w:val="24"/>
        </w:rPr>
        <w:t xml:space="preserve"> 0000000000 000 1 1053х 34х.</w:t>
      </w:r>
    </w:p>
    <w:bookmarkEnd w:id="5"/>
    <w:p>
      <w:pPr>
        <w:ind w:firstLine="567"/>
        <w:jc w:val="both"/>
        <w:rPr>
          <w:b/>
          <w:sz w:val="24"/>
          <w:szCs w:val="24"/>
        </w:rPr>
      </w:pPr>
      <w:r>
        <w:rPr>
          <w:b/>
          <w:sz w:val="24"/>
          <w:szCs w:val="24"/>
        </w:rPr>
        <w:t>13.45 Учёт нематериальных активов и права пользования НМА.</w:t>
      </w:r>
    </w:p>
    <w:p>
      <w:pPr>
        <w:pStyle w:val="s1"/>
        <w:spacing w:before="0" w:beforeAutospacing="0" w:after="0" w:afterAutospacing="0"/>
        <w:ind w:firstLine="851"/>
        <w:jc w:val="both"/>
      </w:pPr>
      <w:r>
        <w:rPr>
          <w:rStyle w:val="s10"/>
        </w:rPr>
        <w:t>Нематериальные активы</w:t>
      </w:r>
      <w:r>
        <w:t>, в отношении которых у Управления при приобретении (создании, поступлении) возникают исключительные права (далее – нематериальные активы, НМА), учитываются на счете 102 00 «Нематериальные активы».</w:t>
      </w:r>
    </w:p>
    <w:p>
      <w:pPr>
        <w:pStyle w:val="s1"/>
        <w:spacing w:before="0" w:beforeAutospacing="0" w:after="0" w:afterAutospacing="0"/>
        <w:ind w:firstLine="851"/>
        <w:jc w:val="both"/>
      </w:pPr>
      <w:r>
        <w:t>Права пользования нематериальными активами - нефинансовые активы, не имеющие материально-вещественной формы, с возможностью идентификации (выделения, отделения) от другого имущества, в отношении которых у Управления возникают неисключительные права использования результатов интеллектуальной деятельности (средств индивидуализации) в соответствии с лицензионными договорами либо иными документами, подтверждающими существование права на такой актив, на срок более 12 месяцев. Права пользования НМА учитываются на счете 111 60 «Права пользования нематериальными активами».</w:t>
      </w:r>
    </w:p>
    <w:p>
      <w:pPr>
        <w:pStyle w:val="aa"/>
        <w:jc w:val="both"/>
        <w:rPr>
          <w:rFonts w:eastAsia="Calibri"/>
          <w:lang w:eastAsia="en-US"/>
        </w:rPr>
      </w:pPr>
      <w:r>
        <w:rPr>
          <w:rFonts w:eastAsia="SimSun"/>
          <w:lang w:eastAsia="zh-CN"/>
        </w:rPr>
        <w:t xml:space="preserve"> </w:t>
      </w:r>
      <w:r>
        <w:rPr>
          <w:rFonts w:eastAsia="SimSun"/>
          <w:lang w:eastAsia="zh-CN"/>
        </w:rPr>
        <w:tab/>
      </w:r>
      <w:r>
        <w:rPr>
          <w:rFonts w:eastAsia="Calibri"/>
          <w:lang w:eastAsia="en-US"/>
        </w:rPr>
        <w:t>К нематериальным активам относятся объекты нефинансовых активов, предназначенные для неоднократного и (или) постоянного использования на праве оперативного управления в деятельности Управления, одновременно удовлетворяющие следующим условиям (п.6 п</w:t>
      </w:r>
      <w:r>
        <w:t>риказа Минфина РФ от 15.11.2019 № 181н «Об утверждении федерального стандарта бюджетного учёта организаций муниципального сектора «Нематериальные активы» (далее – СГС «Нематериальные активы»)</w:t>
      </w:r>
      <w:r>
        <w:rPr>
          <w:rFonts w:eastAsia="Calibri"/>
          <w:lang w:eastAsia="en-US"/>
        </w:rPr>
        <w:t>):</w:t>
      </w:r>
    </w:p>
    <w:p>
      <w:pPr>
        <w:ind w:firstLine="708"/>
        <w:jc w:val="both"/>
        <w:outlineLvl w:val="2"/>
        <w:rPr>
          <w:rFonts w:eastAsia="Calibri"/>
          <w:sz w:val="24"/>
          <w:szCs w:val="24"/>
          <w:lang w:eastAsia="en-US"/>
        </w:rPr>
      </w:pPr>
      <w:r>
        <w:rPr>
          <w:rFonts w:eastAsia="Calibri"/>
          <w:sz w:val="24"/>
          <w:szCs w:val="24"/>
          <w:lang w:eastAsia="en-US"/>
        </w:rPr>
        <w:t>- объект способен приносить Управлению экономические выгоды в будущем;</w:t>
      </w:r>
    </w:p>
    <w:p>
      <w:pPr>
        <w:ind w:firstLine="708"/>
        <w:jc w:val="both"/>
        <w:outlineLvl w:val="2"/>
        <w:rPr>
          <w:rFonts w:eastAsia="Calibri"/>
          <w:sz w:val="24"/>
          <w:szCs w:val="24"/>
          <w:lang w:eastAsia="en-US"/>
        </w:rPr>
      </w:pPr>
      <w:r>
        <w:rPr>
          <w:rFonts w:eastAsia="Calibri"/>
          <w:sz w:val="24"/>
          <w:szCs w:val="24"/>
          <w:lang w:eastAsia="en-US"/>
        </w:rPr>
        <w:t>- отсутствие у объекта материально-вещественной формы;</w:t>
      </w:r>
    </w:p>
    <w:p>
      <w:pPr>
        <w:ind w:firstLine="708"/>
        <w:jc w:val="both"/>
        <w:outlineLvl w:val="2"/>
        <w:rPr>
          <w:rFonts w:eastAsia="Calibri"/>
          <w:sz w:val="24"/>
          <w:szCs w:val="24"/>
          <w:lang w:eastAsia="en-US"/>
        </w:rPr>
      </w:pPr>
      <w:r>
        <w:rPr>
          <w:rFonts w:eastAsia="Calibri"/>
          <w:sz w:val="24"/>
          <w:szCs w:val="24"/>
          <w:lang w:eastAsia="en-US"/>
        </w:rPr>
        <w:t>- возможность идентификации (выделения, отделения) от другого имущества;</w:t>
      </w:r>
    </w:p>
    <w:p>
      <w:pPr>
        <w:ind w:firstLine="708"/>
        <w:jc w:val="both"/>
        <w:outlineLvl w:val="2"/>
        <w:rPr>
          <w:rFonts w:eastAsia="Calibri"/>
          <w:sz w:val="24"/>
          <w:szCs w:val="24"/>
          <w:lang w:eastAsia="en-US"/>
        </w:rPr>
      </w:pPr>
      <w:r>
        <w:rPr>
          <w:rFonts w:eastAsia="Calibri"/>
          <w:sz w:val="24"/>
          <w:szCs w:val="24"/>
          <w:lang w:eastAsia="en-US"/>
        </w:rPr>
        <w:t>- объект предназначен для использования в течение длительного времени, т.е. срока полезного использования, продолжительностью свыше 12 месяцев или обычного операционного цикла, если он превышает 12 месяцев;</w:t>
      </w:r>
    </w:p>
    <w:p>
      <w:pPr>
        <w:ind w:firstLine="708"/>
        <w:jc w:val="both"/>
        <w:outlineLvl w:val="2"/>
        <w:rPr>
          <w:rFonts w:eastAsia="Calibri"/>
          <w:sz w:val="24"/>
          <w:szCs w:val="24"/>
          <w:lang w:eastAsia="en-US"/>
        </w:rPr>
      </w:pPr>
      <w:r>
        <w:rPr>
          <w:rFonts w:eastAsia="Calibri"/>
          <w:sz w:val="24"/>
          <w:szCs w:val="24"/>
          <w:lang w:eastAsia="en-US"/>
        </w:rPr>
        <w:t>- не предполагается последующая перепродажа данного актива;</w:t>
      </w:r>
    </w:p>
    <w:p>
      <w:pPr>
        <w:ind w:firstLine="708"/>
        <w:jc w:val="both"/>
        <w:outlineLvl w:val="2"/>
        <w:rPr>
          <w:rFonts w:eastAsia="Calibri"/>
          <w:sz w:val="24"/>
          <w:szCs w:val="24"/>
          <w:lang w:eastAsia="en-US"/>
        </w:rPr>
      </w:pPr>
      <w:r>
        <w:rPr>
          <w:rFonts w:eastAsia="Calibri"/>
          <w:sz w:val="24"/>
          <w:szCs w:val="24"/>
          <w:lang w:eastAsia="en-US"/>
        </w:rPr>
        <w:t>- наличие надлежаще оформленных документов, подтверждающих существование актива;</w:t>
      </w:r>
    </w:p>
    <w:p>
      <w:pPr>
        <w:ind w:firstLine="708"/>
        <w:jc w:val="both"/>
        <w:outlineLvl w:val="2"/>
        <w:rPr>
          <w:rFonts w:eastAsia="Calibri"/>
          <w:sz w:val="24"/>
          <w:szCs w:val="24"/>
          <w:lang w:eastAsia="en-US"/>
        </w:rPr>
      </w:pPr>
      <w:r>
        <w:rPr>
          <w:rFonts w:eastAsia="Calibri"/>
          <w:sz w:val="24"/>
          <w:szCs w:val="24"/>
          <w:lang w:eastAsia="en-US"/>
        </w:rPr>
        <w:t>- наличие надлежаще оформленных документов, устанавливающих исключительное право на актив;</w:t>
      </w:r>
    </w:p>
    <w:p>
      <w:pPr>
        <w:ind w:firstLine="708"/>
        <w:jc w:val="both"/>
        <w:outlineLvl w:val="2"/>
        <w:rPr>
          <w:rFonts w:eastAsia="Calibri"/>
          <w:sz w:val="24"/>
          <w:szCs w:val="24"/>
          <w:lang w:eastAsia="en-US"/>
        </w:rPr>
      </w:pPr>
      <w:r>
        <w:rPr>
          <w:rFonts w:eastAsia="Calibri"/>
          <w:sz w:val="24"/>
          <w:szCs w:val="24"/>
          <w:lang w:eastAsia="en-US"/>
        </w:rPr>
        <w:t>- наличие в случаях, установленных законодательством Российской Федерации, надлежаще оформленных документов, подтверждающих исключительное право на актив (патенты, свидетельства, другие охранные документы, договор об отчуждении исключительного права на результат интеллектуальной деятельности или на средство индивидуализации, документы, подтверждающие переход исключительного права без договора и т.п.).</w:t>
      </w:r>
    </w:p>
    <w:p>
      <w:pPr>
        <w:ind w:firstLine="708"/>
        <w:jc w:val="both"/>
        <w:rPr>
          <w:sz w:val="24"/>
          <w:szCs w:val="24"/>
        </w:rPr>
      </w:pPr>
      <w:bookmarkStart w:id="6" w:name="_Hlk68285354"/>
      <w:r>
        <w:rPr>
          <w:sz w:val="24"/>
          <w:szCs w:val="24"/>
        </w:rPr>
        <w:t>Подгруппами объектов нематериальных активов являются:</w:t>
      </w:r>
    </w:p>
    <w:p>
      <w:pPr>
        <w:ind w:firstLine="708"/>
        <w:jc w:val="both"/>
        <w:rPr>
          <w:sz w:val="24"/>
          <w:szCs w:val="24"/>
        </w:rPr>
      </w:pPr>
      <w:proofErr w:type="gramStart"/>
      <w:r>
        <w:rPr>
          <w:sz w:val="24"/>
          <w:szCs w:val="24"/>
        </w:rPr>
        <w:t>а</w:t>
      </w:r>
      <w:proofErr w:type="gramEnd"/>
      <w:r>
        <w:rPr>
          <w:sz w:val="24"/>
          <w:szCs w:val="24"/>
        </w:rPr>
        <w:t>) нематериальный актив с определенным сроком полезного использования - объект нематериальных активов, в отношении которого может быть определен и документально подтвержден срок полезного использования;</w:t>
      </w:r>
    </w:p>
    <w:p>
      <w:pPr>
        <w:ind w:firstLine="708"/>
        <w:jc w:val="both"/>
        <w:rPr>
          <w:sz w:val="24"/>
          <w:szCs w:val="24"/>
        </w:rPr>
      </w:pPr>
      <w:proofErr w:type="gramStart"/>
      <w:r>
        <w:rPr>
          <w:sz w:val="24"/>
          <w:szCs w:val="24"/>
        </w:rPr>
        <w:t>б</w:t>
      </w:r>
      <w:proofErr w:type="gramEnd"/>
      <w:r>
        <w:rPr>
          <w:sz w:val="24"/>
          <w:szCs w:val="24"/>
        </w:rPr>
        <w:t>) нематериальный актив с неопределенным сроком полезного использования                     - объект нематериальных активов, в отношении которого срок полезного использования не может быть определен и документально подтвержден</w:t>
      </w:r>
      <w:bookmarkEnd w:id="6"/>
      <w:r>
        <w:rPr>
          <w:sz w:val="24"/>
          <w:szCs w:val="24"/>
        </w:rPr>
        <w:t>.</w:t>
      </w:r>
    </w:p>
    <w:p>
      <w:pPr>
        <w:ind w:firstLine="708"/>
        <w:jc w:val="both"/>
        <w:outlineLvl w:val="2"/>
        <w:rPr>
          <w:rFonts w:eastAsia="Calibri"/>
          <w:sz w:val="24"/>
          <w:szCs w:val="24"/>
          <w:lang w:eastAsia="en-US"/>
        </w:rPr>
      </w:pPr>
      <w:r>
        <w:rPr>
          <w:rFonts w:eastAsia="Calibri"/>
          <w:sz w:val="24"/>
          <w:szCs w:val="24"/>
          <w:lang w:eastAsia="en-US"/>
        </w:rPr>
        <w:t>13.46 Единицей бюджетного учёта нематериальных активов является инвентарный объект (п.9 СГС «Нематериальные активы»).</w:t>
      </w:r>
    </w:p>
    <w:p>
      <w:pPr>
        <w:ind w:firstLine="708"/>
        <w:jc w:val="both"/>
        <w:outlineLvl w:val="2"/>
        <w:rPr>
          <w:rFonts w:eastAsia="Calibri"/>
          <w:sz w:val="24"/>
          <w:szCs w:val="24"/>
          <w:lang w:eastAsia="en-US"/>
        </w:rPr>
      </w:pPr>
      <w:r>
        <w:rPr>
          <w:rFonts w:eastAsia="Calibri"/>
          <w:sz w:val="24"/>
          <w:szCs w:val="24"/>
          <w:lang w:eastAsia="en-US"/>
        </w:rPr>
        <w:t>Инвентарным объектом нематериальных активов признается совокупность прав, возникающих из одного патента, свидетельства, договора (муниципального контракта), предусматривающего приобретение (отчуждение) в пользу Управления исключительных прав на результаты интеллектуальной деятельности (на средство индивидуализации), либо в ином установленном законодательством Российской Федерации порядке, предназначенных для выполнения определенных самостоятельных функций.</w:t>
      </w:r>
    </w:p>
    <w:p>
      <w:pPr>
        <w:ind w:firstLine="708"/>
        <w:jc w:val="both"/>
        <w:outlineLvl w:val="2"/>
        <w:rPr>
          <w:rFonts w:eastAsia="Calibri"/>
          <w:sz w:val="24"/>
          <w:szCs w:val="24"/>
          <w:lang w:eastAsia="en-US"/>
        </w:rPr>
      </w:pPr>
      <w:r>
        <w:rPr>
          <w:rFonts w:eastAsia="Calibri"/>
          <w:sz w:val="24"/>
          <w:szCs w:val="24"/>
          <w:lang w:eastAsia="en-US"/>
        </w:rPr>
        <w:t>В качестве инвентарного объекта нематериальных активов признаются сложный объект, включающий несколько охраняемых результатов интеллектуальной деятельности.</w:t>
      </w:r>
    </w:p>
    <w:p>
      <w:pPr>
        <w:ind w:firstLine="708"/>
        <w:jc w:val="both"/>
        <w:outlineLvl w:val="2"/>
        <w:rPr>
          <w:rFonts w:eastAsia="Calibri"/>
          <w:sz w:val="24"/>
          <w:szCs w:val="24"/>
          <w:lang w:eastAsia="en-US"/>
        </w:rPr>
      </w:pPr>
      <w:r>
        <w:rPr>
          <w:rFonts w:eastAsia="Calibri"/>
          <w:sz w:val="24"/>
          <w:szCs w:val="24"/>
          <w:lang w:eastAsia="en-US"/>
        </w:rPr>
        <w:t>13.47 В целях организации и ведения аналитического учёта каждому инвентарному объекту нематериальных активов присваивается уникальный инвентарный порядковый номер, который используется исключительно в регистрах учёта.</w:t>
      </w:r>
    </w:p>
    <w:p>
      <w:pPr>
        <w:ind w:firstLine="708"/>
        <w:jc w:val="both"/>
        <w:outlineLvl w:val="2"/>
        <w:rPr>
          <w:rFonts w:eastAsia="Calibri"/>
          <w:sz w:val="24"/>
          <w:szCs w:val="24"/>
          <w:lang w:eastAsia="en-US"/>
        </w:rPr>
      </w:pPr>
      <w:r>
        <w:rPr>
          <w:rFonts w:eastAsia="Calibri"/>
          <w:sz w:val="24"/>
          <w:szCs w:val="24"/>
          <w:lang w:eastAsia="en-US"/>
        </w:rPr>
        <w:t>Инвентарный номер, присвоенный объекту нематериального актива, сохраняется за ним на весь период его учёта.</w:t>
      </w:r>
    </w:p>
    <w:p>
      <w:pPr>
        <w:ind w:firstLine="851"/>
        <w:jc w:val="both"/>
        <w:rPr>
          <w:sz w:val="24"/>
          <w:szCs w:val="24"/>
        </w:rPr>
      </w:pPr>
      <w:r>
        <w:rPr>
          <w:sz w:val="24"/>
          <w:szCs w:val="24"/>
        </w:rPr>
        <w:t xml:space="preserve">Инвентарный номер нематериального актива в Управлении </w:t>
      </w:r>
      <w:r>
        <w:rPr>
          <w:rFonts w:eastAsia="Calibri"/>
          <w:sz w:val="24"/>
          <w:szCs w:val="24"/>
        </w:rPr>
        <w:t>состоит из одиннадцати знаков:</w:t>
      </w:r>
    </w:p>
    <w:p>
      <w:pPr>
        <w:pStyle w:val="s1"/>
        <w:spacing w:before="0" w:beforeAutospacing="0" w:after="0" w:afterAutospacing="0"/>
        <w:jc w:val="both"/>
        <w:rPr>
          <w:rFonts w:eastAsia="Calibri"/>
          <w:lang w:eastAsia="en-US"/>
        </w:rPr>
      </w:pPr>
      <w:r>
        <w:rPr>
          <w:rFonts w:eastAsia="Calibri"/>
          <w:lang w:eastAsia="en-US"/>
        </w:rPr>
        <w:t>- 1 знак – код вида финансового обеспечения (деятельности) «1 - бюджетная деятельность»;</w:t>
      </w:r>
    </w:p>
    <w:p>
      <w:pPr>
        <w:pStyle w:val="s1"/>
        <w:spacing w:before="0" w:beforeAutospacing="0" w:after="0" w:afterAutospacing="0"/>
        <w:jc w:val="both"/>
      </w:pPr>
      <w:r>
        <w:t>- 2 - 6 знаки – код счета аналитического учета (102 ХХ);</w:t>
      </w:r>
    </w:p>
    <w:p>
      <w:pPr>
        <w:pStyle w:val="s1"/>
        <w:spacing w:before="0" w:beforeAutospacing="0" w:after="0" w:afterAutospacing="0"/>
        <w:jc w:val="both"/>
      </w:pPr>
      <w:r>
        <w:t>- 7 - 11 – порядковый номер инвентарного объекта.</w:t>
      </w:r>
    </w:p>
    <w:p>
      <w:pPr>
        <w:ind w:firstLine="708"/>
        <w:jc w:val="both"/>
        <w:outlineLvl w:val="2"/>
        <w:rPr>
          <w:rFonts w:eastAsia="Calibri"/>
          <w:sz w:val="24"/>
          <w:szCs w:val="24"/>
          <w:lang w:eastAsia="en-US"/>
        </w:rPr>
      </w:pPr>
      <w:r>
        <w:rPr>
          <w:rFonts w:eastAsia="Calibri"/>
          <w:sz w:val="24"/>
          <w:szCs w:val="24"/>
          <w:lang w:eastAsia="en-US"/>
        </w:rPr>
        <w:t>Инвентарные номера выбывших (списанных) инвентарных объектов нематериальных активов вновь принятым к учёту объектам нефинансовых активов не присваиваются.</w:t>
      </w:r>
    </w:p>
    <w:p>
      <w:pPr>
        <w:ind w:firstLine="708"/>
        <w:jc w:val="both"/>
        <w:rPr>
          <w:sz w:val="24"/>
          <w:szCs w:val="24"/>
        </w:rPr>
      </w:pPr>
      <w:r>
        <w:rPr>
          <w:rFonts w:eastAsia="Calibri"/>
          <w:sz w:val="24"/>
          <w:szCs w:val="24"/>
          <w:lang w:eastAsia="en-US"/>
        </w:rPr>
        <w:t xml:space="preserve">13.48 </w:t>
      </w:r>
      <w:r>
        <w:rPr>
          <w:sz w:val="24"/>
          <w:szCs w:val="24"/>
        </w:rPr>
        <w:t xml:space="preserve">Первоначальная стоимость нематериального актива, созданных силами Управления, равна сумме затрат, понесенных с момента, когда объект впервые стал соответствовать критериям признания нематериального актива, и включает все прямые затраты, необходимые для создания, производства и подготовки объекта нематериального актива к использованию по назначению. </w:t>
      </w:r>
    </w:p>
    <w:p>
      <w:pPr>
        <w:ind w:firstLine="708"/>
        <w:jc w:val="both"/>
        <w:rPr>
          <w:sz w:val="24"/>
          <w:szCs w:val="24"/>
        </w:rPr>
      </w:pPr>
      <w:r>
        <w:rPr>
          <w:sz w:val="24"/>
          <w:szCs w:val="24"/>
        </w:rPr>
        <w:t>Не включаются в первоначальную стоимость объектов нематериального актива, созданных самостоятельно, и отражаются в составе расходов текущего периода (</w:t>
      </w:r>
      <w:hyperlink r:id="rId107" w:history="1">
        <w:r>
          <w:rPr>
            <w:sz w:val="24"/>
            <w:szCs w:val="24"/>
          </w:rPr>
          <w:t>п. 21</w:t>
        </w:r>
      </w:hyperlink>
      <w:r>
        <w:rPr>
          <w:sz w:val="24"/>
          <w:szCs w:val="24"/>
        </w:rPr>
        <w:t xml:space="preserve"> СГС «Нематериальные активы»):</w:t>
      </w:r>
    </w:p>
    <w:p>
      <w:pPr>
        <w:ind w:firstLine="708"/>
        <w:jc w:val="both"/>
        <w:rPr>
          <w:sz w:val="24"/>
          <w:szCs w:val="24"/>
        </w:rPr>
      </w:pPr>
      <w:r>
        <w:rPr>
          <w:sz w:val="24"/>
          <w:szCs w:val="24"/>
        </w:rPr>
        <w:t>- общехозяйственные, общие административные и прочие общие накладные расходы, кроме тех, которые могут быть отнесены напрямую на подготовку определенного объекта нематериального актива к использованию;</w:t>
      </w:r>
    </w:p>
    <w:p>
      <w:pPr>
        <w:ind w:firstLine="708"/>
        <w:jc w:val="both"/>
        <w:rPr>
          <w:sz w:val="24"/>
          <w:szCs w:val="24"/>
        </w:rPr>
      </w:pPr>
      <w:r>
        <w:rPr>
          <w:sz w:val="24"/>
          <w:szCs w:val="24"/>
        </w:rPr>
        <w:t>- первоначальные операционные убытки, возникшие до момента достижения плановой производительности указанного актива;</w:t>
      </w:r>
    </w:p>
    <w:p>
      <w:pPr>
        <w:ind w:firstLine="708"/>
        <w:jc w:val="both"/>
        <w:rPr>
          <w:sz w:val="24"/>
          <w:szCs w:val="24"/>
        </w:rPr>
      </w:pPr>
      <w:r>
        <w:rPr>
          <w:sz w:val="24"/>
          <w:szCs w:val="24"/>
        </w:rPr>
        <w:t>- расходы на обучение персонала работе с активом.</w:t>
      </w:r>
    </w:p>
    <w:p>
      <w:pPr>
        <w:ind w:firstLine="708"/>
        <w:jc w:val="both"/>
        <w:outlineLvl w:val="2"/>
        <w:rPr>
          <w:sz w:val="24"/>
          <w:szCs w:val="24"/>
          <w:lang w:eastAsia="en-US"/>
        </w:rPr>
      </w:pPr>
      <w:r>
        <w:rPr>
          <w:rFonts w:eastAsia="Calibri"/>
          <w:sz w:val="24"/>
          <w:szCs w:val="24"/>
          <w:lang w:eastAsia="en-US"/>
        </w:rPr>
        <w:t xml:space="preserve">13.49 </w:t>
      </w:r>
      <w:r>
        <w:rPr>
          <w:sz w:val="24"/>
          <w:szCs w:val="24"/>
          <w:lang w:eastAsia="en-US"/>
        </w:rPr>
        <w:t xml:space="preserve">Сроком полезного использования нематериального актива является </w:t>
      </w:r>
      <w:proofErr w:type="gramStart"/>
      <w:r>
        <w:rPr>
          <w:sz w:val="24"/>
          <w:szCs w:val="24"/>
          <w:lang w:eastAsia="en-US"/>
        </w:rPr>
        <w:t xml:space="preserve">период,   </w:t>
      </w:r>
      <w:proofErr w:type="gramEnd"/>
      <w:r>
        <w:rPr>
          <w:sz w:val="24"/>
          <w:szCs w:val="24"/>
          <w:lang w:eastAsia="en-US"/>
        </w:rPr>
        <w:t xml:space="preserve">            в течение которого Управление предполагается использование актива.</w:t>
      </w:r>
    </w:p>
    <w:p>
      <w:pPr>
        <w:ind w:firstLine="708"/>
        <w:jc w:val="both"/>
        <w:outlineLvl w:val="2"/>
        <w:rPr>
          <w:spacing w:val="-4"/>
          <w:sz w:val="24"/>
          <w:szCs w:val="24"/>
          <w:lang w:eastAsia="en-US"/>
        </w:rPr>
      </w:pPr>
      <w:r>
        <w:rPr>
          <w:spacing w:val="-4"/>
          <w:sz w:val="24"/>
          <w:szCs w:val="24"/>
          <w:lang w:eastAsia="en-US"/>
        </w:rPr>
        <w:t>Срок полезного использования нематериальных активов в целях принятия объекта                  к бухгалтерскому учёту и начисления амортизации определяется комиссией по поступлению и выбытию активов Управления исходя из:</w:t>
      </w:r>
    </w:p>
    <w:p>
      <w:pPr>
        <w:ind w:firstLine="708"/>
        <w:jc w:val="both"/>
        <w:outlineLvl w:val="2"/>
        <w:rPr>
          <w:sz w:val="24"/>
          <w:szCs w:val="24"/>
          <w:lang w:eastAsia="en-US"/>
        </w:rPr>
      </w:pPr>
      <w:proofErr w:type="gramStart"/>
      <w:r>
        <w:rPr>
          <w:sz w:val="24"/>
          <w:szCs w:val="24"/>
          <w:lang w:eastAsia="en-US"/>
        </w:rPr>
        <w:t>срока</w:t>
      </w:r>
      <w:proofErr w:type="gramEnd"/>
      <w:r>
        <w:rPr>
          <w:sz w:val="24"/>
          <w:szCs w:val="24"/>
          <w:lang w:eastAsia="en-US"/>
        </w:rPr>
        <w:t xml:space="preserve"> действия прав Управления на результат интеллектуальной деятельности или средство индивидуализации и периода контроля над активом;</w:t>
      </w:r>
    </w:p>
    <w:p>
      <w:pPr>
        <w:ind w:firstLine="708"/>
        <w:jc w:val="both"/>
        <w:outlineLvl w:val="2"/>
        <w:rPr>
          <w:sz w:val="24"/>
          <w:szCs w:val="24"/>
          <w:lang w:eastAsia="en-US"/>
        </w:rPr>
      </w:pPr>
      <w:proofErr w:type="gramStart"/>
      <w:r>
        <w:rPr>
          <w:sz w:val="24"/>
          <w:szCs w:val="24"/>
          <w:lang w:eastAsia="en-US"/>
        </w:rPr>
        <w:t>срока</w:t>
      </w:r>
      <w:proofErr w:type="gramEnd"/>
      <w:r>
        <w:rPr>
          <w:sz w:val="24"/>
          <w:szCs w:val="24"/>
          <w:lang w:eastAsia="en-US"/>
        </w:rPr>
        <w:t xml:space="preserve"> действия патента, свидетельства и других ограничений сроков использования объектов интеллектуальной собственности согласно законодательству Российской Федерации;</w:t>
      </w:r>
    </w:p>
    <w:p>
      <w:pPr>
        <w:ind w:firstLine="708"/>
        <w:jc w:val="both"/>
        <w:outlineLvl w:val="2"/>
        <w:rPr>
          <w:sz w:val="24"/>
          <w:szCs w:val="24"/>
          <w:lang w:eastAsia="en-US"/>
        </w:rPr>
      </w:pPr>
      <w:proofErr w:type="gramStart"/>
      <w:r>
        <w:rPr>
          <w:sz w:val="24"/>
          <w:szCs w:val="24"/>
          <w:lang w:eastAsia="en-US"/>
        </w:rPr>
        <w:t>ожидаемого</w:t>
      </w:r>
      <w:proofErr w:type="gramEnd"/>
      <w:r>
        <w:rPr>
          <w:sz w:val="24"/>
          <w:szCs w:val="24"/>
          <w:lang w:eastAsia="en-US"/>
        </w:rPr>
        <w:t xml:space="preserve"> срока использования актива, в течение которого Управление предполагает использовать актив в деятельности, направленной на достижение целей создания Управления, либо в случаях, предусмотренных законодательством Российской Федерации, получать экономические выгоды.</w:t>
      </w:r>
    </w:p>
    <w:p>
      <w:pPr>
        <w:ind w:firstLine="708"/>
        <w:jc w:val="both"/>
        <w:outlineLvl w:val="2"/>
        <w:rPr>
          <w:sz w:val="24"/>
          <w:szCs w:val="24"/>
          <w:lang w:eastAsia="en-US"/>
        </w:rPr>
      </w:pPr>
      <w:r>
        <w:rPr>
          <w:sz w:val="24"/>
          <w:szCs w:val="24"/>
          <w:lang w:eastAsia="en-US"/>
        </w:rPr>
        <w:t>Нематериальные активы, по которым невозможно надежно определить срок полезного использования, считаются нематериальными активами с неопределенным сроком полезного использования (</w:t>
      </w:r>
      <w:bookmarkStart w:id="7" w:name="_Hlk68285505"/>
      <w:r>
        <w:rPr>
          <w:sz w:val="24"/>
          <w:szCs w:val="24"/>
          <w:lang w:eastAsia="en-US"/>
        </w:rPr>
        <w:t>п.27 СГС «Нематериальные активы»).</w:t>
      </w:r>
      <w:bookmarkEnd w:id="7"/>
    </w:p>
    <w:p>
      <w:pPr>
        <w:ind w:firstLine="708"/>
        <w:jc w:val="both"/>
        <w:outlineLvl w:val="2"/>
        <w:rPr>
          <w:rFonts w:eastAsia="Calibri"/>
          <w:sz w:val="24"/>
          <w:szCs w:val="24"/>
          <w:lang w:eastAsia="en-US"/>
        </w:rPr>
      </w:pPr>
      <w:r>
        <w:rPr>
          <w:rFonts w:eastAsia="Calibri"/>
          <w:sz w:val="24"/>
          <w:szCs w:val="24"/>
          <w:lang w:eastAsia="en-US"/>
        </w:rPr>
        <w:t>В целях расчёта сумм амортизации объектов нематериального актива комиссия Управления по поступлению и выбытию активов ежегодно определяет продолжительность периода, в течение которого предполагается использовать нематериальный актив, и в случаях его существенного изменения уточняет срок его полезного использования. Возникшая в связи с этим корректировка суммы начисляемой ежемесячно амортизации осуществляется, начиная с месяца, следующего за месяцем, в котором произведено уточнение срока полезного использования.</w:t>
      </w:r>
    </w:p>
    <w:p>
      <w:pPr>
        <w:ind w:firstLine="708"/>
        <w:jc w:val="both"/>
        <w:outlineLvl w:val="2"/>
        <w:rPr>
          <w:rFonts w:eastAsia="Calibri"/>
          <w:sz w:val="24"/>
          <w:szCs w:val="24"/>
          <w:lang w:eastAsia="en-US"/>
        </w:rPr>
      </w:pPr>
      <w:r>
        <w:rPr>
          <w:rFonts w:eastAsia="Calibri"/>
          <w:sz w:val="24"/>
          <w:szCs w:val="24"/>
          <w:lang w:eastAsia="en-US"/>
        </w:rPr>
        <w:t xml:space="preserve">13.50 Группировка объектов нематериальных активов осуществляется по группам имущества (иное движимое имущество Управления), и видам имущества, соответствующим подразделам классификации, установленным ОКОФ. </w:t>
      </w:r>
    </w:p>
    <w:p>
      <w:pPr>
        <w:ind w:firstLine="708"/>
        <w:jc w:val="both"/>
        <w:outlineLvl w:val="1"/>
        <w:rPr>
          <w:rFonts w:eastAsia="Calibri"/>
          <w:sz w:val="24"/>
          <w:szCs w:val="24"/>
          <w:lang w:eastAsia="en-US"/>
        </w:rPr>
      </w:pPr>
      <w:r>
        <w:rPr>
          <w:rFonts w:eastAsia="Calibri"/>
          <w:sz w:val="24"/>
          <w:szCs w:val="24"/>
          <w:lang w:eastAsia="en-US"/>
        </w:rPr>
        <w:t>В соответствии с ОКОФ к нематериальным активам относятся: компьютерное программное обеспечение, базы данных, прочие нематериальные основные фонды, являющиеся объектами интеллектуальной собственности, использование которых ограничено установленными на них правами владения.</w:t>
      </w:r>
    </w:p>
    <w:p>
      <w:pPr>
        <w:ind w:firstLine="708"/>
        <w:jc w:val="both"/>
        <w:outlineLvl w:val="2"/>
        <w:rPr>
          <w:rFonts w:eastAsia="Calibri"/>
          <w:sz w:val="24"/>
          <w:szCs w:val="24"/>
          <w:lang w:eastAsia="en-US"/>
        </w:rPr>
      </w:pPr>
      <w:r>
        <w:rPr>
          <w:rFonts w:eastAsia="Calibri"/>
          <w:sz w:val="24"/>
          <w:szCs w:val="24"/>
          <w:lang w:eastAsia="en-US"/>
        </w:rPr>
        <w:t>13.51 В целях контроля соответствия учётных данных по объектам нематериальных активов, формируемых ответственными лицами, данным на соответствующих счётах аналитического учёта Рабочего плана счетов Управления составляется Оборотная ведомость по нефинансовым активам.</w:t>
      </w:r>
    </w:p>
    <w:p>
      <w:pPr>
        <w:ind w:firstLine="708"/>
        <w:jc w:val="both"/>
        <w:rPr>
          <w:i/>
          <w:iCs/>
          <w:sz w:val="24"/>
          <w:szCs w:val="24"/>
          <w:lang w:eastAsia="en-US"/>
        </w:rPr>
      </w:pPr>
      <w:r>
        <w:rPr>
          <w:rFonts w:eastAsia="Calibri"/>
          <w:sz w:val="24"/>
          <w:szCs w:val="24"/>
          <w:lang w:eastAsia="en-US"/>
        </w:rPr>
        <w:t xml:space="preserve">13.52 </w:t>
      </w:r>
      <w:r>
        <w:rPr>
          <w:sz w:val="24"/>
          <w:szCs w:val="24"/>
          <w:lang w:eastAsia="en-US"/>
        </w:rPr>
        <w:t>Начисление амортизации на объекты нематериальных активов осуществляется линейным методом</w:t>
      </w:r>
      <w:r>
        <w:rPr>
          <w:i/>
          <w:iCs/>
          <w:sz w:val="24"/>
          <w:szCs w:val="24"/>
          <w:lang w:eastAsia="en-US"/>
        </w:rPr>
        <w:t>.</w:t>
      </w:r>
    </w:p>
    <w:p>
      <w:pPr>
        <w:ind w:firstLine="708"/>
        <w:jc w:val="both"/>
        <w:rPr>
          <w:sz w:val="24"/>
          <w:szCs w:val="24"/>
        </w:rPr>
      </w:pPr>
      <w:r>
        <w:rPr>
          <w:sz w:val="24"/>
          <w:szCs w:val="24"/>
        </w:rPr>
        <w:t>Амортиз</w:t>
      </w:r>
      <w:bookmarkStart w:id="8" w:name="_GoBack"/>
      <w:bookmarkEnd w:id="8"/>
      <w:r>
        <w:rPr>
          <w:sz w:val="24"/>
          <w:szCs w:val="24"/>
        </w:rPr>
        <w:t>ация начисляется на нематериальные активы стоимостью (</w:t>
      </w:r>
      <w:hyperlink r:id="rId108" w:history="1">
        <w:r>
          <w:rPr>
            <w:sz w:val="24"/>
            <w:szCs w:val="24"/>
          </w:rPr>
          <w:t>п. 33</w:t>
        </w:r>
      </w:hyperlink>
      <w:r>
        <w:rPr>
          <w:sz w:val="24"/>
          <w:szCs w:val="24"/>
        </w:rPr>
        <w:t xml:space="preserve"> СГС «Нематериальные активы»):</w:t>
      </w:r>
    </w:p>
    <w:p>
      <w:pPr>
        <w:ind w:firstLine="708"/>
        <w:jc w:val="both"/>
        <w:rPr>
          <w:sz w:val="24"/>
          <w:szCs w:val="24"/>
        </w:rPr>
      </w:pPr>
      <w:r>
        <w:rPr>
          <w:sz w:val="24"/>
          <w:szCs w:val="24"/>
        </w:rPr>
        <w:t>- свыше 100 000 руб. - в соответствии с нормами амортизации согласно применяемому методу амортизации;</w:t>
      </w:r>
    </w:p>
    <w:p>
      <w:pPr>
        <w:ind w:firstLine="708"/>
        <w:jc w:val="both"/>
        <w:rPr>
          <w:sz w:val="24"/>
          <w:szCs w:val="24"/>
        </w:rPr>
      </w:pPr>
      <w:r>
        <w:rPr>
          <w:sz w:val="24"/>
          <w:szCs w:val="24"/>
        </w:rPr>
        <w:t>- до 100 000 руб. - в размере 100% первоначальной стоимости при признании объекта в составе группы нематериальных активов.</w:t>
      </w:r>
    </w:p>
    <w:p>
      <w:pPr>
        <w:ind w:firstLine="708"/>
        <w:jc w:val="both"/>
        <w:rPr>
          <w:sz w:val="24"/>
          <w:szCs w:val="24"/>
        </w:rPr>
      </w:pPr>
      <w:r>
        <w:rPr>
          <w:sz w:val="24"/>
          <w:szCs w:val="24"/>
        </w:rPr>
        <w:t>Начисление амортизации объекта нематериальных активов не приостанавливается в случаях, когда объект нематериальных активов не используется, либо удерживается для отчуждения не в пользу организаций бюджетной сферы, за исключением случая, когда остаточная стоимость объекта нематериальных активов стала равна нулю (п. 29 СГС «Нематериальные активы»).</w:t>
      </w:r>
    </w:p>
    <w:p>
      <w:pPr>
        <w:ind w:firstLine="708"/>
        <w:jc w:val="both"/>
        <w:rPr>
          <w:sz w:val="24"/>
          <w:szCs w:val="24"/>
        </w:rPr>
      </w:pPr>
      <w:r>
        <w:rPr>
          <w:rFonts w:eastAsia="Calibri"/>
          <w:sz w:val="24"/>
          <w:szCs w:val="24"/>
          <w:lang w:eastAsia="en-US"/>
        </w:rPr>
        <w:t xml:space="preserve">13.53 </w:t>
      </w:r>
      <w:r>
        <w:rPr>
          <w:sz w:val="24"/>
          <w:szCs w:val="24"/>
        </w:rPr>
        <w:t xml:space="preserve">Расходы, производимые в объеме фактических затрат Управления, в объекты нефинансовых активов, формирующие объекты нематериальных активов, следует относить на </w:t>
      </w:r>
      <w:hyperlink r:id="rId109" w:history="1">
        <w:r>
          <w:rPr>
            <w:sz w:val="24"/>
            <w:szCs w:val="24"/>
          </w:rPr>
          <w:t>подстатью 228</w:t>
        </w:r>
      </w:hyperlink>
      <w:r>
        <w:rPr>
          <w:sz w:val="24"/>
          <w:szCs w:val="24"/>
        </w:rPr>
        <w:t xml:space="preserve"> «Услуги, работы для целей капитальных вложений» КОСГУ (письмо Минфина России от 08.11.2019 г. № 02-08-10/86416).</w:t>
      </w:r>
    </w:p>
    <w:p>
      <w:pPr>
        <w:ind w:firstLine="708"/>
        <w:jc w:val="both"/>
        <w:rPr>
          <w:sz w:val="24"/>
          <w:szCs w:val="24"/>
        </w:rPr>
      </w:pPr>
      <w:r>
        <w:rPr>
          <w:rFonts w:eastAsia="Calibri"/>
          <w:sz w:val="24"/>
          <w:szCs w:val="24"/>
          <w:lang w:eastAsia="en-US"/>
        </w:rPr>
        <w:t xml:space="preserve">13.54 </w:t>
      </w:r>
      <w:r>
        <w:rPr>
          <w:sz w:val="24"/>
          <w:szCs w:val="24"/>
        </w:rPr>
        <w:t xml:space="preserve">Обесценение нематериальных активов с определенным сроком полезного использования учитывать по </w:t>
      </w:r>
      <w:hyperlink r:id="rId110" w:history="1">
        <w:r>
          <w:rPr>
            <w:sz w:val="24"/>
            <w:szCs w:val="24"/>
          </w:rPr>
          <w:t>коду 422</w:t>
        </w:r>
      </w:hyperlink>
      <w:r>
        <w:rPr>
          <w:sz w:val="24"/>
          <w:szCs w:val="24"/>
        </w:rPr>
        <w:t xml:space="preserve"> КОСГУ, с неопределенным сроком - по </w:t>
      </w:r>
      <w:hyperlink r:id="rId111" w:history="1">
        <w:r>
          <w:rPr>
            <w:sz w:val="24"/>
            <w:szCs w:val="24"/>
          </w:rPr>
          <w:t>коду 423</w:t>
        </w:r>
      </w:hyperlink>
      <w:r>
        <w:rPr>
          <w:sz w:val="24"/>
          <w:szCs w:val="24"/>
        </w:rPr>
        <w:t xml:space="preserve"> КОСГУ.</w:t>
      </w:r>
    </w:p>
    <w:p>
      <w:pPr>
        <w:ind w:firstLine="708"/>
        <w:jc w:val="both"/>
        <w:rPr>
          <w:sz w:val="24"/>
          <w:szCs w:val="24"/>
        </w:rPr>
      </w:pPr>
      <w:r>
        <w:rPr>
          <w:rFonts w:eastAsia="Calibri"/>
          <w:sz w:val="24"/>
          <w:szCs w:val="24"/>
          <w:lang w:eastAsia="en-US"/>
        </w:rPr>
        <w:t>13.55</w:t>
      </w:r>
      <w:r>
        <w:rPr>
          <w:sz w:val="24"/>
          <w:szCs w:val="24"/>
        </w:rPr>
        <w:t xml:space="preserve"> Срок полезного использования прав пользования нематериальными активами считается неопределенным, если анализ всех значимых факторов указывает на отсутствие предвидимого предела у периода, в течение которого от данного актива ожидается поступление экономических выгод (полезного потенциала).</w:t>
      </w:r>
    </w:p>
    <w:p>
      <w:pPr>
        <w:ind w:firstLine="708"/>
        <w:jc w:val="both"/>
        <w:rPr>
          <w:sz w:val="24"/>
          <w:szCs w:val="24"/>
        </w:rPr>
      </w:pPr>
      <w:r>
        <w:rPr>
          <w:rFonts w:eastAsia="Calibri"/>
          <w:sz w:val="24"/>
          <w:szCs w:val="24"/>
          <w:lang w:eastAsia="en-US"/>
        </w:rPr>
        <w:t xml:space="preserve">13.56 </w:t>
      </w:r>
      <w:r>
        <w:rPr>
          <w:sz w:val="24"/>
          <w:szCs w:val="24"/>
        </w:rPr>
        <w:t xml:space="preserve">Материальные ценности в виде материальных носителей (видеокассеты, </w:t>
      </w:r>
      <w:proofErr w:type="spellStart"/>
      <w:r>
        <w:rPr>
          <w:sz w:val="24"/>
          <w:szCs w:val="24"/>
        </w:rPr>
        <w:t>флеш</w:t>
      </w:r>
      <w:proofErr w:type="spellEnd"/>
      <w:r>
        <w:rPr>
          <w:sz w:val="24"/>
          <w:szCs w:val="24"/>
        </w:rPr>
        <w:t>-накопители) независимо от их стоимости со сроком полезного использования более 12 месяцев, предназначенные для неоднократного или постоянного использования Управлением на праве оперативного управления (праве) пользования имуществом, по договору безвозмездного пользования) в целях выполнения муниципальных полномочий (функций), осуществления деятельности по выполнению работ, оказанию услуг либо для управленческих нужд Управления, признаются объектами учёта основных средств согласно СГС «Основные средства».</w:t>
      </w:r>
    </w:p>
    <w:p>
      <w:pPr>
        <w:ind w:firstLine="708"/>
        <w:jc w:val="both"/>
        <w:rPr>
          <w:sz w:val="24"/>
          <w:szCs w:val="24"/>
        </w:rPr>
      </w:pPr>
      <w:r>
        <w:rPr>
          <w:sz w:val="24"/>
          <w:szCs w:val="24"/>
        </w:rPr>
        <w:t xml:space="preserve">При этом совокупность прав на результаты интеллектуальной деятельности, выраженные на материальных носителях, подлежит отражению в учёте в порядке, предусмотренном </w:t>
      </w:r>
      <w:hyperlink r:id="rId112" w:history="1">
        <w:r>
          <w:rPr>
            <w:sz w:val="24"/>
            <w:szCs w:val="24"/>
          </w:rPr>
          <w:t>СГС</w:t>
        </w:r>
      </w:hyperlink>
      <w:r>
        <w:rPr>
          <w:sz w:val="24"/>
          <w:szCs w:val="24"/>
        </w:rPr>
        <w:t xml:space="preserve"> «Нематериальные активы» (п.4 СГС «Нематериальные активы», письмо Минфина РФ от 24.02.2021 г. № 02-07-10/12728).</w:t>
      </w:r>
    </w:p>
    <w:p>
      <w:pPr>
        <w:pStyle w:val="s1"/>
        <w:shd w:val="clear" w:color="auto" w:fill="FFFFFF" w:themeFill="background1"/>
        <w:spacing w:before="0" w:beforeAutospacing="0" w:after="0" w:afterAutospacing="0"/>
        <w:ind w:firstLine="709"/>
        <w:jc w:val="both"/>
      </w:pPr>
      <w:r>
        <w:t xml:space="preserve">Если при передаче Управлению нематериального актива, прав пользования нематериальными активами (за исключением передачи от организации бюджетной сферы) в первичных документах отдельно указана (выделена) стоимость материальных носителей нематериальных активов (например, </w:t>
      </w:r>
      <w:proofErr w:type="spellStart"/>
      <w:r>
        <w:t>флеш</w:t>
      </w:r>
      <w:proofErr w:type="spellEnd"/>
      <w:r>
        <w:t xml:space="preserve">-накопитель USB, CD-диск и прочее), их стоимость включается в первоначальную стоимость нематериального актива (учитываемых на счете 102 00), прав пользования нематериальными активами (учитываемых на счете 111 60), при этом материальные носители как самостоятельные объекты не учитываются. По нематериальным активам информация о таких носителях отражается в Инвентарной карточке. </w:t>
      </w:r>
    </w:p>
    <w:p>
      <w:pPr>
        <w:pStyle w:val="s1"/>
        <w:shd w:val="clear" w:color="auto" w:fill="FFFFFF" w:themeFill="background1"/>
        <w:spacing w:before="0" w:beforeAutospacing="0" w:after="0" w:afterAutospacing="0"/>
        <w:ind w:firstLine="709"/>
        <w:jc w:val="both"/>
      </w:pPr>
      <w:r>
        <w:t xml:space="preserve">По решению Комиссии по поступлению и выбытию активов материальные носители могут приниматься к учету в составе материальных запасов или основных средств, если установлена возможность их использования в деятельности Управления в качестве самостоятельных объектов материальных ценностей - в этом случае они не учитываются при формировании стоимости нематериального актива, прав пользования нематериальными активами. </w:t>
      </w:r>
    </w:p>
    <w:p>
      <w:pPr>
        <w:pStyle w:val="s1"/>
        <w:shd w:val="clear" w:color="auto" w:fill="FFFFFF" w:themeFill="background1"/>
        <w:spacing w:before="0" w:beforeAutospacing="0" w:after="0" w:afterAutospacing="0"/>
        <w:ind w:firstLine="709"/>
        <w:jc w:val="both"/>
      </w:pPr>
      <w:r>
        <w:t>На счете 111 60 «Права пользования нематериальными активами» организован дополнительный аналитический учет – к аналитическому счету вводится субконто для учета объектов:</w:t>
      </w:r>
    </w:p>
    <w:p>
      <w:pPr>
        <w:shd w:val="clear" w:color="auto" w:fill="FFFFFF" w:themeFill="background1"/>
        <w:jc w:val="both"/>
        <w:rPr>
          <w:sz w:val="24"/>
          <w:szCs w:val="24"/>
        </w:rPr>
      </w:pPr>
      <w:r>
        <w:rPr>
          <w:sz w:val="24"/>
          <w:szCs w:val="24"/>
        </w:rPr>
        <w:t xml:space="preserve">1 - с определенным сроком полезного использования, </w:t>
      </w:r>
    </w:p>
    <w:p>
      <w:pPr>
        <w:shd w:val="clear" w:color="auto" w:fill="FFFFFF" w:themeFill="background1"/>
        <w:jc w:val="both"/>
        <w:rPr>
          <w:sz w:val="24"/>
          <w:szCs w:val="24"/>
        </w:rPr>
      </w:pPr>
      <w:r>
        <w:rPr>
          <w:sz w:val="24"/>
          <w:szCs w:val="24"/>
        </w:rPr>
        <w:t>2 - с неопределенным сроком полезного использования.</w:t>
      </w:r>
    </w:p>
    <w:p>
      <w:pPr>
        <w:ind w:firstLine="851"/>
        <w:jc w:val="both"/>
        <w:rPr>
          <w:sz w:val="24"/>
          <w:szCs w:val="24"/>
        </w:rPr>
      </w:pPr>
      <w:r>
        <w:rPr>
          <w:sz w:val="24"/>
          <w:szCs w:val="24"/>
        </w:rPr>
        <w:t>Инвентарный номер прав пользования нематериальными активами (далее –НМА) в Управлении состоит из одиннадцати знаков:</w:t>
      </w:r>
    </w:p>
    <w:p>
      <w:pPr>
        <w:pStyle w:val="s1"/>
        <w:spacing w:before="0" w:beforeAutospacing="0" w:after="0" w:afterAutospacing="0"/>
        <w:jc w:val="both"/>
      </w:pPr>
      <w:r>
        <w:t>- 1 знак – код вида финансового обеспечения (деятельности) «1 - бюджетная деятельность»;</w:t>
      </w:r>
    </w:p>
    <w:p>
      <w:pPr>
        <w:pStyle w:val="s1"/>
        <w:spacing w:before="0" w:beforeAutospacing="0" w:after="0" w:afterAutospacing="0"/>
        <w:jc w:val="both"/>
      </w:pPr>
      <w:r>
        <w:t>- 2 - 6 знаки – код счета аналитического учета (111 6Х);</w:t>
      </w:r>
    </w:p>
    <w:p>
      <w:pPr>
        <w:jc w:val="both"/>
        <w:rPr>
          <w:sz w:val="24"/>
          <w:szCs w:val="24"/>
        </w:rPr>
      </w:pPr>
      <w:r>
        <w:rPr>
          <w:sz w:val="24"/>
          <w:szCs w:val="24"/>
        </w:rPr>
        <w:t>- 7 - 11 – порядковый номер инвентарного объекта.</w:t>
      </w:r>
    </w:p>
    <w:p>
      <w:pPr>
        <w:ind w:firstLine="851"/>
        <w:jc w:val="both"/>
        <w:rPr>
          <w:iCs/>
        </w:rPr>
      </w:pPr>
      <w:r>
        <w:rPr>
          <w:sz w:val="24"/>
          <w:szCs w:val="24"/>
        </w:rPr>
        <w:t>Права пользования НМА принимаются к учету на счет 111 60 «Права пользования нематериальными активами» при их приобретении (создании) по первоначальной стоимости в сумме фактически произведенных затрат на основании Решение о признании объектов нефинансовых активов (ф. 0510441) и отражаются в учете в корреспонденции со счетом 106 60 «Вложения в права пользования нематериальными активами» даже в случае, если объект принимается к учету по цене приобретения и дополнительные затраты не требуются, если иное не установлено Учетной политикой.</w:t>
      </w:r>
      <w:r>
        <w:rPr>
          <w:iCs/>
        </w:rPr>
        <w:tab/>
      </w:r>
    </w:p>
    <w:p>
      <w:pPr>
        <w:ind w:firstLine="851"/>
        <w:jc w:val="both"/>
        <w:rPr>
          <w:sz w:val="24"/>
          <w:szCs w:val="24"/>
        </w:rPr>
      </w:pPr>
      <w:r>
        <w:rPr>
          <w:sz w:val="24"/>
          <w:szCs w:val="24"/>
        </w:rPr>
        <w:t>В случаях, когда неисключительные права на программный продукт (программное обеспечение) на срок более 12 месяцев или на неопределенный срок (бессрочно) предоставлены Управлению в момент приобретения соответствующего программного обеспечения и иных дополнительных затрат по нему не предполагается, программный продукт принимается к учету без использования счета 106 6I (</w:t>
      </w:r>
      <w:proofErr w:type="spellStart"/>
      <w:r>
        <w:rPr>
          <w:sz w:val="24"/>
          <w:szCs w:val="24"/>
        </w:rPr>
        <w:t>Дт</w:t>
      </w:r>
      <w:proofErr w:type="spellEnd"/>
      <w:r>
        <w:rPr>
          <w:sz w:val="24"/>
          <w:szCs w:val="24"/>
        </w:rPr>
        <w:t xml:space="preserve"> 111 6I </w:t>
      </w:r>
      <w:proofErr w:type="spellStart"/>
      <w:r>
        <w:rPr>
          <w:sz w:val="24"/>
          <w:szCs w:val="24"/>
        </w:rPr>
        <w:t>Кт</w:t>
      </w:r>
      <w:proofErr w:type="spellEnd"/>
      <w:r>
        <w:rPr>
          <w:sz w:val="24"/>
          <w:szCs w:val="24"/>
        </w:rPr>
        <w:t xml:space="preserve"> 302 26). К таким ситуациям относится, в частности, предоставление права пользования по лицензионному договору, заключенному в письменной форме, когда факт заключения лицензионного договора является моментом предоставления права пользования программным продуктом и одновременно основанием для возникновения денежных обязательств. В указанном случае Решение о признании объектов нефинансовых активов (ф. 0510441) не оформляется, Комиссия в течение 5 (пяти) рабочих дней с момента подписания лицензионного договора предоставляет в Отдел решение об установлении срока полезного использования права пользования НМА. </w:t>
      </w:r>
    </w:p>
    <w:p>
      <w:pPr>
        <w:ind w:firstLine="709"/>
        <w:jc w:val="both"/>
        <w:rPr>
          <w:sz w:val="24"/>
          <w:szCs w:val="24"/>
        </w:rPr>
      </w:pPr>
      <w:r>
        <w:rPr>
          <w:sz w:val="24"/>
          <w:szCs w:val="24"/>
        </w:rPr>
        <w:t>Если лицензионный договор в письменной форме не заключается и право пользования программным продуктом предоставляется по договору присоединения, то до момента заключения такого договора и, соответственно, возникновения у Управления неисключительных прав пользования, произведенные расходы на приобретение программного продукта подлежат отражению на счете 106 6I независимо от наличия (отсутствия) дополнительных затрат, связанных с приобретением права пользования.</w:t>
      </w:r>
    </w:p>
    <w:p>
      <w:pPr>
        <w:ind w:firstLine="709"/>
        <w:jc w:val="both"/>
        <w:rPr>
          <w:sz w:val="24"/>
          <w:szCs w:val="24"/>
        </w:rPr>
      </w:pPr>
      <w:r>
        <w:rPr>
          <w:sz w:val="24"/>
          <w:szCs w:val="24"/>
        </w:rPr>
        <w:t xml:space="preserve">Договор, в соответствии с которым были приняты к учету на счет 111 6Х «Права пользования нематериальными активами» объекты учета неисключительных прав, может быть расторгнут сторонами до истечения срока его действия (досрочно). </w:t>
      </w:r>
    </w:p>
    <w:p>
      <w:pPr>
        <w:ind w:firstLine="709"/>
        <w:jc w:val="both"/>
        <w:rPr>
          <w:sz w:val="24"/>
          <w:szCs w:val="24"/>
        </w:rPr>
      </w:pPr>
      <w:r>
        <w:rPr>
          <w:sz w:val="24"/>
          <w:szCs w:val="24"/>
        </w:rPr>
        <w:t>На сумму остаточной стоимости объекта делается проводка:</w:t>
      </w:r>
    </w:p>
    <w:p>
      <w:pPr>
        <w:pStyle w:val="s1"/>
        <w:spacing w:before="0" w:beforeAutospacing="0" w:after="0" w:afterAutospacing="0"/>
        <w:jc w:val="both"/>
      </w:pPr>
      <w:r>
        <w:t xml:space="preserve">Дебет 1 302 ХХ 83Х Кредит 1 111 6Х 45Х </w:t>
      </w:r>
    </w:p>
    <w:p>
      <w:pPr>
        <w:pStyle w:val="s1"/>
        <w:spacing w:before="0" w:beforeAutospacing="0" w:after="0" w:afterAutospacing="0"/>
        <w:ind w:firstLine="709"/>
        <w:jc w:val="both"/>
      </w:pPr>
      <w:r>
        <w:t>В случае если вознаграждение по лицензионному договору оплачено в полном объеме (единовременно) и расчеты с контрагентом закрыты, дополнительно, в зависимости от наличия в договоре условий о возврате денежных средств при его досрочном прекращении, отражаются следующие проводки:</w:t>
      </w:r>
    </w:p>
    <w:p>
      <w:pPr>
        <w:pStyle w:val="s1"/>
        <w:spacing w:before="0" w:beforeAutospacing="0" w:after="0" w:afterAutospacing="0"/>
        <w:jc w:val="both"/>
      </w:pPr>
      <w:r>
        <w:t xml:space="preserve">1) Договором не предусмотрен возврат денежных средств в случае досрочного расторжения: </w:t>
      </w:r>
    </w:p>
    <w:p>
      <w:pPr>
        <w:jc w:val="both"/>
        <w:rPr>
          <w:sz w:val="24"/>
          <w:szCs w:val="24"/>
        </w:rPr>
      </w:pPr>
      <w:r>
        <w:rPr>
          <w:sz w:val="24"/>
          <w:szCs w:val="24"/>
        </w:rPr>
        <w:t> Дебет 1 401 10 173 Кредит 1 302 ХХ 73Х;</w:t>
      </w:r>
    </w:p>
    <w:p>
      <w:pPr>
        <w:jc w:val="both"/>
        <w:rPr>
          <w:sz w:val="24"/>
          <w:szCs w:val="24"/>
        </w:rPr>
      </w:pPr>
      <w:r>
        <w:rPr>
          <w:sz w:val="24"/>
          <w:szCs w:val="24"/>
        </w:rPr>
        <w:t>2) Договором предусмотрен возврат денежных средств в случае досрочного расторжения:</w:t>
      </w:r>
    </w:p>
    <w:p>
      <w:pPr>
        <w:jc w:val="both"/>
        <w:rPr>
          <w:sz w:val="24"/>
          <w:szCs w:val="24"/>
        </w:rPr>
      </w:pPr>
      <w:r>
        <w:rPr>
          <w:sz w:val="24"/>
          <w:szCs w:val="24"/>
        </w:rPr>
        <w:t>Дебет 1 209 34 56Х Кредит 1 302 ХХ 73Х.</w:t>
      </w:r>
    </w:p>
    <w:p>
      <w:pPr>
        <w:pStyle w:val="s1"/>
        <w:spacing w:before="0" w:beforeAutospacing="0" w:after="0" w:afterAutospacing="0"/>
        <w:ind w:firstLine="709"/>
        <w:jc w:val="both"/>
      </w:pPr>
      <w:r>
        <w:t>Если по результатам инвентаризации неисключительное право пользования НМА признано не отвечающим критериям актива до истечения срока действия лицензии (например, прекращено использование программного обеспечения), оно подлежит списанию с баланса и отражается в учете следующими корреспонденциями:</w:t>
      </w:r>
    </w:p>
    <w:p>
      <w:pPr>
        <w:pStyle w:val="s1"/>
        <w:spacing w:before="0" w:beforeAutospacing="0" w:after="0" w:afterAutospacing="0"/>
        <w:jc w:val="both"/>
      </w:pPr>
      <w:r>
        <w:t xml:space="preserve">Дебет 1 104 6Х 452 Кредит 1 111 6Х 452 </w:t>
      </w:r>
      <w:r>
        <w:tab/>
      </w:r>
    </w:p>
    <w:p>
      <w:pPr>
        <w:pStyle w:val="s1"/>
        <w:spacing w:before="0" w:beforeAutospacing="0" w:after="0" w:afterAutospacing="0"/>
        <w:jc w:val="both"/>
      </w:pPr>
      <w:r>
        <w:t>- в сумме накопленной амортизации права пользования НМА;</w:t>
      </w:r>
    </w:p>
    <w:p>
      <w:pPr>
        <w:pStyle w:val="s1"/>
        <w:spacing w:before="0" w:beforeAutospacing="0" w:after="0" w:afterAutospacing="0"/>
        <w:jc w:val="both"/>
      </w:pPr>
      <w:r>
        <w:t>Дебет 1 401 10 172 Кредит 1 111 6Х 45Х</w:t>
      </w:r>
    </w:p>
    <w:p>
      <w:pPr>
        <w:pStyle w:val="s1"/>
        <w:spacing w:before="0" w:beforeAutospacing="0" w:after="0" w:afterAutospacing="0"/>
        <w:jc w:val="both"/>
      </w:pPr>
      <w:r>
        <w:t xml:space="preserve"> - в сумме остаточной стоимости права пользования НМА.</w:t>
      </w:r>
    </w:p>
    <w:p>
      <w:pPr>
        <w:pStyle w:val="s1"/>
        <w:spacing w:before="0" w:beforeAutospacing="0" w:after="0" w:afterAutospacing="0"/>
        <w:ind w:firstLine="709"/>
        <w:jc w:val="both"/>
      </w:pPr>
      <w:r>
        <w:t xml:space="preserve">Дальнейшее наблюдение за объектом (до окончания срока действия лицензии – до момента прекращения права) осуществляется на дополнительном забалансовом счете 32 «Права пользования НМА, не учитываемые на балансовых счетах» (субсчет 32.13).  Статус объекта уточняется ежегодно при проведении инвентаризации. </w:t>
      </w:r>
    </w:p>
    <w:p>
      <w:pPr>
        <w:ind w:firstLine="851"/>
        <w:jc w:val="both"/>
        <w:rPr>
          <w:sz w:val="24"/>
          <w:szCs w:val="24"/>
        </w:rPr>
      </w:pPr>
      <w:r>
        <w:rPr>
          <w:sz w:val="24"/>
          <w:szCs w:val="24"/>
        </w:rPr>
        <w:t>Перевод прав пользования НМА из одной аналитической группы учета в другую (реклассификация) отражается в учете «прямой» проводкой. Реклассификация объектов из подгруппы «Права пользования нематериальными активами с неопределенным сроком полезного использования» в подгруппу «Права пользования нематериальными активами с определенным сроком полезного использования» отражается корреспонденцией:</w:t>
      </w:r>
    </w:p>
    <w:p>
      <w:pPr>
        <w:pStyle w:val="s1"/>
        <w:spacing w:before="0" w:beforeAutospacing="0" w:after="0" w:afterAutospacing="0"/>
        <w:jc w:val="both"/>
      </w:pPr>
      <w:r>
        <w:t>Дебет 1 111 6X 352 Кредит 1 111 6X 353.</w:t>
      </w:r>
    </w:p>
    <w:p>
      <w:pPr>
        <w:ind w:firstLine="709"/>
        <w:jc w:val="both"/>
        <w:rPr>
          <w:sz w:val="24"/>
          <w:szCs w:val="24"/>
        </w:rPr>
      </w:pPr>
      <w:r>
        <w:rPr>
          <w:sz w:val="24"/>
          <w:szCs w:val="24"/>
        </w:rPr>
        <w:t>При предоставлении Управлению неисключительных прав по лицензионным (сублицензионным) договорам, заключенным во исполнение муниципальных функций без уплаты вознаграждения лицензиару (на безвозмездной основе), в учете Управления, как получателя не признается объект НМА и право пользования НМА на счете 111 60 не отражается ввиду отсутствия возможности оценить стоимость объекта бухгалтерского учета.</w:t>
      </w:r>
    </w:p>
    <w:p>
      <w:pPr>
        <w:ind w:firstLine="709"/>
        <w:jc w:val="both"/>
        <w:rPr>
          <w:sz w:val="24"/>
          <w:szCs w:val="24"/>
        </w:rPr>
      </w:pPr>
      <w:r>
        <w:rPr>
          <w:sz w:val="24"/>
          <w:szCs w:val="24"/>
        </w:rPr>
        <w:t>Управление может передать право пользования программными продуктами (программным обеспечением) сторонним организациям, если это не противоречит условиям лицензионного договора.</w:t>
      </w:r>
    </w:p>
    <w:p>
      <w:pPr>
        <w:ind w:firstLine="709"/>
        <w:jc w:val="both"/>
        <w:rPr>
          <w:sz w:val="24"/>
          <w:szCs w:val="24"/>
        </w:rPr>
      </w:pPr>
      <w:r>
        <w:rPr>
          <w:sz w:val="24"/>
          <w:szCs w:val="24"/>
        </w:rPr>
        <w:t xml:space="preserve">В частности, передача программного обеспечения другому учреждению в течение срока действия лицензии возможна только вместе с передачей неисключительных прав на него (кодами активации, паролями доступа на сайт правообладателя и прочее). При этом Управление прекращает использование данного программного обеспечения (в том числе удаляет лицензию из памяти ЭВМ). </w:t>
      </w:r>
    </w:p>
    <w:p>
      <w:pPr>
        <w:ind w:firstLine="709"/>
        <w:jc w:val="both"/>
        <w:rPr>
          <w:sz w:val="24"/>
          <w:szCs w:val="24"/>
        </w:rPr>
      </w:pPr>
      <w:r>
        <w:rPr>
          <w:sz w:val="24"/>
          <w:szCs w:val="24"/>
        </w:rPr>
        <w:t>Передача отражается в бюджетном учете в зависимости от типа принимающей стороны в общем порядке:</w:t>
      </w:r>
    </w:p>
    <w:p>
      <w:pPr>
        <w:jc w:val="both"/>
        <w:rPr>
          <w:sz w:val="24"/>
          <w:szCs w:val="24"/>
        </w:rPr>
      </w:pPr>
      <w:r>
        <w:rPr>
          <w:sz w:val="24"/>
          <w:szCs w:val="24"/>
        </w:rPr>
        <w:t>Дебет 1 304 04 350, 1 401 20 2ХХ Кредит 1 111 6I 45Х - в сумме балансовой стоимости права пользования;</w:t>
      </w:r>
    </w:p>
    <w:p>
      <w:pPr>
        <w:jc w:val="both"/>
        <w:rPr>
          <w:sz w:val="24"/>
          <w:szCs w:val="24"/>
        </w:rPr>
      </w:pPr>
      <w:r>
        <w:rPr>
          <w:sz w:val="24"/>
          <w:szCs w:val="24"/>
        </w:rPr>
        <w:t>Дебет 1 104 6I 452 Кредит 1 304 04 350, 1 401 20 2ХХ – в сумме начисленной амортизации.</w:t>
      </w:r>
    </w:p>
    <w:p>
      <w:pPr>
        <w:pStyle w:val="s1"/>
        <w:spacing w:before="0" w:beforeAutospacing="0" w:after="0" w:afterAutospacing="0"/>
        <w:ind w:firstLine="709"/>
        <w:jc w:val="both"/>
      </w:pPr>
      <w:r>
        <w:t>Операции по учету прав пользования НМА, срок использования которых менее или равен 12 месяцам и приходится на два отчетных периода, отражаются в учете с применением следующей корреспонденции счетов:</w:t>
      </w:r>
    </w:p>
    <w:p>
      <w:pPr>
        <w:jc w:val="both"/>
        <w:rPr>
          <w:sz w:val="24"/>
          <w:szCs w:val="24"/>
        </w:rPr>
      </w:pPr>
      <w:r>
        <w:rPr>
          <w:sz w:val="24"/>
          <w:szCs w:val="24"/>
        </w:rPr>
        <w:t>Дебет 1 401 50 226 Кредит 1 302 26 73Х.</w:t>
      </w:r>
    </w:p>
    <w:p>
      <w:pPr>
        <w:ind w:firstLine="709"/>
        <w:jc w:val="both"/>
        <w:rPr>
          <w:sz w:val="24"/>
          <w:szCs w:val="24"/>
        </w:rPr>
      </w:pPr>
      <w:r>
        <w:rPr>
          <w:sz w:val="24"/>
          <w:szCs w:val="24"/>
        </w:rPr>
        <w:t>Учтенные на счете 401 50 расходы относятся на финансовый результат текущего года в конце отчетного года и в месяце прекращения срока действия прав. Сумма расходов рассчитывается пропорционально исходя из срока использования, приходящегося на соответствующий финансовый год.</w:t>
      </w:r>
    </w:p>
    <w:p>
      <w:pPr>
        <w:ind w:firstLine="709"/>
        <w:jc w:val="both"/>
        <w:rPr>
          <w:sz w:val="24"/>
          <w:szCs w:val="24"/>
        </w:rPr>
      </w:pPr>
      <w:r>
        <w:rPr>
          <w:sz w:val="24"/>
          <w:szCs w:val="24"/>
        </w:rPr>
        <w:t xml:space="preserve">По истечении срока действия лицензионных прав на программное обеспечение, установленное на компьютеры (иное оборудование), экземпляр программы остается в Управлении. </w:t>
      </w:r>
    </w:p>
    <w:p>
      <w:pPr>
        <w:ind w:firstLine="709"/>
        <w:jc w:val="both"/>
        <w:rPr>
          <w:sz w:val="24"/>
          <w:szCs w:val="24"/>
        </w:rPr>
      </w:pPr>
      <w:r>
        <w:rPr>
          <w:sz w:val="24"/>
          <w:szCs w:val="24"/>
        </w:rPr>
        <w:t>В случае приобретения оборудования с предустановленным лицензионным программным обеспечением (далее – ПО) в рамках единого договора (контракта) поставки объектов основных средств и ПО Комиссией по поступлению и выбытию активов принимается решение о возможности идентификации (выделения, отделения) неисключительного права в целях:</w:t>
      </w:r>
    </w:p>
    <w:p>
      <w:pPr>
        <w:jc w:val="both"/>
        <w:rPr>
          <w:sz w:val="24"/>
          <w:szCs w:val="24"/>
        </w:rPr>
      </w:pPr>
      <w:r>
        <w:rPr>
          <w:sz w:val="24"/>
          <w:szCs w:val="24"/>
        </w:rPr>
        <w:t>- принятия к учету права пользования НМА в качестве самостоятельного объекта учета в случае положительного решения;</w:t>
      </w:r>
    </w:p>
    <w:p>
      <w:pPr>
        <w:jc w:val="both"/>
        <w:rPr>
          <w:sz w:val="24"/>
          <w:szCs w:val="24"/>
        </w:rPr>
      </w:pPr>
      <w:r>
        <w:rPr>
          <w:sz w:val="24"/>
          <w:szCs w:val="24"/>
        </w:rPr>
        <w:t>- включения расходов на приобретение ПО в первоначальную стоимость оборудования в случае невозможности идентификации объекта (права).</w:t>
      </w:r>
    </w:p>
    <w:p>
      <w:pPr>
        <w:pStyle w:val="s1"/>
        <w:spacing w:before="0" w:beforeAutospacing="0" w:after="0" w:afterAutospacing="0"/>
        <w:ind w:firstLine="709"/>
        <w:jc w:val="both"/>
      </w:pPr>
      <w:r>
        <w:t>Критерии неидентифицируемого объекта (права на использование ПО):</w:t>
      </w:r>
    </w:p>
    <w:p>
      <w:pPr>
        <w:pStyle w:val="s1"/>
        <w:spacing w:before="0" w:beforeAutospacing="0" w:after="0" w:afterAutospacing="0"/>
        <w:jc w:val="both"/>
      </w:pPr>
      <w:r>
        <w:t>- оборудование нельзя использовать по назначению без этого ПО;</w:t>
      </w:r>
    </w:p>
    <w:p>
      <w:pPr>
        <w:pStyle w:val="s1"/>
        <w:spacing w:before="0" w:beforeAutospacing="0" w:after="0" w:afterAutospacing="0"/>
        <w:jc w:val="both"/>
      </w:pPr>
      <w:r>
        <w:t>- срок лицензии на использование ПО сопоставим с плановым сроком эксплуатации оборудования в Управлении;</w:t>
      </w:r>
    </w:p>
    <w:p>
      <w:pPr>
        <w:pStyle w:val="s1"/>
        <w:spacing w:before="0" w:beforeAutospacing="0" w:after="0" w:afterAutospacing="0"/>
        <w:jc w:val="both"/>
      </w:pPr>
      <w:r>
        <w:t>- активированное ПО можно использовать только на одном объекте, не представляется возможным использовать ПО отдельно от объекта основных средств (ПО не может быть «переустановлено» на иное оборудование).</w:t>
      </w:r>
    </w:p>
    <w:p>
      <w:pPr>
        <w:pStyle w:val="s1"/>
        <w:spacing w:before="0" w:beforeAutospacing="0" w:after="0" w:afterAutospacing="0"/>
        <w:ind w:firstLine="709"/>
        <w:jc w:val="both"/>
      </w:pPr>
      <w:r>
        <w:t>Решение принимается с учетом экспертного заключения в целях признания объекта учета – права пользования объектом нематериальных активов при приобретении оборудования с предустановленным программным обеспечением, оформленного специалистами Управления, обладающими компетенцией в вопросах анализа условий договоров (контрактов) (юрисконсульт, иные специалисты), а также в вопросах технического свойства (программисты и др.). Экспертное заключение оформляется согласно Приложению № ___ к настоящей Учетной политике.</w:t>
      </w:r>
    </w:p>
    <w:p>
      <w:pPr>
        <w:pStyle w:val="s1"/>
        <w:spacing w:before="0" w:beforeAutospacing="0" w:after="0" w:afterAutospacing="0"/>
        <w:ind w:firstLine="709"/>
        <w:jc w:val="both"/>
      </w:pPr>
      <w:r>
        <w:t xml:space="preserve">Расходы Управления на приобретение неисключительных прав на ПО </w:t>
      </w:r>
      <w:proofErr w:type="spellStart"/>
      <w:r>
        <w:t>по</w:t>
      </w:r>
      <w:proofErr w:type="spellEnd"/>
      <w:r>
        <w:t xml:space="preserve"> отдельному договору (контракту) могут быть включены в первоначальную стоимость нового оборудования, если оборудование приобретается без какого-либо минимального ПО и не может использоваться в деятельности Управления без установки приобретенного отдельно ПО. Решение принимается с учетом критериев неидентифицируемого объекта (права на использование ПО), установленного данным пунктом, с оформлением Экспертного заключения (Приложение № 20 к настоящей Учетной политике).</w:t>
      </w:r>
    </w:p>
    <w:p>
      <w:pPr>
        <w:pStyle w:val="s1"/>
        <w:spacing w:before="0" w:beforeAutospacing="0" w:after="0" w:afterAutospacing="0"/>
        <w:ind w:firstLine="709"/>
        <w:jc w:val="both"/>
      </w:pPr>
      <w:r>
        <w:t>Расходы на приобретение предустановленного ПО в рамках единого договора (контракта) поставки объектов основных средств и ПО в случае невозможности его идентифицировать относятся на статью 310 КОСГУ.</w:t>
      </w:r>
    </w:p>
    <w:p>
      <w:pPr>
        <w:pStyle w:val="s1"/>
        <w:spacing w:before="0" w:beforeAutospacing="0" w:after="0" w:afterAutospacing="0"/>
        <w:ind w:firstLine="709"/>
        <w:jc w:val="both"/>
      </w:pPr>
      <w:r>
        <w:t>Затраты на приобретение лицензионного ПО, неразрывно связанного с объектом основных средств, которые формируют его первоначальную стоимость в случае, когда расходы осуществляются на основании отдельных договоров (контрактов), в результате которых не осуществляется приобретение (создание) самих объектов ОС, относятся на подстатью 228 КОСГУ.</w:t>
      </w:r>
    </w:p>
    <w:p>
      <w:pPr>
        <w:pStyle w:val="s1"/>
        <w:spacing w:before="0" w:beforeAutospacing="0" w:after="0" w:afterAutospacing="0"/>
        <w:ind w:firstLine="709"/>
        <w:jc w:val="both"/>
      </w:pPr>
      <w:r>
        <w:t>Информация об установленном на объект основных средств ПО, стоимость которого включена в первоначальную стоимость такого инвентарного объекта ОС, должна отражаться в Инвентарной карточке, открытой на объект ОС.</w:t>
      </w:r>
    </w:p>
    <w:p>
      <w:pPr>
        <w:pStyle w:val="s1"/>
        <w:spacing w:before="0" w:beforeAutospacing="0" w:after="0" w:afterAutospacing="0"/>
        <w:ind w:firstLine="709"/>
        <w:jc w:val="both"/>
      </w:pPr>
      <w:r>
        <w:t>Лицензионное программное обеспечение, признанное неидентифицируемым объектом, расходы на приобретение которого включены в первоначальную стоимость оборудования, учитывается на дополнительном забалансовом счете 32 «Права пользования НМА, не учитываемые на балансовых счетах» (субсчет 32.12) по стоимости приобретения. В случае невозможности установить стоимость такого программного ПО (если его стоимость не выделена в документах закупки оборудования), учет осуществляется в условной оценке: 1 объект, 1 рубль.</w:t>
      </w:r>
    </w:p>
    <w:p>
      <w:pPr>
        <w:ind w:firstLine="708"/>
        <w:jc w:val="both"/>
        <w:rPr>
          <w:b/>
          <w:color w:val="000000"/>
          <w:sz w:val="24"/>
          <w:szCs w:val="24"/>
          <w:lang w:bidi="ru-RU"/>
        </w:rPr>
      </w:pPr>
      <w:r>
        <w:rPr>
          <w:rFonts w:eastAsia="Calibri"/>
          <w:b/>
          <w:sz w:val="24"/>
          <w:szCs w:val="24"/>
          <w:lang w:eastAsia="en-US"/>
        </w:rPr>
        <w:t xml:space="preserve">13.57 </w:t>
      </w:r>
      <w:r>
        <w:rPr>
          <w:b/>
          <w:color w:val="000000"/>
          <w:sz w:val="24"/>
          <w:szCs w:val="24"/>
          <w:lang w:bidi="ru-RU"/>
        </w:rPr>
        <w:t>Обесценение активов применяется в соответствии с СГС «Обесценение активов».</w:t>
      </w:r>
    </w:p>
    <w:p>
      <w:pPr>
        <w:pStyle w:val="22"/>
        <w:shd w:val="clear" w:color="auto" w:fill="auto"/>
        <w:spacing w:line="274" w:lineRule="exact"/>
        <w:ind w:firstLine="760"/>
        <w:rPr>
          <w:color w:val="000000"/>
          <w:sz w:val="24"/>
          <w:szCs w:val="24"/>
          <w:lang w:eastAsia="ru-RU" w:bidi="ru-RU"/>
        </w:rPr>
      </w:pPr>
      <w:r>
        <w:rPr>
          <w:rFonts w:eastAsia="Calibri"/>
          <w:sz w:val="24"/>
          <w:szCs w:val="24"/>
        </w:rPr>
        <w:t xml:space="preserve">13.58 </w:t>
      </w:r>
      <w:r>
        <w:rPr>
          <w:color w:val="000000"/>
          <w:sz w:val="24"/>
          <w:szCs w:val="24"/>
          <w:lang w:eastAsia="ru-RU" w:bidi="ru-RU"/>
        </w:rPr>
        <w:t>Под обесценением активов понимается снижение стоимости актива, превышающее плановое (нормальное) снижение его стоимости в связи с владением (использованием) таким активом (нормальным физическим и (или) моральным износом), связанное со снижением ценности актива.</w:t>
      </w:r>
    </w:p>
    <w:p>
      <w:pPr>
        <w:pStyle w:val="22"/>
        <w:shd w:val="clear" w:color="auto" w:fill="auto"/>
        <w:spacing w:line="274" w:lineRule="exact"/>
        <w:ind w:firstLine="760"/>
        <w:rPr>
          <w:color w:val="000000"/>
          <w:sz w:val="24"/>
          <w:szCs w:val="24"/>
          <w:lang w:eastAsia="ru-RU" w:bidi="ru-RU"/>
        </w:rPr>
      </w:pPr>
      <w:r>
        <w:rPr>
          <w:rFonts w:eastAsia="Calibri"/>
          <w:sz w:val="24"/>
          <w:szCs w:val="24"/>
        </w:rPr>
        <w:t xml:space="preserve">13.59 </w:t>
      </w:r>
      <w:r>
        <w:rPr>
          <w:color w:val="000000"/>
          <w:sz w:val="24"/>
          <w:szCs w:val="24"/>
          <w:lang w:eastAsia="ru-RU" w:bidi="ru-RU"/>
        </w:rPr>
        <w:t>На снижение стоимости актива (обесценение) указывают признаки возможного обесценения, которые подразделяются на внешние и внутренние. Управление выявляет признаки обесценения при инвентаризации активов и обязательств. Данная процедура проводится тестом на обесценение.</w:t>
      </w:r>
    </w:p>
    <w:p>
      <w:pPr>
        <w:pStyle w:val="22"/>
        <w:shd w:val="clear" w:color="auto" w:fill="auto"/>
        <w:spacing w:line="274" w:lineRule="exact"/>
        <w:ind w:firstLine="760"/>
        <w:rPr>
          <w:color w:val="000000"/>
          <w:sz w:val="24"/>
          <w:szCs w:val="24"/>
          <w:lang w:eastAsia="ru-RU" w:bidi="ru-RU"/>
        </w:rPr>
      </w:pPr>
      <w:r>
        <w:rPr>
          <w:rFonts w:eastAsia="Calibri"/>
          <w:sz w:val="24"/>
          <w:szCs w:val="24"/>
        </w:rPr>
        <w:t xml:space="preserve">13.60 </w:t>
      </w:r>
      <w:r>
        <w:rPr>
          <w:color w:val="000000"/>
          <w:sz w:val="24"/>
          <w:szCs w:val="24"/>
          <w:lang w:eastAsia="ru-RU" w:bidi="ru-RU"/>
        </w:rPr>
        <w:t>Решение о признании убытка от обесценения актива, являющегося муниципальным имуществом, принимается в порядке, аналогичном для принятия решения о списании такого имущества, установленного в соответствии с законодательством Российской Федерации (п.15 п</w:t>
      </w:r>
      <w:r>
        <w:rPr>
          <w:sz w:val="24"/>
          <w:szCs w:val="24"/>
        </w:rPr>
        <w:t>риказа Минфина РФ от 31.03.2016г. № 259н «</w:t>
      </w:r>
      <w:r>
        <w:rPr>
          <w:rFonts w:eastAsia="Calibri"/>
          <w:sz w:val="24"/>
          <w:szCs w:val="24"/>
        </w:rPr>
        <w:t>Об утверждении федерального стандарта бюджетного учёта для организаций муниципального сектора «Обесценение активов» (далее – СГС «Обесценение активов»)</w:t>
      </w:r>
      <w:r>
        <w:rPr>
          <w:color w:val="000000"/>
          <w:sz w:val="24"/>
          <w:szCs w:val="24"/>
          <w:lang w:eastAsia="ru-RU" w:bidi="ru-RU"/>
        </w:rPr>
        <w:t>).</w:t>
      </w:r>
    </w:p>
    <w:p>
      <w:pPr>
        <w:pStyle w:val="22"/>
        <w:shd w:val="clear" w:color="auto" w:fill="auto"/>
        <w:spacing w:line="274" w:lineRule="exact"/>
        <w:ind w:firstLine="760"/>
        <w:rPr>
          <w:color w:val="000000"/>
          <w:sz w:val="24"/>
          <w:szCs w:val="24"/>
          <w:lang w:eastAsia="ru-RU" w:bidi="ru-RU"/>
        </w:rPr>
      </w:pPr>
      <w:r>
        <w:rPr>
          <w:color w:val="000000"/>
          <w:sz w:val="24"/>
          <w:szCs w:val="24"/>
          <w:lang w:eastAsia="ru-RU" w:bidi="ru-RU"/>
        </w:rPr>
        <w:t>Для признания в бюджетном учёте обесценения актива требуется анализ наличия признаков, указывающих на возможное существенное обесценение актива. При этом под обесценением понимается снижение ценности самого актива и возможности его полезного использования, зависящее в том числе от целей использования актива и условий деятельности, а не от каких-либо показателей деятельности Управления в целом (письмо Минфина РФ от 13.1.2.2019 г. № 02-07-10/97906).</w:t>
      </w:r>
    </w:p>
    <w:p>
      <w:pPr>
        <w:pStyle w:val="22"/>
        <w:shd w:val="clear" w:color="auto" w:fill="auto"/>
        <w:spacing w:line="274" w:lineRule="exact"/>
        <w:ind w:firstLine="760"/>
        <w:rPr>
          <w:rFonts w:eastAsiaTheme="minorHAnsi"/>
          <w:sz w:val="24"/>
          <w:szCs w:val="24"/>
        </w:rPr>
      </w:pPr>
      <w:r>
        <w:rPr>
          <w:rFonts w:eastAsia="Calibri"/>
          <w:sz w:val="24"/>
          <w:szCs w:val="24"/>
        </w:rPr>
        <w:t xml:space="preserve">13.61 </w:t>
      </w:r>
      <w:r>
        <w:rPr>
          <w:color w:val="000000"/>
          <w:sz w:val="24"/>
          <w:szCs w:val="24"/>
          <w:lang w:eastAsia="ru-RU" w:bidi="ru-RU"/>
        </w:rPr>
        <w:t>Обесценение финансовых активов определять по следующим признакам (п.28 п</w:t>
      </w:r>
      <w:r>
        <w:rPr>
          <w:sz w:val="24"/>
          <w:szCs w:val="24"/>
        </w:rPr>
        <w:t>риказа Минфина РФ от 30.06.2020 № 129н «Об утверждении федерального стандарта бюджетного учёта муниципальных финансов «Финансовые инструменты» (далее – СГС «Финансовые инструменты»)</w:t>
      </w:r>
      <w:r>
        <w:rPr>
          <w:color w:val="000000"/>
          <w:sz w:val="24"/>
          <w:szCs w:val="24"/>
          <w:lang w:eastAsia="ru-RU" w:bidi="ru-RU"/>
        </w:rPr>
        <w:t>):</w:t>
      </w:r>
    </w:p>
    <w:p>
      <w:pPr>
        <w:ind w:firstLine="708"/>
        <w:jc w:val="both"/>
        <w:rPr>
          <w:rFonts w:eastAsiaTheme="minorHAnsi"/>
          <w:sz w:val="24"/>
          <w:szCs w:val="24"/>
          <w:lang w:eastAsia="en-US"/>
        </w:rPr>
      </w:pPr>
      <w:r>
        <w:rPr>
          <w:rFonts w:eastAsiaTheme="minorHAnsi"/>
          <w:sz w:val="24"/>
          <w:szCs w:val="24"/>
          <w:lang w:eastAsia="en-US"/>
        </w:rPr>
        <w:t>- Управление узнало о значительном ухудшении финансовых (экономических) результатов деятельности эмитента или лица, принявшего обязательства;</w:t>
      </w:r>
    </w:p>
    <w:p>
      <w:pPr>
        <w:ind w:firstLine="708"/>
        <w:jc w:val="both"/>
        <w:rPr>
          <w:rFonts w:eastAsiaTheme="minorHAnsi"/>
          <w:sz w:val="24"/>
          <w:szCs w:val="24"/>
          <w:lang w:eastAsia="en-US"/>
        </w:rPr>
      </w:pPr>
      <w:r>
        <w:rPr>
          <w:rFonts w:eastAsiaTheme="minorHAnsi"/>
          <w:sz w:val="24"/>
          <w:szCs w:val="24"/>
          <w:lang w:eastAsia="en-US"/>
        </w:rPr>
        <w:t>- нарушены условия договора, например произошел отказ от выполнения обязательств или нарушены сроки уплаты процентов либо основной суммы долга;</w:t>
      </w:r>
    </w:p>
    <w:p>
      <w:pPr>
        <w:ind w:firstLine="708"/>
        <w:jc w:val="both"/>
        <w:rPr>
          <w:rFonts w:eastAsiaTheme="minorHAnsi"/>
          <w:sz w:val="24"/>
          <w:szCs w:val="24"/>
          <w:lang w:eastAsia="en-US"/>
        </w:rPr>
      </w:pPr>
      <w:r>
        <w:rPr>
          <w:rFonts w:eastAsiaTheme="minorHAnsi"/>
          <w:sz w:val="24"/>
          <w:szCs w:val="24"/>
          <w:lang w:eastAsia="en-US"/>
        </w:rPr>
        <w:t>- Управление узнало о вероятности банкротства или иного рода финансовой реорганизации эмитента либо лица, принявшего обязательства.</w:t>
      </w:r>
    </w:p>
    <w:p>
      <w:pPr>
        <w:ind w:firstLine="708"/>
        <w:jc w:val="both"/>
        <w:rPr>
          <w:rFonts w:eastAsiaTheme="minorHAnsi"/>
          <w:sz w:val="24"/>
          <w:szCs w:val="24"/>
          <w:lang w:eastAsia="en-US"/>
        </w:rPr>
      </w:pPr>
      <w:r>
        <w:rPr>
          <w:rFonts w:eastAsiaTheme="minorHAnsi"/>
          <w:sz w:val="24"/>
          <w:szCs w:val="24"/>
          <w:lang w:eastAsia="en-US"/>
        </w:rPr>
        <w:t>Если обнаружен хотя бы один из признаков, Управлению необходимо проанализировать его влияние на ожидаемые денежные потоки от финансового актива, установить возможность надежно оценить сумму такого влияния. Если это возможно, определяется справедливая стоимость актива.</w:t>
      </w:r>
    </w:p>
    <w:p>
      <w:pPr>
        <w:ind w:firstLine="708"/>
        <w:jc w:val="both"/>
        <w:rPr>
          <w:rFonts w:eastAsiaTheme="minorHAnsi"/>
          <w:sz w:val="24"/>
          <w:szCs w:val="24"/>
          <w:lang w:eastAsia="en-US"/>
        </w:rPr>
      </w:pPr>
      <w:r>
        <w:rPr>
          <w:rFonts w:eastAsia="Calibri"/>
          <w:sz w:val="24"/>
          <w:szCs w:val="24"/>
          <w:lang w:eastAsia="en-US"/>
        </w:rPr>
        <w:t xml:space="preserve">13.62 </w:t>
      </w:r>
      <w:r>
        <w:rPr>
          <w:rFonts w:eastAsiaTheme="minorHAnsi"/>
          <w:sz w:val="24"/>
          <w:szCs w:val="24"/>
          <w:lang w:eastAsia="en-US"/>
        </w:rPr>
        <w:t>Убыток от обесценения финансовых активов признается единовременно                    в составе расходов отчетного периода.</w:t>
      </w:r>
    </w:p>
    <w:p>
      <w:pPr>
        <w:ind w:firstLine="708"/>
        <w:jc w:val="both"/>
        <w:rPr>
          <w:rFonts w:eastAsiaTheme="minorHAnsi"/>
          <w:sz w:val="24"/>
          <w:szCs w:val="24"/>
          <w:lang w:eastAsia="en-US"/>
        </w:rPr>
      </w:pPr>
      <w:r>
        <w:rPr>
          <w:rFonts w:eastAsiaTheme="minorHAnsi"/>
          <w:sz w:val="24"/>
          <w:szCs w:val="24"/>
          <w:lang w:eastAsia="en-US"/>
        </w:rPr>
        <w:t>Восстановление убытка от обесценения финансового актива осуществляется Управлением в случае выявления признаков, указывающих на то, что убыток от обесценения финансовых активов, признанный в предыдущих периодах, больше не существует или снизился.</w:t>
      </w:r>
    </w:p>
    <w:p>
      <w:pPr>
        <w:ind w:firstLine="708"/>
        <w:jc w:val="both"/>
        <w:rPr>
          <w:rFonts w:eastAsiaTheme="minorHAnsi"/>
          <w:sz w:val="24"/>
          <w:szCs w:val="24"/>
          <w:lang w:eastAsia="en-US"/>
        </w:rPr>
      </w:pPr>
      <w:r>
        <w:rPr>
          <w:rFonts w:eastAsiaTheme="minorHAnsi"/>
          <w:sz w:val="24"/>
          <w:szCs w:val="24"/>
          <w:lang w:eastAsia="en-US"/>
        </w:rPr>
        <w:t xml:space="preserve">Восстановление убытка от обесценения финансовых активов, признанного                         в предыдущих периодах, отражается в составе доходов текущего финансового года               </w:t>
      </w:r>
      <w:proofErr w:type="gramStart"/>
      <w:r>
        <w:rPr>
          <w:rFonts w:eastAsiaTheme="minorHAnsi"/>
          <w:sz w:val="24"/>
          <w:szCs w:val="24"/>
          <w:lang w:eastAsia="en-US"/>
        </w:rPr>
        <w:t xml:space="preserve">   (</w:t>
      </w:r>
      <w:proofErr w:type="gramEnd"/>
      <w:r>
        <w:rPr>
          <w:rFonts w:eastAsiaTheme="minorHAnsi"/>
          <w:sz w:val="24"/>
          <w:szCs w:val="24"/>
          <w:lang w:eastAsia="en-US"/>
        </w:rPr>
        <w:t>в этом случае балансовая стоимость финансовых активов увеличивается до их справедливой стоимости, но в пределах суммы, по которой финансовые активы учитывались бы в случае отсутствия обесценения).</w:t>
      </w:r>
    </w:p>
    <w:p>
      <w:pPr>
        <w:ind w:firstLine="708"/>
        <w:jc w:val="both"/>
        <w:rPr>
          <w:rFonts w:eastAsiaTheme="minorHAnsi"/>
          <w:sz w:val="24"/>
          <w:szCs w:val="24"/>
          <w:lang w:eastAsia="en-US"/>
        </w:rPr>
      </w:pPr>
      <w:r>
        <w:rPr>
          <w:rFonts w:eastAsiaTheme="minorHAnsi"/>
          <w:sz w:val="24"/>
          <w:szCs w:val="24"/>
          <w:lang w:eastAsia="en-US"/>
        </w:rPr>
        <w:t>В отношении финансовых активов, включаемых в группу «Финансовая дебиторская задолженность» (в отношении которой выявлены признаки нереальной к взысканию), тестирование на обесценение не производится и убыток от обесценения не признается, вместо этого формируется резерв по сомнительной дебиторской задолженности.</w:t>
      </w:r>
    </w:p>
    <w:p>
      <w:pPr>
        <w:ind w:firstLine="708"/>
        <w:jc w:val="both"/>
        <w:rPr>
          <w:rFonts w:eastAsiaTheme="minorHAnsi"/>
          <w:sz w:val="24"/>
          <w:szCs w:val="24"/>
          <w:lang w:eastAsia="en-US"/>
        </w:rPr>
      </w:pPr>
    </w:p>
    <w:p>
      <w:pPr>
        <w:ind w:firstLine="708"/>
        <w:jc w:val="center"/>
        <w:rPr>
          <w:rFonts w:eastAsiaTheme="minorHAnsi"/>
          <w:b/>
          <w:sz w:val="24"/>
          <w:szCs w:val="24"/>
          <w:lang w:eastAsia="en-US"/>
        </w:rPr>
      </w:pPr>
    </w:p>
    <w:p>
      <w:pPr>
        <w:ind w:firstLine="708"/>
        <w:jc w:val="center"/>
        <w:rPr>
          <w:rFonts w:eastAsiaTheme="minorHAnsi"/>
          <w:b/>
          <w:sz w:val="24"/>
          <w:szCs w:val="24"/>
          <w:lang w:eastAsia="en-US"/>
        </w:rPr>
      </w:pPr>
    </w:p>
    <w:p>
      <w:pPr>
        <w:ind w:firstLine="708"/>
        <w:jc w:val="center"/>
        <w:rPr>
          <w:rFonts w:eastAsiaTheme="minorHAnsi"/>
          <w:b/>
          <w:sz w:val="24"/>
          <w:szCs w:val="24"/>
          <w:lang w:eastAsia="en-US"/>
        </w:rPr>
      </w:pPr>
      <w:r>
        <w:rPr>
          <w:rFonts w:eastAsiaTheme="minorHAnsi"/>
          <w:b/>
          <w:sz w:val="24"/>
          <w:szCs w:val="24"/>
          <w:lang w:eastAsia="en-US"/>
        </w:rPr>
        <w:t>14. Учётная политика для целей налогообложения.</w:t>
      </w:r>
    </w:p>
    <w:p>
      <w:pPr>
        <w:ind w:firstLine="708"/>
        <w:jc w:val="both"/>
        <w:rPr>
          <w:rFonts w:eastAsiaTheme="minorHAnsi"/>
          <w:sz w:val="24"/>
          <w:szCs w:val="24"/>
          <w:lang w:eastAsia="en-US"/>
        </w:rPr>
      </w:pPr>
    </w:p>
    <w:p>
      <w:pPr>
        <w:ind w:firstLine="708"/>
        <w:jc w:val="both"/>
        <w:rPr>
          <w:rFonts w:eastAsiaTheme="minorHAnsi"/>
          <w:sz w:val="24"/>
          <w:szCs w:val="24"/>
          <w:lang w:eastAsia="en-US"/>
        </w:rPr>
      </w:pPr>
      <w:r>
        <w:rPr>
          <w:rFonts w:eastAsiaTheme="minorHAnsi"/>
          <w:sz w:val="24"/>
          <w:szCs w:val="24"/>
          <w:lang w:eastAsia="en-US"/>
        </w:rPr>
        <w:t xml:space="preserve">14.1 Порядок и сроки предоставления отчётности устанавливаются Налоговым кодексом Российской Федерации и соответствующими федеральными законами.    </w:t>
      </w:r>
    </w:p>
    <w:p>
      <w:pPr>
        <w:ind w:firstLine="708"/>
        <w:jc w:val="both"/>
        <w:rPr>
          <w:rFonts w:eastAsiaTheme="minorHAnsi"/>
          <w:sz w:val="24"/>
          <w:szCs w:val="24"/>
          <w:lang w:eastAsia="en-US"/>
        </w:rPr>
      </w:pPr>
      <w:r>
        <w:rPr>
          <w:rFonts w:eastAsiaTheme="minorHAnsi"/>
          <w:sz w:val="24"/>
          <w:szCs w:val="24"/>
          <w:lang w:eastAsia="en-US"/>
        </w:rPr>
        <w:t xml:space="preserve">14.2 Страховые взносы. </w:t>
      </w:r>
    </w:p>
    <w:p>
      <w:pPr>
        <w:widowControl/>
        <w:ind w:firstLine="708"/>
        <w:jc w:val="both"/>
        <w:rPr>
          <w:rFonts w:eastAsiaTheme="minorHAnsi"/>
          <w:sz w:val="24"/>
          <w:szCs w:val="24"/>
          <w:lang w:eastAsia="en-US"/>
        </w:rPr>
      </w:pPr>
      <w:r>
        <w:rPr>
          <w:rFonts w:eastAsiaTheme="minorHAnsi"/>
          <w:sz w:val="24"/>
          <w:szCs w:val="24"/>
          <w:lang w:eastAsia="en-US"/>
        </w:rPr>
        <w:t>Страховые взносы в фонды (Фонд пенсионного и социального страхования</w:t>
      </w:r>
      <w:r>
        <w:rPr>
          <w:rFonts w:eastAsia="Calibri"/>
          <w:sz w:val="24"/>
          <w:szCs w:val="24"/>
          <w:lang w:eastAsia="en-US"/>
        </w:rPr>
        <w:t xml:space="preserve"> Российской Федерации</w:t>
      </w:r>
      <w:r>
        <w:rPr>
          <w:rFonts w:eastAsiaTheme="minorHAnsi"/>
          <w:sz w:val="24"/>
          <w:szCs w:val="24"/>
          <w:lang w:eastAsia="en-US"/>
        </w:rPr>
        <w:t xml:space="preserve"> (далее - СФР) и Отделение Фонда пенсионного и социального страхования Российской Федерации по Томской области (далее - ОСФР по Томской области).</w:t>
      </w:r>
    </w:p>
    <w:p>
      <w:pPr>
        <w:widowControl/>
        <w:ind w:firstLine="708"/>
        <w:jc w:val="both"/>
        <w:rPr>
          <w:rFonts w:eastAsiaTheme="minorHAnsi"/>
          <w:sz w:val="24"/>
          <w:szCs w:val="24"/>
          <w:lang w:eastAsia="en-US"/>
        </w:rPr>
      </w:pPr>
      <w:r>
        <w:rPr>
          <w:rFonts w:eastAsiaTheme="minorHAnsi"/>
          <w:sz w:val="24"/>
          <w:szCs w:val="24"/>
          <w:lang w:eastAsia="en-US"/>
        </w:rPr>
        <w:t>Учёт начисленных и уплаченных сумм страховых взносов ведётся по каждому физическому лицу, в пользу которого осуществлялись выплаты, в карточке индивидуального учёта сумм начисленных выплат и иных вознаграждений по форме установленного образца.</w:t>
      </w:r>
    </w:p>
    <w:p>
      <w:pPr>
        <w:ind w:firstLine="708"/>
        <w:jc w:val="both"/>
        <w:rPr>
          <w:rFonts w:eastAsiaTheme="minorHAnsi"/>
          <w:sz w:val="24"/>
          <w:szCs w:val="24"/>
          <w:lang w:eastAsia="en-US"/>
        </w:rPr>
      </w:pPr>
      <w:r>
        <w:rPr>
          <w:rFonts w:eastAsiaTheme="minorHAnsi"/>
          <w:sz w:val="24"/>
          <w:szCs w:val="24"/>
          <w:lang w:eastAsia="en-US"/>
        </w:rPr>
        <w:t>Период формирования расчётов по начисленным и уплаченным страховым взносам – ежеквартально.</w:t>
      </w:r>
    </w:p>
    <w:p>
      <w:pPr>
        <w:ind w:firstLine="708"/>
        <w:jc w:val="both"/>
        <w:rPr>
          <w:rFonts w:eastAsiaTheme="minorHAnsi"/>
          <w:sz w:val="24"/>
          <w:szCs w:val="24"/>
          <w:lang w:eastAsia="en-US"/>
        </w:rPr>
      </w:pPr>
      <w:r>
        <w:rPr>
          <w:rFonts w:eastAsiaTheme="minorHAnsi"/>
          <w:sz w:val="24"/>
          <w:szCs w:val="24"/>
          <w:lang w:eastAsia="en-US"/>
        </w:rPr>
        <w:t>14.3 Налог на доходы физических лиц.</w:t>
      </w:r>
    </w:p>
    <w:p>
      <w:pPr>
        <w:ind w:firstLine="708"/>
        <w:jc w:val="both"/>
        <w:rPr>
          <w:rFonts w:eastAsiaTheme="minorHAnsi"/>
          <w:sz w:val="24"/>
          <w:szCs w:val="24"/>
          <w:lang w:eastAsia="en-US"/>
        </w:rPr>
      </w:pPr>
      <w:r>
        <w:rPr>
          <w:rFonts w:eastAsiaTheme="minorHAnsi"/>
          <w:sz w:val="24"/>
          <w:szCs w:val="24"/>
          <w:lang w:eastAsia="en-US"/>
        </w:rPr>
        <w:t>Управление исполняет обязанности налогового агента, производящего исчисление сумм и уплату налога в отношении всех доходов налогоплательщика, источником которых является.</w:t>
      </w:r>
    </w:p>
    <w:p>
      <w:pPr>
        <w:ind w:firstLine="708"/>
        <w:jc w:val="both"/>
        <w:rPr>
          <w:rFonts w:eastAsiaTheme="minorHAnsi"/>
          <w:sz w:val="24"/>
          <w:szCs w:val="24"/>
          <w:lang w:eastAsia="en-US"/>
        </w:rPr>
      </w:pPr>
      <w:r>
        <w:rPr>
          <w:rFonts w:eastAsiaTheme="minorHAnsi"/>
          <w:sz w:val="24"/>
          <w:szCs w:val="24"/>
          <w:lang w:eastAsia="en-US"/>
        </w:rPr>
        <w:t>Учёт сумм начисленных выплат и иных вознаграждений, выплаченных физическим лицам, ведётся по каждому физическому лицу, в пользу которого осуществлялись выплаты, в карточке индивидуального учёта сумм начисленных выплат и иных вознаграждений по форме, установленного образца.</w:t>
      </w:r>
    </w:p>
    <w:p>
      <w:pPr>
        <w:ind w:firstLine="708"/>
        <w:jc w:val="both"/>
        <w:rPr>
          <w:rFonts w:eastAsiaTheme="minorHAnsi"/>
          <w:sz w:val="24"/>
          <w:szCs w:val="24"/>
          <w:lang w:eastAsia="en-US"/>
        </w:rPr>
      </w:pPr>
      <w:r>
        <w:rPr>
          <w:rFonts w:eastAsiaTheme="minorHAnsi"/>
          <w:sz w:val="24"/>
          <w:szCs w:val="24"/>
          <w:lang w:eastAsia="en-US"/>
        </w:rPr>
        <w:t xml:space="preserve">   Налоговые вычеты физическим лицам, в отношении которых Управление выступает налоговым агентом, предоставляются на основании их письменных заявлений. Для оформления заявлений могут использоваться самостоятельно разработанные Управлением формы, приведенные в </w:t>
      </w:r>
      <w:hyperlink r:id="rId113" w:history="1">
        <w:r>
          <w:rPr>
            <w:rFonts w:eastAsiaTheme="minorHAnsi"/>
            <w:sz w:val="24"/>
            <w:szCs w:val="24"/>
            <w:lang w:eastAsia="en-US"/>
          </w:rPr>
          <w:t xml:space="preserve">Приложении </w:t>
        </w:r>
      </w:hyperlink>
      <w:r>
        <w:rPr>
          <w:rFonts w:eastAsiaTheme="minorHAnsi"/>
          <w:sz w:val="24"/>
          <w:szCs w:val="24"/>
          <w:lang w:eastAsia="en-US"/>
        </w:rPr>
        <w:t>5 к настоящей Учётной политике.</w:t>
      </w:r>
    </w:p>
    <w:p>
      <w:pPr>
        <w:ind w:firstLine="708"/>
        <w:jc w:val="both"/>
        <w:rPr>
          <w:rFonts w:eastAsiaTheme="minorHAnsi"/>
          <w:sz w:val="24"/>
          <w:szCs w:val="24"/>
          <w:lang w:eastAsia="en-US"/>
        </w:rPr>
      </w:pPr>
      <w:r>
        <w:rPr>
          <w:rFonts w:eastAsiaTheme="minorHAnsi"/>
          <w:sz w:val="24"/>
          <w:szCs w:val="24"/>
          <w:lang w:eastAsia="en-US"/>
        </w:rPr>
        <w:t>Перечисление НДФЛ и страховых взносов (за исключением взносов на травматизм) на единый налоговый счет (далее - ЕНС) осуществляется после 1 января 2023 г. единым налоговым платежом в установленные законом сроки.</w:t>
      </w:r>
    </w:p>
    <w:p>
      <w:pPr>
        <w:ind w:firstLine="708"/>
        <w:jc w:val="both"/>
        <w:rPr>
          <w:rFonts w:eastAsiaTheme="minorHAnsi"/>
          <w:sz w:val="24"/>
          <w:szCs w:val="24"/>
          <w:lang w:eastAsia="en-US"/>
        </w:rPr>
      </w:pPr>
      <w:r>
        <w:rPr>
          <w:rFonts w:eastAsiaTheme="minorHAnsi"/>
          <w:sz w:val="24"/>
          <w:szCs w:val="24"/>
          <w:lang w:eastAsia="en-US"/>
        </w:rPr>
        <w:t xml:space="preserve">В целях списания с ЕНС отдельных обязательств Управление предоставляет </w:t>
      </w:r>
      <w:r>
        <w:rPr>
          <w:rFonts w:eastAsiaTheme="minorHAnsi"/>
          <w:sz w:val="24"/>
          <w:szCs w:val="24"/>
          <w:lang w:eastAsia="en-US"/>
        </w:rPr>
        <w:br/>
        <w:t xml:space="preserve">в налоговый орган Уведомление об исчисленных суммах налогов, авансовых платежей </w:t>
      </w:r>
      <w:r>
        <w:rPr>
          <w:rFonts w:eastAsiaTheme="minorHAnsi"/>
          <w:sz w:val="24"/>
          <w:szCs w:val="24"/>
          <w:lang w:eastAsia="en-US"/>
        </w:rPr>
        <w:br/>
        <w:t xml:space="preserve">по налогам, страховых вносов по утвержденной форме не позднее 25-го числа месяца </w:t>
      </w:r>
      <w:r>
        <w:rPr>
          <w:rFonts w:eastAsiaTheme="minorHAnsi"/>
          <w:sz w:val="24"/>
          <w:szCs w:val="24"/>
          <w:lang w:eastAsia="en-US"/>
        </w:rPr>
        <w:br/>
        <w:t>их уплаты: по НДФЛ - ежемесячно; по страховым взносам - за первый и второй месяц каждого квартала.</w:t>
      </w:r>
    </w:p>
    <w:p>
      <w:pPr>
        <w:widowControl/>
        <w:ind w:firstLine="708"/>
        <w:jc w:val="both"/>
        <w:rPr>
          <w:rFonts w:eastAsiaTheme="minorHAnsi"/>
          <w:sz w:val="24"/>
          <w:szCs w:val="24"/>
          <w:lang w:eastAsia="en-US"/>
        </w:rPr>
      </w:pPr>
      <w:r>
        <w:rPr>
          <w:rFonts w:eastAsiaTheme="minorHAnsi"/>
          <w:sz w:val="24"/>
          <w:szCs w:val="24"/>
          <w:lang w:eastAsia="en-US"/>
        </w:rPr>
        <w:t>В случае невозможности удержания НДФЛ с налогоплательщика - физического лица, получающего доход от Управления, сотрудник Отдела составляет на имя такого физического лица - получателя дохода письменное сообщение о невозможности удержания налога, а также в установленный законодательством срок уведомляет об этом факте налоговый орган.</w:t>
      </w:r>
    </w:p>
    <w:p>
      <w:pPr>
        <w:ind w:firstLine="708"/>
        <w:jc w:val="both"/>
        <w:rPr>
          <w:rFonts w:eastAsiaTheme="minorHAnsi"/>
          <w:sz w:val="24"/>
          <w:szCs w:val="24"/>
          <w:lang w:eastAsia="en-US"/>
        </w:rPr>
      </w:pPr>
      <w:r>
        <w:rPr>
          <w:rFonts w:eastAsiaTheme="minorHAnsi"/>
          <w:sz w:val="24"/>
          <w:szCs w:val="24"/>
          <w:lang w:eastAsia="en-US"/>
        </w:rPr>
        <w:t>Налоговый период - календарный год.</w:t>
      </w:r>
    </w:p>
    <w:p>
      <w:pPr>
        <w:ind w:firstLine="708"/>
        <w:jc w:val="both"/>
        <w:rPr>
          <w:rFonts w:eastAsiaTheme="minorHAnsi"/>
          <w:sz w:val="24"/>
          <w:szCs w:val="24"/>
          <w:lang w:eastAsia="en-US"/>
        </w:rPr>
      </w:pPr>
      <w:r>
        <w:rPr>
          <w:rFonts w:eastAsiaTheme="minorHAnsi"/>
          <w:sz w:val="24"/>
          <w:szCs w:val="24"/>
          <w:lang w:eastAsia="en-US"/>
        </w:rPr>
        <w:t>14.4 Налог на добавленную стоимость.</w:t>
      </w:r>
    </w:p>
    <w:p>
      <w:pPr>
        <w:ind w:firstLine="708"/>
        <w:jc w:val="both"/>
        <w:rPr>
          <w:rFonts w:eastAsiaTheme="minorHAnsi"/>
          <w:sz w:val="24"/>
          <w:szCs w:val="24"/>
          <w:lang w:eastAsia="en-US"/>
        </w:rPr>
      </w:pPr>
      <w:r>
        <w:rPr>
          <w:rFonts w:eastAsiaTheme="minorHAnsi"/>
          <w:sz w:val="24"/>
          <w:szCs w:val="24"/>
          <w:lang w:eastAsia="en-US"/>
        </w:rPr>
        <w:t xml:space="preserve">Выполнение работ (оказание услуг) Управлением не являются объектом налогообложения налогом на добавленную стоимость работ (услуг). </w:t>
      </w:r>
    </w:p>
    <w:p>
      <w:pPr>
        <w:ind w:firstLine="708"/>
        <w:jc w:val="both"/>
        <w:rPr>
          <w:rFonts w:eastAsiaTheme="minorHAnsi"/>
          <w:sz w:val="24"/>
          <w:szCs w:val="24"/>
          <w:lang w:eastAsia="en-US"/>
        </w:rPr>
      </w:pPr>
      <w:r>
        <w:rPr>
          <w:rFonts w:eastAsiaTheme="minorHAnsi"/>
          <w:sz w:val="24"/>
          <w:szCs w:val="24"/>
          <w:lang w:eastAsia="en-US"/>
        </w:rPr>
        <w:t>Налогооблагаемая база по НДС отсутствует в связи с отсутствием операций подлежащих налогообложению (ст. 146 Налогового кодекса Российской Федерации).</w:t>
      </w:r>
    </w:p>
    <w:p>
      <w:pPr>
        <w:ind w:firstLine="708"/>
        <w:jc w:val="both"/>
        <w:rPr>
          <w:rFonts w:eastAsiaTheme="minorHAnsi"/>
          <w:sz w:val="24"/>
          <w:szCs w:val="24"/>
          <w:lang w:eastAsia="en-US"/>
        </w:rPr>
      </w:pPr>
      <w:r>
        <w:rPr>
          <w:rFonts w:eastAsiaTheme="minorHAnsi"/>
          <w:sz w:val="24"/>
          <w:szCs w:val="24"/>
          <w:lang w:eastAsia="en-US"/>
        </w:rPr>
        <w:t>При приобретении товаров (работ, услуг) право на вычет не используется, регистрация полученных счётов-фактур в книге покупок не производится.</w:t>
      </w:r>
    </w:p>
    <w:p>
      <w:pPr>
        <w:ind w:firstLine="708"/>
        <w:jc w:val="both"/>
        <w:rPr>
          <w:rFonts w:eastAsiaTheme="minorHAnsi"/>
          <w:sz w:val="24"/>
          <w:szCs w:val="24"/>
          <w:lang w:eastAsia="en-US"/>
        </w:rPr>
      </w:pPr>
      <w:r>
        <w:rPr>
          <w:rFonts w:eastAsiaTheme="minorHAnsi"/>
          <w:sz w:val="24"/>
          <w:szCs w:val="24"/>
          <w:lang w:eastAsia="en-US"/>
        </w:rPr>
        <w:t>Книга покупок и продаж с нулевыми значениями не распечатывается.</w:t>
      </w:r>
    </w:p>
    <w:p>
      <w:pPr>
        <w:ind w:firstLine="708"/>
        <w:jc w:val="both"/>
        <w:rPr>
          <w:rFonts w:eastAsiaTheme="minorHAnsi"/>
          <w:sz w:val="24"/>
          <w:szCs w:val="24"/>
          <w:lang w:eastAsia="en-US"/>
        </w:rPr>
      </w:pPr>
      <w:r>
        <w:rPr>
          <w:rFonts w:eastAsiaTheme="minorHAnsi"/>
          <w:sz w:val="24"/>
          <w:szCs w:val="24"/>
          <w:lang w:eastAsia="en-US"/>
        </w:rPr>
        <w:t>Налоговый период - квартал.</w:t>
      </w:r>
    </w:p>
    <w:p>
      <w:pPr>
        <w:ind w:firstLine="708"/>
        <w:jc w:val="both"/>
        <w:rPr>
          <w:rFonts w:eastAsiaTheme="minorHAnsi"/>
          <w:sz w:val="24"/>
          <w:szCs w:val="24"/>
          <w:lang w:eastAsia="en-US"/>
        </w:rPr>
      </w:pPr>
      <w:r>
        <w:rPr>
          <w:rFonts w:eastAsiaTheme="minorHAnsi"/>
          <w:sz w:val="24"/>
          <w:szCs w:val="24"/>
          <w:lang w:eastAsia="en-US"/>
        </w:rPr>
        <w:t>14.5 Налог на имущество организаций.</w:t>
      </w:r>
    </w:p>
    <w:p>
      <w:pPr>
        <w:ind w:firstLine="708"/>
        <w:jc w:val="both"/>
        <w:rPr>
          <w:rFonts w:eastAsiaTheme="minorHAnsi"/>
          <w:sz w:val="24"/>
          <w:szCs w:val="24"/>
          <w:lang w:eastAsia="en-US"/>
        </w:rPr>
      </w:pPr>
      <w:r>
        <w:rPr>
          <w:rFonts w:eastAsiaTheme="minorHAnsi"/>
          <w:sz w:val="24"/>
          <w:szCs w:val="24"/>
          <w:lang w:eastAsia="en-US"/>
        </w:rPr>
        <w:t>Объектом налогообложения признается недвижимое имущество (включая имущество, переданное во временное владение, пользование, распоряжение или доверительное управление, внесенное в совместную деятельность), учитываемое на балансе Управления в качестве объектов основных средств, в соответствии с установленным порядком ведения бюджетного учёта.</w:t>
      </w:r>
    </w:p>
    <w:p>
      <w:pPr>
        <w:ind w:firstLine="708"/>
        <w:jc w:val="both"/>
        <w:rPr>
          <w:rFonts w:eastAsiaTheme="minorHAnsi"/>
          <w:sz w:val="24"/>
          <w:szCs w:val="24"/>
          <w:lang w:eastAsia="en-US"/>
        </w:rPr>
      </w:pPr>
      <w:r>
        <w:rPr>
          <w:rFonts w:eastAsiaTheme="minorHAnsi"/>
          <w:sz w:val="24"/>
          <w:szCs w:val="24"/>
          <w:lang w:eastAsia="en-US"/>
        </w:rPr>
        <w:t>Начиная с налогового периода 2019 года у Управления, не возникает обязанности представлять налоговые декларации и налоговые расчёты по налогу на имущество организаций, так как указанная налоговая отчетность представляется только плательщиками этого налога (</w:t>
      </w:r>
      <w:hyperlink r:id="rId114" w:history="1">
        <w:r>
          <w:rPr>
            <w:rFonts w:eastAsiaTheme="minorHAnsi"/>
            <w:sz w:val="24"/>
            <w:szCs w:val="24"/>
            <w:lang w:eastAsia="en-US"/>
          </w:rPr>
          <w:t>п. 1 ст. 80</w:t>
        </w:r>
      </w:hyperlink>
      <w:r>
        <w:rPr>
          <w:rFonts w:eastAsiaTheme="minorHAnsi"/>
          <w:sz w:val="24"/>
          <w:szCs w:val="24"/>
          <w:lang w:eastAsia="en-US"/>
        </w:rPr>
        <w:t xml:space="preserve">, </w:t>
      </w:r>
      <w:hyperlink r:id="rId115" w:history="1">
        <w:r>
          <w:rPr>
            <w:rFonts w:eastAsiaTheme="minorHAnsi"/>
            <w:sz w:val="24"/>
            <w:szCs w:val="24"/>
            <w:lang w:eastAsia="en-US"/>
          </w:rPr>
          <w:t>п. 1 ст. 386</w:t>
        </w:r>
      </w:hyperlink>
      <w:r>
        <w:rPr>
          <w:rFonts w:eastAsiaTheme="minorHAnsi"/>
          <w:sz w:val="24"/>
          <w:szCs w:val="24"/>
          <w:lang w:eastAsia="en-US"/>
        </w:rPr>
        <w:t xml:space="preserve"> Налоговый кодекс Российской Федерации).</w:t>
      </w:r>
    </w:p>
    <w:p>
      <w:pPr>
        <w:ind w:firstLine="708"/>
        <w:jc w:val="both"/>
        <w:rPr>
          <w:rFonts w:eastAsiaTheme="minorHAnsi"/>
          <w:sz w:val="24"/>
          <w:szCs w:val="24"/>
          <w:lang w:eastAsia="en-US"/>
        </w:rPr>
      </w:pPr>
      <w:r>
        <w:rPr>
          <w:rFonts w:eastAsiaTheme="minorHAnsi"/>
          <w:sz w:val="24"/>
          <w:szCs w:val="24"/>
          <w:lang w:eastAsia="en-US"/>
        </w:rPr>
        <w:t>Налоговый период - календарный год.</w:t>
      </w:r>
    </w:p>
    <w:p>
      <w:pPr>
        <w:ind w:firstLine="708"/>
        <w:jc w:val="both"/>
        <w:rPr>
          <w:rFonts w:eastAsiaTheme="minorHAnsi"/>
          <w:sz w:val="24"/>
          <w:szCs w:val="24"/>
          <w:lang w:eastAsia="en-US"/>
        </w:rPr>
      </w:pPr>
      <w:r>
        <w:rPr>
          <w:rFonts w:eastAsiaTheme="minorHAnsi"/>
          <w:sz w:val="24"/>
          <w:szCs w:val="24"/>
          <w:lang w:eastAsia="en-US"/>
        </w:rPr>
        <w:t>14.6 Налог на прибыль.</w:t>
      </w:r>
    </w:p>
    <w:p>
      <w:pPr>
        <w:ind w:firstLine="708"/>
        <w:jc w:val="both"/>
        <w:rPr>
          <w:rFonts w:eastAsiaTheme="minorHAnsi"/>
          <w:sz w:val="24"/>
          <w:szCs w:val="24"/>
          <w:lang w:eastAsia="en-US"/>
        </w:rPr>
      </w:pPr>
      <w:r>
        <w:rPr>
          <w:rFonts w:eastAsiaTheme="minorHAnsi"/>
          <w:sz w:val="24"/>
          <w:szCs w:val="24"/>
          <w:lang w:eastAsia="en-US"/>
        </w:rPr>
        <w:t>Управление не осуществляет приносящую доход деятельность и иную деятельность на платной основе (ст.247, 248 Налогового кодекса Российской Федерации).</w:t>
      </w:r>
    </w:p>
    <w:p>
      <w:pPr>
        <w:ind w:firstLine="708"/>
        <w:jc w:val="both"/>
        <w:rPr>
          <w:rFonts w:eastAsiaTheme="minorHAnsi"/>
          <w:sz w:val="24"/>
          <w:szCs w:val="24"/>
          <w:lang w:eastAsia="en-US"/>
        </w:rPr>
      </w:pPr>
      <w:r>
        <w:rPr>
          <w:rFonts w:eastAsiaTheme="minorHAnsi"/>
          <w:sz w:val="24"/>
          <w:szCs w:val="24"/>
          <w:lang w:eastAsia="en-US"/>
        </w:rPr>
        <w:t>Лимиты бюджетных обязательств, доведенные до Управления, относятся                           к средствам целевого финансирования и в состав доходов, формирующих налоговую базу по налогу на прибыль, не включаются.</w:t>
      </w:r>
    </w:p>
    <w:p>
      <w:pPr>
        <w:ind w:firstLine="708"/>
        <w:jc w:val="both"/>
        <w:rPr>
          <w:rFonts w:eastAsiaTheme="minorHAnsi"/>
          <w:sz w:val="24"/>
          <w:szCs w:val="24"/>
          <w:lang w:eastAsia="en-US"/>
        </w:rPr>
      </w:pPr>
      <w:r>
        <w:rPr>
          <w:rFonts w:eastAsiaTheme="minorHAnsi"/>
          <w:sz w:val="24"/>
          <w:szCs w:val="24"/>
          <w:lang w:eastAsia="en-US"/>
        </w:rPr>
        <w:t xml:space="preserve">Как некоммерческая организация, у которой не возникает обязательств по уплате налога, налоговая декларация представляется по упрощенной форме по истечении налогового периода. </w:t>
      </w:r>
    </w:p>
    <w:p>
      <w:pPr>
        <w:ind w:firstLine="708"/>
        <w:jc w:val="both"/>
        <w:rPr>
          <w:rFonts w:eastAsiaTheme="minorHAnsi"/>
          <w:sz w:val="24"/>
          <w:szCs w:val="24"/>
          <w:lang w:eastAsia="en-US"/>
        </w:rPr>
      </w:pPr>
      <w:r>
        <w:rPr>
          <w:rFonts w:eastAsiaTheme="minorHAnsi"/>
          <w:sz w:val="24"/>
          <w:szCs w:val="24"/>
          <w:lang w:eastAsia="en-US"/>
        </w:rPr>
        <w:t>Налоговый период - календарный год.</w:t>
      </w:r>
    </w:p>
    <w:p>
      <w:pPr>
        <w:ind w:firstLine="708"/>
        <w:jc w:val="both"/>
        <w:rPr>
          <w:rFonts w:eastAsiaTheme="minorHAnsi"/>
          <w:sz w:val="24"/>
          <w:szCs w:val="24"/>
          <w:lang w:eastAsia="en-US"/>
        </w:rPr>
      </w:pPr>
    </w:p>
    <w:p>
      <w:pPr>
        <w:ind w:firstLine="708"/>
        <w:jc w:val="center"/>
        <w:rPr>
          <w:rFonts w:eastAsiaTheme="minorHAnsi"/>
          <w:b/>
          <w:bCs/>
          <w:sz w:val="24"/>
          <w:szCs w:val="24"/>
          <w:lang w:eastAsia="en-US"/>
        </w:rPr>
      </w:pPr>
      <w:r>
        <w:rPr>
          <w:rFonts w:eastAsiaTheme="minorHAnsi"/>
          <w:b/>
          <w:sz w:val="24"/>
          <w:szCs w:val="24"/>
          <w:lang w:eastAsia="en-US"/>
        </w:rPr>
        <w:t>15.  Изменение</w:t>
      </w:r>
      <w:r>
        <w:rPr>
          <w:rFonts w:eastAsiaTheme="minorHAnsi"/>
          <w:b/>
          <w:bCs/>
          <w:sz w:val="24"/>
          <w:szCs w:val="24"/>
          <w:lang w:eastAsia="en-US"/>
        </w:rPr>
        <w:t xml:space="preserve"> учетной политики.</w:t>
      </w:r>
    </w:p>
    <w:p>
      <w:pPr>
        <w:ind w:firstLine="708"/>
        <w:jc w:val="center"/>
        <w:rPr>
          <w:rFonts w:eastAsiaTheme="minorHAnsi"/>
          <w:sz w:val="24"/>
          <w:szCs w:val="24"/>
          <w:lang w:eastAsia="en-US"/>
        </w:rPr>
      </w:pPr>
    </w:p>
    <w:p>
      <w:pPr>
        <w:ind w:firstLine="708"/>
        <w:jc w:val="both"/>
        <w:rPr>
          <w:rFonts w:eastAsiaTheme="minorHAnsi"/>
          <w:sz w:val="24"/>
          <w:szCs w:val="24"/>
          <w:lang w:eastAsia="en-US"/>
        </w:rPr>
      </w:pPr>
      <w:r>
        <w:rPr>
          <w:rFonts w:eastAsiaTheme="minorHAnsi"/>
          <w:sz w:val="24"/>
          <w:szCs w:val="24"/>
          <w:lang w:eastAsia="en-US"/>
        </w:rPr>
        <w:t>15.</w:t>
      </w:r>
      <w:r>
        <w:rPr>
          <w:rFonts w:eastAsiaTheme="minorHAnsi"/>
          <w:sz w:val="24"/>
          <w:szCs w:val="24"/>
        </w:rPr>
        <w:t>1 Учетная</w:t>
      </w:r>
      <w:r>
        <w:rPr>
          <w:rFonts w:eastAsiaTheme="minorHAnsi"/>
          <w:sz w:val="24"/>
          <w:szCs w:val="24"/>
          <w:lang w:eastAsia="en-US"/>
        </w:rPr>
        <w:t xml:space="preserve"> политика применяется с момента ее утверждения последовательно из года в год. </w:t>
      </w:r>
    </w:p>
    <w:p>
      <w:pPr>
        <w:ind w:firstLine="708"/>
        <w:jc w:val="both"/>
        <w:rPr>
          <w:rFonts w:eastAsiaTheme="minorHAnsi"/>
          <w:sz w:val="24"/>
          <w:szCs w:val="24"/>
          <w:lang w:eastAsia="en-US"/>
        </w:rPr>
      </w:pPr>
      <w:r>
        <w:rPr>
          <w:rFonts w:eastAsiaTheme="minorHAnsi"/>
          <w:sz w:val="24"/>
          <w:szCs w:val="24"/>
          <w:lang w:eastAsia="en-US"/>
        </w:rPr>
        <w:t>Изменение учетной по</w:t>
      </w:r>
      <w:r>
        <w:rPr>
          <w:rFonts w:eastAsiaTheme="minorHAnsi"/>
          <w:sz w:val="24"/>
          <w:szCs w:val="24"/>
          <w:lang w:eastAsia="en-US"/>
        </w:rPr>
        <w:softHyphen/>
        <w:t>литики вводится с начала финансового года или в случае изменения законодательства Российской Федерации и нормативных актов органов, осуществляющих регулирование бухгалтерского учета, а также существенных изменений условий деятельности Управления.</w:t>
      </w:r>
    </w:p>
    <w:p>
      <w:pPr>
        <w:ind w:firstLine="708"/>
        <w:jc w:val="both"/>
        <w:rPr>
          <w:rFonts w:eastAsiaTheme="minorHAnsi"/>
          <w:sz w:val="24"/>
          <w:szCs w:val="24"/>
          <w:lang w:eastAsia="en-US"/>
        </w:rPr>
      </w:pPr>
    </w:p>
    <w:sectPr>
      <w:footerReference w:type="default" r:id="rId116"/>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Ц"/>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406363"/>
      <w:docPartObj>
        <w:docPartGallery w:val="Page Numbers (Bottom of Page)"/>
        <w:docPartUnique/>
      </w:docPartObj>
    </w:sdtPr>
    <w:sdtContent>
      <w:p>
        <w:pPr>
          <w:pStyle w:val="af2"/>
          <w:jc w:val="right"/>
        </w:pPr>
        <w:r>
          <w:fldChar w:fldCharType="begin"/>
        </w:r>
        <w:r>
          <w:instrText xml:space="preserve"> PAGE   \* MERGEFORMAT </w:instrText>
        </w:r>
        <w:r>
          <w:fldChar w:fldCharType="separate"/>
        </w:r>
        <w:r>
          <w:rPr>
            <w:noProof/>
          </w:rPr>
          <w:t>35</w:t>
        </w:r>
        <w:r>
          <w:rPr>
            <w:noProof/>
          </w:rPr>
          <w:fldChar w:fldCharType="end"/>
        </w:r>
      </w:p>
    </w:sdtContent>
  </w:sdt>
  <w:p>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6"/>
    <w:multiLevelType w:val="singleLevel"/>
    <w:tmpl w:val="00000000"/>
    <w:lvl w:ilvl="0">
      <w:start w:val="1"/>
      <w:numFmt w:val="bullet"/>
      <w:suff w:val="space"/>
      <w:lvlText w:val="-"/>
      <w:lvlJc w:val="left"/>
      <w:pPr>
        <w:ind w:left="0" w:firstLine="0"/>
      </w:pPr>
    </w:lvl>
  </w:abstractNum>
  <w:abstractNum w:abstractNumId="1">
    <w:nsid w:val="0DA77EA9"/>
    <w:multiLevelType w:val="multilevel"/>
    <w:tmpl w:val="DC9A79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C8600BD"/>
    <w:multiLevelType w:val="multilevel"/>
    <w:tmpl w:val="6328568E"/>
    <w:lvl w:ilvl="0">
      <w:start w:val="1"/>
      <w:numFmt w:val="decimal"/>
      <w:lvlText w:val="%1."/>
      <w:lvlJc w:val="left"/>
      <w:pPr>
        <w:ind w:left="2204" w:hanging="360"/>
      </w:pPr>
      <w:rPr>
        <w:rFonts w:hint="default"/>
      </w:rPr>
    </w:lvl>
    <w:lvl w:ilvl="1">
      <w:start w:val="1"/>
      <w:numFmt w:val="decimal"/>
      <w:isLgl/>
      <w:lvlText w:val="%1.%2."/>
      <w:lvlJc w:val="left"/>
      <w:pPr>
        <w:ind w:left="2264" w:hanging="4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2564" w:hanging="720"/>
      </w:pPr>
      <w:rPr>
        <w:rFonts w:hint="default"/>
      </w:rPr>
    </w:lvl>
    <w:lvl w:ilvl="4">
      <w:start w:val="1"/>
      <w:numFmt w:val="decimal"/>
      <w:isLgl/>
      <w:lvlText w:val="%1.%2.%3.%4.%5."/>
      <w:lvlJc w:val="left"/>
      <w:pPr>
        <w:ind w:left="2924" w:hanging="1080"/>
      </w:pPr>
      <w:rPr>
        <w:rFonts w:hint="default"/>
      </w:rPr>
    </w:lvl>
    <w:lvl w:ilvl="5">
      <w:start w:val="1"/>
      <w:numFmt w:val="decimal"/>
      <w:isLgl/>
      <w:lvlText w:val="%1.%2.%3.%4.%5.%6."/>
      <w:lvlJc w:val="left"/>
      <w:pPr>
        <w:ind w:left="2924" w:hanging="1080"/>
      </w:pPr>
      <w:rPr>
        <w:rFonts w:hint="default"/>
      </w:rPr>
    </w:lvl>
    <w:lvl w:ilvl="6">
      <w:start w:val="1"/>
      <w:numFmt w:val="decimal"/>
      <w:isLgl/>
      <w:lvlText w:val="%1.%2.%3.%4.%5.%6.%7."/>
      <w:lvlJc w:val="left"/>
      <w:pPr>
        <w:ind w:left="3284" w:hanging="1440"/>
      </w:pPr>
      <w:rPr>
        <w:rFonts w:hint="default"/>
      </w:rPr>
    </w:lvl>
    <w:lvl w:ilvl="7">
      <w:start w:val="1"/>
      <w:numFmt w:val="decimal"/>
      <w:isLgl/>
      <w:lvlText w:val="%1.%2.%3.%4.%5.%6.%7.%8."/>
      <w:lvlJc w:val="left"/>
      <w:pPr>
        <w:ind w:left="3284" w:hanging="1440"/>
      </w:pPr>
      <w:rPr>
        <w:rFonts w:hint="default"/>
      </w:rPr>
    </w:lvl>
    <w:lvl w:ilvl="8">
      <w:start w:val="1"/>
      <w:numFmt w:val="decimal"/>
      <w:isLgl/>
      <w:lvlText w:val="%1.%2.%3.%4.%5.%6.%7.%8.%9."/>
      <w:lvlJc w:val="left"/>
      <w:pPr>
        <w:ind w:left="3644" w:hanging="1800"/>
      </w:pPr>
      <w:rPr>
        <w:rFonts w:hint="default"/>
      </w:rPr>
    </w:lvl>
  </w:abstractNum>
  <w:abstractNum w:abstractNumId="3">
    <w:nsid w:val="1D5D2429"/>
    <w:multiLevelType w:val="hybridMultilevel"/>
    <w:tmpl w:val="F5AA17DA"/>
    <w:lvl w:ilvl="0" w:tplc="71A423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E206896"/>
    <w:multiLevelType w:val="multilevel"/>
    <w:tmpl w:val="22E28A2A"/>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5">
    <w:nsid w:val="5037261B"/>
    <w:multiLevelType w:val="hybridMultilevel"/>
    <w:tmpl w:val="0A2EFA62"/>
    <w:lvl w:ilvl="0" w:tplc="D130D302">
      <w:start w:val="1"/>
      <w:numFmt w:val="decimal"/>
      <w:lvlText w:val="%1)"/>
      <w:lvlJc w:val="left"/>
      <w:pPr>
        <w:ind w:hanging="360"/>
      </w:pPr>
      <w:rPr>
        <w:rFonts w:cs="Times New Roman" w:hint="default"/>
      </w:rPr>
    </w:lvl>
    <w:lvl w:ilvl="1" w:tplc="04190019" w:tentative="1">
      <w:start w:val="1"/>
      <w:numFmt w:val="lowerLetter"/>
      <w:lvlText w:val="%2."/>
      <w:lvlJc w:val="left"/>
      <w:pPr>
        <w:ind w:left="911" w:hanging="360"/>
      </w:pPr>
      <w:rPr>
        <w:rFonts w:cs="Times New Roman"/>
      </w:rPr>
    </w:lvl>
    <w:lvl w:ilvl="2" w:tplc="0419001B" w:tentative="1">
      <w:start w:val="1"/>
      <w:numFmt w:val="lowerRoman"/>
      <w:lvlText w:val="%3."/>
      <w:lvlJc w:val="right"/>
      <w:pPr>
        <w:ind w:left="1631" w:hanging="180"/>
      </w:pPr>
      <w:rPr>
        <w:rFonts w:cs="Times New Roman"/>
      </w:rPr>
    </w:lvl>
    <w:lvl w:ilvl="3" w:tplc="0419000F" w:tentative="1">
      <w:start w:val="1"/>
      <w:numFmt w:val="decimal"/>
      <w:lvlText w:val="%4."/>
      <w:lvlJc w:val="left"/>
      <w:pPr>
        <w:ind w:left="2351" w:hanging="360"/>
      </w:pPr>
      <w:rPr>
        <w:rFonts w:cs="Times New Roman"/>
      </w:rPr>
    </w:lvl>
    <w:lvl w:ilvl="4" w:tplc="04190019" w:tentative="1">
      <w:start w:val="1"/>
      <w:numFmt w:val="lowerLetter"/>
      <w:lvlText w:val="%5."/>
      <w:lvlJc w:val="left"/>
      <w:pPr>
        <w:ind w:left="3071" w:hanging="360"/>
      </w:pPr>
      <w:rPr>
        <w:rFonts w:cs="Times New Roman"/>
      </w:rPr>
    </w:lvl>
    <w:lvl w:ilvl="5" w:tplc="0419001B" w:tentative="1">
      <w:start w:val="1"/>
      <w:numFmt w:val="lowerRoman"/>
      <w:lvlText w:val="%6."/>
      <w:lvlJc w:val="right"/>
      <w:pPr>
        <w:ind w:left="3791" w:hanging="180"/>
      </w:pPr>
      <w:rPr>
        <w:rFonts w:cs="Times New Roman"/>
      </w:rPr>
    </w:lvl>
    <w:lvl w:ilvl="6" w:tplc="0419000F" w:tentative="1">
      <w:start w:val="1"/>
      <w:numFmt w:val="decimal"/>
      <w:lvlText w:val="%7."/>
      <w:lvlJc w:val="left"/>
      <w:pPr>
        <w:ind w:left="4511" w:hanging="360"/>
      </w:pPr>
      <w:rPr>
        <w:rFonts w:cs="Times New Roman"/>
      </w:rPr>
    </w:lvl>
    <w:lvl w:ilvl="7" w:tplc="04190019" w:tentative="1">
      <w:start w:val="1"/>
      <w:numFmt w:val="lowerLetter"/>
      <w:lvlText w:val="%8."/>
      <w:lvlJc w:val="left"/>
      <w:pPr>
        <w:ind w:left="5231" w:hanging="360"/>
      </w:pPr>
      <w:rPr>
        <w:rFonts w:cs="Times New Roman"/>
      </w:rPr>
    </w:lvl>
    <w:lvl w:ilvl="8" w:tplc="0419001B" w:tentative="1">
      <w:start w:val="1"/>
      <w:numFmt w:val="lowerRoman"/>
      <w:lvlText w:val="%9."/>
      <w:lvlJc w:val="right"/>
      <w:pPr>
        <w:ind w:left="5951" w:hanging="180"/>
      </w:pPr>
      <w:rPr>
        <w:rFonts w:cs="Times New Roman"/>
      </w:rPr>
    </w:lvl>
  </w:abstractNum>
  <w:abstractNum w:abstractNumId="6">
    <w:nsid w:val="5DB406E4"/>
    <w:multiLevelType w:val="multilevel"/>
    <w:tmpl w:val="278463EA"/>
    <w:lvl w:ilvl="0">
      <w:start w:val="60"/>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5"/>
  </w:num>
  <w:num w:numId="3">
    <w:abstractNumId w:val="0"/>
    <w:lvlOverride w:ilvl="0">
      <w:startOverride w:val="1"/>
    </w:lvlOverride>
  </w:num>
  <w:num w:numId="4">
    <w:abstractNumId w:val="2"/>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9A8729-3AA2-4DF2-91C2-44713D8C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pPr>
      <w:keepNext/>
      <w:keepLines/>
      <w:widowControl/>
      <w:autoSpaceDE/>
      <w:autoSpaceDN/>
      <w:adjustRightInd/>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Pr>
      <w:rFonts w:ascii="Arial" w:eastAsia="Times New Roman" w:hAnsi="Arial" w:cs="Arial"/>
      <w:sz w:val="20"/>
      <w:szCs w:val="20"/>
      <w:lang w:eastAsia="ru-RU"/>
    </w:rPr>
  </w:style>
  <w:style w:type="paragraph" w:styleId="3">
    <w:name w:val="Body Text 3"/>
    <w:basedOn w:val="a"/>
    <w:link w:val="30"/>
    <w:uiPriority w:val="99"/>
    <w:pPr>
      <w:widowControl/>
      <w:autoSpaceDE/>
      <w:autoSpaceDN/>
      <w:adjustRightInd/>
      <w:spacing w:after="120"/>
    </w:pPr>
    <w:rPr>
      <w:rFonts w:eastAsia="Calibri"/>
      <w:sz w:val="16"/>
      <w:szCs w:val="16"/>
    </w:rPr>
  </w:style>
  <w:style w:type="character" w:customStyle="1" w:styleId="30">
    <w:name w:val="Основной текст 3 Знак"/>
    <w:basedOn w:val="a0"/>
    <w:link w:val="3"/>
    <w:uiPriority w:val="99"/>
    <w:rPr>
      <w:rFonts w:ascii="Times New Roman" w:eastAsia="Calibri" w:hAnsi="Times New Roman" w:cs="Times New Roman"/>
      <w:sz w:val="16"/>
      <w:szCs w:val="16"/>
    </w:rPr>
  </w:style>
  <w:style w:type="paragraph" w:styleId="a3">
    <w:name w:val="List Paragraph"/>
    <w:basedOn w:val="a"/>
    <w:uiPriority w:val="99"/>
    <w:qFormat/>
    <w:pPr>
      <w:widowControl/>
      <w:autoSpaceDE/>
      <w:autoSpaceDN/>
      <w:adjustRightInd/>
      <w:ind w:left="720"/>
      <w:contextualSpacing/>
    </w:pPr>
    <w:rPr>
      <w:rFonts w:eastAsia="Calibri"/>
      <w:sz w:val="24"/>
      <w:szCs w:val="24"/>
    </w:rPr>
  </w:style>
  <w:style w:type="paragraph" w:customStyle="1" w:styleId="ConsNormal">
    <w:name w:val="ConsNormal"/>
    <w:uiPriority w:val="9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lang w:eastAsia="ru-RU"/>
    </w:rPr>
  </w:style>
  <w:style w:type="paragraph" w:styleId="a4">
    <w:name w:val="caption"/>
    <w:basedOn w:val="a"/>
    <w:next w:val="a"/>
    <w:qFormat/>
    <w:pPr>
      <w:shd w:val="clear" w:color="auto" w:fill="FFFFFF"/>
      <w:spacing w:before="281"/>
      <w:jc w:val="right"/>
    </w:pPr>
    <w:rPr>
      <w:b/>
      <w:bCs/>
      <w:color w:val="000000"/>
      <w:spacing w:val="-4"/>
    </w:rPr>
  </w:style>
  <w:style w:type="paragraph" w:customStyle="1" w:styleId="Style4">
    <w:name w:val="Style4"/>
    <w:basedOn w:val="a"/>
    <w:pPr>
      <w:spacing w:line="277" w:lineRule="exact"/>
      <w:ind w:firstLine="674"/>
      <w:jc w:val="both"/>
    </w:pPr>
    <w:rPr>
      <w:sz w:val="24"/>
      <w:szCs w:val="24"/>
    </w:rPr>
  </w:style>
  <w:style w:type="paragraph" w:customStyle="1" w:styleId="Style5">
    <w:name w:val="Style5"/>
    <w:basedOn w:val="a"/>
    <w:pPr>
      <w:spacing w:line="283" w:lineRule="exact"/>
      <w:ind w:firstLine="672"/>
    </w:pPr>
    <w:rPr>
      <w:sz w:val="24"/>
      <w:szCs w:val="24"/>
    </w:rPr>
  </w:style>
  <w:style w:type="paragraph" w:customStyle="1" w:styleId="1151256">
    <w:name w:val="Стиль 115 пт По ширине Первая строка:  125 см Перед:  6 пт По..."/>
    <w:basedOn w:val="a"/>
    <w:pPr>
      <w:widowControl/>
      <w:autoSpaceDE/>
      <w:autoSpaceDN/>
      <w:adjustRightInd/>
      <w:spacing w:before="120" w:after="60" w:line="288" w:lineRule="auto"/>
      <w:ind w:firstLine="709"/>
      <w:jc w:val="both"/>
    </w:pPr>
    <w:rPr>
      <w:sz w:val="23"/>
    </w:rPr>
  </w:style>
  <w:style w:type="paragraph" w:customStyle="1" w:styleId="Oaeno">
    <w:name w:val="Oaeno"/>
    <w:basedOn w:val="a"/>
    <w:pPr>
      <w:autoSpaceDE/>
      <w:autoSpaceDN/>
      <w:adjustRightInd/>
    </w:pPr>
    <w:rPr>
      <w:rFonts w:ascii="Courier New" w:hAnsi="Courier New"/>
    </w:rPr>
  </w:style>
  <w:style w:type="character" w:styleId="a5">
    <w:name w:val="annotation reference"/>
    <w:uiPriority w:val="99"/>
    <w:rPr>
      <w:sz w:val="16"/>
      <w:szCs w:val="16"/>
    </w:rPr>
  </w:style>
  <w:style w:type="paragraph" w:styleId="a6">
    <w:name w:val="annotation text"/>
    <w:basedOn w:val="a"/>
    <w:link w:val="a7"/>
    <w:uiPriority w:val="99"/>
  </w:style>
  <w:style w:type="character" w:customStyle="1" w:styleId="a7">
    <w:name w:val="Текст примечания Знак"/>
    <w:basedOn w:val="a0"/>
    <w:link w:val="a6"/>
    <w:uiPriority w:val="99"/>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Pr>
      <w:rFonts w:ascii="Tahoma" w:hAnsi="Tahoma" w:cs="Tahoma"/>
      <w:sz w:val="16"/>
      <w:szCs w:val="16"/>
    </w:rPr>
  </w:style>
  <w:style w:type="character" w:customStyle="1" w:styleId="a9">
    <w:name w:val="Текст выноски Знак"/>
    <w:basedOn w:val="a0"/>
    <w:link w:val="a8"/>
    <w:uiPriority w:val="99"/>
    <w:semiHidden/>
    <w:rPr>
      <w:rFonts w:ascii="Tahoma" w:eastAsia="Times New Roman" w:hAnsi="Tahoma" w:cs="Tahoma"/>
      <w:sz w:val="16"/>
      <w:szCs w:val="16"/>
      <w:lang w:eastAsia="ru-RU"/>
    </w:rPr>
  </w:style>
  <w:style w:type="character" w:customStyle="1" w:styleId="FontStyle14">
    <w:name w:val="Font Style14"/>
    <w:rPr>
      <w:rFonts w:ascii="Times New Roman" w:hAnsi="Times New Roman" w:cs="Times New Roman"/>
      <w:sz w:val="22"/>
      <w:szCs w:val="22"/>
    </w:rPr>
  </w:style>
  <w:style w:type="paragraph" w:customStyle="1" w:styleId="Style2">
    <w:name w:val="Style2"/>
    <w:basedOn w:val="a"/>
    <w:rPr>
      <w:sz w:val="24"/>
      <w:szCs w:val="24"/>
    </w:rPr>
  </w:style>
  <w:style w:type="paragraph" w:styleId="aa">
    <w:name w:val="No Spacing"/>
    <w:qFormat/>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lang w:eastAsia="ru-RU"/>
    </w:rPr>
  </w:style>
  <w:style w:type="character" w:styleId="ab">
    <w:name w:val="Hyperlink"/>
    <w:uiPriority w:val="99"/>
    <w:unhideWhenUsed/>
    <w:rPr>
      <w:color w:val="0000FF"/>
      <w:u w:val="single"/>
    </w:rPr>
  </w:style>
  <w:style w:type="paragraph" w:styleId="ac">
    <w:name w:val="Body Text Indent"/>
    <w:basedOn w:val="a"/>
    <w:link w:val="ad"/>
    <w:pPr>
      <w:spacing w:after="120"/>
      <w:ind w:left="283"/>
    </w:pPr>
  </w:style>
  <w:style w:type="character" w:customStyle="1" w:styleId="ad">
    <w:name w:val="Основной текст с отступом Знак"/>
    <w:basedOn w:val="a0"/>
    <w:link w:val="ac"/>
    <w:rPr>
      <w:rFonts w:ascii="Times New Roman" w:eastAsia="Times New Roman" w:hAnsi="Times New Roman" w:cs="Times New Roman"/>
      <w:sz w:val="20"/>
      <w:szCs w:val="20"/>
      <w:lang w:eastAsia="ru-RU"/>
    </w:rPr>
  </w:style>
  <w:style w:type="paragraph" w:customStyle="1" w:styleId="Style7">
    <w:name w:val="Style7"/>
    <w:basedOn w:val="a"/>
    <w:pPr>
      <w:spacing w:line="276" w:lineRule="exact"/>
      <w:ind w:firstLine="540"/>
      <w:jc w:val="both"/>
    </w:pPr>
    <w:rPr>
      <w:sz w:val="24"/>
      <w:szCs w:val="24"/>
    </w:rPr>
  </w:style>
  <w:style w:type="paragraph" w:customStyle="1" w:styleId="Style3">
    <w:name w:val="Style3"/>
    <w:basedOn w:val="a"/>
    <w:rPr>
      <w:sz w:val="24"/>
      <w:szCs w:val="24"/>
    </w:rPr>
  </w:style>
  <w:style w:type="character" w:customStyle="1" w:styleId="FontStyle13">
    <w:name w:val="Font Style13"/>
    <w:rPr>
      <w:rFonts w:ascii="Times New Roman" w:hAnsi="Times New Roman" w:cs="Times New Roman"/>
      <w:b/>
      <w:bCs/>
      <w:sz w:val="22"/>
      <w:szCs w:val="22"/>
    </w:rPr>
  </w:style>
  <w:style w:type="paragraph" w:customStyle="1" w:styleId="Style10">
    <w:name w:val="Style10"/>
    <w:basedOn w:val="a"/>
    <w:pPr>
      <w:spacing w:line="278" w:lineRule="exact"/>
      <w:jc w:val="both"/>
    </w:pPr>
    <w:rPr>
      <w:sz w:val="24"/>
      <w:szCs w:val="24"/>
    </w:rPr>
  </w:style>
  <w:style w:type="paragraph" w:styleId="ae">
    <w:name w:val="annotation subject"/>
    <w:basedOn w:val="a6"/>
    <w:next w:val="a6"/>
    <w:link w:val="af"/>
    <w:uiPriority w:val="99"/>
    <w:semiHidden/>
    <w:unhideWhenUsed/>
    <w:rPr>
      <w:b/>
      <w:bCs/>
    </w:rPr>
  </w:style>
  <w:style w:type="character" w:customStyle="1" w:styleId="af">
    <w:name w:val="Тема примечания Знак"/>
    <w:basedOn w:val="a7"/>
    <w:link w:val="ae"/>
    <w:uiPriority w:val="99"/>
    <w:semiHidden/>
    <w:rPr>
      <w:rFonts w:ascii="Times New Roman" w:eastAsia="Times New Roman" w:hAnsi="Times New Roman" w:cs="Times New Roman"/>
      <w:b/>
      <w:bCs/>
      <w:sz w:val="20"/>
      <w:szCs w:val="20"/>
      <w:lang w:eastAsia="ru-RU"/>
    </w:rPr>
  </w:style>
  <w:style w:type="paragraph" w:styleId="af0">
    <w:name w:val="header"/>
    <w:basedOn w:val="a"/>
    <w:link w:val="af1"/>
    <w:uiPriority w:val="99"/>
    <w:semiHidden/>
    <w:unhideWhenUsed/>
    <w:pPr>
      <w:tabs>
        <w:tab w:val="center" w:pos="4677"/>
        <w:tab w:val="right" w:pos="9355"/>
      </w:tabs>
    </w:pPr>
  </w:style>
  <w:style w:type="character" w:customStyle="1" w:styleId="af1">
    <w:name w:val="Верхний колонтитул Знак"/>
    <w:basedOn w:val="a0"/>
    <w:link w:val="af0"/>
    <w:uiPriority w:val="99"/>
    <w:semiHidden/>
    <w:rPr>
      <w:rFonts w:ascii="Times New Roman" w:eastAsia="Times New Roman" w:hAnsi="Times New Roman" w:cs="Times New Roman"/>
      <w:sz w:val="20"/>
      <w:szCs w:val="20"/>
      <w:lang w:eastAsia="ru-RU"/>
    </w:rPr>
  </w:style>
  <w:style w:type="paragraph" w:styleId="af2">
    <w:name w:val="footer"/>
    <w:basedOn w:val="a"/>
    <w:link w:val="af3"/>
    <w:uiPriority w:val="99"/>
    <w:unhideWhenUsed/>
    <w:pPr>
      <w:tabs>
        <w:tab w:val="center" w:pos="4677"/>
        <w:tab w:val="right" w:pos="9355"/>
      </w:tabs>
    </w:pPr>
  </w:style>
  <w:style w:type="character" w:customStyle="1" w:styleId="af3">
    <w:name w:val="Нижний колонтитул Знак"/>
    <w:basedOn w:val="a0"/>
    <w:link w:val="af2"/>
    <w:uiPriority w:val="99"/>
    <w:rPr>
      <w:rFonts w:ascii="Times New Roman" w:eastAsia="Times New Roman" w:hAnsi="Times New Roman" w:cs="Times New Roman"/>
      <w:sz w:val="20"/>
      <w:szCs w:val="20"/>
      <w:lang w:eastAsia="ru-RU"/>
    </w:rPr>
  </w:style>
  <w:style w:type="character" w:customStyle="1" w:styleId="21">
    <w:name w:val="Основной текст (2)_"/>
    <w:basedOn w:val="a0"/>
    <w:link w:val="22"/>
    <w:rPr>
      <w:rFonts w:ascii="Times New Roman" w:eastAsia="Times New Roman" w:hAnsi="Times New Roman" w:cs="Times New Roman"/>
      <w:shd w:val="clear" w:color="auto" w:fill="FFFFFF"/>
    </w:rPr>
  </w:style>
  <w:style w:type="character" w:customStyle="1" w:styleId="213pt80">
    <w:name w:val="Основной текст (2) + 13 pt;Масштаб 80%"/>
    <w:basedOn w:val="21"/>
    <w:rPr>
      <w:rFonts w:ascii="Times New Roman" w:eastAsia="Times New Roman" w:hAnsi="Times New Roman" w:cs="Times New Roman"/>
      <w:color w:val="000000"/>
      <w:spacing w:val="0"/>
      <w:w w:val="80"/>
      <w:position w:val="0"/>
      <w:sz w:val="26"/>
      <w:szCs w:val="26"/>
      <w:shd w:val="clear" w:color="auto" w:fill="FFFFFF"/>
      <w:lang w:val="ru-RU" w:eastAsia="ru-RU" w:bidi="ru-RU"/>
    </w:rPr>
  </w:style>
  <w:style w:type="character" w:customStyle="1" w:styleId="28pt">
    <w:name w:val="Основной текст (2) + 8 pt;Курсив"/>
    <w:basedOn w:val="21"/>
    <w:rPr>
      <w:rFonts w:ascii="Times New Roman" w:eastAsia="Times New Roman" w:hAnsi="Times New Roman" w:cs="Times New Roman"/>
      <w:i/>
      <w:iCs/>
      <w:color w:val="000000"/>
      <w:spacing w:val="0"/>
      <w:w w:val="100"/>
      <w:position w:val="0"/>
      <w:sz w:val="16"/>
      <w:szCs w:val="16"/>
      <w:shd w:val="clear" w:color="auto" w:fill="FFFFFF"/>
      <w:lang w:val="ru-RU" w:eastAsia="ru-RU" w:bidi="ru-RU"/>
    </w:rPr>
  </w:style>
  <w:style w:type="character" w:customStyle="1" w:styleId="21pt">
    <w:name w:val="Основной текст (2) + Интервал 1 pt"/>
    <w:basedOn w:val="21"/>
    <w:rPr>
      <w:rFonts w:ascii="Times New Roman" w:eastAsia="Times New Roman" w:hAnsi="Times New Roman" w:cs="Times New Roman"/>
      <w:color w:val="000000"/>
      <w:spacing w:val="30"/>
      <w:w w:val="100"/>
      <w:position w:val="0"/>
      <w:sz w:val="24"/>
      <w:szCs w:val="24"/>
      <w:shd w:val="clear" w:color="auto" w:fill="FFFFFF"/>
      <w:lang w:val="ru-RU" w:eastAsia="ru-RU" w:bidi="ru-RU"/>
    </w:rPr>
  </w:style>
  <w:style w:type="paragraph" w:customStyle="1" w:styleId="22">
    <w:name w:val="Основной текст (2)"/>
    <w:basedOn w:val="a"/>
    <w:link w:val="21"/>
    <w:pPr>
      <w:shd w:val="clear" w:color="auto" w:fill="FFFFFF"/>
      <w:autoSpaceDE/>
      <w:autoSpaceDN/>
      <w:adjustRightInd/>
      <w:spacing w:line="278" w:lineRule="exact"/>
      <w:jc w:val="both"/>
    </w:pPr>
    <w:rPr>
      <w:sz w:val="22"/>
      <w:szCs w:val="22"/>
      <w:lang w:eastAsia="en-US"/>
    </w:rPr>
  </w:style>
  <w:style w:type="paragraph" w:customStyle="1" w:styleId="s1">
    <w:name w:val="s_1"/>
    <w:basedOn w:val="a"/>
    <w:pPr>
      <w:widowControl/>
      <w:autoSpaceDE/>
      <w:autoSpaceDN/>
      <w:adjustRightInd/>
      <w:spacing w:before="100" w:beforeAutospacing="1" w:after="100" w:afterAutospacing="1"/>
    </w:pPr>
    <w:rPr>
      <w:sz w:val="24"/>
      <w:szCs w:val="24"/>
    </w:rPr>
  </w:style>
  <w:style w:type="character" w:customStyle="1" w:styleId="af4">
    <w:name w:val="Цветовое выделение"/>
    <w:uiPriority w:val="99"/>
    <w:rPr>
      <w:b/>
      <w:bCs/>
      <w:color w:val="26282F"/>
    </w:rPr>
  </w:style>
  <w:style w:type="character" w:customStyle="1" w:styleId="s10">
    <w:name w:val="s_10"/>
    <w:basedOn w:val="a0"/>
  </w:style>
  <w:style w:type="character" w:styleId="af5">
    <w:name w:val="Emphasis"/>
    <w:uiPriority w:val="20"/>
    <w:qFormat/>
    <w:rPr>
      <w:i/>
      <w:iCs/>
    </w:rPr>
  </w:style>
  <w:style w:type="character" w:customStyle="1" w:styleId="highlightsearch">
    <w:name w:val="highlightsearch"/>
    <w:basedOn w:val="a0"/>
  </w:style>
  <w:style w:type="paragraph" w:customStyle="1" w:styleId="af6">
    <w:name w:val="Прижатый влево"/>
    <w:basedOn w:val="a"/>
    <w:next w:val="a"/>
    <w:uiPriority w:val="99"/>
    <w:pPr>
      <w:widowControl/>
    </w:pPr>
    <w:rPr>
      <w:rFonts w:ascii="Arial" w:hAnsi="Arial" w:cs="Arial"/>
      <w:sz w:val="24"/>
      <w:szCs w:val="24"/>
    </w:rPr>
  </w:style>
  <w:style w:type="character" w:customStyle="1" w:styleId="link4">
    <w:name w:val="link4"/>
    <w:rPr>
      <w:strike w:val="0"/>
      <w:dstrike w:val="0"/>
      <w:color w:val="106BBE"/>
      <w:u w:val="none"/>
      <w:effect w:val="none"/>
    </w:rPr>
  </w:style>
  <w:style w:type="paragraph" w:styleId="af7">
    <w:name w:val="Normal (Web)"/>
    <w:basedOn w:val="a"/>
    <w:uiPriority w:val="99"/>
    <w:pPr>
      <w:widowControl/>
      <w:autoSpaceDE/>
      <w:autoSpaceDN/>
      <w:adjustRightInd/>
      <w:spacing w:before="100" w:beforeAutospacing="1" w:after="100" w:afterAutospacing="1"/>
    </w:pPr>
    <w:rPr>
      <w:color w:val="000000"/>
      <w:sz w:val="23"/>
      <w:szCs w:val="23"/>
    </w:rPr>
  </w:style>
  <w:style w:type="paragraph" w:customStyle="1" w:styleId="af8">
    <w:name w:val="Содержимое таблицы"/>
    <w:basedOn w:val="a"/>
    <w:qFormat/>
    <w:pPr>
      <w:widowControl/>
      <w:suppressLineNumbers/>
      <w:suppressAutoHyphens/>
      <w:autoSpaceDE/>
      <w:autoSpaceDN/>
      <w:adjustRightInd/>
    </w:pPr>
    <w:rPr>
      <w:sz w:val="26"/>
      <w:lang w:eastAsia="ar-SA"/>
    </w:rPr>
  </w:style>
  <w:style w:type="paragraph" w:customStyle="1" w:styleId="s16">
    <w:name w:val="s_16"/>
    <w:basedOn w:val="a"/>
    <w:pPr>
      <w:widowControl/>
      <w:autoSpaceDE/>
      <w:autoSpaceDN/>
      <w:adjustRightInd/>
    </w:pPr>
    <w:rPr>
      <w:rFonts w:ascii="Arial"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4AB54830071E00C457832A19333C03E29C9E7D06B83B3073D0F93990642F37F322113421E78EC6F5A9GDD" TargetMode="External"/><Relationship Id="rId117" Type="http://schemas.openxmlformats.org/officeDocument/2006/relationships/fontTable" Target="fontTable.xml"/><Relationship Id="rId21" Type="http://schemas.openxmlformats.org/officeDocument/2006/relationships/hyperlink" Target="consultantplus://offline/ref=4AB54830071E00C457832A19333C03E29C9E7D06B83B3073D0F93990642F37F322113421E78EC6F4A9GAD" TargetMode="External"/><Relationship Id="rId42" Type="http://schemas.openxmlformats.org/officeDocument/2006/relationships/hyperlink" Target="consultantplus://offline/ref=DE31EBF216F92A46B3B745E1F643374E15F4FACC236D69657B5C4642C157EBB333E40025EFF31CEAS00DM" TargetMode="External"/><Relationship Id="rId47" Type="http://schemas.openxmlformats.org/officeDocument/2006/relationships/hyperlink" Target="consultantplus://offline/ref=38B7B6323BA2148CB6D1112EF8665C1271E2FD894A535A60FF331B85C4C3EC52604E39A35F75456471FE60906194B1038B554E8F81950CECI9rAG" TargetMode="External"/><Relationship Id="rId63" Type="http://schemas.openxmlformats.org/officeDocument/2006/relationships/hyperlink" Target="consultantplus://offline/ref=AE85E7B06F7085780D8509CA1504A4E45A299815B8D212523B202E965FA87D229D846597B7AD1BD46664E30B7FF02084C682AF8CC43BD6E2C0O4N" TargetMode="External"/><Relationship Id="rId68" Type="http://schemas.openxmlformats.org/officeDocument/2006/relationships/hyperlink" Target="consultantplus://offline/ref=B65262C4154A9C22DD5319F8B4CAB308EAF3DBF220E58FBABDDA57619CA8A6D92D877A7D9BDC7F19cBE2G" TargetMode="External"/><Relationship Id="rId84" Type="http://schemas.openxmlformats.org/officeDocument/2006/relationships/hyperlink" Target="consultantplus://offline/ref=ADE3885E636CF45D5655DDCF78361C6930EB2199E1DC675EE10D2F0C14690DCE8E613F2F5799E96E14mFE" TargetMode="External"/><Relationship Id="rId89" Type="http://schemas.openxmlformats.org/officeDocument/2006/relationships/hyperlink" Target="consultantplus://offline/ref=ADE3885E636CF45D5655DDCF78361C6930EB2199E1DC675EE10D2F0C14690DCE8E613F2715m2E" TargetMode="External"/><Relationship Id="rId112" Type="http://schemas.openxmlformats.org/officeDocument/2006/relationships/hyperlink" Target="consultantplus://offline/ref=4689C5C61D0A59982693642A49F79A4195C0D8A021DC5881CBD9E4BF061B4CAC3A7F98243693D171353EC99FC19DF2987EE68A509DB63827XEQDK" TargetMode="External"/><Relationship Id="rId16" Type="http://schemas.openxmlformats.org/officeDocument/2006/relationships/hyperlink" Target="consultantplus://offline/ref=4AB54830071E00C457832A19333C03E29C9E7D06B83B3073D0F93990642F37F322113421E78EC6F4A9GAD" TargetMode="External"/><Relationship Id="rId107" Type="http://schemas.openxmlformats.org/officeDocument/2006/relationships/hyperlink" Target="consultantplus://offline/ref=BC7BDCCCBC290A8388094A7F0E1B405708E4D1B338F2B5572D189E4250773DE7DA34840DDAD66616C7D22DE89FC3062A9AA035F2ABDA86D5TCHAJ" TargetMode="External"/><Relationship Id="rId11" Type="http://schemas.openxmlformats.org/officeDocument/2006/relationships/hyperlink" Target="consultantplus://offline/ref=3C034E2FF6D224E42AA0D6E740A08ABC89A3D3A0D515E39A3D8B2B7825E9D4E7C2AE1DB6045B2CA24118DDDBBF375E37502AF70CF08C4E6F4Fw9C" TargetMode="External"/><Relationship Id="rId24" Type="http://schemas.openxmlformats.org/officeDocument/2006/relationships/hyperlink" Target="consultantplus://offline/ref=4AB54830071E00C457832A19333C03E29C9E7D06B83B3073D0F93990642F37F322113421E78EC6F4A9GAD" TargetMode="External"/><Relationship Id="rId32" Type="http://schemas.openxmlformats.org/officeDocument/2006/relationships/hyperlink" Target="consultantplus://offline/ref=AEEE702CD0EF6CD7169FB65EF7EBA938EF6452757900DA44DC853565573CCF954A12D7A7359A77D95226B2197B5BF4FCA0320BB380l8u2D" TargetMode="External"/><Relationship Id="rId37" Type="http://schemas.openxmlformats.org/officeDocument/2006/relationships/hyperlink" Target="consultantplus://offline/ref=1ACD7EA8CED0A0B65C31017CF282BF984434E9B6CC3EF43A4DE38606C992C19A0418782789266456FCB809AE05C89401BC89414F2D333C4BU6V7X" TargetMode="External"/><Relationship Id="rId40" Type="http://schemas.openxmlformats.org/officeDocument/2006/relationships/hyperlink" Target="consultantplus://offline/ref=99028D6D73AAD04FFBC4AB0B2AFBAEEFE413575787BC25C7D222EE90EC1B131D7C6F75DF687A5782Q6P0E" TargetMode="External"/><Relationship Id="rId45" Type="http://schemas.openxmlformats.org/officeDocument/2006/relationships/hyperlink" Target="consultantplus://offline/ref=EC1E01FB2698AB63A4897B1B3AC4E9D3C849902E0FDF8E76DA250448B7A05C81616C858D3E973C2CZ3F7M" TargetMode="External"/><Relationship Id="rId53" Type="http://schemas.openxmlformats.org/officeDocument/2006/relationships/hyperlink" Target="consultantplus://offline/ref=12B9B9FEB0671B6BA5D39619F8C07DEA652BB4016E5A9FC23E89FF23689359AC86A90D36CC1F40408CF790B34C18C0E2C16B6C04830973F122b0J" TargetMode="External"/><Relationship Id="rId58" Type="http://schemas.openxmlformats.org/officeDocument/2006/relationships/hyperlink" Target="consultantplus://offline/ref=580A75D6EFAE8A7905FD58010CD9C6924CD67A85BA248BEB7762238DFCB126393BCE5ACAE166B9A3A61083573F026AB4885B8B2700AFC3K" TargetMode="External"/><Relationship Id="rId66" Type="http://schemas.openxmlformats.org/officeDocument/2006/relationships/hyperlink" Target="consultantplus://offline/ref=E3743D715CE75C924E35EA43364D44EC4380D0F06D9BAAD7D981B330023EEC0B0DB336EF53A07A52C16E34CD6BE5D68855D6202F63D2F584dAvCN" TargetMode="External"/><Relationship Id="rId74" Type="http://schemas.openxmlformats.org/officeDocument/2006/relationships/hyperlink" Target="consultantplus://offline/ref=32960CBE0A14964BD73BD7DE6734DF2215AD2BE7F43C6AEC0190EB7C1B3E83ECD29EA65855368DBDN9i1O" TargetMode="External"/><Relationship Id="rId79" Type="http://schemas.openxmlformats.org/officeDocument/2006/relationships/hyperlink" Target="consultantplus://offline/ref=7D9624DA30B82E404CE7C6F697388C8B14B02DA24D213ECF220F47D8E008DFD959894A15EAN0zBF" TargetMode="External"/><Relationship Id="rId87" Type="http://schemas.openxmlformats.org/officeDocument/2006/relationships/hyperlink" Target="consultantplus://offline/ref=ADE3885E636CF45D5655DDCF78361C6930EB2199E1DC675EE10D2F0C14690DCE8E613F2F5799E66814m7E" TargetMode="External"/><Relationship Id="rId102" Type="http://schemas.openxmlformats.org/officeDocument/2006/relationships/hyperlink" Target="consultantplus://offline/ref=182CE8063507A527EA4909D5334BC84A168FC0B06777673171A5C58990A1237751B385C051F060N8g8C" TargetMode="External"/><Relationship Id="rId110" Type="http://schemas.openxmlformats.org/officeDocument/2006/relationships/hyperlink" Target="consultantplus://offline/ref=7DDEEAB0B5688E0A05332E4AF9F51D92563E96A46543AD1506D27EEC73117B362D8A91F76A65AD3A71A1D1EC88620DF43D05965C737DR5J" TargetMode="External"/><Relationship Id="rId115" Type="http://schemas.openxmlformats.org/officeDocument/2006/relationships/hyperlink" Target="consultantplus://offline/ref=8D8079A26A348A33F5A87E7868128569A03E872A23E25932975269F26EC54FB4375EEAFF361A2B7209021526E73724548844194F2A27E7E425D" TargetMode="External"/><Relationship Id="rId5" Type="http://schemas.openxmlformats.org/officeDocument/2006/relationships/webSettings" Target="webSettings.xml"/><Relationship Id="rId61" Type="http://schemas.openxmlformats.org/officeDocument/2006/relationships/hyperlink" Target="consultantplus://offline/ref=AE85E7B06F7085780D8509CA1504A4E45A2C9B15BBD112523B202E965FA87D229D846597B2A918D86A3BE61E6EA82D81DD9CAB96D839D4CEO1N" TargetMode="External"/><Relationship Id="rId82" Type="http://schemas.openxmlformats.org/officeDocument/2006/relationships/hyperlink" Target="consultantplus://offline/ref=ADE3885E636CF45D5655DDCF78361C6930EB2199E1DC675EE10D2F0C14690DCE8E613F2F579BEF6914m5E" TargetMode="External"/><Relationship Id="rId90" Type="http://schemas.openxmlformats.org/officeDocument/2006/relationships/hyperlink" Target="consultantplus://offline/ref=ADE3885E636CF45D5655DDCF78361C6930EB2199E1DC675EE10D2F0C14690DCE8E613F2F579BED6714m7E" TargetMode="External"/><Relationship Id="rId95" Type="http://schemas.openxmlformats.org/officeDocument/2006/relationships/hyperlink" Target="consultantplus://offline/ref=B57E2971D8BCCB4055ADA14433351185D3146E405E033A8FDF80A88DF3D7DFEB603B2FAE206A061ARBHAH" TargetMode="External"/><Relationship Id="rId19" Type="http://schemas.openxmlformats.org/officeDocument/2006/relationships/hyperlink" Target="consultantplus://offline/ref=4AB54830071E00C457832A19333C03E29C9E7D06B83B3073D0F93990642F37F322113421E78EC6F4A9GAD" TargetMode="External"/><Relationship Id="rId14" Type="http://schemas.openxmlformats.org/officeDocument/2006/relationships/hyperlink" Target="consultantplus://offline/ref=8FA1C6241F9AC74D45B4AF1A891ABA15F7D0814149D783F15F1FE458DEE671A5C20B77F21D70FCB245E8647E5A760F884174DC1687CCC7ADE54CC" TargetMode="External"/><Relationship Id="rId22" Type="http://schemas.openxmlformats.org/officeDocument/2006/relationships/hyperlink" Target="consultantplus://offline/ref=4AB54830071E00C457832A19333C03E29C9E7D06B83B3073D0F93990642F37F322113421E78EC6F4A9GAD" TargetMode="External"/><Relationship Id="rId27" Type="http://schemas.openxmlformats.org/officeDocument/2006/relationships/hyperlink" Target="consultantplus://offline/ref=4AB54830071E00C457832A19333C03E29C9E7203BA343073D0F93990642F37F322113421E78DC5F9A9G2D" TargetMode="External"/><Relationship Id="rId30" Type="http://schemas.openxmlformats.org/officeDocument/2006/relationships/hyperlink" Target="consultantplus://offline/ref=AEEE702CD0EF6CD7169FB65EF7EBA938EE65567B7F06DA44DC853565573CCF9558128FAD379E628D067CE51479l5u9D" TargetMode="External"/><Relationship Id="rId35" Type="http://schemas.openxmlformats.org/officeDocument/2006/relationships/hyperlink" Target="consultantplus://offline/ref=1ACD7EA8CED0A0B65C31017CF282BF984434E9B6CC3EF43A4DE38606C992C19A0418782789266455F0B809AE05C89401BC89414F2D333C4BU6V7X" TargetMode="External"/><Relationship Id="rId43" Type="http://schemas.openxmlformats.org/officeDocument/2006/relationships/hyperlink" Target="https://login.consultant.ru/link/?req=doc&amp;base=LAW&amp;n=460116&amp;dst=31" TargetMode="External"/><Relationship Id="rId48" Type="http://schemas.openxmlformats.org/officeDocument/2006/relationships/hyperlink" Target="consultantplus://offline/ref=7585AB12D95C6D09A9E05891DB00DEA6C567EA29FBE26EEFE032766BC60A9EC3CA518555F1A4F8X07ED" TargetMode="External"/><Relationship Id="rId56" Type="http://schemas.openxmlformats.org/officeDocument/2006/relationships/hyperlink" Target="consultantplus://offline/ref=9D8161AA42813FF2C5CEF20345109A18045E915A4D486592BF0D91A3DD55F1698951AD87C989255BD5FBE19DC40398654393C4422B6702763792395C742FD79C86DD4C4BBB23d1R3M" TargetMode="External"/><Relationship Id="rId64" Type="http://schemas.openxmlformats.org/officeDocument/2006/relationships/hyperlink" Target="consultantplus://offline/ref=1A9D6DB035C7A128DEEF2F8869B6EFE2DA164BDFE632168A3D38B74C777D25DE8202C7A63215C6948F0AA59A96D6D3A77C58F0420A99C3w2D" TargetMode="External"/><Relationship Id="rId69" Type="http://schemas.openxmlformats.org/officeDocument/2006/relationships/hyperlink" Target="consultantplus://offline/ref=04DC95437D445E1F279FCE8C60144531B128FFD44EA8A5E8D463C661B41EC13A1E47280F6B971C35GEh7H" TargetMode="External"/><Relationship Id="rId77" Type="http://schemas.openxmlformats.org/officeDocument/2006/relationships/hyperlink" Target="consultantplus://offline/ref=7CF5E7937C8365AECD73DB089C4B5A5203224A292849CD5E7C7E2E6552A10B04C699CC1DB424196054F9AE143638BE7D0F5DC16422EE2DB3v1K8H" TargetMode="External"/><Relationship Id="rId100" Type="http://schemas.openxmlformats.org/officeDocument/2006/relationships/hyperlink" Target="consultantplus://offline/ref=7D9624DA30B82E404CE7C6F697388C8B14B02DA24D213ECF220F47D8E008DFD959894A15EAN0zBF" TargetMode="External"/><Relationship Id="rId105" Type="http://schemas.openxmlformats.org/officeDocument/2006/relationships/hyperlink" Target="consultantplus://offline/ref=2D81FD744973D08E986BDF55DEA458284570F783B1ED02F69E0F998E670F7096B86F82A58BCD362AG6s3L" TargetMode="External"/><Relationship Id="rId113" Type="http://schemas.openxmlformats.org/officeDocument/2006/relationships/hyperlink" Target="consultantplus://offline/ref=C560DD2FF85F5D0543DF8400B10B64BFEC407E28D218F05E8C6CB7DA49A2C9B5B7AAF5CE213AE1s56BJ" TargetMode="External"/><Relationship Id="rId118" Type="http://schemas.openxmlformats.org/officeDocument/2006/relationships/theme" Target="theme/theme1.xml"/><Relationship Id="rId8" Type="http://schemas.openxmlformats.org/officeDocument/2006/relationships/hyperlink" Target="consultantplus://offline/ref=407DEAC7E82414E6EC1C92FAD9AC069C94731BF4F876612E7D0D8E1502P0F8L" TargetMode="External"/><Relationship Id="rId51" Type="http://schemas.openxmlformats.org/officeDocument/2006/relationships/hyperlink" Target="consultantplus://offline/ref=5FA895306C898AB48A96432B02DC2B975A5B88C0A01F8A087F807F7214E173A9064CC89BD06E9F6788983F882921A460401421053374A58FoBg9I" TargetMode="External"/><Relationship Id="rId72" Type="http://schemas.openxmlformats.org/officeDocument/2006/relationships/hyperlink" Target="consultantplus://offline/ref=413E216358B6B8E6F5697F85670DAA84E5DC31D237C75E0DD44135030239DD51FD3C064D18A869409CC97A2B6D239ACAEFE9CCDFA096DCD5EASBB" TargetMode="External"/><Relationship Id="rId80" Type="http://schemas.openxmlformats.org/officeDocument/2006/relationships/hyperlink" Target="consultantplus://offline/ref=2009E3D0F033D8B36DE70CE07A192E281A843AA5BB2688C7AA8F351A5C334A53A551EE896C9E40CFh7jFO" TargetMode="External"/><Relationship Id="rId85" Type="http://schemas.openxmlformats.org/officeDocument/2006/relationships/hyperlink" Target="consultantplus://offline/ref=ADE3885E636CF45D5655DDCF78361C6930EB2199E1DC675EE10D2F0C14690DCE8E613F2F5799E66B14m0E" TargetMode="External"/><Relationship Id="rId93" Type="http://schemas.openxmlformats.org/officeDocument/2006/relationships/hyperlink" Target="consultantplus://offline/ref=8DE7572A528DC5292E7183655C7CDFB6151D775F674EDE2ECC46766F7342F93D9625BC378C778D581D9CBB1F37DBD9FE0FAAF36FF5B53CBEY6aAG" TargetMode="External"/><Relationship Id="rId98" Type="http://schemas.openxmlformats.org/officeDocument/2006/relationships/hyperlink" Target="consultantplus://offline/ref=2034E3C883318E188147C206EC14121000120B5644A3FF71EB17924F1166A36A4FD487529737070AS3tDH" TargetMode="External"/><Relationship Id="rId3" Type="http://schemas.openxmlformats.org/officeDocument/2006/relationships/styles" Target="styles.xml"/><Relationship Id="rId12" Type="http://schemas.openxmlformats.org/officeDocument/2006/relationships/hyperlink" Target="consultantplus://offline/ref=3C034E2FF6D224E42AA0D6E740A08ABC88A3D7A0DF17E39A3D8B2B7825E9D4E7C2AE1DB6045B2FA74418DDDBBF375E37502AF70CF08C4E6F4Fw9C" TargetMode="External"/><Relationship Id="rId17" Type="http://schemas.openxmlformats.org/officeDocument/2006/relationships/hyperlink" Target="consultantplus://offline/ref=4AB54830071E00C457832A19333C03E29C9E7D06B83B3073D0F93990642F37F322113421E78EC6F4A9GAD" TargetMode="External"/><Relationship Id="rId25" Type="http://schemas.openxmlformats.org/officeDocument/2006/relationships/hyperlink" Target="consultantplus://offline/ref=4AB54830071E00C457832A19333C03E29C9E7D06B83B3073D0F93990642F37F322113421E78EC6F4A9GAD" TargetMode="External"/><Relationship Id="rId33" Type="http://schemas.openxmlformats.org/officeDocument/2006/relationships/hyperlink" Target="consultantplus://offline/ref=AEEE702CD0EF6CD7169FB65EF7EBA938EF6452757900DA44DC853565573CCF954A12D7A4379A7B865733A3417659E8E2A52917B18280lFu7D" TargetMode="External"/><Relationship Id="rId38" Type="http://schemas.openxmlformats.org/officeDocument/2006/relationships/hyperlink" Target="consultantplus://offline/ref=1ACD7EA8CED0A0B65C31017CF282BF984434E9B6CC3EF43A4DE38606C992C19A0418782789266650F3B809AE05C89401BC89414F2D333C4BU6V7X" TargetMode="External"/><Relationship Id="rId46" Type="http://schemas.openxmlformats.org/officeDocument/2006/relationships/hyperlink" Target="consultantplus://offline/ref=EC1E01FB2698AB63A4897B1B3AC4E9D3C849902E0FDF8E76DA250448B7A05C81616C858D3E973C2AZ3F5M" TargetMode="External"/><Relationship Id="rId59" Type="http://schemas.openxmlformats.org/officeDocument/2006/relationships/hyperlink" Target="consultantplus://offline/ref=AE85E7B06F7085780D8509CA1504A4E45A2C9B15BBD112523B202E965FA87D229D846597B2A918D86A3BE61E6EA82D81DD9CAB96D839D4CEO1N" TargetMode="External"/><Relationship Id="rId67" Type="http://schemas.openxmlformats.org/officeDocument/2006/relationships/hyperlink" Target="consultantplus://offline/ref=B65262C4154A9C22DD5319F8B4CAB308EAF3DAFB24EE8FBABDDA57619CA8A6D92D877A7D9BDC751CcBE2G" TargetMode="External"/><Relationship Id="rId103" Type="http://schemas.openxmlformats.org/officeDocument/2006/relationships/hyperlink" Target="consultantplus://offline/ref=182CE8063507A527EA4909D5334BC84A138EC8B2617B3A3B79FCC98B97AE7C6056FA89C151F16F8DN7g6C" TargetMode="External"/><Relationship Id="rId108" Type="http://schemas.openxmlformats.org/officeDocument/2006/relationships/hyperlink" Target="consultantplus://offline/ref=38D33543981E63BF64964E98550ED9205E481B24F0ACAE37CFA2363B7CEB8FDA9CE14D35032F96C461F06463A20FF43B6A5A6077A7DEA15BM4M4J" TargetMode="External"/><Relationship Id="rId116" Type="http://schemas.openxmlformats.org/officeDocument/2006/relationships/footer" Target="footer1.xml"/><Relationship Id="rId20" Type="http://schemas.openxmlformats.org/officeDocument/2006/relationships/hyperlink" Target="consultantplus://offline/ref=4AB54830071E00C457832A19333C03E29C9E7D06B83B3073D0F93990642F37F322113421E78EC6F4A9GAD" TargetMode="External"/><Relationship Id="rId41" Type="http://schemas.openxmlformats.org/officeDocument/2006/relationships/hyperlink" Target="consultantplus://offline/ref=DE31EBF216F92A46B3B745E1F643374E16FCF9CE286869657B5C4642C157EBB333E40025EFF319E4S00BM" TargetMode="External"/><Relationship Id="rId54" Type="http://schemas.openxmlformats.org/officeDocument/2006/relationships/hyperlink" Target="consultantplus://offline/ref=9D8161AA42813FF2C5CEF20345109A18045E915A4D486592BF0D91A3DD55F1698951AD87C989255BD5FBE096C6009F654393C4422B6702763792395C742FD49D8CD44C4BBB23d1R3M" TargetMode="External"/><Relationship Id="rId62" Type="http://schemas.openxmlformats.org/officeDocument/2006/relationships/hyperlink" Target="consultantplus://offline/ref=AE85E7B06F7085780D8509CA1504A4E45A2C9B15BBD112523B202E965FA87D229D846597B2A919DE6A3BE61E6EA82D81DD9CAB96D839D4CEO1N" TargetMode="External"/><Relationship Id="rId70" Type="http://schemas.openxmlformats.org/officeDocument/2006/relationships/hyperlink" Target="consultantplus://offline/ref=65AC0E37C7B87C7E56FF82CF8F86D5083A9BD70E09DAB6DFA5043596493098C73E6EC668E224EE9C4685421D5607C3E858D5C3DBB381A6E2kCA8B" TargetMode="External"/><Relationship Id="rId75" Type="http://schemas.openxmlformats.org/officeDocument/2006/relationships/hyperlink" Target="consultantplus://offline/ref=B6DA5828455363FE0BD481B1874D52FE14EBEBDAF70F93D855E2DC90F925286C34D026718663D5BB26F9AA382D19684BB57CDB538932812CTDe8D" TargetMode="External"/><Relationship Id="rId83" Type="http://schemas.openxmlformats.org/officeDocument/2006/relationships/hyperlink" Target="consultantplus://offline/ref=ADE3885E636CF45D5655DDCF78361C6930EB2199E1DC675EE10D2F0C14690DCE8E613F2F5799EB6A14m5E" TargetMode="External"/><Relationship Id="rId88" Type="http://schemas.openxmlformats.org/officeDocument/2006/relationships/hyperlink" Target="consultantplus://offline/ref=ADE3885E636CF45D5655DDCF78361C6930EB2199E1DC675EE10D2F0C14690DCE8E613F2F5799E76F14m4E" TargetMode="External"/><Relationship Id="rId91" Type="http://schemas.openxmlformats.org/officeDocument/2006/relationships/hyperlink" Target="consultantplus://offline/ref=CFC21D5737297861E384A40BFD647D40A96A1139A3526A5F3A692EDDB3E70BO" TargetMode="External"/><Relationship Id="rId96" Type="http://schemas.openxmlformats.org/officeDocument/2006/relationships/hyperlink" Target="consultantplus://offline/ref=B57E2971D8BCCB4055ADA14433351185D3146E405E033A8FDF80A88DF3D7DFEB603B2FAE2068061BRBHBH" TargetMode="External"/><Relationship Id="rId111" Type="http://schemas.openxmlformats.org/officeDocument/2006/relationships/hyperlink" Target="consultantplus://offline/ref=7DDEEAB0B5688E0A05332E4AF9F51D92563E96A46543AD1506D27EEC73117B362D8A91F76B6DAD3A71A1D1EC88620DF43D05965C737DR5J"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8FA1C6241F9AC74D45B4AF1A891ABA15F6D0854143D583F15F1FE458DEE671A5C20B77F21D70FCB241E8647E5A760F884174DC1687CCC7ADE54CC" TargetMode="External"/><Relationship Id="rId23" Type="http://schemas.openxmlformats.org/officeDocument/2006/relationships/hyperlink" Target="consultantplus://offline/ref=4AB54830071E00C457832A19333C03E29C9E7D06B83B3073D0F93990642F37F322113421E78EC6F4A9GAD" TargetMode="External"/><Relationship Id="rId28" Type="http://schemas.openxmlformats.org/officeDocument/2006/relationships/hyperlink" Target="consultantplus://offline/ref=4D973BE1B9845E6C6757B7A303DB4D29A59C9C42B718EB80A89B45DBBAE6BD776605CB2662E4C2F1848621DCF82A9CBFED7CBB504F97BF77kA6AJ" TargetMode="External"/><Relationship Id="rId36" Type="http://schemas.openxmlformats.org/officeDocument/2006/relationships/hyperlink" Target="consultantplus://offline/ref=1ACD7EA8CED0A0B65C31017CF282BF984434E9B6CC3EF43A4DE38606C992C19A0418782789266456F4B809AE05C89401BC89414F2D333C4BU6V7X" TargetMode="External"/><Relationship Id="rId49" Type="http://schemas.openxmlformats.org/officeDocument/2006/relationships/hyperlink" Target="consultantplus://offline/ref=AC7B6018C16C4663144BF375E2526787A5C0B67F43DD5CD65E41FBDC14151A9BB323A055C101A9AFC16D4EF2C4FB8CC7C85CF06B427BBD9Fr7aEI" TargetMode="External"/><Relationship Id="rId57" Type="http://schemas.openxmlformats.org/officeDocument/2006/relationships/hyperlink" Target="consultantplus://offline/ref=580A75D6EFAE8A7905FD58010CD9C6924CD67A85BA248BEB7762238DFCB126393BCE5AC3E767B1F6FC00871E680F76B495458A3900F0D6ABCBK" TargetMode="External"/><Relationship Id="rId106" Type="http://schemas.openxmlformats.org/officeDocument/2006/relationships/hyperlink" Target="garantF1://12080849.10505" TargetMode="External"/><Relationship Id="rId114" Type="http://schemas.openxmlformats.org/officeDocument/2006/relationships/hyperlink" Target="consultantplus://offline/ref=8D8079A26A348A33F5A87E7868128569A1378A2020E25932975269F26EC54FB4375EEAFD30142B7D56070037BF38274B974406532826EE2ED" TargetMode="External"/><Relationship Id="rId10" Type="http://schemas.openxmlformats.org/officeDocument/2006/relationships/hyperlink" Target="consultantplus://offline/ref=3C034E2FF6D224E42AA0D6E740A08ABC89A3D3A0D515E39A3D8B2B7825E9D4E7C2AE1DB6045B2FA84618DDDBBF375E37502AF70CF08C4E6F4Fw9C" TargetMode="External"/><Relationship Id="rId31" Type="http://schemas.openxmlformats.org/officeDocument/2006/relationships/hyperlink" Target="consultantplus://offline/ref=AEEE702CD0EF6CD7169FB65EF7EBA938EF6452757900DA44DC853565573CCF954A12D7A3379479865733A3417659E8E2A52917B18280lFu7D" TargetMode="External"/><Relationship Id="rId44" Type="http://schemas.openxmlformats.org/officeDocument/2006/relationships/hyperlink" Target="https://login.consultant.ru/link/?req=doc&amp;base=LAW&amp;n=362627&amp;dst=1874" TargetMode="External"/><Relationship Id="rId52" Type="http://schemas.openxmlformats.org/officeDocument/2006/relationships/hyperlink" Target="consultantplus://offline/ref=9E5219F37A575832BA2A4D891A03824B6BC39199E906662DDF3073E8D5AD7BFA1AEF0D3C6A000E146094B600E2CFCA7520B3BED8ACQAi7I" TargetMode="External"/><Relationship Id="rId60" Type="http://schemas.openxmlformats.org/officeDocument/2006/relationships/hyperlink" Target="consultantplus://offline/ref=AE85E7B06F7085780D8509CA1504A4E45A29951DBFDF12523B202E965FA87D228F843D9BB7A805DD6571B55A39CAO4N" TargetMode="External"/><Relationship Id="rId65" Type="http://schemas.openxmlformats.org/officeDocument/2006/relationships/hyperlink" Target="consultantplus://offline/ref=9A299C9BF162D4BB275A14EA5A55B063631D1BBDEFB254F1FF42C3DCB5F5C935D804F7A47ED41FEFX9n6O" TargetMode="External"/><Relationship Id="rId73" Type="http://schemas.openxmlformats.org/officeDocument/2006/relationships/hyperlink" Target="consultantplus://offline/ref=413E216358B6B8E6F5697F85670DAA84E5DC31D237C75E0DD44135030239DD51FD3C064D18A8694F97C97A2B6D239ACAEFE9CCDFA096DCD5EASBB" TargetMode="External"/><Relationship Id="rId78" Type="http://schemas.openxmlformats.org/officeDocument/2006/relationships/hyperlink" Target="consultantplus://offline/ref=4B963BCA6BB8733B6493EA0CFC20EEC579025CBE37EF24EEC103DF9100T3O3O" TargetMode="External"/><Relationship Id="rId81" Type="http://schemas.openxmlformats.org/officeDocument/2006/relationships/hyperlink" Target="consultantplus://offline/ref=8F02E67915DF2CB90ECBDB05DBEBFB0315ACE88FBBA257586A31DA2800A0ECE16A860B462F5CD4D5YDl4O" TargetMode="External"/><Relationship Id="rId86" Type="http://schemas.openxmlformats.org/officeDocument/2006/relationships/hyperlink" Target="consultantplus://offline/ref=ADE3885E636CF45D5655DDCF78361C6930EB2199E1DC675EE10D2F0C14690DCE8E613F2F5799E66814m7E" TargetMode="External"/><Relationship Id="rId94" Type="http://schemas.openxmlformats.org/officeDocument/2006/relationships/hyperlink" Target="consultantplus://offline/ref=8DAA0A6D0B0CD65E811EB8D35D7DEF95C1D0BC31DD9F6239C136CC501C9E6DA2E044486B4D988B87I266G" TargetMode="External"/><Relationship Id="rId99" Type="http://schemas.openxmlformats.org/officeDocument/2006/relationships/hyperlink" Target="consultantplus://offline/ref=EDA03B2F1BA08CE31A11EAB130ED3646B25EDD2644602163C3097A440EDD5AAB20AAA68E44121849YAR1I" TargetMode="External"/><Relationship Id="rId101" Type="http://schemas.openxmlformats.org/officeDocument/2006/relationships/hyperlink" Target="consultantplus://offline/ref=899F40F3FE1B79AEF22D8451F86ECFA8A5955F293AFAA2C50A58416DB3F59878821D330CBE02ECW5fFC" TargetMode="External"/><Relationship Id="rId4" Type="http://schemas.openxmlformats.org/officeDocument/2006/relationships/settings" Target="settings.xml"/><Relationship Id="rId9" Type="http://schemas.openxmlformats.org/officeDocument/2006/relationships/hyperlink" Target="consultantplus://offline/ref=3C034E2FF6D224E42AA0D6E740A08ABC88AAD4A5D813E39A3D8B2B7825E9D4E7D0AE45BA065331A0430D8B8AFA46wBC" TargetMode="External"/><Relationship Id="rId13" Type="http://schemas.openxmlformats.org/officeDocument/2006/relationships/hyperlink" Target="consultantplus://offline/ref=3C034E2FF6D224E42AA0D6E740A08ABC88ABD9A2D911E39A3D8B2B7825E9D4E7C2AE1DB6045B2FA44E18DDDBBF375E37502AF70CF08C4E6F4Fw9C" TargetMode="External"/><Relationship Id="rId18" Type="http://schemas.openxmlformats.org/officeDocument/2006/relationships/hyperlink" Target="consultantplus://offline/ref=4AB54830071E00C457832A19333C03E29C9E7D06B83B3073D0F93990642F37F322113421E78EC6F4A9GAD" TargetMode="External"/><Relationship Id="rId39" Type="http://schemas.openxmlformats.org/officeDocument/2006/relationships/hyperlink" Target="consultantplus://offline/ref=1ACD7EA8CED0A0B65C31017CF282BF984432E5B6CE32F43A4DE38606C992C19A0418782789266451F1B809AE05C89401BC89414F2D333C4BU6V7X" TargetMode="External"/><Relationship Id="rId109" Type="http://schemas.openxmlformats.org/officeDocument/2006/relationships/hyperlink" Target="consultantplus://offline/ref=F06F024D350B3D22605E5CC8600A7B65A5A9ABD95D7A4A4E9600AF535D8D88FE82CF462F164604B1D992093B71322EE0BAF6D2DD67cAp2J" TargetMode="External"/><Relationship Id="rId34" Type="http://schemas.openxmlformats.org/officeDocument/2006/relationships/hyperlink" Target="consultantplus://offline/ref=1ACD7EA8CED0A0B65C31017CF282BF984434E9B6CC3EF43A4DE38606C992C19A0418782789266455F5B809AE05C89401BC89414F2D333C4BU6V7X" TargetMode="External"/><Relationship Id="rId50" Type="http://schemas.openxmlformats.org/officeDocument/2006/relationships/hyperlink" Target="consultantplus://offline/ref=74F9120A0DB90E5EF91B98448CB1119B98072164CECA857A6FA80D506FCEA9B9BAA19B643B1FD847D5EE838157D8F440D1E1C8F2C8622710Y6e4I" TargetMode="External"/><Relationship Id="rId55" Type="http://schemas.openxmlformats.org/officeDocument/2006/relationships/hyperlink" Target="consultantplus://offline/ref=9D8161AA42813FF2C5CEF20345109A18045E915A4D486592BF0D91A3DD55F1698951AD87C989255BD5FBE096C6009F654393C4422B6702763792395C742FD4998ED44C4BBB23d1R3M" TargetMode="External"/><Relationship Id="rId76" Type="http://schemas.openxmlformats.org/officeDocument/2006/relationships/hyperlink" Target="consultantplus://offline/ref=523B5E62EB75B5928BCCA50A7D1EA050A4AA86C565361A0B08825E42Y0gAI" TargetMode="External"/><Relationship Id="rId97" Type="http://schemas.openxmlformats.org/officeDocument/2006/relationships/hyperlink" Target="consultantplus://offline/ref=B57E2971D8BCCB4055ADA14433351185D3146E405E033A8FDF80A88DF3D7DFEB603B2FAE20680614RBHEH" TargetMode="External"/><Relationship Id="rId104" Type="http://schemas.openxmlformats.org/officeDocument/2006/relationships/hyperlink" Target="https://login.consultant.ru/link/?req=doc&amp;base=LAW&amp;n=497176&amp;dst=3878" TargetMode="External"/><Relationship Id="rId7" Type="http://schemas.openxmlformats.org/officeDocument/2006/relationships/endnotes" Target="endnotes.xml"/><Relationship Id="rId71" Type="http://schemas.openxmlformats.org/officeDocument/2006/relationships/hyperlink" Target="consultantplus://offline/ref=736C8D51982A1A91E3BC7E28C88FF180F0C05D5AE1F41136763A2CB0FBD6597CE0EB40195EBDF4C29EFA5560065227F54683EA459D16A13BTCR9B" TargetMode="External"/><Relationship Id="rId92" Type="http://schemas.openxmlformats.org/officeDocument/2006/relationships/hyperlink" Target="consultantplus://offline/ref=CFC21D5737297861E384A40BFD647D40A96B163EA35A6A5F3A692EDDB37B747594BDD826A65E93FDE909O" TargetMode="External"/><Relationship Id="rId2" Type="http://schemas.openxmlformats.org/officeDocument/2006/relationships/numbering" Target="numbering.xml"/><Relationship Id="rId29" Type="http://schemas.openxmlformats.org/officeDocument/2006/relationships/hyperlink" Target="consultantplus://offline/ref=4AB54830071E00C457832A19333C03E29C9E7D06B83B3073D0F93990642F37F322113421E78EC6F4A9GA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D81CB6-042C-475C-8E7D-13CB78D9E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41</Pages>
  <Words>23402</Words>
  <Characters>133396</Characters>
  <Application>Microsoft Office Word</Application>
  <DocSecurity>0</DocSecurity>
  <Lines>1111</Lines>
  <Paragraphs>312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Купцова И.О.</dc:creator>
  <cp:lastModifiedBy>Купцова И.О.</cp:lastModifiedBy>
  <cp:revision>10</cp:revision>
  <cp:lastPrinted>2025-10-14T10:04:00Z</cp:lastPrinted>
  <dcterms:created xsi:type="dcterms:W3CDTF">2025-11-13T02:36:00Z</dcterms:created>
  <dcterms:modified xsi:type="dcterms:W3CDTF">2025-11-13T07:42:00Z</dcterms:modified>
</cp:coreProperties>
</file>