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line="360" w:lineRule="auto"/>
        <w:ind w:left="6379"/>
      </w:pPr>
      <w:r>
        <w:t>УТВЕРЖДЕН</w:t>
      </w:r>
    </w:p>
    <w:p>
      <w:pPr>
        <w:ind w:left="6379"/>
      </w:pPr>
      <w:r>
        <w:t xml:space="preserve">приказом начальника Финансового управления </w:t>
      </w:r>
    </w:p>
    <w:p>
      <w:pPr>
        <w:ind w:left="6379"/>
      </w:pPr>
      <w:r>
        <w:t>Администрации ЗАТО Северск</w:t>
      </w:r>
      <w:r>
        <w:br/>
        <w:t>от 19.06.2025 № 71</w:t>
      </w:r>
    </w:p>
    <w:p>
      <w:pPr>
        <w:ind w:left="6379"/>
        <w:rPr>
          <w:i/>
        </w:rPr>
      </w:pPr>
      <w:r>
        <w:t>(</w:t>
      </w:r>
      <w:r>
        <w:rPr>
          <w:i/>
        </w:rPr>
        <w:t>В редакции приказа от 29.12.2025 № 146)</w:t>
      </w:r>
    </w:p>
    <w:p>
      <w:pPr>
        <w:ind w:left="6096"/>
      </w:pPr>
    </w:p>
    <w:p>
      <w:pPr>
        <w:ind w:left="6096"/>
      </w:pPr>
    </w:p>
    <w:p>
      <w:pPr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ПОРЯДОК</w:t>
      </w:r>
    </w:p>
    <w:p>
      <w:pPr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хранения, использования и передачи персональных данных</w:t>
      </w:r>
    </w:p>
    <w:p>
      <w:pPr>
        <w:jc w:val="center"/>
      </w:pPr>
      <w:proofErr w:type="gramStart"/>
      <w:r>
        <w:rPr>
          <w:rFonts w:eastAsia="Calibri"/>
          <w:lang w:eastAsia="en-US"/>
        </w:rPr>
        <w:t>работников</w:t>
      </w:r>
      <w:proofErr w:type="gramEnd"/>
      <w:r>
        <w:rPr>
          <w:rFonts w:eastAsia="Calibri"/>
          <w:lang w:eastAsia="en-US"/>
        </w:rPr>
        <w:t xml:space="preserve"> Финансового управления Администрации ЗАТО Северск</w:t>
      </w:r>
    </w:p>
    <w:p>
      <w:pPr>
        <w:keepNext/>
        <w:rPr>
          <w:bCs/>
          <w:caps/>
        </w:rPr>
      </w:pPr>
    </w:p>
    <w:p>
      <w:pPr>
        <w:keepNext/>
        <w:jc w:val="center"/>
        <w:rPr>
          <w:bCs/>
          <w:caps/>
        </w:rPr>
      </w:pPr>
      <w:r>
        <w:rPr>
          <w:bCs/>
          <w:caps/>
          <w:lang w:val="en-US"/>
        </w:rPr>
        <w:t>i</w:t>
      </w:r>
      <w:r>
        <w:rPr>
          <w:bCs/>
          <w:caps/>
        </w:rPr>
        <w:t>. Общие положения</w:t>
      </w:r>
    </w:p>
    <w:p>
      <w:pPr>
        <w:tabs>
          <w:tab w:val="left" w:pos="993"/>
        </w:tabs>
        <w:ind w:firstLine="709"/>
        <w:jc w:val="both"/>
      </w:pPr>
    </w:p>
    <w:p>
      <w:pPr>
        <w:pStyle w:val="a8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Порядок хранения, использования и передачи персональных данных работников Финансового управления Администрации ЗАТО Северск (далее соответственно -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, Финансовое управление, Порядок) разработан в соответствии со </w:t>
      </w:r>
      <w:r>
        <w:rPr>
          <w:rFonts w:cs="Times New Roman CYR"/>
        </w:rPr>
        <w:t>статьями 87, 88 Трудового кодекса Российской Федерации</w:t>
      </w:r>
      <w:r>
        <w:rPr>
          <w:rFonts w:eastAsia="Calibri"/>
        </w:rPr>
        <w:t>, Федеральным законом от 27.07.2006 № 152-ФЗ «О персональных данных».</w:t>
      </w:r>
    </w:p>
    <w:p>
      <w:pPr>
        <w:pStyle w:val="a8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>Порядок разработан в целях:</w:t>
      </w:r>
    </w:p>
    <w:p>
      <w:pPr>
        <w:pStyle w:val="a8"/>
        <w:numPr>
          <w:ilvl w:val="0"/>
          <w:numId w:val="6"/>
        </w:numPr>
        <w:tabs>
          <w:tab w:val="left" w:pos="851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определения порядка обработки (хранения, использования, передачи)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работников Финансового управления; </w:t>
      </w:r>
    </w:p>
    <w:p>
      <w:pPr>
        <w:pStyle w:val="a8"/>
        <w:numPr>
          <w:ilvl w:val="0"/>
          <w:numId w:val="6"/>
        </w:numPr>
        <w:tabs>
          <w:tab w:val="left" w:pos="851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обеспечения защиты прав и свобод работников Финансового управления при обработке их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>.</w:t>
      </w:r>
    </w:p>
    <w:p>
      <w:pPr>
        <w:tabs>
          <w:tab w:val="left" w:pos="993"/>
        </w:tabs>
        <w:jc w:val="both"/>
        <w:rPr>
          <w:rFonts w:eastAsia="Calibri"/>
        </w:rPr>
      </w:pPr>
    </w:p>
    <w:p>
      <w:pPr>
        <w:tabs>
          <w:tab w:val="left" w:pos="993"/>
        </w:tabs>
        <w:jc w:val="center"/>
      </w:pPr>
      <w:r>
        <w:rPr>
          <w:lang w:val="en-US"/>
        </w:rPr>
        <w:t>II</w:t>
      </w:r>
      <w:r>
        <w:t xml:space="preserve">. ПРАВА РАБОТНИКОВ В ЦЕЛЯХ ОБЕСПЕЧЕНИЯ ЗАЩИТЫ </w:t>
      </w:r>
    </w:p>
    <w:p>
      <w:pPr>
        <w:tabs>
          <w:tab w:val="left" w:pos="993"/>
        </w:tabs>
        <w:jc w:val="center"/>
      </w:pPr>
      <w:r>
        <w:t>ПЕРСОНАЛЬНЫХ ДАННЫХ, ХРАНЯЩИХСЯ У РАБОТОДАТЕЛЯ</w:t>
      </w:r>
    </w:p>
    <w:p>
      <w:pPr>
        <w:pStyle w:val="a8"/>
        <w:tabs>
          <w:tab w:val="left" w:pos="993"/>
        </w:tabs>
        <w:ind w:left="709"/>
        <w:jc w:val="both"/>
        <w:rPr>
          <w:rFonts w:eastAsia="Calibri"/>
        </w:rPr>
      </w:pPr>
    </w:p>
    <w:p>
      <w:pPr>
        <w:pStyle w:val="a8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В целях обеспечения защиты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>, хранящихся в Финансовом управлении, работники имеют право на:</w:t>
      </w:r>
    </w:p>
    <w:p>
      <w:pPr>
        <w:pStyle w:val="a8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полную информацию об их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и обработке этих данных;</w:t>
      </w:r>
    </w:p>
    <w:p>
      <w:pPr>
        <w:pStyle w:val="a8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свободный бесплатный доступ к своим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, включая право на получение копий любой записи, содержащей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работника, за исключением случаев, предусмотренных Федеральным законом;</w:t>
      </w:r>
    </w:p>
    <w:p>
      <w:pPr>
        <w:pStyle w:val="a8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определение своих представителей для защиты своих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>;</w:t>
      </w:r>
    </w:p>
    <w:p>
      <w:pPr>
        <w:pStyle w:val="a8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>доступ к медицинской документации, отражающей состояние их здоровья, с помощью медицинского работника по их выбору;</w:t>
      </w:r>
    </w:p>
    <w:p>
      <w:pPr>
        <w:pStyle w:val="a8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требование об исключении или исправлении неверных или неполных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, а также данных, обработанных с нарушением требований Трудового кодекса Российской Федерации или иного Федерального закона. При отказе работодателя исключить или исправить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работника он имеет право заявить в письменной форме работодателю о своем несогласии с соответствующим обоснованием такого несогласия.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оценочного характера работника имеет право дополнить заявлением, выражающим его собственную точку зрения;</w:t>
      </w:r>
    </w:p>
    <w:p>
      <w:pPr>
        <w:pStyle w:val="a8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требование об извещении работодателем всех лиц, которым ранее были сообщены неверные или неполные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работника, обо всех произведенных в них исключениях, исправлениях или дополнениях;</w:t>
      </w:r>
    </w:p>
    <w:p>
      <w:pPr>
        <w:pStyle w:val="a8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обжалование в суд любых неправомерных действий или бездействия работодателя при обработке и защите его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>.</w:t>
      </w:r>
    </w:p>
    <w:p>
      <w:pPr>
        <w:pStyle w:val="a8"/>
        <w:tabs>
          <w:tab w:val="left" w:pos="993"/>
        </w:tabs>
        <w:ind w:left="709"/>
        <w:jc w:val="both"/>
      </w:pPr>
    </w:p>
    <w:p>
      <w:pPr>
        <w:pStyle w:val="a8"/>
        <w:tabs>
          <w:tab w:val="left" w:pos="993"/>
        </w:tabs>
        <w:ind w:left="0"/>
        <w:jc w:val="center"/>
      </w:pPr>
      <w:r>
        <w:rPr>
          <w:lang w:val="en-US"/>
        </w:rPr>
        <w:t>III</w:t>
      </w:r>
      <w:r>
        <w:t>. ХРАНЕНИЕ И ИСПОЛЬЗОВАНИЕ ПЕРСОНАЛЬНЫХ ДАННЫХ РАБОТНИКОВ</w:t>
      </w:r>
    </w:p>
    <w:p>
      <w:pPr>
        <w:pStyle w:val="a8"/>
        <w:tabs>
          <w:tab w:val="left" w:pos="993"/>
        </w:tabs>
        <w:ind w:left="709"/>
        <w:jc w:val="both"/>
      </w:pPr>
    </w:p>
    <w:p>
      <w:pPr>
        <w:pStyle w:val="a8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lastRenderedPageBreak/>
        <w:t xml:space="preserve">Хранение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должно осуществляться в форме, позволяющей определить работника Финансового управления, не дольше, чем этого требуют цели обработки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, если срок хранения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не установлен Федеральным законом, договором, стороной которого является работник. Обрабатываемые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подлежат уничтожению по достижении целей обработки или в случае утраты необходимости в достижении этих целей, если иное не предусмотрено Федеральным законом. Хранение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работников Финансового управления может осуществляться на бумажных и машинных носителях, доступ к которым ограничен списком лиц, допущенных к обработке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>.</w:t>
      </w:r>
    </w:p>
    <w:p>
      <w:pPr>
        <w:pStyle w:val="a8"/>
        <w:ind w:left="0" w:firstLine="709"/>
        <w:jc w:val="both"/>
      </w:pPr>
      <w:r>
        <w:t xml:space="preserve">5. Машинные носители </w:t>
      </w:r>
      <w:proofErr w:type="spellStart"/>
      <w:r>
        <w:t>ПДн</w:t>
      </w:r>
      <w:proofErr w:type="spellEnd"/>
      <w:r>
        <w:t xml:space="preserve"> подлежат учету по прилагаемой форме 1 Журнал учета машинных носителей персональных данных.</w:t>
      </w:r>
    </w:p>
    <w:p>
      <w:pPr>
        <w:jc w:val="both"/>
        <w:rPr>
          <w:i/>
        </w:rPr>
      </w:pPr>
      <w:r>
        <w:rPr>
          <w:i/>
        </w:rPr>
        <w:t>(</w:t>
      </w:r>
      <w:proofErr w:type="gramStart"/>
      <w:r>
        <w:rPr>
          <w:i/>
        </w:rPr>
        <w:t>пункт</w:t>
      </w:r>
      <w:proofErr w:type="gramEnd"/>
      <w:r>
        <w:rPr>
          <w:i/>
        </w:rPr>
        <w:t xml:space="preserve"> 5 в ред. приказа от 29.12.2025 № 146)</w:t>
      </w:r>
    </w:p>
    <w:p>
      <w:pPr>
        <w:pStyle w:val="a8"/>
        <w:ind w:left="0" w:firstLine="709"/>
        <w:jc w:val="both"/>
      </w:pPr>
      <w:r>
        <w:t>6. </w:t>
      </w:r>
      <w:proofErr w:type="spellStart"/>
      <w:r>
        <w:t>ПДн</w:t>
      </w:r>
      <w:proofErr w:type="spellEnd"/>
      <w:r>
        <w:t xml:space="preserve"> работников, содержащиеся на машинных носителях </w:t>
      </w:r>
      <w:proofErr w:type="spellStart"/>
      <w:r>
        <w:t>ПДн</w:t>
      </w:r>
      <w:proofErr w:type="spellEnd"/>
      <w:r>
        <w:t xml:space="preserve">, должны храниться на автоматизированных рабочих местах в помещениях, занимаемых Финансовым управлением, и на серверах информационных систем </w:t>
      </w:r>
      <w:proofErr w:type="spellStart"/>
      <w:r>
        <w:t>ПДн</w:t>
      </w:r>
      <w:proofErr w:type="spellEnd"/>
      <w:r>
        <w:t xml:space="preserve"> Финансового управления, установленных в помещениях, определенных распоряжением Администрации ЗАТО Северск от 21.04.2025 № 331-ра «Об обеспечении безопасности помещений, в которых размещены информационные системы персональных данных, и сохранности носителей персональных данных в Администрации ЗАТО Северск». </w:t>
      </w:r>
    </w:p>
    <w:p>
      <w:pPr>
        <w:jc w:val="both"/>
        <w:rPr>
          <w:i/>
        </w:rPr>
      </w:pPr>
      <w:r>
        <w:rPr>
          <w:i/>
        </w:rPr>
        <w:t>(</w:t>
      </w:r>
      <w:proofErr w:type="gramStart"/>
      <w:r>
        <w:rPr>
          <w:i/>
        </w:rPr>
        <w:t>пункт</w:t>
      </w:r>
      <w:proofErr w:type="gramEnd"/>
      <w:r>
        <w:rPr>
          <w:i/>
        </w:rPr>
        <w:t xml:space="preserve"> 6 в ред. приказа от 29.12.2025 № 146)</w:t>
      </w:r>
    </w:p>
    <w:p>
      <w:pPr>
        <w:pStyle w:val="a8"/>
        <w:ind w:left="0" w:firstLine="709"/>
        <w:jc w:val="both"/>
      </w:pPr>
      <w:r>
        <w:t xml:space="preserve">7. Бумажные носители </w:t>
      </w:r>
      <w:proofErr w:type="spellStart"/>
      <w:r>
        <w:t>ПДн</w:t>
      </w:r>
      <w:proofErr w:type="spellEnd"/>
      <w:r>
        <w:t xml:space="preserve"> в виде документов и копий документов, хранятся в помещениях Финансового управления в соответствии с Перечнем мест хранения материальных носителей персональных данных по прилагаемой форме 2 с момента начала обработки и до передачи в архив.</w:t>
      </w:r>
    </w:p>
    <w:p>
      <w:pPr>
        <w:pStyle w:val="a8"/>
        <w:autoSpaceDE w:val="0"/>
        <w:autoSpaceDN w:val="0"/>
        <w:adjustRightInd w:val="0"/>
        <w:ind w:left="0" w:firstLine="709"/>
        <w:jc w:val="both"/>
      </w:pPr>
      <w:r>
        <w:t xml:space="preserve">Сроки хранения документов на бумажных носителях, содержащих персональные, определяются в соответствии с </w:t>
      </w:r>
      <w:hyperlink r:id="rId7" w:history="1">
        <w:r>
          <w:t>Перечнем</w:t>
        </w:r>
      </w:hyperlink>
      <w:r>
        <w:t xml:space="preserve">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хранения, утвержденным приказом Федерального архивного агентства от 20.12.2019 № 236.</w:t>
      </w:r>
    </w:p>
    <w:p>
      <w:pPr>
        <w:pStyle w:val="a8"/>
        <w:autoSpaceDE w:val="0"/>
        <w:autoSpaceDN w:val="0"/>
        <w:adjustRightInd w:val="0"/>
        <w:ind w:left="0" w:firstLine="709"/>
        <w:jc w:val="both"/>
      </w:pPr>
      <w:r>
        <w:t>Работники, осуществляющие обработку персональных данных, ведут систематический контроль и выделение документов, содержащих персональные данные, с истекшими сроками хранения, которые подлежат уничтожению. Уничтожение документов, содержащих персональные данные, проводится с использованием уничтожителей документов (шредеров).</w:t>
      </w:r>
    </w:p>
    <w:p>
      <w:pPr>
        <w:jc w:val="both"/>
        <w:rPr>
          <w:i/>
        </w:rPr>
      </w:pPr>
      <w:r>
        <w:rPr>
          <w:i/>
        </w:rPr>
        <w:t>(</w:t>
      </w:r>
      <w:proofErr w:type="gramStart"/>
      <w:r>
        <w:rPr>
          <w:i/>
        </w:rPr>
        <w:t>пункт</w:t>
      </w:r>
      <w:proofErr w:type="gramEnd"/>
      <w:r>
        <w:rPr>
          <w:i/>
        </w:rPr>
        <w:t xml:space="preserve"> 7 в ред. приказа от 29.12.2025 № 146)</w:t>
      </w:r>
    </w:p>
    <w:p>
      <w:pPr>
        <w:pStyle w:val="a8"/>
        <w:tabs>
          <w:tab w:val="left" w:pos="0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8. Хранение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работников должно происходить в порядке, исключающем их утрату или их неправомерное использование.</w:t>
      </w:r>
    </w:p>
    <w:p>
      <w:pPr>
        <w:pStyle w:val="a8"/>
        <w:tabs>
          <w:tab w:val="left" w:pos="0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9. Использование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работников Финансового управления осуществляется исключительно в целях выполнения требований трудового законодательства Российской Федерации.</w:t>
      </w:r>
    </w:p>
    <w:p>
      <w:pPr>
        <w:tabs>
          <w:tab w:val="left" w:pos="0"/>
        </w:tabs>
        <w:ind w:firstLine="709"/>
        <w:jc w:val="both"/>
        <w:rPr>
          <w:rFonts w:eastAsia="Calibri"/>
        </w:rPr>
      </w:pPr>
      <w:r>
        <w:rPr>
          <w:rFonts w:eastAsia="Calibri"/>
        </w:rPr>
        <w:t xml:space="preserve">10. Обработка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работников Финансового управления осуществляется только специально уполномоченными лицами, перечень которых утверждается приказом начальника Финансового управления, при этом указанные в приказе сотрудники должны иметь право получать только те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субъекта, которые необходимы для выполнения непосредственных должностных обязанностей.</w:t>
      </w:r>
    </w:p>
    <w:p>
      <w:pPr>
        <w:pStyle w:val="a8"/>
        <w:tabs>
          <w:tab w:val="left" w:pos="0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11. Лица, осуществляющие обработку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без использования средств автоматизации (в том числе сотрудники Финансового управления или лица, осуществляющие такую обработку по договору), должны быть проинформированы о факте обработки ими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, обработка которых осуществляется Финансовым управлением без использования средств автоматизации, категориях обрабатываемых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>, а также об особенностях и правилах осуществления такой обработки, установленных нормативными правовыми актами федеральных органов исполнительной власти, органов исполнительной власти субъектов Российской Федерации, а также локальными правовыми актами организации.</w:t>
      </w:r>
    </w:p>
    <w:p>
      <w:pPr>
        <w:pStyle w:val="a8"/>
        <w:tabs>
          <w:tab w:val="left" w:pos="0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12. Передача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работников между структурными подразделениями Финансового управления осуществляется только между работниками, включенными в перечень лиц, имеющих доступ к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>.</w:t>
      </w:r>
    </w:p>
    <w:p>
      <w:pPr>
        <w:pStyle w:val="a8"/>
        <w:tabs>
          <w:tab w:val="left" w:pos="0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lastRenderedPageBreak/>
        <w:t xml:space="preserve">13. Обработка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работников должна осуществляться только в пределах помещений Финансового управления и с использованием средств вычислительной техники Финансового управления.</w:t>
      </w:r>
    </w:p>
    <w:p>
      <w:pPr>
        <w:pStyle w:val="a8"/>
        <w:tabs>
          <w:tab w:val="left" w:pos="0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14. Финансовое управление вправе поручить обработку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работников другим юридическим или физическим лицам на основании договора (далее - поручение) с согласия работника, если иное не предусмотрено Федеральным законом «О персональных данных». Лицо, осуществляющее обработку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по поручению Финансового управления, обязано соблюдать принципы и правила обработки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>, предусмотренные Федеральным законом «О персональных данных».</w:t>
      </w:r>
    </w:p>
    <w:p>
      <w:pPr>
        <w:pStyle w:val="a8"/>
        <w:tabs>
          <w:tab w:val="left" w:pos="0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15. Сотрудники Финансового управления и иные лица, получающие доступ к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, обязаны не раскрывать третьим лицам и не распространять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без согласия работников, если иное не предусмотрено Федеральным законодательством в сфере защиты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>.</w:t>
      </w:r>
    </w:p>
    <w:p>
      <w:pPr>
        <w:pStyle w:val="a8"/>
        <w:tabs>
          <w:tab w:val="left" w:pos="0"/>
        </w:tabs>
        <w:ind w:left="0" w:firstLine="709"/>
        <w:jc w:val="both"/>
        <w:rPr>
          <w:rFonts w:eastAsia="Calibri"/>
        </w:rPr>
      </w:pPr>
    </w:p>
    <w:p>
      <w:pPr>
        <w:pStyle w:val="a8"/>
        <w:tabs>
          <w:tab w:val="left" w:pos="993"/>
        </w:tabs>
        <w:ind w:left="0"/>
        <w:jc w:val="center"/>
      </w:pPr>
      <w:r>
        <w:rPr>
          <w:lang w:val="en-US"/>
        </w:rPr>
        <w:t>IV</w:t>
      </w:r>
      <w:r>
        <w:t>. ПЕРЕДАЧА ПЕРСОНАЛЬНЫХ ДАННЫХ</w:t>
      </w:r>
    </w:p>
    <w:p>
      <w:pPr>
        <w:pStyle w:val="a8"/>
        <w:tabs>
          <w:tab w:val="left" w:pos="993"/>
        </w:tabs>
        <w:ind w:left="709"/>
        <w:jc w:val="both"/>
      </w:pPr>
    </w:p>
    <w:p>
      <w:pPr>
        <w:pStyle w:val="a8"/>
        <w:tabs>
          <w:tab w:val="left" w:pos="1134"/>
        </w:tabs>
        <w:ind w:left="709"/>
        <w:jc w:val="both"/>
        <w:rPr>
          <w:rFonts w:eastAsia="Calibri"/>
        </w:rPr>
      </w:pPr>
      <w:bookmarkStart w:id="0" w:name="sub_8801"/>
      <w:r>
        <w:rPr>
          <w:rFonts w:eastAsia="Calibri"/>
        </w:rPr>
        <w:t xml:space="preserve">16. При передаче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работника должны быть соблюдены следующие требования:</w:t>
      </w:r>
    </w:p>
    <w:bookmarkEnd w:id="0"/>
    <w:p>
      <w:pPr>
        <w:pStyle w:val="a8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eastAsia="Calibri"/>
        </w:rPr>
      </w:pPr>
      <w:proofErr w:type="gramStart"/>
      <w:r>
        <w:rPr>
          <w:rFonts w:eastAsia="Calibri"/>
        </w:rPr>
        <w:t>не</w:t>
      </w:r>
      <w:proofErr w:type="gramEnd"/>
      <w:r>
        <w:rPr>
          <w:rFonts w:eastAsia="Calibri"/>
        </w:rPr>
        <w:t xml:space="preserve"> сообщать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работника третьей стороне без письменного согласия работника, за исключением случаев, когда это необходимо в целях предупреждения угрозы жизни и здоровью работника, а также в случаях, предусмотренных Трудовым кодексом Российской Федерации или иными Федеральными законами;</w:t>
      </w:r>
    </w:p>
    <w:p>
      <w:pPr>
        <w:pStyle w:val="a8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eastAsia="Calibri"/>
        </w:rPr>
      </w:pPr>
      <w:proofErr w:type="gramStart"/>
      <w:r>
        <w:rPr>
          <w:rFonts w:eastAsia="Calibri"/>
        </w:rPr>
        <w:t>предупреждать</w:t>
      </w:r>
      <w:proofErr w:type="gramEnd"/>
      <w:r>
        <w:rPr>
          <w:rFonts w:eastAsia="Calibri"/>
        </w:rPr>
        <w:t xml:space="preserve"> лица, получающие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работников, о том, что эти данные могут быть использованы лишь в целях, для которых они сообщены, и требовать от этих лиц обеспечения конфиденциальности полученных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>;</w:t>
      </w:r>
    </w:p>
    <w:p>
      <w:pPr>
        <w:pStyle w:val="a8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не сообщать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работника в коммерческих целях без его письменного согласия;</w:t>
      </w:r>
    </w:p>
    <w:p>
      <w:pPr>
        <w:pStyle w:val="a8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передавать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работника представителям работников в порядке, установленном Трудовым кодексом Российской Федерации, и ограничивать эту информацию только теми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работника, которые необходимы для выполнения указанными представителями их функций;</w:t>
      </w:r>
    </w:p>
    <w:p>
      <w:pPr>
        <w:pStyle w:val="a8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не отвечать на вопросы, связанные с передачей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работника по телефону или факсу, за исключением случаев, связанных с выполнением соответствующими работниками своих непосредственных должностных обязанностей, адресатам в чью компетенцию входит получение такой информации.</w:t>
      </w:r>
    </w:p>
    <w:p>
      <w:pPr>
        <w:pStyle w:val="a8"/>
        <w:tabs>
          <w:tab w:val="left" w:pos="0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17. В целях обеспечения контроля правомерности использования переданных по запросам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лицами, их получившими, сведения о лице, направившем запрос, дата передачи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или дата уведомления об отказе в их предоставлении, а также состав переданной информации фиксируются в Журнале учета передачи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>, форма которого утверждается приказом начальника Финансового управления.</w:t>
      </w:r>
    </w:p>
    <w:p>
      <w:pPr>
        <w:rPr>
          <w:rFonts w:eastAsia="Calibri"/>
        </w:rPr>
      </w:pPr>
    </w:p>
    <w:p>
      <w:pPr>
        <w:ind w:firstLine="720"/>
        <w:jc w:val="right"/>
        <w:rPr>
          <w:i/>
        </w:rPr>
      </w:pPr>
      <w:r>
        <w:rPr>
          <w:i/>
        </w:rPr>
        <w:t>Форма 1</w:t>
      </w:r>
    </w:p>
    <w:p>
      <w:pPr>
        <w:ind w:firstLine="720"/>
        <w:jc w:val="right"/>
        <w:rPr>
          <w:i/>
        </w:rPr>
      </w:pPr>
      <w:proofErr w:type="gramStart"/>
      <w:r>
        <w:rPr>
          <w:i/>
        </w:rPr>
        <w:t>введена</w:t>
      </w:r>
      <w:proofErr w:type="gramEnd"/>
      <w:r>
        <w:rPr>
          <w:i/>
        </w:rPr>
        <w:t xml:space="preserve"> приказом </w:t>
      </w:r>
    </w:p>
    <w:p>
      <w:pPr>
        <w:ind w:firstLine="720"/>
        <w:jc w:val="right"/>
        <w:rPr>
          <w:i/>
        </w:rPr>
      </w:pPr>
      <w:proofErr w:type="gramStart"/>
      <w:r>
        <w:rPr>
          <w:i/>
        </w:rPr>
        <w:t>от</w:t>
      </w:r>
      <w:proofErr w:type="gramEnd"/>
      <w:r>
        <w:rPr>
          <w:i/>
        </w:rPr>
        <w:t> 29.12.2025 № 146</w:t>
      </w:r>
    </w:p>
    <w:p>
      <w:pPr>
        <w:ind w:firstLine="720"/>
        <w:jc w:val="center"/>
      </w:pPr>
      <w:r>
        <w:t>Журнал</w:t>
      </w:r>
    </w:p>
    <w:p>
      <w:pPr>
        <w:ind w:firstLine="720"/>
        <w:jc w:val="center"/>
      </w:pPr>
      <w:proofErr w:type="gramStart"/>
      <w:r>
        <w:t>учета</w:t>
      </w:r>
      <w:proofErr w:type="gramEnd"/>
      <w:r>
        <w:t xml:space="preserve"> машинных носителей персональных данных</w:t>
      </w:r>
    </w:p>
    <w:tbl>
      <w:tblPr>
        <w:tblW w:w="935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1984"/>
        <w:gridCol w:w="851"/>
        <w:gridCol w:w="1134"/>
        <w:gridCol w:w="1134"/>
        <w:gridCol w:w="1418"/>
        <w:gridCol w:w="1134"/>
        <w:gridCol w:w="1276"/>
      </w:tblGrid>
      <w:tr>
        <w:trPr>
          <w:trHeight w:val="189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N п/п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Регистрационный номер машинного носителя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Вид машинного носителя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Характер информации на носителе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Дата регистрации электронного носителя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Ф.И.О. лица, регистрирующего носитель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Подпись </w:t>
            </w:r>
          </w:p>
          <w:p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лица</w:t>
            </w:r>
            <w:proofErr w:type="gramEnd"/>
            <w:r>
              <w:t xml:space="preserve">, регистрирующего носитель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Сведения </w:t>
            </w:r>
          </w:p>
          <w:p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об</w:t>
            </w:r>
            <w:proofErr w:type="gramEnd"/>
            <w:r>
              <w:t xml:space="preserve"> </w:t>
            </w:r>
            <w:proofErr w:type="spellStart"/>
            <w:r>
              <w:t>уничтоже-нии</w:t>
            </w:r>
            <w:proofErr w:type="spellEnd"/>
            <w:r>
              <w:t xml:space="preserve"> носителя </w:t>
            </w:r>
          </w:p>
          <w:p>
            <w:pPr>
              <w:autoSpaceDE w:val="0"/>
              <w:autoSpaceDN w:val="0"/>
              <w:adjustRightInd w:val="0"/>
              <w:ind w:right="-62"/>
            </w:pPr>
            <w:r>
              <w:t xml:space="preserve">(№ акта, дата) </w:t>
            </w:r>
          </w:p>
        </w:tc>
      </w:tr>
      <w:tr>
        <w:trPr>
          <w:trHeight w:val="17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1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2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4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5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7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8 </w:t>
            </w:r>
          </w:p>
        </w:tc>
      </w:tr>
      <w:tr>
        <w:trPr>
          <w:trHeight w:val="10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</w:tr>
    </w:tbl>
    <w:p>
      <w:pPr>
        <w:ind w:firstLine="720"/>
      </w:pPr>
    </w:p>
    <w:p>
      <w:pPr>
        <w:ind w:firstLine="720"/>
      </w:pPr>
    </w:p>
    <w:p>
      <w:pPr>
        <w:ind w:firstLine="720"/>
      </w:pPr>
    </w:p>
    <w:p>
      <w:pPr>
        <w:ind w:firstLine="720"/>
        <w:jc w:val="right"/>
        <w:rPr>
          <w:i/>
        </w:rPr>
      </w:pPr>
      <w:r>
        <w:rPr>
          <w:i/>
        </w:rPr>
        <w:t>Форма 2</w:t>
      </w:r>
    </w:p>
    <w:p>
      <w:pPr>
        <w:ind w:firstLine="720"/>
        <w:jc w:val="right"/>
        <w:rPr>
          <w:i/>
        </w:rPr>
      </w:pPr>
      <w:proofErr w:type="gramStart"/>
      <w:r>
        <w:rPr>
          <w:i/>
        </w:rPr>
        <w:t>введена</w:t>
      </w:r>
      <w:proofErr w:type="gramEnd"/>
      <w:r>
        <w:rPr>
          <w:i/>
        </w:rPr>
        <w:t xml:space="preserve"> приказом </w:t>
      </w:r>
    </w:p>
    <w:p>
      <w:pPr>
        <w:ind w:firstLine="720"/>
        <w:jc w:val="right"/>
        <w:rPr>
          <w:i/>
        </w:rPr>
      </w:pPr>
      <w:r>
        <w:rPr>
          <w:i/>
        </w:rPr>
        <w:t>от 29.12.2025 № 14</w:t>
      </w:r>
      <w:r>
        <w:rPr>
          <w:i/>
        </w:rPr>
        <w:t>6</w:t>
      </w:r>
      <w:bookmarkStart w:id="1" w:name="_GoBack"/>
      <w:bookmarkEnd w:id="1"/>
    </w:p>
    <w:p>
      <w:pPr>
        <w:ind w:firstLine="720"/>
        <w:jc w:val="right"/>
        <w:rPr>
          <w:i/>
        </w:rPr>
      </w:pPr>
    </w:p>
    <w:p>
      <w:pPr>
        <w:autoSpaceDE w:val="0"/>
        <w:autoSpaceDN w:val="0"/>
        <w:adjustRightInd w:val="0"/>
        <w:jc w:val="center"/>
      </w:pPr>
      <w:r>
        <w:t>Перечень</w:t>
      </w:r>
    </w:p>
    <w:p>
      <w:pPr>
        <w:autoSpaceDE w:val="0"/>
        <w:autoSpaceDN w:val="0"/>
        <w:adjustRightInd w:val="0"/>
        <w:jc w:val="center"/>
      </w:pPr>
      <w:proofErr w:type="gramStart"/>
      <w:r>
        <w:t>мест</w:t>
      </w:r>
      <w:proofErr w:type="gramEnd"/>
      <w:r>
        <w:t xml:space="preserve"> хранения материальных носителей персональных данных </w:t>
      </w: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757"/>
        <w:gridCol w:w="2154"/>
        <w:gridCol w:w="2438"/>
        <w:gridCol w:w="2435"/>
      </w:tblGrid>
      <w:tr>
        <w:trPr>
          <w:trHeight w:val="4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N п/п 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Подразделение 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Место нахождения (место хранения) 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>Наименование документа, содержащего персональные данные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Перечень лиц, имеющих доступ к материальному носителю </w:t>
            </w:r>
          </w:p>
        </w:tc>
      </w:tr>
      <w:tr>
        <w:trPr>
          <w:trHeight w:val="2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1 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2 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3 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4 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</w:pPr>
            <w:r>
              <w:t xml:space="preserve">5 </w:t>
            </w:r>
          </w:p>
        </w:tc>
      </w:tr>
      <w:tr>
        <w:trPr>
          <w:trHeight w:val="1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</w:pPr>
          </w:p>
        </w:tc>
      </w:tr>
    </w:tbl>
    <w:p>
      <w:pPr>
        <w:ind w:firstLine="720"/>
        <w:jc w:val="right"/>
      </w:pPr>
    </w:p>
    <w:p>
      <w:pPr>
        <w:rPr>
          <w:rFonts w:eastAsia="Calibri"/>
        </w:rPr>
      </w:pPr>
    </w:p>
    <w:p>
      <w:pPr>
        <w:tabs>
          <w:tab w:val="left" w:pos="1399"/>
        </w:tabs>
        <w:rPr>
          <w:rFonts w:eastAsia="Calibri"/>
        </w:rPr>
      </w:pPr>
    </w:p>
    <w:p>
      <w:pPr>
        <w:rPr>
          <w:rFonts w:eastAsia="Calibri"/>
        </w:rPr>
      </w:pPr>
    </w:p>
    <w:p>
      <w:pPr>
        <w:rPr>
          <w:rFonts w:eastAsia="Calibri"/>
        </w:rPr>
      </w:pPr>
    </w:p>
    <w:p>
      <w:pPr>
        <w:rPr>
          <w:rFonts w:eastAsia="Calibri"/>
        </w:rPr>
      </w:pPr>
    </w:p>
    <w:p>
      <w:pPr>
        <w:rPr>
          <w:rFonts w:eastAsia="Calibri"/>
        </w:rPr>
      </w:pPr>
    </w:p>
    <w:p>
      <w:pPr>
        <w:rPr>
          <w:rFonts w:eastAsia="Calibri"/>
        </w:rPr>
      </w:pPr>
    </w:p>
    <w:p>
      <w:pPr>
        <w:rPr>
          <w:rFonts w:eastAsia="Calibri"/>
        </w:rPr>
      </w:pPr>
    </w:p>
    <w:p>
      <w:pPr>
        <w:rPr>
          <w:rFonts w:eastAsia="Calibri"/>
        </w:rPr>
      </w:pPr>
    </w:p>
    <w:p>
      <w:pPr>
        <w:rPr>
          <w:rFonts w:eastAsia="Calibri"/>
        </w:rPr>
      </w:pPr>
    </w:p>
    <w:p>
      <w:pPr>
        <w:rPr>
          <w:rFonts w:eastAsia="Calibri"/>
        </w:rPr>
      </w:pPr>
    </w:p>
    <w:p>
      <w:pPr>
        <w:rPr>
          <w:rFonts w:eastAsia="Calibri"/>
        </w:rPr>
      </w:pPr>
    </w:p>
    <w:p>
      <w:pPr>
        <w:rPr>
          <w:rFonts w:eastAsia="Calibri"/>
        </w:rPr>
      </w:pPr>
    </w:p>
    <w:p>
      <w:pPr>
        <w:rPr>
          <w:rFonts w:eastAsia="Calibri"/>
        </w:rPr>
      </w:pPr>
    </w:p>
    <w:p>
      <w:pPr>
        <w:tabs>
          <w:tab w:val="left" w:pos="3007"/>
        </w:tabs>
        <w:rPr>
          <w:rFonts w:eastAsia="Calibri"/>
        </w:rPr>
      </w:pPr>
      <w:r>
        <w:rPr>
          <w:rFonts w:eastAsia="Calibri"/>
        </w:rPr>
        <w:tab/>
      </w:r>
    </w:p>
    <w:sectPr>
      <w:footerReference w:type="default" r:id="rId8"/>
      <w:pgSz w:w="11906" w:h="16838"/>
      <w:pgMar w:top="993" w:right="566" w:bottom="851" w:left="1701" w:header="708" w:footer="4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  <w:rPr>
        <w:sz w:val="20"/>
      </w:rPr>
    </w:pPr>
    <w:r>
      <w:rPr>
        <w:sz w:val="20"/>
      </w:rPr>
      <w:t>Внутренний номер: 0350724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C252E4"/>
    <w:multiLevelType w:val="hybridMultilevel"/>
    <w:tmpl w:val="8FCAA7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8A87775"/>
    <w:multiLevelType w:val="hybridMultilevel"/>
    <w:tmpl w:val="36CECD34"/>
    <w:lvl w:ilvl="0" w:tplc="BC246148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0484055"/>
    <w:multiLevelType w:val="multilevel"/>
    <w:tmpl w:val="6420A576"/>
    <w:styleLink w:val="a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2"/>
      <w:isLgl/>
      <w:suff w:val="space"/>
      <w:lvlText w:val="%1.%2."/>
      <w:lvlJc w:val="left"/>
      <w:pPr>
        <w:ind w:left="0" w:firstLine="709"/>
      </w:pPr>
      <w:rPr>
        <w:rFonts w:hint="default"/>
        <w:u w:val="none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isLgl/>
      <w:suff w:val="space"/>
      <w:lvlText w:val="%1.%2.%3.%4.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isLgl/>
      <w:suff w:val="space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isLgl/>
      <w:suff w:val="space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">
    <w:nsid w:val="425D374D"/>
    <w:multiLevelType w:val="hybridMultilevel"/>
    <w:tmpl w:val="6BDAE62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5202309"/>
    <w:multiLevelType w:val="hybridMultilevel"/>
    <w:tmpl w:val="B78856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56050B9"/>
    <w:multiLevelType w:val="hybridMultilevel"/>
    <w:tmpl w:val="FD1CBA3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66756390"/>
    <w:multiLevelType w:val="hybridMultilevel"/>
    <w:tmpl w:val="CAA8222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2"/>
    <w:lvlOverride w:ilvl="0">
      <w:lvl w:ilvl="0">
        <w:start w:val="1"/>
        <w:numFmt w:val="decimal"/>
        <w:pStyle w:val="1"/>
        <w:lvlText w:val="%1."/>
        <w:lvlJc w:val="left"/>
        <w:pPr>
          <w:ind w:left="1069" w:hanging="360"/>
        </w:pPr>
      </w:lvl>
    </w:lvlOverride>
    <w:lvlOverride w:ilvl="1">
      <w:lvl w:ilvl="1">
        <w:start w:val="1"/>
        <w:numFmt w:val="lowerLetter"/>
        <w:pStyle w:val="2"/>
        <w:lvlText w:val="%2."/>
        <w:lvlJc w:val="left"/>
        <w:pPr>
          <w:ind w:left="1789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2509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3229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949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4669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5389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6109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829" w:hanging="180"/>
        </w:pPr>
      </w:lvl>
    </w:lvlOverride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95E319DF-E866-48EA-82A2-E3A3F3166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Pr>
      <w:sz w:val="24"/>
      <w:szCs w:val="24"/>
    </w:rPr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Pr>
      <w:sz w:val="24"/>
      <w:szCs w:val="24"/>
    </w:rPr>
  </w:style>
  <w:style w:type="paragraph" w:customStyle="1" w:styleId="2">
    <w:name w:val="Большой список уровень 2"/>
    <w:basedOn w:val="a0"/>
    <w:qFormat/>
    <w:pPr>
      <w:numPr>
        <w:ilvl w:val="1"/>
        <w:numId w:val="1"/>
      </w:numPr>
      <w:spacing w:line="276" w:lineRule="auto"/>
      <w:jc w:val="both"/>
    </w:pPr>
    <w:rPr>
      <w:rFonts w:eastAsia="Calibri"/>
      <w:sz w:val="26"/>
      <w:szCs w:val="28"/>
      <w:lang w:eastAsia="en-US"/>
    </w:rPr>
  </w:style>
  <w:style w:type="numbering" w:customStyle="1" w:styleId="a">
    <w:name w:val="Большой список"/>
    <w:uiPriority w:val="99"/>
    <w:pPr>
      <w:numPr>
        <w:numId w:val="1"/>
      </w:numPr>
    </w:pPr>
  </w:style>
  <w:style w:type="paragraph" w:customStyle="1" w:styleId="1">
    <w:name w:val="Большой список уровень 1"/>
    <w:basedOn w:val="a0"/>
    <w:next w:val="a0"/>
    <w:qFormat/>
    <w:pPr>
      <w:keepNext/>
      <w:numPr>
        <w:numId w:val="1"/>
      </w:numPr>
      <w:spacing w:before="360" w:line="276" w:lineRule="auto"/>
      <w:jc w:val="center"/>
    </w:pPr>
    <w:rPr>
      <w:b/>
      <w:bCs/>
      <w:caps/>
      <w:sz w:val="26"/>
    </w:rPr>
  </w:style>
  <w:style w:type="paragraph" w:styleId="a8">
    <w:name w:val="List Paragraph"/>
    <w:basedOn w:val="a0"/>
    <w:uiPriority w:val="34"/>
    <w:qFormat/>
    <w:pPr>
      <w:ind w:left="720"/>
      <w:contextualSpacing/>
    </w:pPr>
  </w:style>
  <w:style w:type="paragraph" w:styleId="a9">
    <w:name w:val="Balloon Text"/>
    <w:basedOn w:val="a0"/>
    <w:link w:val="aa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57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345020&amp;dst=1000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1154</Words>
  <Characters>8123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9259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Чечнёва Н.А.</dc:creator>
  <cp:keywords/>
  <dc:description/>
  <cp:lastModifiedBy>Мостовая К.В.</cp:lastModifiedBy>
  <cp:revision>16</cp:revision>
  <cp:lastPrinted>2025-06-05T04:47:00Z</cp:lastPrinted>
  <dcterms:created xsi:type="dcterms:W3CDTF">2026-01-12T02:10:00Z</dcterms:created>
  <dcterms:modified xsi:type="dcterms:W3CDTF">2026-01-12T03:30:00Z</dcterms:modified>
</cp:coreProperties>
</file>