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</w:pPr>
      <w:r>
        <w:t>УТВЕРЖДЕНА</w:t>
      </w:r>
    </w:p>
    <w:p>
      <w:pPr>
        <w:ind w:left="6379"/>
      </w:pPr>
      <w:r>
        <w:t xml:space="preserve">приказом начальника </w:t>
      </w:r>
    </w:p>
    <w:p>
      <w:pPr>
        <w:ind w:left="6379"/>
      </w:pPr>
      <w:r>
        <w:t xml:space="preserve">Финансового управления </w:t>
      </w:r>
      <w:proofErr w:type="gramStart"/>
      <w:r>
        <w:t>Администрации</w:t>
      </w:r>
      <w:proofErr w:type="gramEnd"/>
      <w:r>
        <w:t xml:space="preserve"> ЗАТО Северск</w:t>
      </w:r>
      <w:r>
        <w:br/>
        <w:t xml:space="preserve">от </w:t>
      </w:r>
      <w:r>
        <w:t>19.06.2025</w:t>
      </w:r>
      <w:r>
        <w:t xml:space="preserve"> № 70</w:t>
      </w:r>
      <w:bookmarkStart w:id="0" w:name="_GoBack"/>
      <w:bookmarkEnd w:id="0"/>
    </w:p>
    <w:p>
      <w:pPr>
        <w:ind w:left="6096"/>
        <w:rPr>
          <w:sz w:val="20"/>
        </w:rPr>
      </w:pPr>
    </w:p>
    <w:p>
      <w:pPr>
        <w:ind w:left="6096"/>
        <w:rPr>
          <w:sz w:val="20"/>
        </w:rPr>
      </w:pPr>
    </w:p>
    <w:p>
      <w:pPr>
        <w:keepNext/>
        <w:jc w:val="center"/>
        <w:outlineLvl w:val="0"/>
        <w:rPr>
          <w:bCs/>
          <w:kern w:val="32"/>
        </w:rPr>
      </w:pPr>
      <w:r>
        <w:rPr>
          <w:bCs/>
          <w:kern w:val="32"/>
        </w:rPr>
        <w:t>ИНСТРУКЦИЯ</w:t>
      </w:r>
      <w:r>
        <w:rPr>
          <w:bCs/>
          <w:kern w:val="32"/>
        </w:rPr>
        <w:br/>
        <w:t xml:space="preserve">по организации парольной защиты </w:t>
      </w:r>
    </w:p>
    <w:p>
      <w:pPr>
        <w:keepNext/>
        <w:jc w:val="center"/>
        <w:outlineLvl w:val="0"/>
        <w:rPr>
          <w:bCs/>
          <w:kern w:val="32"/>
        </w:rPr>
      </w:pPr>
      <w:r>
        <w:rPr>
          <w:bCs/>
          <w:kern w:val="32"/>
        </w:rPr>
        <w:t xml:space="preserve">в Финансовом управлении </w:t>
      </w:r>
      <w:proofErr w:type="gramStart"/>
      <w:r>
        <w:rPr>
          <w:bCs/>
          <w:kern w:val="32"/>
        </w:rPr>
        <w:t>Администрации</w:t>
      </w:r>
      <w:proofErr w:type="gramEnd"/>
      <w:r>
        <w:rPr>
          <w:bCs/>
          <w:kern w:val="32"/>
        </w:rPr>
        <w:t xml:space="preserve"> ЗАТО Северск </w:t>
      </w:r>
    </w:p>
    <w:p>
      <w:pPr>
        <w:keepNext/>
        <w:jc w:val="center"/>
        <w:outlineLvl w:val="0"/>
        <w:rPr>
          <w:bCs/>
          <w:kern w:val="32"/>
        </w:rPr>
      </w:pP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I</w:t>
      </w:r>
      <w:r>
        <w:rPr>
          <w:caps/>
        </w:rPr>
        <w:t>. Общие положения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bookmarkStart w:id="1" w:name="h.30j0zll" w:colFirst="0" w:colLast="0"/>
      <w:bookmarkEnd w:id="1"/>
      <w:r>
        <w:t xml:space="preserve">Инструкция по организации парольной защиты в Финансовом управлении </w:t>
      </w:r>
      <w:proofErr w:type="gramStart"/>
      <w:r>
        <w:t>Администрации</w:t>
      </w:r>
      <w:proofErr w:type="gramEnd"/>
      <w:r>
        <w:t xml:space="preserve"> ЗАТО Северск (далее соответственно - Финансовое управление, Инструкция) регламентирует организационно-техническое обеспечение процессов генерации, смены и прекращения действия паролей (удаления учетных записей пользователей) в информационной системе персональных данных (далее – </w:t>
      </w:r>
      <w:proofErr w:type="spellStart"/>
      <w:r>
        <w:t>ИСПДн</w:t>
      </w:r>
      <w:proofErr w:type="spellEnd"/>
      <w:r>
        <w:t>) Финансового управления, а также контроль за действиями пользователей и обслуживающего персонала системы при работе с паролями.</w:t>
      </w: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 xml:space="preserve">Организационное и техническое обеспечение процессов генерации, использования, смены и прекращения действия паролей во всех системах, подсистемах </w:t>
      </w:r>
      <w:proofErr w:type="spellStart"/>
      <w:r>
        <w:t>ИСПДн</w:t>
      </w:r>
      <w:proofErr w:type="spellEnd"/>
      <w:r>
        <w:t xml:space="preserve"> и контроль за действиями обслуживающего персонала систем при работе с паролями возлагаются на ответственного за обеспечение безопасности персональных данных в информационных системах персональных данных, назначенного приказом начальника Финансового управления (далее - Ответственный за обеспечение безопасности персональных данных).</w:t>
      </w:r>
    </w:p>
    <w:p>
      <w:pPr>
        <w:tabs>
          <w:tab w:val="left" w:pos="993"/>
        </w:tabs>
        <w:ind w:left="709"/>
        <w:jc w:val="both"/>
      </w:pP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II</w:t>
      </w:r>
      <w:r>
        <w:rPr>
          <w:caps/>
        </w:rPr>
        <w:t>. Правила формирования паролей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ind w:firstLine="709"/>
        <w:contextualSpacing/>
        <w:jc w:val="both"/>
        <w:rPr>
          <w:caps/>
        </w:rPr>
      </w:pP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Личные пароли пользователей должны соответствовать следующим требованиям:</w:t>
      </w:r>
    </w:p>
    <w:p>
      <w:pPr>
        <w:numPr>
          <w:ilvl w:val="0"/>
          <w:numId w:val="6"/>
        </w:numPr>
        <w:tabs>
          <w:tab w:val="left" w:pos="993"/>
        </w:tabs>
        <w:ind w:left="0" w:firstLine="709"/>
        <w:jc w:val="both"/>
      </w:pPr>
      <w:r>
        <w:t>длина пароля должна быть не менее 8 символов;</w:t>
      </w:r>
    </w:p>
    <w:p>
      <w:pPr>
        <w:numPr>
          <w:ilvl w:val="0"/>
          <w:numId w:val="6"/>
        </w:numPr>
        <w:tabs>
          <w:tab w:val="left" w:pos="993"/>
        </w:tabs>
        <w:ind w:left="0" w:firstLine="709"/>
        <w:jc w:val="both"/>
      </w:pPr>
      <w:r>
        <w:t xml:space="preserve">в числе символов пароля обязательно должны присутствовать буквы в верхнем и нижнем регистрах, цифры и специальные символы </w:t>
      </w:r>
      <w:proofErr w:type="gramStart"/>
      <w:r>
        <w:t>(!,</w:t>
      </w:r>
      <w:proofErr w:type="gramEnd"/>
      <w:r>
        <w:t xml:space="preserve"> @, #);</w:t>
      </w:r>
    </w:p>
    <w:p>
      <w:pPr>
        <w:numPr>
          <w:ilvl w:val="0"/>
          <w:numId w:val="6"/>
        </w:numPr>
        <w:tabs>
          <w:tab w:val="left" w:pos="993"/>
        </w:tabs>
        <w:ind w:left="0" w:firstLine="709"/>
        <w:jc w:val="both"/>
      </w:pPr>
      <w:r>
        <w:t xml:space="preserve">пароль не должен включать в себя легко вычисляемые сочетания символов (имена, фамилии, известные названия, словарные и жаргонные слова и иные), последовательности символов и знаков (111, </w:t>
      </w:r>
      <w:proofErr w:type="spellStart"/>
      <w:r>
        <w:t>qwerty</w:t>
      </w:r>
      <w:proofErr w:type="spellEnd"/>
      <w:r>
        <w:t xml:space="preserve">, </w:t>
      </w:r>
      <w:proofErr w:type="spellStart"/>
      <w:r>
        <w:t>abcd</w:t>
      </w:r>
      <w:proofErr w:type="spellEnd"/>
      <w:r>
        <w:t xml:space="preserve"> и иные), общепринятые сокращения (ЭВМ, ЛВС, USER и иные), аббревиатуры, клички домашних животных, номера автомобилей, телефонов и другие значимые сочетания букв и знаков, которые можно угадать, основываясь на информации о пользователе;</w:t>
      </w:r>
    </w:p>
    <w:p>
      <w:pPr>
        <w:numPr>
          <w:ilvl w:val="0"/>
          <w:numId w:val="6"/>
        </w:numPr>
        <w:tabs>
          <w:tab w:val="left" w:pos="993"/>
        </w:tabs>
        <w:ind w:left="0" w:firstLine="709"/>
        <w:jc w:val="both"/>
      </w:pPr>
      <w:r>
        <w:t>при смене пароля новое значение должно отличаться от предыдущего не менее чем в 6 позициях;</w:t>
      </w:r>
    </w:p>
    <w:p>
      <w:pPr>
        <w:numPr>
          <w:ilvl w:val="0"/>
          <w:numId w:val="6"/>
        </w:numPr>
        <w:tabs>
          <w:tab w:val="left" w:pos="993"/>
        </w:tabs>
        <w:ind w:left="0" w:firstLine="709"/>
        <w:jc w:val="both"/>
      </w:pPr>
      <w:r>
        <w:t>личный пароль пользователь не имеет права сообщать никому. В случае если формирование личных паролей пользователей осуществляется централизованно, ответственность за правильность их формирования и распределения возлагается на ответственного за обеспечение безопасности персональных данных.</w:t>
      </w:r>
    </w:p>
    <w:p>
      <w:pPr>
        <w:tabs>
          <w:tab w:val="left" w:pos="993"/>
        </w:tabs>
        <w:ind w:left="709"/>
        <w:jc w:val="both"/>
      </w:pP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III</w:t>
      </w:r>
      <w:r>
        <w:rPr>
          <w:caps/>
        </w:rPr>
        <w:t>. Ввод пароля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ind w:firstLine="709"/>
        <w:contextualSpacing/>
        <w:jc w:val="both"/>
        <w:rPr>
          <w:caps/>
        </w:rPr>
      </w:pP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 xml:space="preserve">При вводе пароля пользователю необходимо исключить произнесение его вслух, возможность его подсматривания посторонними лицами (человек за спиной, наблюдение человеком за движением пальцев в прямой видимости или в отраженном свете) </w:t>
      </w:r>
      <w:r>
        <w:lastRenderedPageBreak/>
        <w:t>и техническими средствами (стационарными и встроенными в мобильные телефоны видеокамерами).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iV</w:t>
      </w:r>
      <w:r>
        <w:rPr>
          <w:caps/>
        </w:rPr>
        <w:t>. Порядок ВЫДАЧИ И смены личных паролей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ind w:firstLine="709"/>
        <w:contextualSpacing/>
        <w:jc w:val="both"/>
        <w:rPr>
          <w:caps/>
        </w:rPr>
      </w:pP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Генерацию паролей и выдачу их пользователям выполняет Ответственный за обеспечение безопасности персональных данных.</w:t>
      </w: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Смена паролей должна проводиться регулярно, но не реже одного раза в год.</w:t>
      </w: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В случае прекращения полномочий пользователя (увольнения, перехода на другую работу), Ответственный за обеспечение безопасности персональных данных должен немедленно выполнить удаление его учётной записи сразу после окончания последнего сеанса работы данного пользователя с системой.</w:t>
      </w: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Срочная (внеплановая) полная смена паролей должна производиться в случае прекращения полномочий (увольнения, перехода на другую работу) Ответственного</w:t>
      </w:r>
      <w:r>
        <w:br/>
        <w:t>за обеспечение безопасности персональных данных, которым по роду работы были предоставлены полномочия по управлению системой парольной защиты.</w:t>
      </w:r>
    </w:p>
    <w:p>
      <w:pPr>
        <w:numPr>
          <w:ilvl w:val="0"/>
          <w:numId w:val="5"/>
        </w:numPr>
        <w:tabs>
          <w:tab w:val="left" w:pos="993"/>
        </w:tabs>
        <w:ind w:left="0" w:firstLine="709"/>
        <w:jc w:val="both"/>
      </w:pPr>
      <w:r>
        <w:t>Смена пароля производится самостоятельно каждым пользователем в соответствии с пунктом 2 Инструкции и/или в соответствии с указанием в системном баннере-предупреждении (при наличии технической возможности).</w:t>
      </w:r>
    </w:p>
    <w:p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 xml:space="preserve">Пароль, заданный Ответственным за обеспечение безопасности персональных данных при регистрации нового пользователя, может быть заменен пользователем системы </w:t>
      </w:r>
      <w:r>
        <w:br/>
        <w:t>в соответствии с правилами пунктов 3 и 6 настоящей инструкции.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both"/>
      </w:pP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V</w:t>
      </w:r>
      <w:r>
        <w:rPr>
          <w:caps/>
        </w:rPr>
        <w:t>. Хранение пароля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ind w:firstLine="709"/>
        <w:contextualSpacing/>
        <w:jc w:val="both"/>
        <w:rPr>
          <w:caps/>
        </w:rPr>
      </w:pPr>
    </w:p>
    <w:p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Запрещается записывать пароли на бумаге, в файле, электронной записной книжке и других носителях информации, в том числе на предметах.</w:t>
      </w:r>
    </w:p>
    <w:p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Запрещается сообщать другим пользователям личный пароль и регистрировать их в системе под своим паролем.</w:t>
      </w:r>
    </w:p>
    <w:p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Хранение пользователем своего пароля на бумажном носителе допускается только в личном, опечатанном владельцем пароля сейфе, либо в сейфе у ответственного за обеспечение безопасности персональных данных.</w:t>
      </w:r>
    </w:p>
    <w:p>
      <w:pPr>
        <w:tabs>
          <w:tab w:val="left" w:pos="1134"/>
        </w:tabs>
        <w:jc w:val="both"/>
      </w:pP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VI</w:t>
      </w:r>
      <w:r>
        <w:rPr>
          <w:caps/>
        </w:rPr>
        <w:t>. Действия в случае утери или компрометации пароля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ind w:firstLine="709"/>
        <w:contextualSpacing/>
        <w:jc w:val="both"/>
        <w:rPr>
          <w:caps/>
        </w:rPr>
      </w:pPr>
    </w:p>
    <w:p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В случае утери или компрометации пароля пользователя должны быть немедленно предприняты следующие меры:</w:t>
      </w:r>
    </w:p>
    <w:p>
      <w:pPr>
        <w:numPr>
          <w:ilvl w:val="3"/>
          <w:numId w:val="7"/>
        </w:numPr>
        <w:tabs>
          <w:tab w:val="left" w:pos="993"/>
        </w:tabs>
        <w:ind w:left="0" w:firstLine="709"/>
        <w:jc w:val="both"/>
      </w:pPr>
      <w:r>
        <w:t>владелец скомпрометированного пароля должен сообщить о факте утери или компрометации пароля Ответственному за обеспечение безопасности персональных данных;</w:t>
      </w:r>
    </w:p>
    <w:p>
      <w:pPr>
        <w:numPr>
          <w:ilvl w:val="0"/>
          <w:numId w:val="7"/>
        </w:numPr>
        <w:tabs>
          <w:tab w:val="left" w:pos="993"/>
        </w:tabs>
        <w:ind w:left="0" w:firstLine="709"/>
        <w:jc w:val="both"/>
      </w:pPr>
      <w:r>
        <w:t>владелец скомпрометированного пароля должен немедленно произвести смену скомпрометированного пароля.</w:t>
      </w:r>
    </w:p>
    <w:p>
      <w:pPr>
        <w:tabs>
          <w:tab w:val="left" w:pos="993"/>
        </w:tabs>
        <w:jc w:val="both"/>
      </w:pP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contextualSpacing/>
        <w:jc w:val="center"/>
        <w:rPr>
          <w:caps/>
        </w:rPr>
      </w:pPr>
      <w:r>
        <w:rPr>
          <w:caps/>
          <w:lang w:val="en-US"/>
        </w:rPr>
        <w:t>VII</w:t>
      </w:r>
      <w:r>
        <w:rPr>
          <w:caps/>
        </w:rPr>
        <w:t>. Ответственность при организации парольной защиты</w:t>
      </w:r>
    </w:p>
    <w:p>
      <w:pPr>
        <w:tabs>
          <w:tab w:val="left" w:pos="0"/>
          <w:tab w:val="left" w:pos="567"/>
          <w:tab w:val="left" w:pos="1134"/>
          <w:tab w:val="left" w:pos="2410"/>
          <w:tab w:val="left" w:pos="3119"/>
        </w:tabs>
        <w:spacing w:before="120" w:after="120"/>
        <w:ind w:firstLine="709"/>
        <w:contextualSpacing/>
        <w:jc w:val="both"/>
        <w:rPr>
          <w:caps/>
        </w:rPr>
      </w:pPr>
    </w:p>
    <w:p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>
        <w:t>Владельцы паролей должны быть ознакомлены под подпись с перечисленными выше требованиями и предупреждены об ответственности за использование паролей, не соответствующих данным требованиям, а также за разглашение парольной информации.</w:t>
      </w:r>
    </w:p>
    <w:p>
      <w:pPr>
        <w:numPr>
          <w:ilvl w:val="0"/>
          <w:numId w:val="5"/>
        </w:numPr>
        <w:tabs>
          <w:tab w:val="left" w:pos="1134"/>
        </w:tabs>
        <w:spacing w:after="240"/>
        <w:ind w:left="0" w:firstLine="709"/>
        <w:jc w:val="both"/>
      </w:pPr>
      <w:r>
        <w:t>Ответственность за организацию парольной защиты в Финансовом управлении и контроль исполнения настоящей инструкции возлагается на Ответственного за обеспечение безопасности персональных данных.</w:t>
      </w:r>
    </w:p>
    <w:p>
      <w:pPr>
        <w:ind w:left="6096"/>
        <w:rPr>
          <w:sz w:val="20"/>
        </w:rPr>
      </w:pPr>
    </w:p>
    <w:sectPr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709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rPr>
        <w:sz w:val="20"/>
      </w:rPr>
      <w:t>Внутренний номер: 0351269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numPr>
        <w:ilvl w:val="0"/>
        <w:numId w:val="1"/>
      </w:numPr>
      <w:tabs>
        <w:tab w:val="center" w:pos="4677"/>
        <w:tab w:val="right" w:pos="9355"/>
      </w:tabs>
      <w:rPr>
        <w:rFonts w:ascii="Times New Roman CYR" w:hAnsi="Times New Roman CYR"/>
        <w:sz w:val="20"/>
        <w:szCs w:val="20"/>
      </w:rPr>
    </w:pPr>
    <w:r>
      <w:rPr>
        <w:rFonts w:ascii="Times New Roman CYR" w:hAnsi="Times New Roman CYR"/>
        <w:sz w:val="20"/>
        <w:szCs w:val="20"/>
      </w:rPr>
      <w:t>Внутренний номер: 0351269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6561741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64615"/>
    <w:multiLevelType w:val="hybridMultilevel"/>
    <w:tmpl w:val="A8FA2B54"/>
    <w:lvl w:ilvl="0" w:tplc="B5FC0314">
      <w:start w:val="1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E950B0D"/>
    <w:multiLevelType w:val="multilevel"/>
    <w:tmpl w:val="44DE5A0A"/>
    <w:numStyleLink w:val="1"/>
  </w:abstractNum>
  <w:abstractNum w:abstractNumId="2">
    <w:nsid w:val="411048B1"/>
    <w:multiLevelType w:val="multilevel"/>
    <w:tmpl w:val="136A10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99B0F8A"/>
    <w:multiLevelType w:val="hybridMultilevel"/>
    <w:tmpl w:val="9B2EB6D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EB60787"/>
    <w:multiLevelType w:val="hybridMultilevel"/>
    <w:tmpl w:val="B76C56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11">
      <w:start w:val="1"/>
      <w:numFmt w:val="decimal"/>
      <w:lvlText w:val="%4)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A97E81"/>
    <w:multiLevelType w:val="multilevel"/>
    <w:tmpl w:val="44DE5A0A"/>
    <w:styleLink w:val="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525009EF-6718-49EA-887F-11FE6FEF6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pPr>
      <w:numPr>
        <w:numId w:val="1"/>
      </w:numPr>
    </w:p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FCECC-80D1-4530-88CF-479E11B8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656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12</cp:revision>
  <cp:lastPrinted>2025-06-06T08:11:00Z</cp:lastPrinted>
  <dcterms:created xsi:type="dcterms:W3CDTF">2025-05-26T09:36:00Z</dcterms:created>
  <dcterms:modified xsi:type="dcterms:W3CDTF">2025-06-19T06:44:00Z</dcterms:modified>
</cp:coreProperties>
</file>