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360" w:lineRule="auto"/>
        <w:ind w:left="6379"/>
      </w:pPr>
      <w:r>
        <w:t>УТВЕРЖДЕНО</w:t>
      </w:r>
    </w:p>
    <w:p>
      <w:pPr>
        <w:ind w:left="6379"/>
      </w:pPr>
      <w:r>
        <w:t xml:space="preserve">приказом начальника Финансового управления </w:t>
      </w:r>
    </w:p>
    <w:p>
      <w:pPr>
        <w:ind w:left="6379"/>
      </w:pPr>
      <w:r>
        <w:t>Администрации ЗАТО Северск</w:t>
      </w:r>
      <w:r>
        <w:br/>
        <w:t>от 19.06.2025</w:t>
      </w:r>
      <w:bookmarkStart w:id="0" w:name="_GoBack"/>
      <w:bookmarkEnd w:id="0"/>
      <w:r>
        <w:t xml:space="preserve"> № 64</w:t>
      </w:r>
    </w:p>
    <w:p>
      <w:pPr>
        <w:ind w:left="6096"/>
        <w:rPr>
          <w:sz w:val="20"/>
        </w:rPr>
      </w:pPr>
    </w:p>
    <w:p>
      <w:pPr>
        <w:ind w:left="6096"/>
        <w:rPr>
          <w:sz w:val="20"/>
        </w:rPr>
      </w:pPr>
    </w:p>
    <w:p>
      <w:pPr>
        <w:jc w:val="center"/>
        <w:rPr>
          <w:rFonts w:cs="Times New Roman CYR"/>
        </w:rPr>
      </w:pPr>
      <w:r>
        <w:rPr>
          <w:rFonts w:cs="Times New Roman CYR"/>
        </w:rPr>
        <w:t xml:space="preserve">ПОЛОЖЕНИЕ </w:t>
      </w:r>
    </w:p>
    <w:p>
      <w:pPr>
        <w:jc w:val="center"/>
        <w:rPr>
          <w:rFonts w:cs="Times New Roman CYR"/>
        </w:rPr>
      </w:pPr>
      <w:r>
        <w:rPr>
          <w:rFonts w:cs="Times New Roman CYR"/>
        </w:rPr>
        <w:t xml:space="preserve">по уничтожению персональных данных </w:t>
      </w:r>
    </w:p>
    <w:p>
      <w:pPr>
        <w:jc w:val="center"/>
        <w:rPr>
          <w:rFonts w:cs="Times New Roman CYR"/>
        </w:rPr>
      </w:pPr>
      <w:r>
        <w:rPr>
          <w:rFonts w:cs="Times New Roman CYR"/>
        </w:rPr>
        <w:t xml:space="preserve">в Финансовом управлении </w:t>
      </w:r>
      <w:proofErr w:type="gramStart"/>
      <w:r>
        <w:rPr>
          <w:rFonts w:cs="Times New Roman CYR"/>
        </w:rPr>
        <w:t>Администрации</w:t>
      </w:r>
      <w:proofErr w:type="gramEnd"/>
      <w:r>
        <w:rPr>
          <w:rFonts w:cs="Times New Roman CYR"/>
        </w:rPr>
        <w:t xml:space="preserve"> ЗАТО Северск</w:t>
      </w:r>
    </w:p>
    <w:p>
      <w:pPr>
        <w:pStyle w:val="1"/>
        <w:numPr>
          <w:ilvl w:val="0"/>
          <w:numId w:val="0"/>
        </w:numPr>
        <w:spacing w:before="0" w:line="240" w:lineRule="auto"/>
        <w:rPr>
          <w:rFonts w:cs="Times New Roman CYR"/>
          <w:b w:val="0"/>
          <w:bCs w:val="0"/>
          <w:caps w:val="0"/>
          <w:sz w:val="20"/>
          <w:szCs w:val="24"/>
        </w:rPr>
      </w:pPr>
    </w:p>
    <w:p>
      <w:pPr>
        <w:pStyle w:val="1"/>
        <w:numPr>
          <w:ilvl w:val="0"/>
          <w:numId w:val="0"/>
        </w:numPr>
        <w:spacing w:before="0" w:line="240" w:lineRule="auto"/>
        <w:rPr>
          <w:b w:val="0"/>
          <w:sz w:val="24"/>
          <w:szCs w:val="24"/>
        </w:rPr>
      </w:pPr>
      <w:r>
        <w:rPr>
          <w:rFonts w:cs="Times New Roman CYR"/>
          <w:b w:val="0"/>
          <w:bCs w:val="0"/>
          <w:caps w:val="0"/>
          <w:sz w:val="24"/>
          <w:szCs w:val="24"/>
          <w:lang w:val="en-US"/>
        </w:rPr>
        <w:t>I</w:t>
      </w:r>
      <w:r>
        <w:rPr>
          <w:rFonts w:cs="Times New Roman CYR"/>
          <w:b w:val="0"/>
          <w:bCs w:val="0"/>
          <w:caps w:val="0"/>
          <w:sz w:val="24"/>
          <w:szCs w:val="24"/>
        </w:rPr>
        <w:t>. О</w:t>
      </w:r>
      <w:r>
        <w:rPr>
          <w:b w:val="0"/>
          <w:sz w:val="24"/>
          <w:szCs w:val="24"/>
        </w:rPr>
        <w:t>бщие положения</w:t>
      </w:r>
    </w:p>
    <w:p>
      <w:pPr>
        <w:rPr>
          <w:sz w:val="20"/>
        </w:rPr>
      </w:pPr>
    </w:p>
    <w:p>
      <w:pPr>
        <w:pStyle w:val="2"/>
        <w:tabs>
          <w:tab w:val="left" w:pos="993"/>
        </w:tabs>
        <w:spacing w:line="240" w:lineRule="auto"/>
        <w:ind w:left="0"/>
        <w:rPr>
          <w:sz w:val="24"/>
          <w:szCs w:val="24"/>
        </w:rPr>
      </w:pPr>
      <w:r>
        <w:rPr>
          <w:sz w:val="24"/>
          <w:szCs w:val="24"/>
        </w:rPr>
        <w:t xml:space="preserve">Положение по уничтожению персональных данных в Финансовом управлении </w:t>
      </w:r>
      <w:proofErr w:type="gramStart"/>
      <w:r>
        <w:rPr>
          <w:sz w:val="24"/>
          <w:szCs w:val="24"/>
        </w:rPr>
        <w:t>Администрации</w:t>
      </w:r>
      <w:proofErr w:type="gramEnd"/>
      <w:r>
        <w:rPr>
          <w:sz w:val="24"/>
          <w:szCs w:val="24"/>
        </w:rPr>
        <w:t xml:space="preserve"> ЗАТО Северск (далее соответственно - Финансовое управление, Положение) разработано в соответствии с:</w:t>
      </w:r>
    </w:p>
    <w:p>
      <w:pPr>
        <w:pStyle w:val="aa"/>
        <w:numPr>
          <w:ilvl w:val="0"/>
          <w:numId w:val="4"/>
        </w:numPr>
        <w:tabs>
          <w:tab w:val="left" w:pos="993"/>
        </w:tabs>
        <w:spacing w:line="240" w:lineRule="auto"/>
        <w:rPr>
          <w:sz w:val="24"/>
          <w:szCs w:val="24"/>
        </w:rPr>
      </w:pPr>
      <w:r>
        <w:rPr>
          <w:sz w:val="24"/>
          <w:szCs w:val="24"/>
        </w:rPr>
        <w:t>Федеральным законом от 27.07.2006 № 152-ФЗ «О персональных данных» (далее - Федеральный закон № 152-ФЗ);</w:t>
      </w:r>
    </w:p>
    <w:p>
      <w:pPr>
        <w:pStyle w:val="aa"/>
        <w:numPr>
          <w:ilvl w:val="0"/>
          <w:numId w:val="4"/>
        </w:numPr>
        <w:tabs>
          <w:tab w:val="left" w:pos="993"/>
        </w:tabs>
        <w:spacing w:line="240" w:lineRule="auto"/>
        <w:rPr>
          <w:sz w:val="24"/>
          <w:szCs w:val="24"/>
        </w:rPr>
      </w:pPr>
      <w:r>
        <w:rPr>
          <w:sz w:val="24"/>
          <w:szCs w:val="24"/>
        </w:rPr>
        <w:t>постановлением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w:t>
      </w:r>
    </w:p>
    <w:p>
      <w:pPr>
        <w:pStyle w:val="aa"/>
        <w:numPr>
          <w:ilvl w:val="0"/>
          <w:numId w:val="4"/>
        </w:numPr>
        <w:tabs>
          <w:tab w:val="left" w:pos="993"/>
        </w:tabs>
        <w:spacing w:line="240" w:lineRule="auto"/>
        <w:rPr>
          <w:sz w:val="24"/>
          <w:szCs w:val="24"/>
        </w:rPr>
      </w:pPr>
      <w:r>
        <w:rPr>
          <w:sz w:val="24"/>
          <w:szCs w:val="24"/>
        </w:rPr>
        <w:t>приказом Федеральной службы по техническому и экспортному контролю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pPr>
        <w:pStyle w:val="aa"/>
        <w:numPr>
          <w:ilvl w:val="0"/>
          <w:numId w:val="4"/>
        </w:numPr>
        <w:tabs>
          <w:tab w:val="left" w:pos="993"/>
        </w:tabs>
        <w:spacing w:line="240" w:lineRule="auto"/>
        <w:rPr>
          <w:sz w:val="24"/>
          <w:szCs w:val="24"/>
        </w:rPr>
      </w:pPr>
      <w:bookmarkStart w:id="1" w:name="_Hlk127792522"/>
      <w:r>
        <w:rPr>
          <w:sz w:val="24"/>
          <w:szCs w:val="24"/>
        </w:rPr>
        <w:t>приказом Федеральной службы по надзору в сфере связи, информационных технологий и массовых коммуникаций от 28.10.2022 № 179 «Об утверждении Требований к подтверждению уничтожения персональных данных»</w:t>
      </w:r>
      <w:bookmarkEnd w:id="1"/>
      <w:r>
        <w:rPr>
          <w:sz w:val="24"/>
          <w:szCs w:val="24"/>
        </w:rPr>
        <w:t>.</w:t>
      </w:r>
    </w:p>
    <w:p>
      <w:pPr>
        <w:pStyle w:val="2"/>
        <w:tabs>
          <w:tab w:val="left" w:pos="993"/>
        </w:tabs>
        <w:spacing w:line="240" w:lineRule="auto"/>
        <w:ind w:left="0"/>
        <w:rPr>
          <w:sz w:val="24"/>
          <w:szCs w:val="24"/>
        </w:rPr>
      </w:pPr>
      <w:r>
        <w:rPr>
          <w:sz w:val="24"/>
          <w:szCs w:val="24"/>
        </w:rPr>
        <w:t xml:space="preserve">Положение разработано с целью установления общего порядка уничтожения сотрудниками Финансового управления персональных данных в случаях, предусмотренных Федеральным законом № 152-ФЗ (при достижении целей обработки персональных данных </w:t>
      </w:r>
      <w:r>
        <w:rPr>
          <w:sz w:val="24"/>
          <w:szCs w:val="24"/>
        </w:rPr>
        <w:br/>
        <w:t>или при наступлении иных законных оснований).</w:t>
      </w:r>
    </w:p>
    <w:p>
      <w:pPr>
        <w:pStyle w:val="2"/>
        <w:tabs>
          <w:tab w:val="left" w:pos="993"/>
        </w:tabs>
        <w:spacing w:line="240" w:lineRule="auto"/>
        <w:ind w:left="0"/>
        <w:rPr>
          <w:sz w:val="24"/>
          <w:szCs w:val="24"/>
        </w:rPr>
      </w:pPr>
      <w:r>
        <w:rPr>
          <w:sz w:val="24"/>
          <w:szCs w:val="24"/>
        </w:rPr>
        <w:t>В целях уничтожения персональных данных в Финансовом управлении создается комиссия по уничтожению персональных данных (далее - комиссия). Численный и персональный состав комиссии утверждается приказом начальника Финансового управления.</w:t>
      </w:r>
    </w:p>
    <w:p>
      <w:pPr>
        <w:pStyle w:val="2"/>
        <w:numPr>
          <w:ilvl w:val="0"/>
          <w:numId w:val="0"/>
        </w:numPr>
        <w:tabs>
          <w:tab w:val="left" w:pos="993"/>
        </w:tabs>
        <w:spacing w:line="240" w:lineRule="auto"/>
        <w:ind w:left="709"/>
        <w:rPr>
          <w:sz w:val="24"/>
          <w:szCs w:val="24"/>
        </w:rPr>
      </w:pPr>
    </w:p>
    <w:p>
      <w:pPr>
        <w:pStyle w:val="1"/>
        <w:numPr>
          <w:ilvl w:val="0"/>
          <w:numId w:val="0"/>
        </w:numPr>
        <w:spacing w:before="0" w:line="240" w:lineRule="auto"/>
        <w:rPr>
          <w:b w:val="0"/>
          <w:sz w:val="24"/>
          <w:szCs w:val="24"/>
        </w:rPr>
      </w:pPr>
      <w:r>
        <w:rPr>
          <w:b w:val="0"/>
          <w:sz w:val="24"/>
          <w:szCs w:val="24"/>
          <w:lang w:val="en-US"/>
        </w:rPr>
        <w:t>II</w:t>
      </w:r>
      <w:r>
        <w:rPr>
          <w:b w:val="0"/>
          <w:sz w:val="24"/>
          <w:szCs w:val="24"/>
        </w:rPr>
        <w:t>. ПРАВИЛА и сроки уничтожения персональных данных</w:t>
      </w:r>
    </w:p>
    <w:p/>
    <w:p>
      <w:pPr>
        <w:pStyle w:val="2"/>
        <w:tabs>
          <w:tab w:val="num" w:pos="993"/>
        </w:tabs>
        <w:spacing w:line="240" w:lineRule="auto"/>
        <w:ind w:left="0"/>
        <w:rPr>
          <w:sz w:val="24"/>
          <w:szCs w:val="24"/>
        </w:rPr>
      </w:pPr>
      <w:r>
        <w:rPr>
          <w:sz w:val="24"/>
          <w:szCs w:val="24"/>
        </w:rPr>
        <w:t>Под уничтожением персональных данных подразумеваются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pPr>
        <w:pStyle w:val="2"/>
        <w:tabs>
          <w:tab w:val="num" w:pos="993"/>
        </w:tabs>
        <w:spacing w:line="240" w:lineRule="auto"/>
        <w:ind w:left="0"/>
        <w:rPr>
          <w:sz w:val="24"/>
          <w:szCs w:val="24"/>
        </w:rPr>
      </w:pPr>
      <w:r>
        <w:rPr>
          <w:sz w:val="24"/>
          <w:szCs w:val="24"/>
        </w:rPr>
        <w:t>Уничтожение персональных данных осуществляется в случаях:</w:t>
      </w:r>
    </w:p>
    <w:p>
      <w:pPr>
        <w:pStyle w:val="aa"/>
        <w:numPr>
          <w:ilvl w:val="0"/>
          <w:numId w:val="5"/>
        </w:numPr>
        <w:tabs>
          <w:tab w:val="left" w:pos="993"/>
        </w:tabs>
        <w:spacing w:line="240" w:lineRule="auto"/>
        <w:rPr>
          <w:sz w:val="24"/>
          <w:szCs w:val="24"/>
        </w:rPr>
      </w:pPr>
      <w:r>
        <w:rPr>
          <w:sz w:val="24"/>
          <w:szCs w:val="24"/>
        </w:rPr>
        <w:t>достижения целей обработки персональных данных или в случае утраты необходимости в достижении этих целей;</w:t>
      </w:r>
    </w:p>
    <w:p>
      <w:pPr>
        <w:pStyle w:val="aa"/>
        <w:numPr>
          <w:ilvl w:val="0"/>
          <w:numId w:val="5"/>
        </w:numPr>
        <w:tabs>
          <w:tab w:val="left" w:pos="993"/>
        </w:tabs>
        <w:spacing w:line="240" w:lineRule="auto"/>
        <w:rPr>
          <w:sz w:val="24"/>
          <w:szCs w:val="24"/>
        </w:rPr>
      </w:pPr>
      <w:r>
        <w:rPr>
          <w:sz w:val="24"/>
          <w:szCs w:val="24"/>
        </w:rPr>
        <w:t>требования субъекта персональных данных,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pPr>
        <w:pStyle w:val="aa"/>
        <w:numPr>
          <w:ilvl w:val="0"/>
          <w:numId w:val="5"/>
        </w:numPr>
        <w:tabs>
          <w:tab w:val="left" w:pos="993"/>
        </w:tabs>
        <w:spacing w:line="240" w:lineRule="auto"/>
        <w:rPr>
          <w:sz w:val="24"/>
          <w:szCs w:val="24"/>
        </w:rPr>
      </w:pPr>
      <w:r>
        <w:rPr>
          <w:sz w:val="24"/>
          <w:szCs w:val="24"/>
        </w:rPr>
        <w:t>отзыва субъектом персональных данных согласия на обработку его персональных данных;</w:t>
      </w:r>
    </w:p>
    <w:p>
      <w:pPr>
        <w:pStyle w:val="ac"/>
        <w:numPr>
          <w:ilvl w:val="0"/>
          <w:numId w:val="5"/>
        </w:numPr>
        <w:tabs>
          <w:tab w:val="left" w:pos="993"/>
        </w:tabs>
        <w:autoSpaceDE w:val="0"/>
        <w:autoSpaceDN w:val="0"/>
        <w:adjustRightInd w:val="0"/>
        <w:jc w:val="both"/>
      </w:pPr>
      <w:r>
        <w:lastRenderedPageBreak/>
        <w:t xml:space="preserve">выявления неправомерной обработки персональных данных, в том числе </w:t>
      </w:r>
      <w:r>
        <w:br/>
        <w:t>по обращению субъекта персональных данных или его представителя либо запросу уполномоченного органа по защите прав субъектов персональных данных, если обеспечить правомерность обработки персональных данных невозможно;</w:t>
      </w:r>
    </w:p>
    <w:p>
      <w:pPr>
        <w:pStyle w:val="aa"/>
        <w:numPr>
          <w:ilvl w:val="0"/>
          <w:numId w:val="5"/>
        </w:numPr>
        <w:tabs>
          <w:tab w:val="left" w:pos="993"/>
        </w:tabs>
        <w:spacing w:line="240" w:lineRule="auto"/>
        <w:rPr>
          <w:sz w:val="24"/>
          <w:szCs w:val="24"/>
        </w:rPr>
      </w:pPr>
      <w:r>
        <w:rPr>
          <w:sz w:val="24"/>
          <w:szCs w:val="24"/>
        </w:rPr>
        <w:t>истечения сроков хранения персональных данных, установленных нормативно-правовыми актами.</w:t>
      </w:r>
    </w:p>
    <w:p>
      <w:pPr>
        <w:pStyle w:val="2"/>
        <w:tabs>
          <w:tab w:val="num" w:pos="993"/>
        </w:tabs>
        <w:spacing w:line="240" w:lineRule="auto"/>
        <w:ind w:left="0"/>
        <w:rPr>
          <w:sz w:val="24"/>
          <w:szCs w:val="24"/>
        </w:rPr>
      </w:pPr>
      <w:r>
        <w:rPr>
          <w:sz w:val="24"/>
          <w:szCs w:val="24"/>
        </w:rPr>
        <w:t>В случае достижения цели обработки персональных данных Финансовое управление обязуется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Финансового управления)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Финансового управления)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Финансовым управлением и субъектом персональных данных либо если Финансовое управление не вправе осуществлять обработку персональных данных без согласия субъекта персональных данных на основаниях, предусмотренных Федеральным законом № 152-ФЗ или другими федеральными законами.</w:t>
      </w:r>
    </w:p>
    <w:p>
      <w:pPr>
        <w:pStyle w:val="2"/>
        <w:tabs>
          <w:tab w:val="num" w:pos="993"/>
        </w:tabs>
        <w:spacing w:line="240" w:lineRule="auto"/>
        <w:ind w:left="0"/>
        <w:rPr>
          <w:sz w:val="24"/>
          <w:szCs w:val="24"/>
        </w:rPr>
      </w:pPr>
      <w:r>
        <w:rPr>
          <w:sz w:val="24"/>
          <w:szCs w:val="24"/>
        </w:rPr>
        <w:t>В случае отзыва субъектом персональных данных согласия на обработку его персональных данных Финансовое управление обязуется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Финансового управления)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Финансового управления)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Финансовым управлением и субъектом персональных данных либо если Финансовое управление не вправе осуществлять обработку персональных данных без согласия субъекта персональных данных на основаниях, предусмотренных Федеральным законом № 152-ФЗ или другими федеральными законами.</w:t>
      </w:r>
    </w:p>
    <w:p>
      <w:pPr>
        <w:pStyle w:val="2"/>
        <w:tabs>
          <w:tab w:val="num" w:pos="993"/>
        </w:tabs>
        <w:spacing w:line="240" w:lineRule="auto"/>
        <w:ind w:left="0"/>
        <w:rPr>
          <w:sz w:val="24"/>
          <w:szCs w:val="24"/>
        </w:rPr>
      </w:pPr>
      <w:r>
        <w:rPr>
          <w:sz w:val="24"/>
          <w:szCs w:val="24"/>
        </w:rPr>
        <w:t>В случае выявления субъектом персональных данных, его представителем или уполномоченным органом по защите прав субъектов персональных данных неправомерной обработки персональных данных, осуществляемой Финансовым управлением или лицом, действующим по поручению Финансовом управлении, и невозможности обеспечить правомерность обработки персональных данных, Финансовое управление в срок, не превышающий десяти рабочих дней с даты выявления неправомерной обработки персональных данных, обязуется уничтожить такие персональные данные или обеспечить их уничтожение. Об уничтожении персональных данных Финансовое управление обязуется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pPr>
        <w:pStyle w:val="2"/>
        <w:tabs>
          <w:tab w:val="num" w:pos="1134"/>
        </w:tabs>
        <w:spacing w:line="240" w:lineRule="auto"/>
        <w:ind w:left="0"/>
        <w:rPr>
          <w:sz w:val="24"/>
          <w:szCs w:val="24"/>
        </w:rPr>
      </w:pPr>
      <w:r>
        <w:rPr>
          <w:sz w:val="24"/>
          <w:szCs w:val="24"/>
        </w:rPr>
        <w:t>В случае отсутствия возможности уничтожения персональных данных в течение сроков, указанных в пунктах 6-8 Положения, Финансовое управление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Финансового управления) и обеспечивает уничтожение персональных данных в срок не более чем шесть месяцев, если иной срок не установлен федеральными законами.</w:t>
      </w:r>
    </w:p>
    <w:p>
      <w:pPr>
        <w:pStyle w:val="2"/>
        <w:numPr>
          <w:ilvl w:val="0"/>
          <w:numId w:val="0"/>
        </w:numPr>
        <w:spacing w:line="240" w:lineRule="auto"/>
        <w:ind w:left="709"/>
        <w:rPr>
          <w:sz w:val="24"/>
          <w:szCs w:val="24"/>
        </w:rPr>
      </w:pPr>
    </w:p>
    <w:p>
      <w:pPr>
        <w:pStyle w:val="1"/>
        <w:numPr>
          <w:ilvl w:val="0"/>
          <w:numId w:val="0"/>
        </w:numPr>
        <w:spacing w:before="0" w:line="240" w:lineRule="auto"/>
        <w:rPr>
          <w:b w:val="0"/>
          <w:sz w:val="24"/>
          <w:szCs w:val="24"/>
        </w:rPr>
      </w:pPr>
      <w:r>
        <w:rPr>
          <w:b w:val="0"/>
          <w:sz w:val="24"/>
          <w:szCs w:val="24"/>
          <w:lang w:val="en-US"/>
        </w:rPr>
        <w:lastRenderedPageBreak/>
        <w:t>III</w:t>
      </w:r>
      <w:r>
        <w:rPr>
          <w:b w:val="0"/>
          <w:sz w:val="24"/>
          <w:szCs w:val="24"/>
        </w:rPr>
        <w:t>. Способы уничтожения персональных данных</w:t>
      </w:r>
    </w:p>
    <w:p/>
    <w:p>
      <w:pPr>
        <w:pStyle w:val="2"/>
        <w:tabs>
          <w:tab w:val="left" w:pos="851"/>
          <w:tab w:val="left" w:pos="1134"/>
        </w:tabs>
        <w:spacing w:line="240" w:lineRule="auto"/>
        <w:ind w:left="0"/>
        <w:rPr>
          <w:sz w:val="24"/>
          <w:szCs w:val="24"/>
        </w:rPr>
      </w:pPr>
      <w:r>
        <w:rPr>
          <w:sz w:val="24"/>
          <w:szCs w:val="24"/>
        </w:rPr>
        <w:t>В случае необходимости уничтожения персональных данных комиссия осуществляет:</w:t>
      </w:r>
    </w:p>
    <w:p>
      <w:pPr>
        <w:pStyle w:val="aa"/>
        <w:numPr>
          <w:ilvl w:val="0"/>
          <w:numId w:val="6"/>
        </w:numPr>
        <w:tabs>
          <w:tab w:val="left" w:pos="993"/>
        </w:tabs>
        <w:spacing w:line="240" w:lineRule="auto"/>
        <w:rPr>
          <w:sz w:val="24"/>
          <w:szCs w:val="24"/>
        </w:rPr>
      </w:pPr>
      <w:r>
        <w:rPr>
          <w:sz w:val="24"/>
          <w:szCs w:val="24"/>
        </w:rPr>
        <w:t>отбор материальных носителей персональных данных, на которых зафиксированы персональные данные, подлежащие уничтожению;</w:t>
      </w:r>
    </w:p>
    <w:p>
      <w:pPr>
        <w:pStyle w:val="aa"/>
        <w:numPr>
          <w:ilvl w:val="0"/>
          <w:numId w:val="6"/>
        </w:numPr>
        <w:tabs>
          <w:tab w:val="left" w:pos="993"/>
        </w:tabs>
        <w:spacing w:line="240" w:lineRule="auto"/>
        <w:rPr>
          <w:sz w:val="24"/>
          <w:szCs w:val="24"/>
        </w:rPr>
      </w:pPr>
      <w:r>
        <w:rPr>
          <w:sz w:val="24"/>
          <w:szCs w:val="24"/>
        </w:rPr>
        <w:t>определение информационных систем персональных данных, в которых обрабатываются персональные данные, подлежащие уничтожению.</w:t>
      </w:r>
    </w:p>
    <w:p>
      <w:pPr>
        <w:pStyle w:val="2"/>
        <w:tabs>
          <w:tab w:val="left" w:pos="1134"/>
        </w:tabs>
        <w:spacing w:line="240" w:lineRule="auto"/>
        <w:ind w:left="0"/>
        <w:rPr>
          <w:sz w:val="24"/>
          <w:szCs w:val="24"/>
        </w:rPr>
      </w:pPr>
      <w:r>
        <w:rPr>
          <w:sz w:val="24"/>
          <w:szCs w:val="24"/>
        </w:rPr>
        <w:t>При уничтожении персональных данных, зафиксированных на материальных носителях, должны быть соблюдены следующие правила:</w:t>
      </w:r>
    </w:p>
    <w:p>
      <w:pPr>
        <w:pStyle w:val="aa"/>
        <w:numPr>
          <w:ilvl w:val="0"/>
          <w:numId w:val="7"/>
        </w:numPr>
        <w:tabs>
          <w:tab w:val="left" w:pos="993"/>
        </w:tabs>
        <w:spacing w:line="240" w:lineRule="auto"/>
        <w:rPr>
          <w:sz w:val="24"/>
          <w:szCs w:val="24"/>
        </w:rPr>
      </w:pPr>
      <w:r>
        <w:rPr>
          <w:sz w:val="24"/>
          <w:szCs w:val="24"/>
        </w:rPr>
        <w:t>уничтожение материальных носителей производится путем нанесения им неустранимого физического повреждения, исключающего возможность их использования, а также восстановления информации (перед уничтожением, если носитель исправен, должно быть произведено гарантированное стирание информации на носителе). Непосредственные действия по уничтожению конкретного типа носителя должны быть достаточны для исключения возможности восстановления информации;</w:t>
      </w:r>
    </w:p>
    <w:p>
      <w:pPr>
        <w:pStyle w:val="aa"/>
        <w:numPr>
          <w:ilvl w:val="0"/>
          <w:numId w:val="7"/>
        </w:numPr>
        <w:tabs>
          <w:tab w:val="left" w:pos="993"/>
        </w:tabs>
        <w:spacing w:line="240" w:lineRule="auto"/>
        <w:rPr>
          <w:sz w:val="24"/>
          <w:szCs w:val="24"/>
        </w:rPr>
      </w:pPr>
      <w:r>
        <w:rPr>
          <w:sz w:val="24"/>
          <w:szCs w:val="24"/>
        </w:rPr>
        <w:t>уничтожение части персональных данных, если это допускается материальным носителем, производится способом, исключающим дальнейшую обработку этих персональных данных с сохранением возможности обработки иных данных, зафиксированных на материальном носителе (удаление, вымарывание);</w:t>
      </w:r>
    </w:p>
    <w:p>
      <w:pPr>
        <w:pStyle w:val="aa"/>
        <w:numPr>
          <w:ilvl w:val="0"/>
          <w:numId w:val="7"/>
        </w:numPr>
        <w:tabs>
          <w:tab w:val="left" w:pos="993"/>
        </w:tabs>
        <w:spacing w:line="240" w:lineRule="auto"/>
        <w:rPr>
          <w:sz w:val="24"/>
          <w:szCs w:val="24"/>
        </w:rPr>
      </w:pPr>
      <w:r>
        <w:rPr>
          <w:sz w:val="24"/>
          <w:szCs w:val="24"/>
        </w:rPr>
        <w:t>стирание персональных данных с материального носителя производится по технологии, предусмотренной для данного типа носителя, с применением средств гарантированного уничтожения информации (допускается задействовать механизмы затирания, встроенные в сертифицированные средства защиты информации);</w:t>
      </w:r>
    </w:p>
    <w:p>
      <w:pPr>
        <w:pStyle w:val="aa"/>
        <w:numPr>
          <w:ilvl w:val="0"/>
          <w:numId w:val="7"/>
        </w:numPr>
        <w:tabs>
          <w:tab w:val="left" w:pos="993"/>
        </w:tabs>
        <w:spacing w:line="240" w:lineRule="auto"/>
        <w:rPr>
          <w:sz w:val="24"/>
          <w:szCs w:val="24"/>
        </w:rPr>
      </w:pPr>
      <w:r>
        <w:rPr>
          <w:sz w:val="24"/>
          <w:szCs w:val="24"/>
        </w:rPr>
        <w:t>бумажные и прочие сгораемые материальные носители уничтожаются путем измельчения на мелкие части, исключающего возможность последующего восстановления информации (</w:t>
      </w:r>
      <w:proofErr w:type="spellStart"/>
      <w:r>
        <w:rPr>
          <w:sz w:val="24"/>
          <w:szCs w:val="24"/>
        </w:rPr>
        <w:t>шредирование</w:t>
      </w:r>
      <w:proofErr w:type="spellEnd"/>
      <w:r>
        <w:rPr>
          <w:sz w:val="24"/>
          <w:szCs w:val="24"/>
        </w:rPr>
        <w:t>), или термической обработки (сжигание).</w:t>
      </w:r>
    </w:p>
    <w:p>
      <w:pPr>
        <w:pStyle w:val="2"/>
        <w:tabs>
          <w:tab w:val="left" w:pos="1134"/>
        </w:tabs>
        <w:spacing w:line="240" w:lineRule="auto"/>
        <w:ind w:left="0"/>
        <w:rPr>
          <w:sz w:val="24"/>
          <w:szCs w:val="24"/>
        </w:rPr>
      </w:pPr>
      <w:r>
        <w:rPr>
          <w:sz w:val="24"/>
          <w:szCs w:val="24"/>
        </w:rPr>
        <w:t>При уничтожении персональных данных из информационных систем персональных данных должны быть соблюдены следующие правила:</w:t>
      </w:r>
    </w:p>
    <w:p>
      <w:pPr>
        <w:pStyle w:val="aa"/>
        <w:numPr>
          <w:ilvl w:val="0"/>
          <w:numId w:val="8"/>
        </w:numPr>
        <w:tabs>
          <w:tab w:val="left" w:pos="993"/>
        </w:tabs>
        <w:spacing w:line="240" w:lineRule="auto"/>
        <w:rPr>
          <w:sz w:val="24"/>
          <w:szCs w:val="24"/>
        </w:rPr>
      </w:pPr>
      <w:r>
        <w:rPr>
          <w:sz w:val="24"/>
          <w:szCs w:val="24"/>
        </w:rPr>
        <w:t>удаление персональных данных из информационной системы персональных данных должно производится способом, исключающим возможность восстановления удаленных персональных данных;</w:t>
      </w:r>
    </w:p>
    <w:p>
      <w:pPr>
        <w:pStyle w:val="aa"/>
        <w:numPr>
          <w:ilvl w:val="0"/>
          <w:numId w:val="8"/>
        </w:numPr>
        <w:tabs>
          <w:tab w:val="left" w:pos="993"/>
        </w:tabs>
        <w:spacing w:line="240" w:lineRule="auto"/>
        <w:rPr>
          <w:sz w:val="24"/>
          <w:szCs w:val="24"/>
        </w:rPr>
      </w:pPr>
      <w:r>
        <w:rPr>
          <w:sz w:val="24"/>
          <w:szCs w:val="24"/>
        </w:rPr>
        <w:t>удаление персональных данных конкретного субъекта из информационной системы персональных данных не должно привести к изменению или удалению персональных данных другого субъекта персональных данных.</w:t>
      </w:r>
    </w:p>
    <w:p>
      <w:pPr>
        <w:pStyle w:val="aa"/>
        <w:tabs>
          <w:tab w:val="left" w:pos="993"/>
        </w:tabs>
        <w:spacing w:line="240" w:lineRule="auto"/>
        <w:ind w:left="708"/>
        <w:rPr>
          <w:sz w:val="24"/>
          <w:szCs w:val="24"/>
        </w:rPr>
      </w:pPr>
    </w:p>
    <w:p>
      <w:pPr>
        <w:pStyle w:val="1"/>
        <w:numPr>
          <w:ilvl w:val="0"/>
          <w:numId w:val="0"/>
        </w:numPr>
        <w:spacing w:before="0" w:line="240" w:lineRule="auto"/>
        <w:rPr>
          <w:b w:val="0"/>
          <w:sz w:val="24"/>
          <w:szCs w:val="24"/>
        </w:rPr>
      </w:pPr>
      <w:r>
        <w:rPr>
          <w:b w:val="0"/>
          <w:sz w:val="24"/>
          <w:szCs w:val="24"/>
          <w:lang w:val="en-US"/>
        </w:rPr>
        <w:t>iV</w:t>
      </w:r>
      <w:r>
        <w:rPr>
          <w:b w:val="0"/>
          <w:sz w:val="24"/>
          <w:szCs w:val="24"/>
        </w:rPr>
        <w:t xml:space="preserve">. Документирование результатов уничтожения </w:t>
      </w:r>
      <w:r>
        <w:rPr>
          <w:b w:val="0"/>
          <w:sz w:val="24"/>
          <w:szCs w:val="24"/>
        </w:rPr>
        <w:br/>
        <w:t>персональных данных</w:t>
      </w:r>
    </w:p>
    <w:p/>
    <w:p>
      <w:pPr>
        <w:pStyle w:val="2"/>
        <w:tabs>
          <w:tab w:val="left" w:pos="1134"/>
        </w:tabs>
        <w:spacing w:line="240" w:lineRule="auto"/>
        <w:ind w:left="0"/>
        <w:rPr>
          <w:sz w:val="24"/>
          <w:szCs w:val="24"/>
        </w:rPr>
      </w:pPr>
      <w:r>
        <w:rPr>
          <w:sz w:val="24"/>
          <w:szCs w:val="24"/>
        </w:rPr>
        <w:t>По факту уничтожения персональных данных комиссией оформляется акт об уничтожении персональных данных (далее - акт) по прилагаемой форме.</w:t>
      </w:r>
    </w:p>
    <w:p>
      <w:pPr>
        <w:pStyle w:val="2"/>
        <w:tabs>
          <w:tab w:val="left" w:pos="1134"/>
        </w:tabs>
        <w:spacing w:line="240" w:lineRule="auto"/>
        <w:ind w:left="0"/>
        <w:rPr>
          <w:sz w:val="24"/>
          <w:szCs w:val="24"/>
        </w:rPr>
      </w:pPr>
      <w:r>
        <w:rPr>
          <w:sz w:val="24"/>
          <w:szCs w:val="24"/>
        </w:rPr>
        <w:t>Акт должен содержать следующую информацию:</w:t>
      </w:r>
    </w:p>
    <w:p>
      <w:pPr>
        <w:pStyle w:val="aa"/>
        <w:numPr>
          <w:ilvl w:val="0"/>
          <w:numId w:val="2"/>
        </w:numPr>
        <w:tabs>
          <w:tab w:val="left" w:pos="993"/>
        </w:tabs>
        <w:spacing w:line="240" w:lineRule="auto"/>
        <w:rPr>
          <w:sz w:val="24"/>
          <w:szCs w:val="24"/>
        </w:rPr>
      </w:pPr>
      <w:r>
        <w:rPr>
          <w:sz w:val="24"/>
          <w:szCs w:val="24"/>
        </w:rPr>
        <w:t>наименование и адрес Финансового управления;</w:t>
      </w:r>
    </w:p>
    <w:p>
      <w:pPr>
        <w:pStyle w:val="aa"/>
        <w:numPr>
          <w:ilvl w:val="0"/>
          <w:numId w:val="2"/>
        </w:numPr>
        <w:tabs>
          <w:tab w:val="left" w:pos="993"/>
        </w:tabs>
        <w:spacing w:line="240" w:lineRule="auto"/>
        <w:rPr>
          <w:sz w:val="24"/>
          <w:szCs w:val="24"/>
        </w:rPr>
      </w:pPr>
      <w:r>
        <w:rPr>
          <w:sz w:val="24"/>
          <w:szCs w:val="24"/>
        </w:rPr>
        <w:t>наименование (юридического лица) или фамилию, имя, отчество (при наличии) (физического лица), адрес лица (лиц), осуществляющего (осуществляющих) обработку персональных данных субъекта (субъектов) персональных данных по поручению Финансового управления (если обработка была поручена такому (таким) лицу (лицам);</w:t>
      </w:r>
    </w:p>
    <w:p>
      <w:pPr>
        <w:pStyle w:val="aa"/>
        <w:numPr>
          <w:ilvl w:val="0"/>
          <w:numId w:val="2"/>
        </w:numPr>
        <w:tabs>
          <w:tab w:val="left" w:pos="993"/>
        </w:tabs>
        <w:spacing w:line="240" w:lineRule="auto"/>
        <w:rPr>
          <w:sz w:val="24"/>
          <w:szCs w:val="24"/>
        </w:rPr>
      </w:pPr>
      <w:r>
        <w:rPr>
          <w:sz w:val="24"/>
          <w:szCs w:val="24"/>
        </w:rPr>
        <w:t>фамилию, имя, отчество (при наличии) субъекта (субъектов) или иную информацию, относящуюся к определенному (определенным) физическому (физическим) лицу (лицам), чьи персональные данные были уничтожены;</w:t>
      </w:r>
    </w:p>
    <w:p>
      <w:pPr>
        <w:pStyle w:val="aa"/>
        <w:numPr>
          <w:ilvl w:val="0"/>
          <w:numId w:val="2"/>
        </w:numPr>
        <w:tabs>
          <w:tab w:val="left" w:pos="993"/>
        </w:tabs>
        <w:spacing w:line="240" w:lineRule="auto"/>
        <w:rPr>
          <w:sz w:val="24"/>
          <w:szCs w:val="24"/>
        </w:rPr>
      </w:pPr>
      <w:r>
        <w:rPr>
          <w:sz w:val="24"/>
          <w:szCs w:val="24"/>
        </w:rPr>
        <w:t>фамилию, имя, отчество (при наличии) и должности лиц, входящих в состав комиссии, а также их подписи;</w:t>
      </w:r>
    </w:p>
    <w:p>
      <w:pPr>
        <w:pStyle w:val="aa"/>
        <w:numPr>
          <w:ilvl w:val="0"/>
          <w:numId w:val="2"/>
        </w:numPr>
        <w:tabs>
          <w:tab w:val="left" w:pos="993"/>
        </w:tabs>
        <w:spacing w:line="240" w:lineRule="auto"/>
        <w:rPr>
          <w:sz w:val="24"/>
          <w:szCs w:val="24"/>
        </w:rPr>
      </w:pPr>
      <w:r>
        <w:rPr>
          <w:sz w:val="24"/>
          <w:szCs w:val="24"/>
        </w:rPr>
        <w:lastRenderedPageBreak/>
        <w:t xml:space="preserve">перечень </w:t>
      </w:r>
      <w:proofErr w:type="gramStart"/>
      <w:r>
        <w:rPr>
          <w:sz w:val="24"/>
          <w:szCs w:val="24"/>
        </w:rPr>
        <w:t>категорий</w:t>
      </w:r>
      <w:proofErr w:type="gramEnd"/>
      <w:r>
        <w:rPr>
          <w:sz w:val="24"/>
          <w:szCs w:val="24"/>
        </w:rPr>
        <w:t xml:space="preserve"> уничтоженных персональных данных субъекта (субъектов) персональных данных;</w:t>
      </w:r>
    </w:p>
    <w:p>
      <w:pPr>
        <w:pStyle w:val="aa"/>
        <w:numPr>
          <w:ilvl w:val="0"/>
          <w:numId w:val="2"/>
        </w:numPr>
        <w:tabs>
          <w:tab w:val="left" w:pos="993"/>
        </w:tabs>
        <w:spacing w:line="240" w:lineRule="auto"/>
        <w:rPr>
          <w:sz w:val="24"/>
          <w:szCs w:val="24"/>
        </w:rPr>
      </w:pPr>
      <w:r>
        <w:rPr>
          <w:sz w:val="24"/>
          <w:szCs w:val="24"/>
        </w:rPr>
        <w:t>наименование уничтоженного материального (материальных) носителя (носителей), содержащего (содержащих) персональные данные субъекта (субъектов) персональных данных, с указанием количества листов в отношении каждого материального носителя;</w:t>
      </w:r>
    </w:p>
    <w:p>
      <w:pPr>
        <w:pStyle w:val="aa"/>
        <w:numPr>
          <w:ilvl w:val="0"/>
          <w:numId w:val="2"/>
        </w:numPr>
        <w:tabs>
          <w:tab w:val="left" w:pos="993"/>
        </w:tabs>
        <w:spacing w:line="240" w:lineRule="auto"/>
        <w:rPr>
          <w:sz w:val="24"/>
          <w:szCs w:val="24"/>
        </w:rPr>
      </w:pPr>
      <w:r>
        <w:rPr>
          <w:sz w:val="24"/>
          <w:szCs w:val="24"/>
        </w:rPr>
        <w:t>наименование информационной (информационных) системы (систем) персональных данных, из которой (которых) были уничтожены персональные данные субъекта (субъектов) персональных данных;</w:t>
      </w:r>
    </w:p>
    <w:p>
      <w:pPr>
        <w:pStyle w:val="aa"/>
        <w:numPr>
          <w:ilvl w:val="0"/>
          <w:numId w:val="2"/>
        </w:numPr>
        <w:tabs>
          <w:tab w:val="left" w:pos="993"/>
        </w:tabs>
        <w:spacing w:line="240" w:lineRule="auto"/>
        <w:rPr>
          <w:sz w:val="24"/>
          <w:szCs w:val="24"/>
        </w:rPr>
      </w:pPr>
      <w:r>
        <w:rPr>
          <w:sz w:val="24"/>
          <w:szCs w:val="24"/>
        </w:rPr>
        <w:t>способ уничтожения персональных данных;</w:t>
      </w:r>
    </w:p>
    <w:p>
      <w:pPr>
        <w:pStyle w:val="aa"/>
        <w:numPr>
          <w:ilvl w:val="0"/>
          <w:numId w:val="2"/>
        </w:numPr>
        <w:tabs>
          <w:tab w:val="left" w:pos="993"/>
        </w:tabs>
        <w:spacing w:line="240" w:lineRule="auto"/>
        <w:rPr>
          <w:sz w:val="24"/>
          <w:szCs w:val="24"/>
        </w:rPr>
      </w:pPr>
      <w:r>
        <w:rPr>
          <w:sz w:val="24"/>
          <w:szCs w:val="24"/>
        </w:rPr>
        <w:t>причину уничтожения персональных данных;</w:t>
      </w:r>
    </w:p>
    <w:p>
      <w:pPr>
        <w:pStyle w:val="aa"/>
        <w:numPr>
          <w:ilvl w:val="0"/>
          <w:numId w:val="2"/>
        </w:numPr>
        <w:tabs>
          <w:tab w:val="left" w:pos="1134"/>
        </w:tabs>
        <w:spacing w:line="240" w:lineRule="auto"/>
        <w:rPr>
          <w:sz w:val="24"/>
          <w:szCs w:val="24"/>
        </w:rPr>
      </w:pPr>
      <w:r>
        <w:rPr>
          <w:sz w:val="24"/>
          <w:szCs w:val="24"/>
        </w:rPr>
        <w:t>дату уничтожения персональных данных субъекта (субъектов) персональных данных.</w:t>
      </w:r>
    </w:p>
    <w:p>
      <w:pPr>
        <w:pStyle w:val="2"/>
        <w:tabs>
          <w:tab w:val="left" w:pos="1134"/>
        </w:tabs>
        <w:spacing w:line="240" w:lineRule="auto"/>
        <w:ind w:left="0"/>
        <w:rPr>
          <w:sz w:val="24"/>
          <w:szCs w:val="24"/>
        </w:rPr>
      </w:pPr>
      <w:r>
        <w:rPr>
          <w:sz w:val="24"/>
          <w:szCs w:val="24"/>
        </w:rPr>
        <w:t>В случае уничтожения персональных данных из информационной системы персональных данных дополнительным документом, подтверждающим уничтожение персональных данных субъектов персональных данных, является выгрузка из журнала регистрации событий в информационной системе персональных данных (далее - выгрузка из журнала).</w:t>
      </w:r>
    </w:p>
    <w:p>
      <w:pPr>
        <w:pStyle w:val="2"/>
        <w:tabs>
          <w:tab w:val="left" w:pos="1134"/>
        </w:tabs>
        <w:spacing w:line="240" w:lineRule="auto"/>
        <w:ind w:left="0"/>
        <w:rPr>
          <w:sz w:val="24"/>
          <w:szCs w:val="24"/>
        </w:rPr>
      </w:pPr>
      <w:r>
        <w:rPr>
          <w:sz w:val="24"/>
          <w:szCs w:val="24"/>
        </w:rPr>
        <w:t>Выгрузка из журнала должна содержать следующую информацию:</w:t>
      </w:r>
    </w:p>
    <w:p>
      <w:pPr>
        <w:pStyle w:val="2"/>
        <w:numPr>
          <w:ilvl w:val="0"/>
          <w:numId w:val="9"/>
        </w:numPr>
        <w:tabs>
          <w:tab w:val="left" w:pos="993"/>
        </w:tabs>
        <w:spacing w:line="240" w:lineRule="auto"/>
        <w:ind w:left="0" w:firstLine="709"/>
        <w:rPr>
          <w:sz w:val="24"/>
          <w:szCs w:val="24"/>
        </w:rPr>
      </w:pPr>
      <w:r>
        <w:rPr>
          <w:sz w:val="24"/>
          <w:szCs w:val="24"/>
        </w:rPr>
        <w:t>фамилию, имя, отчество (при наличии) субъекта (субъектов) или иную информацию, относящуюся к определенному (определенным) физическому (физическим) лицу (лицам), чьи персональные данные были уничтожены;</w:t>
      </w:r>
    </w:p>
    <w:p>
      <w:pPr>
        <w:pStyle w:val="2"/>
        <w:numPr>
          <w:ilvl w:val="0"/>
          <w:numId w:val="9"/>
        </w:numPr>
        <w:tabs>
          <w:tab w:val="left" w:pos="993"/>
        </w:tabs>
        <w:spacing w:line="240" w:lineRule="auto"/>
        <w:ind w:left="0" w:firstLine="709"/>
        <w:rPr>
          <w:sz w:val="24"/>
          <w:szCs w:val="24"/>
        </w:rPr>
      </w:pPr>
      <w:r>
        <w:rPr>
          <w:sz w:val="24"/>
          <w:szCs w:val="24"/>
        </w:rPr>
        <w:t xml:space="preserve">перечень </w:t>
      </w:r>
      <w:proofErr w:type="gramStart"/>
      <w:r>
        <w:rPr>
          <w:sz w:val="24"/>
          <w:szCs w:val="24"/>
        </w:rPr>
        <w:t>категорий</w:t>
      </w:r>
      <w:proofErr w:type="gramEnd"/>
      <w:r>
        <w:rPr>
          <w:sz w:val="24"/>
          <w:szCs w:val="24"/>
        </w:rPr>
        <w:t xml:space="preserve"> уничтоженных персональных данных субъекта (субъектов) персональных данных;</w:t>
      </w:r>
    </w:p>
    <w:p>
      <w:pPr>
        <w:pStyle w:val="2"/>
        <w:numPr>
          <w:ilvl w:val="0"/>
          <w:numId w:val="9"/>
        </w:numPr>
        <w:tabs>
          <w:tab w:val="left" w:pos="993"/>
        </w:tabs>
        <w:spacing w:line="240" w:lineRule="auto"/>
        <w:ind w:left="0" w:firstLine="709"/>
        <w:rPr>
          <w:sz w:val="24"/>
          <w:szCs w:val="24"/>
        </w:rPr>
      </w:pPr>
      <w:r>
        <w:rPr>
          <w:sz w:val="24"/>
          <w:szCs w:val="24"/>
        </w:rPr>
        <w:t>наименование информационной системы персональных данных, из которой были уничтожены персональные данные субъекта (субъектов) персональных данных;</w:t>
      </w:r>
    </w:p>
    <w:p>
      <w:pPr>
        <w:pStyle w:val="2"/>
        <w:numPr>
          <w:ilvl w:val="0"/>
          <w:numId w:val="9"/>
        </w:numPr>
        <w:tabs>
          <w:tab w:val="left" w:pos="993"/>
        </w:tabs>
        <w:spacing w:line="240" w:lineRule="auto"/>
        <w:ind w:left="0" w:firstLine="709"/>
        <w:rPr>
          <w:sz w:val="24"/>
          <w:szCs w:val="24"/>
        </w:rPr>
      </w:pPr>
      <w:r>
        <w:rPr>
          <w:sz w:val="24"/>
          <w:szCs w:val="24"/>
        </w:rPr>
        <w:t>причину уничтожения персональных данных;</w:t>
      </w:r>
    </w:p>
    <w:p>
      <w:pPr>
        <w:pStyle w:val="2"/>
        <w:numPr>
          <w:ilvl w:val="0"/>
          <w:numId w:val="9"/>
        </w:numPr>
        <w:tabs>
          <w:tab w:val="left" w:pos="993"/>
        </w:tabs>
        <w:spacing w:line="240" w:lineRule="auto"/>
        <w:ind w:left="0" w:firstLine="709"/>
        <w:rPr>
          <w:sz w:val="24"/>
          <w:szCs w:val="24"/>
        </w:rPr>
      </w:pPr>
      <w:r>
        <w:rPr>
          <w:sz w:val="24"/>
          <w:szCs w:val="24"/>
        </w:rPr>
        <w:t>дату уничтожения персональных данных субъекта (субъектов) персональных данных.</w:t>
      </w:r>
    </w:p>
    <w:p>
      <w:pPr>
        <w:pStyle w:val="2"/>
        <w:tabs>
          <w:tab w:val="left" w:pos="1134"/>
        </w:tabs>
        <w:spacing w:line="240" w:lineRule="auto"/>
        <w:ind w:left="0"/>
        <w:rPr>
          <w:sz w:val="24"/>
          <w:szCs w:val="24"/>
        </w:rPr>
      </w:pPr>
      <w:r>
        <w:rPr>
          <w:sz w:val="24"/>
          <w:szCs w:val="24"/>
        </w:rPr>
        <w:t>В случае если выгрузка из журнала не позволяет указать отдельные сведения, указанные в пункте 16 Положения, недостающие сведения вносятся в акт.</w:t>
      </w:r>
    </w:p>
    <w:p>
      <w:pPr>
        <w:pStyle w:val="2"/>
        <w:tabs>
          <w:tab w:val="left" w:pos="1134"/>
        </w:tabs>
        <w:spacing w:line="240" w:lineRule="auto"/>
        <w:ind w:left="0"/>
        <w:rPr>
          <w:sz w:val="24"/>
          <w:szCs w:val="24"/>
        </w:rPr>
      </w:pPr>
      <w:r>
        <w:rPr>
          <w:sz w:val="24"/>
          <w:szCs w:val="24"/>
        </w:rPr>
        <w:t>Комиссия обеспечивает хранение документов, подтверждающих уничтожение персональных данных, в течение трех лет с момента уничтожения персональных данных.</w:t>
      </w:r>
    </w:p>
    <w:p>
      <w:pPr>
        <w:jc w:val="center"/>
      </w:pPr>
    </w:p>
    <w:p/>
    <w:p/>
    <w:p/>
    <w:p/>
    <w:p/>
    <w:p/>
    <w:p/>
    <w:p/>
    <w:p/>
    <w:p/>
    <w:p/>
    <w:p/>
    <w:p/>
    <w:p/>
    <w:p/>
    <w:p>
      <w:pPr>
        <w:sectPr>
          <w:headerReference w:type="default" r:id="rId8"/>
          <w:footerReference w:type="default" r:id="rId9"/>
          <w:footerReference w:type="first" r:id="rId10"/>
          <w:pgSz w:w="11906" w:h="16838"/>
          <w:pgMar w:top="1134" w:right="567" w:bottom="1134" w:left="1701" w:header="567" w:footer="450" w:gutter="0"/>
          <w:cols w:space="708"/>
          <w:titlePg/>
          <w:docGrid w:linePitch="360"/>
        </w:sectPr>
      </w:pPr>
    </w:p>
    <w:p>
      <w:pPr>
        <w:jc w:val="right"/>
        <w:rPr>
          <w:rFonts w:eastAsia="Calibri"/>
          <w:lang w:eastAsia="en-US"/>
        </w:rPr>
      </w:pPr>
      <w:r>
        <w:rPr>
          <w:rFonts w:eastAsia="Calibri"/>
          <w:lang w:eastAsia="en-US"/>
        </w:rPr>
        <w:lastRenderedPageBreak/>
        <w:t>Форма</w:t>
      </w:r>
    </w:p>
    <w:p>
      <w:pPr>
        <w:jc w:val="right"/>
        <w:rPr>
          <w:rFonts w:eastAsia="Calibri"/>
          <w:sz w:val="20"/>
          <w:lang w:eastAsia="en-US"/>
        </w:rPr>
      </w:pPr>
    </w:p>
    <w:p>
      <w:pPr>
        <w:jc w:val="center"/>
        <w:rPr>
          <w:rFonts w:eastAsia="Calibri"/>
          <w:lang w:eastAsia="en-US"/>
        </w:rPr>
      </w:pPr>
      <w:r>
        <w:rPr>
          <w:rFonts w:eastAsia="Calibri"/>
          <w:lang w:eastAsia="en-US"/>
        </w:rPr>
        <w:t>Форма акта об уничтожении персональных данных</w:t>
      </w:r>
    </w:p>
    <w:p>
      <w:pPr>
        <w:jc w:val="center"/>
        <w:rPr>
          <w:rFonts w:eastAsia="Calibri"/>
          <w:sz w:val="16"/>
          <w:lang w:eastAsia="en-US"/>
        </w:rPr>
      </w:pPr>
    </w:p>
    <w:p>
      <w:pPr>
        <w:widowControl w:val="0"/>
        <w:autoSpaceDE w:val="0"/>
        <w:autoSpaceDN w:val="0"/>
        <w:jc w:val="center"/>
      </w:pPr>
      <w:r>
        <w:t xml:space="preserve">Бланк Финансового управления </w:t>
      </w:r>
      <w:proofErr w:type="gramStart"/>
      <w:r>
        <w:t>Администрации</w:t>
      </w:r>
      <w:proofErr w:type="gramEnd"/>
      <w:r>
        <w:t xml:space="preserve"> ЗАТО Северск </w:t>
      </w:r>
    </w:p>
    <w:p>
      <w:pPr>
        <w:widowControl w:val="0"/>
        <w:autoSpaceDE w:val="0"/>
        <w:autoSpaceDN w:val="0"/>
        <w:jc w:val="center"/>
        <w:rPr>
          <w:sz w:val="16"/>
        </w:rPr>
      </w:pPr>
    </w:p>
    <w:p>
      <w:pPr>
        <w:widowControl w:val="0"/>
        <w:autoSpaceDE w:val="0"/>
        <w:autoSpaceDN w:val="0"/>
        <w:jc w:val="center"/>
      </w:pPr>
      <w:r>
        <w:t>Акт об уничтожении персональных данных</w:t>
      </w:r>
    </w:p>
    <w:p>
      <w:pPr>
        <w:jc w:val="both"/>
        <w:rPr>
          <w:rFonts w:eastAsia="Calibri"/>
          <w:sz w:val="20"/>
        </w:rPr>
      </w:pPr>
    </w:p>
    <w:p>
      <w:pPr>
        <w:ind w:firstLine="709"/>
        <w:jc w:val="both"/>
        <w:rPr>
          <w:rFonts w:eastAsia="Calibri"/>
        </w:rPr>
      </w:pPr>
      <w:r>
        <w:rPr>
          <w:rFonts w:eastAsia="Calibri"/>
        </w:rPr>
        <w:t xml:space="preserve">Комиссия по уничтожению персональных данных в Финансовом управлении </w:t>
      </w:r>
      <w:proofErr w:type="gramStart"/>
      <w:r>
        <w:rPr>
          <w:rFonts w:eastAsia="Calibri"/>
        </w:rPr>
        <w:t>Администрации</w:t>
      </w:r>
      <w:proofErr w:type="gramEnd"/>
      <w:r>
        <w:rPr>
          <w:rFonts w:eastAsia="Calibri"/>
        </w:rPr>
        <w:t xml:space="preserve"> ЗАТО Северск в составе:</w:t>
      </w:r>
    </w:p>
    <w:p>
      <w:pPr>
        <w:jc w:val="both"/>
        <w:rPr>
          <w:rFonts w:eastAsia="Calibr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8"/>
        <w:gridCol w:w="5630"/>
      </w:tblGrid>
      <w:tr>
        <w:trPr>
          <w:jc w:val="center"/>
        </w:trPr>
        <w:tc>
          <w:tcPr>
            <w:tcW w:w="5000" w:type="pct"/>
            <w:gridSpan w:val="2"/>
          </w:tcPr>
          <w:p>
            <w:pPr>
              <w:snapToGrid w:val="0"/>
              <w:jc w:val="both"/>
              <w:rPr>
                <w:rFonts w:eastAsia="Calibri"/>
              </w:rPr>
            </w:pPr>
            <w:r>
              <w:rPr>
                <w:rFonts w:eastAsia="Calibri"/>
              </w:rPr>
              <w:t>Председатель комиссии:</w:t>
            </w:r>
          </w:p>
        </w:tc>
      </w:tr>
      <w:tr>
        <w:trPr>
          <w:jc w:val="center"/>
        </w:trPr>
        <w:tc>
          <w:tcPr>
            <w:tcW w:w="2076" w:type="pct"/>
          </w:tcPr>
          <w:p>
            <w:pPr>
              <w:snapToGrid w:val="0"/>
              <w:jc w:val="both"/>
              <w:rPr>
                <w:rFonts w:eastAsia="Calibri"/>
                <w:sz w:val="20"/>
              </w:rPr>
            </w:pPr>
          </w:p>
        </w:tc>
        <w:tc>
          <w:tcPr>
            <w:tcW w:w="2924" w:type="pct"/>
          </w:tcPr>
          <w:p>
            <w:pPr>
              <w:snapToGrid w:val="0"/>
              <w:jc w:val="both"/>
              <w:rPr>
                <w:rFonts w:eastAsia="Calibri"/>
                <w:sz w:val="20"/>
              </w:rPr>
            </w:pPr>
          </w:p>
        </w:tc>
      </w:tr>
      <w:tr>
        <w:trPr>
          <w:jc w:val="center"/>
        </w:trPr>
        <w:tc>
          <w:tcPr>
            <w:tcW w:w="5000" w:type="pct"/>
            <w:gridSpan w:val="2"/>
          </w:tcPr>
          <w:p>
            <w:pPr>
              <w:snapToGrid w:val="0"/>
              <w:jc w:val="both"/>
              <w:rPr>
                <w:rFonts w:eastAsia="Calibri"/>
              </w:rPr>
            </w:pPr>
            <w:r>
              <w:rPr>
                <w:rFonts w:eastAsia="Calibri"/>
              </w:rPr>
              <w:t>Члены комиссии:</w:t>
            </w:r>
          </w:p>
        </w:tc>
      </w:tr>
      <w:tr>
        <w:trPr>
          <w:jc w:val="center"/>
        </w:trPr>
        <w:tc>
          <w:tcPr>
            <w:tcW w:w="2076" w:type="pct"/>
          </w:tcPr>
          <w:p>
            <w:pPr>
              <w:snapToGrid w:val="0"/>
              <w:jc w:val="both"/>
              <w:rPr>
                <w:rFonts w:eastAsia="Calibri"/>
                <w:sz w:val="20"/>
              </w:rPr>
            </w:pPr>
          </w:p>
        </w:tc>
        <w:tc>
          <w:tcPr>
            <w:tcW w:w="2924" w:type="pct"/>
          </w:tcPr>
          <w:p>
            <w:pPr>
              <w:snapToGrid w:val="0"/>
              <w:jc w:val="both"/>
              <w:rPr>
                <w:rFonts w:eastAsia="Calibri"/>
                <w:sz w:val="20"/>
              </w:rPr>
            </w:pPr>
          </w:p>
        </w:tc>
      </w:tr>
      <w:tr>
        <w:trPr>
          <w:jc w:val="center"/>
        </w:trPr>
        <w:tc>
          <w:tcPr>
            <w:tcW w:w="2076" w:type="pct"/>
          </w:tcPr>
          <w:p>
            <w:pPr>
              <w:snapToGrid w:val="0"/>
              <w:jc w:val="both"/>
              <w:rPr>
                <w:rFonts w:eastAsia="Calibri"/>
                <w:sz w:val="20"/>
              </w:rPr>
            </w:pPr>
          </w:p>
        </w:tc>
        <w:tc>
          <w:tcPr>
            <w:tcW w:w="2924" w:type="pct"/>
          </w:tcPr>
          <w:p>
            <w:pPr>
              <w:jc w:val="both"/>
              <w:rPr>
                <w:rFonts w:eastAsia="Calibri"/>
                <w:sz w:val="20"/>
              </w:rPr>
            </w:pPr>
          </w:p>
        </w:tc>
      </w:tr>
      <w:tr>
        <w:trPr>
          <w:jc w:val="center"/>
        </w:trPr>
        <w:tc>
          <w:tcPr>
            <w:tcW w:w="2076" w:type="pct"/>
          </w:tcPr>
          <w:p>
            <w:pPr>
              <w:snapToGrid w:val="0"/>
              <w:jc w:val="both"/>
              <w:rPr>
                <w:rFonts w:eastAsia="Calibri"/>
                <w:sz w:val="20"/>
              </w:rPr>
            </w:pPr>
          </w:p>
        </w:tc>
        <w:tc>
          <w:tcPr>
            <w:tcW w:w="2924" w:type="pct"/>
          </w:tcPr>
          <w:p>
            <w:pPr>
              <w:snapToGrid w:val="0"/>
              <w:jc w:val="both"/>
              <w:rPr>
                <w:rFonts w:eastAsia="Calibri"/>
                <w:sz w:val="20"/>
              </w:rPr>
            </w:pPr>
          </w:p>
        </w:tc>
      </w:tr>
    </w:tbl>
    <w:p>
      <w:pPr>
        <w:jc w:val="both"/>
        <w:rPr>
          <w:rFonts w:eastAsia="Calibri"/>
          <w:sz w:val="20"/>
        </w:rPr>
      </w:pPr>
    </w:p>
    <w:p>
      <w:pPr>
        <w:jc w:val="both"/>
        <w:rPr>
          <w:rFonts w:eastAsia="Calibri"/>
        </w:rPr>
      </w:pPr>
      <w:r>
        <w:rPr>
          <w:rFonts w:eastAsia="Calibri"/>
        </w:rPr>
        <w:t>произвела уничтожение персональных данных в следующем объеме:</w:t>
      </w:r>
    </w:p>
    <w:p>
      <w:pPr>
        <w:jc w:val="both"/>
        <w:rPr>
          <w:rFonts w:eastAsia="Calibri"/>
          <w:sz w:val="20"/>
        </w:rPr>
      </w:pPr>
    </w:p>
    <w:p>
      <w:pPr>
        <w:jc w:val="both"/>
        <w:rPr>
          <w:rFonts w:eastAsia="Calibri"/>
        </w:rPr>
      </w:pPr>
      <w:r>
        <w:rPr>
          <w:rFonts w:eastAsia="Calibri"/>
        </w:rPr>
        <w:t>Наименование материального носителя: _____________________________________________.</w:t>
      </w:r>
    </w:p>
    <w:p>
      <w:pPr>
        <w:jc w:val="both"/>
        <w:rPr>
          <w:rFonts w:eastAsia="Calibri"/>
        </w:rPr>
      </w:pPr>
      <w:r>
        <w:rPr>
          <w:rFonts w:eastAsia="Calibri"/>
        </w:rPr>
        <w:t xml:space="preserve">Количество листов: __________________. </w:t>
      </w:r>
    </w:p>
    <w:p>
      <w:pPr>
        <w:jc w:val="both"/>
        <w:rPr>
          <w:rFonts w:eastAsia="Calibri"/>
        </w:rPr>
      </w:pPr>
      <w:r>
        <w:rPr>
          <w:rFonts w:eastAsia="Calibri"/>
        </w:rPr>
        <w:t>Учетный номер материального носителя_____________________________________________.</w:t>
      </w:r>
    </w:p>
    <w:p>
      <w:pPr>
        <w:rPr>
          <w:rFonts w:eastAsia="Calibri"/>
        </w:rPr>
      </w:pPr>
      <w:r>
        <w:rPr>
          <w:rFonts w:eastAsia="Calibri"/>
        </w:rPr>
        <w:t>Способ уничтожения персональных данных: _________________________________________.</w:t>
      </w:r>
    </w:p>
    <w:p>
      <w:pPr>
        <w:rPr>
          <w:rFonts w:eastAsia="Calibri"/>
        </w:rPr>
      </w:pPr>
      <w:r>
        <w:rPr>
          <w:rFonts w:eastAsia="Calibri"/>
        </w:rPr>
        <w:t>Причина уничтожения персональных данных ________________________________________.</w:t>
      </w:r>
    </w:p>
    <w:p>
      <w:pPr>
        <w:rPr>
          <w:rFonts w:eastAsia="Calibri"/>
        </w:rPr>
      </w:pPr>
      <w:r>
        <w:rPr>
          <w:rFonts w:eastAsia="Calibri"/>
        </w:rPr>
        <w:t>Дата уничтожения персональных данных _____________________.</w:t>
      </w:r>
    </w:p>
    <w:p>
      <w:pPr>
        <w:jc w:val="both"/>
        <w:rPr>
          <w:rFonts w:eastAsia="Calibri"/>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08"/>
        <w:gridCol w:w="4820"/>
      </w:tblGrid>
      <w:tr>
        <w:trPr>
          <w:trHeight w:val="20"/>
          <w:jc w:val="center"/>
        </w:trPr>
        <w:tc>
          <w:tcPr>
            <w:tcW w:w="2497" w:type="pct"/>
          </w:tcPr>
          <w:p>
            <w:pPr>
              <w:snapToGrid w:val="0"/>
              <w:jc w:val="center"/>
              <w:rPr>
                <w:rFonts w:eastAsia="Calibri"/>
              </w:rPr>
            </w:pPr>
            <w:r>
              <w:rPr>
                <w:rFonts w:eastAsia="Calibri"/>
              </w:rPr>
              <w:t>ФИО субъектов персональных данных</w:t>
            </w:r>
          </w:p>
        </w:tc>
        <w:tc>
          <w:tcPr>
            <w:tcW w:w="2503" w:type="pct"/>
            <w:vAlign w:val="center"/>
          </w:tcPr>
          <w:p>
            <w:pPr>
              <w:snapToGrid w:val="0"/>
              <w:jc w:val="center"/>
              <w:rPr>
                <w:rFonts w:eastAsia="Calibri"/>
              </w:rPr>
            </w:pPr>
            <w:r>
              <w:rPr>
                <w:rFonts w:eastAsia="Calibri"/>
              </w:rPr>
              <w:t>Перечень персональных данных</w:t>
            </w:r>
          </w:p>
        </w:tc>
      </w:tr>
      <w:tr>
        <w:trPr>
          <w:jc w:val="center"/>
        </w:trPr>
        <w:tc>
          <w:tcPr>
            <w:tcW w:w="2497" w:type="pct"/>
          </w:tcPr>
          <w:p>
            <w:pPr>
              <w:snapToGrid w:val="0"/>
              <w:jc w:val="both"/>
              <w:rPr>
                <w:rFonts w:eastAsia="Calibri"/>
              </w:rPr>
            </w:pPr>
          </w:p>
        </w:tc>
        <w:tc>
          <w:tcPr>
            <w:tcW w:w="2503" w:type="pct"/>
          </w:tcPr>
          <w:p>
            <w:pPr>
              <w:snapToGrid w:val="0"/>
              <w:jc w:val="both"/>
              <w:rPr>
                <w:rFonts w:eastAsia="Calibri"/>
              </w:rPr>
            </w:pPr>
          </w:p>
        </w:tc>
      </w:tr>
      <w:tr>
        <w:trPr>
          <w:jc w:val="center"/>
        </w:trPr>
        <w:tc>
          <w:tcPr>
            <w:tcW w:w="2497" w:type="pct"/>
          </w:tcPr>
          <w:p>
            <w:pPr>
              <w:snapToGrid w:val="0"/>
              <w:jc w:val="both"/>
              <w:rPr>
                <w:rFonts w:eastAsia="Calibri"/>
              </w:rPr>
            </w:pPr>
          </w:p>
        </w:tc>
        <w:tc>
          <w:tcPr>
            <w:tcW w:w="2503" w:type="pct"/>
          </w:tcPr>
          <w:p>
            <w:pPr>
              <w:snapToGrid w:val="0"/>
              <w:jc w:val="both"/>
              <w:rPr>
                <w:rFonts w:eastAsia="Calibri"/>
              </w:rPr>
            </w:pPr>
          </w:p>
        </w:tc>
      </w:tr>
    </w:tbl>
    <w:p>
      <w:pPr>
        <w:jc w:val="both"/>
        <w:rPr>
          <w:rFonts w:eastAsia="Calibri"/>
          <w:sz w:val="20"/>
        </w:rPr>
      </w:pPr>
    </w:p>
    <w:p>
      <w:pPr>
        <w:jc w:val="both"/>
        <w:rPr>
          <w:rFonts w:eastAsia="Calibri"/>
        </w:rPr>
      </w:pPr>
      <w:r>
        <w:rPr>
          <w:rFonts w:eastAsia="Calibri"/>
        </w:rPr>
        <w:t>Всего уничтожено __________________ записей.</w:t>
      </w:r>
    </w:p>
    <w:p>
      <w:pPr>
        <w:jc w:val="both"/>
        <w:rPr>
          <w:rFonts w:eastAsia="Calibri"/>
          <w:sz w:val="20"/>
        </w:rPr>
      </w:pPr>
    </w:p>
    <w:p>
      <w:pPr>
        <w:jc w:val="both"/>
        <w:rPr>
          <w:rFonts w:eastAsia="Calibri"/>
        </w:rPr>
      </w:pPr>
      <w:r>
        <w:rPr>
          <w:rFonts w:eastAsia="Calibri"/>
        </w:rPr>
        <w:t>Наименование информационной системы персональных данных: ________________________.</w:t>
      </w:r>
    </w:p>
    <w:p>
      <w:pPr>
        <w:rPr>
          <w:rFonts w:eastAsia="Calibri"/>
        </w:rPr>
      </w:pPr>
      <w:r>
        <w:rPr>
          <w:rFonts w:eastAsia="Calibri"/>
        </w:rPr>
        <w:t>Способ уничтожения персональных данных _________________________________________.</w:t>
      </w:r>
    </w:p>
    <w:p>
      <w:pPr>
        <w:rPr>
          <w:rFonts w:eastAsia="Calibri"/>
        </w:rPr>
      </w:pPr>
      <w:r>
        <w:rPr>
          <w:rFonts w:eastAsia="Calibri"/>
        </w:rPr>
        <w:t>Причина уничтожения персональных данных ________________________________________.</w:t>
      </w:r>
    </w:p>
    <w:p>
      <w:pPr>
        <w:rPr>
          <w:rFonts w:eastAsia="Calibri"/>
        </w:rPr>
      </w:pPr>
      <w:r>
        <w:rPr>
          <w:rFonts w:eastAsia="Calibri"/>
        </w:rPr>
        <w:t>Дата уничтожения персональных данных _____________________.</w:t>
      </w:r>
    </w:p>
    <w:p>
      <w:pPr>
        <w:jc w:val="both"/>
        <w:rPr>
          <w:rFonts w:eastAsia="Calibri"/>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08"/>
        <w:gridCol w:w="4820"/>
      </w:tblGrid>
      <w:tr>
        <w:trPr>
          <w:trHeight w:val="20"/>
          <w:jc w:val="center"/>
        </w:trPr>
        <w:tc>
          <w:tcPr>
            <w:tcW w:w="2497" w:type="pct"/>
          </w:tcPr>
          <w:p>
            <w:pPr>
              <w:snapToGrid w:val="0"/>
              <w:jc w:val="center"/>
              <w:rPr>
                <w:rFonts w:eastAsia="Calibri"/>
              </w:rPr>
            </w:pPr>
            <w:r>
              <w:rPr>
                <w:rFonts w:eastAsia="Calibri"/>
              </w:rPr>
              <w:t>ФИО субъектов персональных данных</w:t>
            </w:r>
          </w:p>
        </w:tc>
        <w:tc>
          <w:tcPr>
            <w:tcW w:w="2503" w:type="pct"/>
            <w:vAlign w:val="center"/>
          </w:tcPr>
          <w:p>
            <w:pPr>
              <w:snapToGrid w:val="0"/>
              <w:jc w:val="center"/>
              <w:rPr>
                <w:rFonts w:eastAsia="Calibri"/>
              </w:rPr>
            </w:pPr>
            <w:r>
              <w:rPr>
                <w:rFonts w:eastAsia="Calibri"/>
              </w:rPr>
              <w:t>Перечень персональных данных</w:t>
            </w:r>
          </w:p>
        </w:tc>
      </w:tr>
      <w:tr>
        <w:trPr>
          <w:jc w:val="center"/>
        </w:trPr>
        <w:tc>
          <w:tcPr>
            <w:tcW w:w="2497" w:type="pct"/>
          </w:tcPr>
          <w:p>
            <w:pPr>
              <w:jc w:val="both"/>
              <w:rPr>
                <w:rFonts w:eastAsia="Calibri"/>
                <w:sz w:val="20"/>
              </w:rPr>
            </w:pPr>
          </w:p>
        </w:tc>
        <w:tc>
          <w:tcPr>
            <w:tcW w:w="2503" w:type="pct"/>
          </w:tcPr>
          <w:p>
            <w:pPr>
              <w:jc w:val="both"/>
              <w:rPr>
                <w:rFonts w:eastAsia="Calibri"/>
                <w:sz w:val="20"/>
              </w:rPr>
            </w:pPr>
          </w:p>
        </w:tc>
      </w:tr>
      <w:tr>
        <w:trPr>
          <w:jc w:val="center"/>
        </w:trPr>
        <w:tc>
          <w:tcPr>
            <w:tcW w:w="2497" w:type="pct"/>
          </w:tcPr>
          <w:p>
            <w:pPr>
              <w:jc w:val="both"/>
              <w:rPr>
                <w:rFonts w:eastAsia="Calibri"/>
                <w:sz w:val="20"/>
              </w:rPr>
            </w:pPr>
          </w:p>
        </w:tc>
        <w:tc>
          <w:tcPr>
            <w:tcW w:w="2503" w:type="pct"/>
          </w:tcPr>
          <w:p>
            <w:pPr>
              <w:jc w:val="both"/>
              <w:rPr>
                <w:rFonts w:eastAsia="Calibri"/>
                <w:sz w:val="20"/>
              </w:rPr>
            </w:pPr>
          </w:p>
        </w:tc>
      </w:tr>
    </w:tbl>
    <w:p>
      <w:pPr>
        <w:jc w:val="both"/>
        <w:rPr>
          <w:rFonts w:eastAsia="Calibri"/>
          <w:sz w:val="20"/>
        </w:rPr>
      </w:pPr>
    </w:p>
    <w:p>
      <w:pPr>
        <w:jc w:val="both"/>
        <w:rPr>
          <w:rFonts w:eastAsia="Calibri"/>
        </w:rPr>
      </w:pPr>
      <w:r>
        <w:rPr>
          <w:rFonts w:eastAsia="Calibri"/>
        </w:rPr>
        <w:t>Всего уничтожено __________________ записей.</w:t>
      </w:r>
    </w:p>
    <w:p>
      <w:pPr>
        <w:jc w:val="both"/>
        <w:rPr>
          <w:rFonts w:eastAsia="Calibri"/>
          <w:sz w:val="20"/>
        </w:rPr>
      </w:pPr>
    </w:p>
    <w:p>
      <w:pPr>
        <w:jc w:val="both"/>
        <w:rPr>
          <w:rFonts w:eastAsia="Calibri"/>
        </w:rPr>
      </w:pPr>
      <w:r>
        <w:rPr>
          <w:rFonts w:eastAsia="Calibri"/>
        </w:rPr>
        <w:t>Правильность записей в акте проверил: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8"/>
      </w:tblGrid>
      <w:tr>
        <w:trPr>
          <w:trHeight w:val="278"/>
        </w:trPr>
        <w:tc>
          <w:tcPr>
            <w:tcW w:w="5000" w:type="pct"/>
            <w:tcBorders>
              <w:top w:val="nil"/>
              <w:left w:val="nil"/>
              <w:bottom w:val="single" w:sz="4" w:space="0" w:color="auto"/>
              <w:right w:val="nil"/>
            </w:tcBorders>
          </w:tcPr>
          <w:p>
            <w:pPr>
              <w:jc w:val="both"/>
            </w:pPr>
          </w:p>
        </w:tc>
      </w:tr>
      <w:tr>
        <w:trPr>
          <w:trHeight w:val="278"/>
        </w:trPr>
        <w:tc>
          <w:tcPr>
            <w:tcW w:w="5000" w:type="pct"/>
            <w:tcBorders>
              <w:top w:val="single" w:sz="4" w:space="0" w:color="auto"/>
              <w:left w:val="nil"/>
              <w:bottom w:val="nil"/>
              <w:right w:val="nil"/>
            </w:tcBorders>
          </w:tcPr>
          <w:p>
            <w:pPr>
              <w:jc w:val="center"/>
              <w:rPr>
                <w:rFonts w:eastAsia="Calibri"/>
              </w:rPr>
            </w:pPr>
            <w:r>
              <w:rPr>
                <w:rFonts w:eastAsia="Calibri"/>
              </w:rPr>
              <w:t>(подпись)</w:t>
            </w:r>
          </w:p>
        </w:tc>
      </w:tr>
    </w:tbl>
    <w:p>
      <w:pPr>
        <w:jc w:val="both"/>
        <w:rPr>
          <w:rFonts w:eastAsia="Calibri"/>
          <w:sz w:val="20"/>
        </w:rPr>
      </w:pPr>
    </w:p>
    <w:tbl>
      <w:tblPr>
        <w:tblStyle w:val="1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8"/>
        <w:gridCol w:w="6170"/>
      </w:tblGrid>
      <w:tr>
        <w:tc>
          <w:tcPr>
            <w:tcW w:w="1977" w:type="pct"/>
          </w:tcPr>
          <w:p>
            <w:pPr>
              <w:widowControl w:val="0"/>
              <w:tabs>
                <w:tab w:val="left" w:pos="993"/>
              </w:tabs>
              <w:suppressAutoHyphens/>
              <w:autoSpaceDE w:val="0"/>
              <w:autoSpaceDN w:val="0"/>
              <w:adjustRightInd w:val="0"/>
              <w:rPr>
                <w:color w:val="000000"/>
              </w:rPr>
            </w:pPr>
            <w:r>
              <w:t>Председатель комиссии:</w:t>
            </w:r>
          </w:p>
        </w:tc>
        <w:tc>
          <w:tcPr>
            <w:tcW w:w="3023" w:type="pct"/>
            <w:vMerge w:val="restart"/>
          </w:tcPr>
          <w:tbl>
            <w:tblPr>
              <w:tblStyle w:val="10"/>
              <w:tblpPr w:leftFromText="180" w:rightFromText="180" w:vertAnchor="text" w:horzAnchor="margin" w:tblpY="3"/>
              <w:tblOverlap w:val="never"/>
              <w:tblW w:w="5954" w:type="dxa"/>
              <w:tblLook w:val="04A0" w:firstRow="1" w:lastRow="0" w:firstColumn="1" w:lastColumn="0" w:noHBand="0" w:noVBand="1"/>
            </w:tblPr>
            <w:tblGrid>
              <w:gridCol w:w="2213"/>
              <w:gridCol w:w="3741"/>
            </w:tblGrid>
            <w:tr>
              <w:tc>
                <w:tcPr>
                  <w:tcW w:w="1985" w:type="dxa"/>
                  <w:tcBorders>
                    <w:top w:val="nil"/>
                    <w:left w:val="nil"/>
                    <w:bottom w:val="single" w:sz="4" w:space="0" w:color="auto"/>
                    <w:right w:val="nil"/>
                  </w:tcBorders>
                </w:tcPr>
                <w:p>
                  <w:pPr>
                    <w:widowControl w:val="0"/>
                    <w:tabs>
                      <w:tab w:val="left" w:pos="993"/>
                    </w:tabs>
                    <w:suppressAutoHyphens/>
                    <w:autoSpaceDE w:val="0"/>
                    <w:autoSpaceDN w:val="0"/>
                    <w:adjustRightInd w:val="0"/>
                    <w:rPr>
                      <w:color w:val="000000"/>
                      <w:sz w:val="20"/>
                    </w:rPr>
                  </w:pPr>
                </w:p>
              </w:tc>
              <w:tc>
                <w:tcPr>
                  <w:tcW w:w="3356" w:type="dxa"/>
                  <w:tcBorders>
                    <w:top w:val="nil"/>
                    <w:left w:val="nil"/>
                    <w:bottom w:val="nil"/>
                    <w:right w:val="nil"/>
                  </w:tcBorders>
                  <w:vAlign w:val="bottom"/>
                </w:tcPr>
                <w:p>
                  <w:pPr>
                    <w:widowControl w:val="0"/>
                    <w:tabs>
                      <w:tab w:val="left" w:pos="993"/>
                    </w:tabs>
                    <w:suppressAutoHyphens/>
                    <w:autoSpaceDE w:val="0"/>
                    <w:autoSpaceDN w:val="0"/>
                    <w:adjustRightInd w:val="0"/>
                    <w:rPr>
                      <w:color w:val="000000"/>
                      <w:sz w:val="20"/>
                    </w:rPr>
                  </w:pPr>
                </w:p>
              </w:tc>
            </w:tr>
            <w:tr>
              <w:tc>
                <w:tcPr>
                  <w:tcW w:w="1985" w:type="dxa"/>
                  <w:tcBorders>
                    <w:top w:val="single" w:sz="4" w:space="0" w:color="auto"/>
                    <w:left w:val="nil"/>
                    <w:bottom w:val="nil"/>
                    <w:right w:val="nil"/>
                  </w:tcBorders>
                </w:tcPr>
                <w:p>
                  <w:pPr>
                    <w:widowControl w:val="0"/>
                    <w:tabs>
                      <w:tab w:val="left" w:pos="993"/>
                    </w:tabs>
                    <w:suppressAutoHyphens/>
                    <w:autoSpaceDE w:val="0"/>
                    <w:autoSpaceDN w:val="0"/>
                    <w:adjustRightInd w:val="0"/>
                    <w:rPr>
                      <w:sz w:val="20"/>
                    </w:rPr>
                  </w:pPr>
                </w:p>
              </w:tc>
              <w:tc>
                <w:tcPr>
                  <w:tcW w:w="3356" w:type="dxa"/>
                  <w:tcBorders>
                    <w:top w:val="nil"/>
                    <w:left w:val="nil"/>
                    <w:bottom w:val="nil"/>
                    <w:right w:val="nil"/>
                  </w:tcBorders>
                </w:tcPr>
                <w:p>
                  <w:pPr>
                    <w:widowControl w:val="0"/>
                    <w:tabs>
                      <w:tab w:val="left" w:pos="993"/>
                    </w:tabs>
                    <w:suppressAutoHyphens/>
                    <w:autoSpaceDE w:val="0"/>
                    <w:autoSpaceDN w:val="0"/>
                    <w:adjustRightInd w:val="0"/>
                    <w:rPr>
                      <w:sz w:val="20"/>
                    </w:rPr>
                  </w:pPr>
                </w:p>
              </w:tc>
            </w:tr>
            <w:tr>
              <w:tc>
                <w:tcPr>
                  <w:tcW w:w="1985" w:type="dxa"/>
                  <w:tcBorders>
                    <w:top w:val="nil"/>
                    <w:left w:val="nil"/>
                    <w:bottom w:val="single" w:sz="4" w:space="0" w:color="auto"/>
                    <w:right w:val="nil"/>
                  </w:tcBorders>
                </w:tcPr>
                <w:p>
                  <w:pPr>
                    <w:widowControl w:val="0"/>
                    <w:tabs>
                      <w:tab w:val="left" w:pos="993"/>
                    </w:tabs>
                    <w:suppressAutoHyphens/>
                    <w:autoSpaceDE w:val="0"/>
                    <w:autoSpaceDN w:val="0"/>
                    <w:adjustRightInd w:val="0"/>
                    <w:rPr>
                      <w:sz w:val="20"/>
                    </w:rPr>
                  </w:pPr>
                </w:p>
              </w:tc>
              <w:tc>
                <w:tcPr>
                  <w:tcW w:w="3356" w:type="dxa"/>
                  <w:tcBorders>
                    <w:top w:val="nil"/>
                    <w:left w:val="nil"/>
                    <w:bottom w:val="nil"/>
                    <w:right w:val="nil"/>
                  </w:tcBorders>
                  <w:vAlign w:val="bottom"/>
                </w:tcPr>
                <w:p>
                  <w:pPr>
                    <w:widowControl w:val="0"/>
                    <w:tabs>
                      <w:tab w:val="left" w:pos="993"/>
                    </w:tabs>
                    <w:suppressAutoHyphens/>
                    <w:autoSpaceDE w:val="0"/>
                    <w:autoSpaceDN w:val="0"/>
                    <w:adjustRightInd w:val="0"/>
                    <w:rPr>
                      <w:sz w:val="20"/>
                    </w:rPr>
                  </w:pPr>
                </w:p>
              </w:tc>
            </w:tr>
            <w:tr>
              <w:tc>
                <w:tcPr>
                  <w:tcW w:w="1985" w:type="dxa"/>
                  <w:tcBorders>
                    <w:top w:val="single" w:sz="4" w:space="0" w:color="auto"/>
                    <w:left w:val="nil"/>
                    <w:bottom w:val="single" w:sz="4" w:space="0" w:color="auto"/>
                    <w:right w:val="nil"/>
                  </w:tcBorders>
                </w:tcPr>
                <w:p>
                  <w:pPr>
                    <w:widowControl w:val="0"/>
                    <w:tabs>
                      <w:tab w:val="left" w:pos="993"/>
                    </w:tabs>
                    <w:suppressAutoHyphens/>
                    <w:autoSpaceDE w:val="0"/>
                    <w:autoSpaceDN w:val="0"/>
                    <w:adjustRightInd w:val="0"/>
                    <w:rPr>
                      <w:sz w:val="20"/>
                    </w:rPr>
                  </w:pPr>
                </w:p>
              </w:tc>
              <w:tc>
                <w:tcPr>
                  <w:tcW w:w="3356" w:type="dxa"/>
                  <w:tcBorders>
                    <w:top w:val="nil"/>
                    <w:left w:val="nil"/>
                    <w:bottom w:val="nil"/>
                    <w:right w:val="nil"/>
                  </w:tcBorders>
                  <w:vAlign w:val="bottom"/>
                </w:tcPr>
                <w:p>
                  <w:pPr>
                    <w:widowControl w:val="0"/>
                    <w:tabs>
                      <w:tab w:val="left" w:pos="993"/>
                    </w:tabs>
                    <w:suppressAutoHyphens/>
                    <w:autoSpaceDE w:val="0"/>
                    <w:autoSpaceDN w:val="0"/>
                    <w:adjustRightInd w:val="0"/>
                    <w:rPr>
                      <w:sz w:val="20"/>
                    </w:rPr>
                  </w:pPr>
                </w:p>
              </w:tc>
            </w:tr>
            <w:tr>
              <w:tc>
                <w:tcPr>
                  <w:tcW w:w="1985" w:type="dxa"/>
                  <w:tcBorders>
                    <w:top w:val="single" w:sz="4" w:space="0" w:color="auto"/>
                    <w:left w:val="nil"/>
                    <w:bottom w:val="single" w:sz="4" w:space="0" w:color="auto"/>
                    <w:right w:val="nil"/>
                  </w:tcBorders>
                </w:tcPr>
                <w:p>
                  <w:pPr>
                    <w:widowControl w:val="0"/>
                    <w:tabs>
                      <w:tab w:val="left" w:pos="993"/>
                    </w:tabs>
                    <w:suppressAutoHyphens/>
                    <w:autoSpaceDE w:val="0"/>
                    <w:autoSpaceDN w:val="0"/>
                    <w:adjustRightInd w:val="0"/>
                    <w:rPr>
                      <w:sz w:val="20"/>
                    </w:rPr>
                  </w:pPr>
                </w:p>
              </w:tc>
              <w:tc>
                <w:tcPr>
                  <w:tcW w:w="3356" w:type="dxa"/>
                  <w:tcBorders>
                    <w:top w:val="nil"/>
                    <w:left w:val="nil"/>
                    <w:bottom w:val="nil"/>
                    <w:right w:val="nil"/>
                  </w:tcBorders>
                  <w:vAlign w:val="bottom"/>
                </w:tcPr>
                <w:p>
                  <w:pPr>
                    <w:widowControl w:val="0"/>
                    <w:tabs>
                      <w:tab w:val="left" w:pos="993"/>
                    </w:tabs>
                    <w:suppressAutoHyphens/>
                    <w:autoSpaceDE w:val="0"/>
                    <w:autoSpaceDN w:val="0"/>
                    <w:adjustRightInd w:val="0"/>
                    <w:rPr>
                      <w:sz w:val="20"/>
                    </w:rPr>
                  </w:pPr>
                </w:p>
              </w:tc>
            </w:tr>
            <w:tr>
              <w:tc>
                <w:tcPr>
                  <w:tcW w:w="1985" w:type="dxa"/>
                  <w:tcBorders>
                    <w:top w:val="single" w:sz="4" w:space="0" w:color="auto"/>
                    <w:left w:val="nil"/>
                    <w:bottom w:val="nil"/>
                    <w:right w:val="nil"/>
                  </w:tcBorders>
                </w:tcPr>
                <w:p>
                  <w:pPr>
                    <w:widowControl w:val="0"/>
                    <w:tabs>
                      <w:tab w:val="left" w:pos="993"/>
                    </w:tabs>
                    <w:suppressAutoHyphens/>
                    <w:autoSpaceDE w:val="0"/>
                    <w:autoSpaceDN w:val="0"/>
                    <w:adjustRightInd w:val="0"/>
                    <w:rPr>
                      <w:sz w:val="20"/>
                    </w:rPr>
                  </w:pPr>
                </w:p>
              </w:tc>
              <w:tc>
                <w:tcPr>
                  <w:tcW w:w="3356" w:type="dxa"/>
                  <w:tcBorders>
                    <w:top w:val="nil"/>
                    <w:left w:val="nil"/>
                    <w:bottom w:val="nil"/>
                    <w:right w:val="nil"/>
                  </w:tcBorders>
                  <w:vAlign w:val="bottom"/>
                </w:tcPr>
                <w:p>
                  <w:pPr>
                    <w:widowControl w:val="0"/>
                    <w:tabs>
                      <w:tab w:val="left" w:pos="993"/>
                    </w:tabs>
                    <w:suppressAutoHyphens/>
                    <w:autoSpaceDE w:val="0"/>
                    <w:autoSpaceDN w:val="0"/>
                    <w:adjustRightInd w:val="0"/>
                    <w:rPr>
                      <w:sz w:val="20"/>
                    </w:rPr>
                  </w:pPr>
                </w:p>
              </w:tc>
            </w:tr>
          </w:tbl>
          <w:p>
            <w:pPr>
              <w:widowControl w:val="0"/>
              <w:tabs>
                <w:tab w:val="left" w:pos="993"/>
              </w:tabs>
              <w:suppressAutoHyphens/>
              <w:autoSpaceDE w:val="0"/>
              <w:autoSpaceDN w:val="0"/>
              <w:adjustRightInd w:val="0"/>
              <w:rPr>
                <w:color w:val="000000"/>
              </w:rPr>
            </w:pPr>
          </w:p>
        </w:tc>
      </w:tr>
      <w:tr>
        <w:tc>
          <w:tcPr>
            <w:tcW w:w="1977" w:type="pct"/>
          </w:tcPr>
          <w:p>
            <w:pPr>
              <w:widowControl w:val="0"/>
              <w:tabs>
                <w:tab w:val="left" w:pos="993"/>
              </w:tabs>
              <w:suppressAutoHyphens/>
              <w:autoSpaceDE w:val="0"/>
              <w:autoSpaceDN w:val="0"/>
              <w:adjustRightInd w:val="0"/>
              <w:rPr>
                <w:lang w:val="en-US"/>
              </w:rPr>
            </w:pPr>
          </w:p>
        </w:tc>
        <w:tc>
          <w:tcPr>
            <w:tcW w:w="3023" w:type="pct"/>
            <w:vMerge/>
          </w:tcPr>
          <w:p>
            <w:pPr>
              <w:widowControl w:val="0"/>
              <w:tabs>
                <w:tab w:val="left" w:pos="993"/>
              </w:tabs>
              <w:suppressAutoHyphens/>
              <w:autoSpaceDE w:val="0"/>
              <w:autoSpaceDN w:val="0"/>
              <w:adjustRightInd w:val="0"/>
              <w:rPr>
                <w:lang w:val="en-US"/>
              </w:rPr>
            </w:pPr>
          </w:p>
        </w:tc>
      </w:tr>
      <w:tr>
        <w:tc>
          <w:tcPr>
            <w:tcW w:w="1977" w:type="pct"/>
          </w:tcPr>
          <w:p>
            <w:pPr>
              <w:widowControl w:val="0"/>
              <w:tabs>
                <w:tab w:val="left" w:pos="993"/>
              </w:tabs>
              <w:suppressAutoHyphens/>
              <w:autoSpaceDE w:val="0"/>
              <w:autoSpaceDN w:val="0"/>
              <w:adjustRightInd w:val="0"/>
            </w:pPr>
            <w:r>
              <w:t>Члены комиссии:</w:t>
            </w:r>
          </w:p>
        </w:tc>
        <w:tc>
          <w:tcPr>
            <w:tcW w:w="3023" w:type="pct"/>
            <w:vMerge/>
          </w:tcPr>
          <w:p>
            <w:pPr>
              <w:widowControl w:val="0"/>
              <w:tabs>
                <w:tab w:val="left" w:pos="993"/>
              </w:tabs>
              <w:suppressAutoHyphens/>
              <w:autoSpaceDE w:val="0"/>
              <w:autoSpaceDN w:val="0"/>
              <w:adjustRightInd w:val="0"/>
            </w:pPr>
          </w:p>
        </w:tc>
      </w:tr>
    </w:tbl>
    <w:p>
      <w:pPr>
        <w:jc w:val="both"/>
        <w:rPr>
          <w:rFonts w:eastAsia="Calibri"/>
          <w:sz w:val="20"/>
        </w:rPr>
      </w:pPr>
    </w:p>
    <w:p>
      <w:pPr>
        <w:jc w:val="both"/>
        <w:rPr>
          <w:rFonts w:eastAsia="Calibri"/>
        </w:rPr>
      </w:pPr>
      <w:r>
        <w:rPr>
          <w:rFonts w:eastAsia="Calibri"/>
        </w:rPr>
        <w:t>«_____»_______________20__г.</w:t>
      </w:r>
    </w:p>
    <w:sectPr>
      <w:headerReference w:type="default" r:id="rId11"/>
      <w:headerReference w:type="first" r:id="rId12"/>
      <w:pgSz w:w="11906" w:h="16838"/>
      <w:pgMar w:top="1134" w:right="567" w:bottom="1134" w:left="1701" w:header="567" w:footer="45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6"/>
      <w:rPr>
        <w:sz w:val="20"/>
      </w:rPr>
    </w:pPr>
    <w:r>
      <w:rPr>
        <w:sz w:val="20"/>
      </w:rPr>
      <w:t>Внутренний номер: 0350757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6"/>
      <w:rPr>
        <w:sz w:val="16"/>
      </w:rPr>
    </w:pPr>
    <w:r>
      <w:rPr>
        <w:sz w:val="20"/>
      </w:rPr>
      <w:t>Внутренний номер: 0350757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4678692"/>
      <w:docPartObj>
        <w:docPartGallery w:val="Page Numbers (Top of Page)"/>
        <w:docPartUnique/>
      </w:docPartObj>
    </w:sdtPr>
    <w:sdtContent>
      <w:p>
        <w:pPr>
          <w:pStyle w:val="a4"/>
          <w:jc w:val="center"/>
        </w:pPr>
        <w:r>
          <w:fldChar w:fldCharType="begin"/>
        </w:r>
        <w:r>
          <w:instrText>PAGE   \* MERGEFORMAT</w:instrText>
        </w:r>
        <w:r>
          <w:fldChar w:fldCharType="separate"/>
        </w:r>
        <w:r>
          <w:rPr>
            <w:noProof/>
          </w:rPr>
          <w:t>4</w:t>
        </w:r>
        <w:r>
          <w:fldChar w:fldCharType="end"/>
        </w:r>
      </w:p>
    </w:sdtContent>
  </w:sdt>
  <w:p>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4"/>
      <w:jc w:val="center"/>
    </w:pPr>
  </w:p>
  <w:p>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F0B57"/>
    <w:multiLevelType w:val="multilevel"/>
    <w:tmpl w:val="EA2C30FA"/>
    <w:lvl w:ilvl="0">
      <w:start w:val="1"/>
      <w:numFmt w:val="decimal"/>
      <w:pStyle w:val="1"/>
      <w:suff w:val="space"/>
      <w:lvlText w:val="%1."/>
      <w:lvlJc w:val="left"/>
      <w:pPr>
        <w:ind w:left="0" w:firstLine="709"/>
      </w:pPr>
      <w:rPr>
        <w:rFonts w:hint="default"/>
      </w:rPr>
    </w:lvl>
    <w:lvl w:ilvl="1">
      <w:start w:val="1"/>
      <w:numFmt w:val="decimal"/>
      <w:pStyle w:val="2"/>
      <w:lvlText w:val="%2."/>
      <w:lvlJc w:val="left"/>
      <w:pPr>
        <w:ind w:left="709" w:firstLine="709"/>
      </w:pPr>
      <w:rPr>
        <w:rFonts w:hint="default"/>
        <w:u w:val="none"/>
      </w:rPr>
    </w:lvl>
    <w:lvl w:ilvl="2">
      <w:start w:val="1"/>
      <w:numFmt w:val="bullet"/>
      <w:lvlText w:val=""/>
      <w:lvlJc w:val="left"/>
      <w:pPr>
        <w:tabs>
          <w:tab w:val="num" w:pos="1276"/>
        </w:tabs>
        <w:ind w:left="0" w:firstLine="709"/>
      </w:pPr>
      <w:rPr>
        <w:rFonts w:ascii="Symbol" w:hAnsi="Symbol" w:hint="default"/>
      </w:rPr>
    </w:lvl>
    <w:lvl w:ilvl="3">
      <w:start w:val="1"/>
      <w:numFmt w:val="decimal"/>
      <w:lvlText w:val="(%4)"/>
      <w:lvlJc w:val="left"/>
      <w:pPr>
        <w:ind w:left="1298" w:hanging="360"/>
      </w:pPr>
      <w:rPr>
        <w:rFonts w:hint="default"/>
      </w:rPr>
    </w:lvl>
    <w:lvl w:ilvl="4">
      <w:start w:val="1"/>
      <w:numFmt w:val="lowerLetter"/>
      <w:lvlText w:val="(%5)"/>
      <w:lvlJc w:val="left"/>
      <w:pPr>
        <w:ind w:left="1658" w:hanging="360"/>
      </w:pPr>
      <w:rPr>
        <w:rFonts w:hint="default"/>
      </w:rPr>
    </w:lvl>
    <w:lvl w:ilvl="5">
      <w:start w:val="1"/>
      <w:numFmt w:val="lowerRoman"/>
      <w:lvlText w:val="(%6)"/>
      <w:lvlJc w:val="left"/>
      <w:pPr>
        <w:ind w:left="2018" w:hanging="360"/>
      </w:pPr>
      <w:rPr>
        <w:rFonts w:hint="default"/>
      </w:rPr>
    </w:lvl>
    <w:lvl w:ilvl="6">
      <w:start w:val="1"/>
      <w:numFmt w:val="decimal"/>
      <w:lvlText w:val="%7."/>
      <w:lvlJc w:val="left"/>
      <w:pPr>
        <w:ind w:left="2378" w:hanging="360"/>
      </w:pPr>
      <w:rPr>
        <w:rFonts w:hint="default"/>
      </w:rPr>
    </w:lvl>
    <w:lvl w:ilvl="7">
      <w:start w:val="1"/>
      <w:numFmt w:val="lowerLetter"/>
      <w:lvlText w:val="%8."/>
      <w:lvlJc w:val="left"/>
      <w:pPr>
        <w:ind w:left="2738" w:hanging="360"/>
      </w:pPr>
      <w:rPr>
        <w:rFonts w:hint="default"/>
      </w:rPr>
    </w:lvl>
    <w:lvl w:ilvl="8">
      <w:start w:val="1"/>
      <w:numFmt w:val="lowerRoman"/>
      <w:lvlText w:val="%9."/>
      <w:lvlJc w:val="left"/>
      <w:pPr>
        <w:ind w:left="3098" w:hanging="360"/>
      </w:pPr>
      <w:rPr>
        <w:rFonts w:hint="default"/>
      </w:rPr>
    </w:lvl>
  </w:abstractNum>
  <w:abstractNum w:abstractNumId="1">
    <w:nsid w:val="190D4222"/>
    <w:multiLevelType w:val="multilevel"/>
    <w:tmpl w:val="C9EAA802"/>
    <w:lvl w:ilvl="0">
      <w:start w:val="1"/>
      <w:numFmt w:val="decimal"/>
      <w:lvlText w:val="%1)"/>
      <w:lvlJc w:val="left"/>
      <w:pPr>
        <w:ind w:left="0" w:firstLine="708"/>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F2803AD"/>
    <w:multiLevelType w:val="multilevel"/>
    <w:tmpl w:val="6136E53C"/>
    <w:lvl w:ilvl="0">
      <w:start w:val="1"/>
      <w:numFmt w:val="decimal"/>
      <w:lvlText w:val="%1)"/>
      <w:lvlJc w:val="left"/>
      <w:pPr>
        <w:ind w:left="0" w:firstLine="708"/>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FEF52B8"/>
    <w:multiLevelType w:val="multilevel"/>
    <w:tmpl w:val="39049FFA"/>
    <w:lvl w:ilvl="0">
      <w:start w:val="1"/>
      <w:numFmt w:val="bullet"/>
      <w:lvlText w:val="-"/>
      <w:lvlJc w:val="left"/>
      <w:pPr>
        <w:ind w:left="0" w:firstLine="708"/>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2C742A5A"/>
    <w:multiLevelType w:val="multilevel"/>
    <w:tmpl w:val="D7881DFC"/>
    <w:lvl w:ilvl="0">
      <w:start w:val="1"/>
      <w:numFmt w:val="decimal"/>
      <w:lvlText w:val="%1)"/>
      <w:lvlJc w:val="left"/>
      <w:pPr>
        <w:ind w:left="0" w:firstLine="708"/>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5D39186F"/>
    <w:multiLevelType w:val="multilevel"/>
    <w:tmpl w:val="3B605700"/>
    <w:lvl w:ilvl="0">
      <w:start w:val="1"/>
      <w:numFmt w:val="decimal"/>
      <w:lvlText w:val="%1)"/>
      <w:lvlJc w:val="left"/>
      <w:pPr>
        <w:ind w:left="0" w:firstLine="708"/>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6A0F035F"/>
    <w:multiLevelType w:val="multilevel"/>
    <w:tmpl w:val="FBDA6040"/>
    <w:lvl w:ilvl="0">
      <w:start w:val="1"/>
      <w:numFmt w:val="decimal"/>
      <w:lvlText w:val="%1)"/>
      <w:lvlJc w:val="left"/>
      <w:pPr>
        <w:ind w:left="0" w:firstLine="708"/>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6A3C4211"/>
    <w:multiLevelType w:val="hybridMultilevel"/>
    <w:tmpl w:val="74C664FE"/>
    <w:lvl w:ilvl="0" w:tplc="04190011">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8">
    <w:nsid w:val="6C456FD9"/>
    <w:multiLevelType w:val="multilevel"/>
    <w:tmpl w:val="FBDA6040"/>
    <w:styleLink w:val="a"/>
    <w:lvl w:ilvl="0">
      <w:start w:val="1"/>
      <w:numFmt w:val="decimal"/>
      <w:lvlText w:val="%1)"/>
      <w:lvlJc w:val="left"/>
      <w:pPr>
        <w:ind w:left="0" w:firstLine="708"/>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8"/>
    <w:lvlOverride w:ilvl="0">
      <w:lvl w:ilvl="0">
        <w:start w:val="1"/>
        <w:numFmt w:val="decimal"/>
        <w:lvlText w:val="%1)"/>
        <w:lvlJc w:val="left"/>
        <w:pPr>
          <w:ind w:left="0" w:firstLine="708"/>
        </w:pPr>
        <w:rPr>
          <w:rFonts w:hint="default"/>
        </w:rPr>
      </w:lvl>
    </w:lvlOverride>
  </w:num>
  <w:num w:numId="3">
    <w:abstractNumId w:val="3"/>
  </w:num>
  <w:num w:numId="4">
    <w:abstractNumId w:val="1"/>
  </w:num>
  <w:num w:numId="5">
    <w:abstractNumId w:val="5"/>
  </w:num>
  <w:num w:numId="6">
    <w:abstractNumId w:val="2"/>
  </w:num>
  <w:num w:numId="7">
    <w:abstractNumId w:val="4"/>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BFEBEBD0-2CAD-4905-A355-A36E376CA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pPr>
      <w:tabs>
        <w:tab w:val="center" w:pos="4677"/>
        <w:tab w:val="right" w:pos="9355"/>
      </w:tabs>
    </w:pPr>
  </w:style>
  <w:style w:type="character" w:customStyle="1" w:styleId="a5">
    <w:name w:val="Верхний колонтитул Знак"/>
    <w:basedOn w:val="a1"/>
    <w:link w:val="a4"/>
    <w:uiPriority w:val="99"/>
    <w:rPr>
      <w:sz w:val="24"/>
      <w:szCs w:val="24"/>
    </w:rPr>
  </w:style>
  <w:style w:type="paragraph" w:styleId="a6">
    <w:name w:val="footer"/>
    <w:basedOn w:val="a0"/>
    <w:link w:val="a7"/>
    <w:uiPriority w:val="99"/>
    <w:unhideWhenUsed/>
    <w:pPr>
      <w:tabs>
        <w:tab w:val="center" w:pos="4677"/>
        <w:tab w:val="right" w:pos="9355"/>
      </w:tabs>
    </w:pPr>
  </w:style>
  <w:style w:type="character" w:customStyle="1" w:styleId="a7">
    <w:name w:val="Нижний колонтитул Знак"/>
    <w:basedOn w:val="a1"/>
    <w:link w:val="a6"/>
    <w:uiPriority w:val="99"/>
    <w:rPr>
      <w:sz w:val="24"/>
      <w:szCs w:val="24"/>
    </w:rPr>
  </w:style>
  <w:style w:type="paragraph" w:styleId="a8">
    <w:name w:val="Balloon Text"/>
    <w:basedOn w:val="a0"/>
    <w:link w:val="a9"/>
    <w:uiPriority w:val="99"/>
    <w:semiHidden/>
    <w:unhideWhenUsed/>
    <w:rPr>
      <w:rFonts w:ascii="Segoe UI" w:hAnsi="Segoe UI" w:cs="Segoe UI"/>
      <w:sz w:val="18"/>
      <w:szCs w:val="18"/>
    </w:rPr>
  </w:style>
  <w:style w:type="character" w:customStyle="1" w:styleId="a9">
    <w:name w:val="Текст выноски Знак"/>
    <w:basedOn w:val="a1"/>
    <w:link w:val="a8"/>
    <w:uiPriority w:val="99"/>
    <w:semiHidden/>
    <w:rPr>
      <w:rFonts w:ascii="Segoe UI" w:hAnsi="Segoe UI" w:cs="Segoe UI"/>
      <w:sz w:val="18"/>
      <w:szCs w:val="18"/>
    </w:rPr>
  </w:style>
  <w:style w:type="paragraph" w:customStyle="1" w:styleId="1">
    <w:name w:val="Большой список уровень 1"/>
    <w:basedOn w:val="a0"/>
    <w:next w:val="a0"/>
    <w:qFormat/>
    <w:pPr>
      <w:keepNext/>
      <w:numPr>
        <w:numId w:val="1"/>
      </w:numPr>
      <w:spacing w:before="360" w:line="276" w:lineRule="auto"/>
      <w:jc w:val="center"/>
    </w:pPr>
    <w:rPr>
      <w:b/>
      <w:bCs/>
      <w:caps/>
      <w:sz w:val="26"/>
      <w:szCs w:val="28"/>
    </w:rPr>
  </w:style>
  <w:style w:type="paragraph" w:customStyle="1" w:styleId="2">
    <w:name w:val="Большой список уровень 2"/>
    <w:basedOn w:val="a0"/>
    <w:qFormat/>
    <w:pPr>
      <w:numPr>
        <w:ilvl w:val="1"/>
        <w:numId w:val="1"/>
      </w:numPr>
      <w:spacing w:line="276" w:lineRule="auto"/>
      <w:jc w:val="both"/>
    </w:pPr>
    <w:rPr>
      <w:rFonts w:eastAsiaTheme="minorHAnsi"/>
      <w:sz w:val="26"/>
      <w:szCs w:val="28"/>
      <w:lang w:eastAsia="en-US"/>
    </w:rPr>
  </w:style>
  <w:style w:type="paragraph" w:customStyle="1" w:styleId="aa">
    <w:name w:val="Большой список маркированный"/>
    <w:basedOn w:val="a0"/>
    <w:qFormat/>
    <w:pPr>
      <w:widowControl w:val="0"/>
      <w:spacing w:line="276" w:lineRule="auto"/>
      <w:jc w:val="both"/>
    </w:pPr>
    <w:rPr>
      <w:rFonts w:eastAsiaTheme="minorHAnsi"/>
      <w:sz w:val="26"/>
      <w:szCs w:val="28"/>
      <w:lang w:eastAsia="en-US"/>
    </w:rPr>
  </w:style>
  <w:style w:type="numbering" w:customStyle="1" w:styleId="a">
    <w:name w:val="Список с маркерами"/>
    <w:uiPriority w:val="99"/>
    <w:pPr>
      <w:numPr>
        <w:numId w:val="10"/>
      </w:numPr>
    </w:pPr>
  </w:style>
  <w:style w:type="table" w:customStyle="1" w:styleId="10">
    <w:name w:val="Сетка таблицы1"/>
    <w:basedOn w:val="a2"/>
    <w:next w:val="ab"/>
    <w:uiPriority w:val="59"/>
    <w:pPr>
      <w:spacing w:line="276" w:lineRule="auto"/>
      <w:jc w:val="both"/>
    </w:pPr>
    <w:rPr>
      <w:rFonts w:eastAsia="Calibri"/>
      <w:szCs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b">
    <w:name w:val="Table Grid"/>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0"/>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3A543-D570-4F06-AEBD-E1DC68C41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5</Pages>
  <Words>1929</Words>
  <Characters>10996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12900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Чечнёва Н.А.</dc:creator>
  <cp:keywords/>
  <dc:description/>
  <cp:lastModifiedBy>Чечнёва Н.А.</cp:lastModifiedBy>
  <cp:revision>13</cp:revision>
  <cp:lastPrinted>2025-06-05T09:43:00Z</cp:lastPrinted>
  <dcterms:created xsi:type="dcterms:W3CDTF">2025-05-19T08:14:00Z</dcterms:created>
  <dcterms:modified xsi:type="dcterms:W3CDTF">2025-06-19T06:41:00Z</dcterms:modified>
</cp:coreProperties>
</file>