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</w:pPr>
      <w:r>
        <w:t>УТВЕРЖДЕН</w:t>
      </w:r>
    </w:p>
    <w:p>
      <w:pPr>
        <w:ind w:left="6379"/>
      </w:pPr>
      <w:r>
        <w:t xml:space="preserve">приказом начальника Финансового управления </w:t>
      </w:r>
    </w:p>
    <w:p>
      <w:pPr>
        <w:ind w:left="6379"/>
      </w:pPr>
      <w:r>
        <w:t>Администрации ЗАТО Северск</w:t>
      </w:r>
      <w:r>
        <w:br/>
        <w:t>от 19.06.2025</w:t>
      </w:r>
      <w:bookmarkStart w:id="0" w:name="_GoBack"/>
      <w:bookmarkEnd w:id="0"/>
      <w:r>
        <w:t xml:space="preserve"> № 71</w:t>
      </w:r>
    </w:p>
    <w:p>
      <w:pPr>
        <w:ind w:left="6096"/>
      </w:pPr>
    </w:p>
    <w:p>
      <w:pPr>
        <w:ind w:left="6096"/>
      </w:pPr>
    </w:p>
    <w:p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ПОРЯДОК</w:t>
      </w:r>
    </w:p>
    <w:p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хранения, использования и передачи персональных данных</w:t>
      </w:r>
    </w:p>
    <w:p>
      <w:pPr>
        <w:jc w:val="center"/>
      </w:pPr>
      <w:r>
        <w:rPr>
          <w:rFonts w:eastAsia="Calibri"/>
          <w:lang w:eastAsia="en-US"/>
        </w:rPr>
        <w:t xml:space="preserve">работников Финансового управления </w:t>
      </w:r>
      <w:proofErr w:type="gramStart"/>
      <w:r>
        <w:rPr>
          <w:rFonts w:eastAsia="Calibri"/>
          <w:lang w:eastAsia="en-US"/>
        </w:rPr>
        <w:t>Администрации</w:t>
      </w:r>
      <w:proofErr w:type="gramEnd"/>
      <w:r>
        <w:rPr>
          <w:rFonts w:eastAsia="Calibri"/>
          <w:lang w:eastAsia="en-US"/>
        </w:rPr>
        <w:t xml:space="preserve"> ЗАТО Северск</w:t>
      </w:r>
    </w:p>
    <w:p>
      <w:pPr>
        <w:keepNext/>
        <w:rPr>
          <w:bCs/>
          <w:caps/>
        </w:rPr>
      </w:pPr>
    </w:p>
    <w:p>
      <w:pPr>
        <w:keepNext/>
        <w:jc w:val="center"/>
        <w:rPr>
          <w:bCs/>
          <w:caps/>
        </w:rPr>
      </w:pPr>
      <w:r>
        <w:rPr>
          <w:bCs/>
          <w:caps/>
          <w:lang w:val="en-US"/>
        </w:rPr>
        <w:t>i</w:t>
      </w:r>
      <w:r>
        <w:rPr>
          <w:bCs/>
          <w:caps/>
        </w:rPr>
        <w:t>. Общие положения</w:t>
      </w:r>
    </w:p>
    <w:p>
      <w:pPr>
        <w:tabs>
          <w:tab w:val="left" w:pos="993"/>
        </w:tabs>
        <w:ind w:firstLine="709"/>
        <w:jc w:val="both"/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Порядок хранения, использования и передачи персональных данных работников Финансового управления </w:t>
      </w:r>
      <w:proofErr w:type="gramStart"/>
      <w:r>
        <w:rPr>
          <w:rFonts w:eastAsia="Calibri"/>
        </w:rPr>
        <w:t>Администрации</w:t>
      </w:r>
      <w:proofErr w:type="gramEnd"/>
      <w:r>
        <w:rPr>
          <w:rFonts w:eastAsia="Calibri"/>
        </w:rPr>
        <w:t xml:space="preserve"> ЗАТО Северск (далее соответственно -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Финансовое управление, Порядок) разработан в соответствии со </w:t>
      </w:r>
      <w:r>
        <w:rPr>
          <w:rFonts w:cs="Times New Roman CYR"/>
        </w:rPr>
        <w:t>статьями 87, 88 Трудового кодекса Российской Федерации</w:t>
      </w:r>
      <w:r>
        <w:rPr>
          <w:rFonts w:eastAsia="Calibri"/>
        </w:rPr>
        <w:t>, Федеральным законом от 27.07.2006 № 152-ФЗ «О персональных данных».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>Порядок разработан в целях:</w:t>
      </w:r>
    </w:p>
    <w:p>
      <w:pPr>
        <w:pStyle w:val="a8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определения порядка обработки (хранения, использования, передачи)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управления; </w:t>
      </w:r>
    </w:p>
    <w:p>
      <w:pPr>
        <w:pStyle w:val="a8"/>
        <w:numPr>
          <w:ilvl w:val="0"/>
          <w:numId w:val="6"/>
        </w:numPr>
        <w:tabs>
          <w:tab w:val="left" w:pos="851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обеспечения защиты прав и свобод работников Финансового управления при обработке 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tabs>
          <w:tab w:val="left" w:pos="993"/>
        </w:tabs>
        <w:jc w:val="both"/>
        <w:rPr>
          <w:rFonts w:eastAsia="Calibri"/>
        </w:rPr>
      </w:pPr>
    </w:p>
    <w:p>
      <w:pPr>
        <w:tabs>
          <w:tab w:val="left" w:pos="993"/>
        </w:tabs>
        <w:jc w:val="center"/>
      </w:pPr>
      <w:r>
        <w:rPr>
          <w:lang w:val="en-US"/>
        </w:rPr>
        <w:t>II</w:t>
      </w:r>
      <w:r>
        <w:t xml:space="preserve">. ПРАВА РАБОТНИКОВ В ЦЕЛЯХ ОБЕСПЕЧЕНИЯ ЗАЩИТЫ </w:t>
      </w:r>
    </w:p>
    <w:p>
      <w:pPr>
        <w:tabs>
          <w:tab w:val="left" w:pos="993"/>
        </w:tabs>
        <w:jc w:val="center"/>
      </w:pPr>
      <w:r>
        <w:t>ПЕРСОНАЛЬНЫХ ДАННЫХ, ХРАНЯЩИХСЯ У РАБОТОДАТЕЛЯ</w:t>
      </w:r>
    </w:p>
    <w:p>
      <w:pPr>
        <w:pStyle w:val="a8"/>
        <w:tabs>
          <w:tab w:val="left" w:pos="993"/>
        </w:tabs>
        <w:ind w:left="709"/>
        <w:jc w:val="both"/>
        <w:rPr>
          <w:rFonts w:eastAsia="Calibri"/>
        </w:rPr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В целях обеспечения защиты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хранящихся в Финансовом управлении, работники имеют право на: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полную информацию об 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и обработке этих данных;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свободный бесплатный доступ к своим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включая право на получение копий любой записи, содержащей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за исключением случаев, предусмотренных Федеральным законом;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определение своих представителей для защиты своих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>доступ к медицинской документации, отражающей состояние их здоровья, с помощью медицинского работника по их выбору;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требование об исключении или исправлении неверных или неполных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а также данных, обработанных с нарушением требований Трудового кодекса Российской Федерации или иного Федерального закона. При отказе работодателя исключить или исправить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он имеет право заявить в письменной форме работодателю о своем несогласии с соответствующим обоснованием такого несогласия.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оценочного характера работника имеет право дополнить заявлением, выражающим его собственную точку зрения;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требование об извещении работодателем всех лиц, которым ранее были сообщены неверные или неполные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обо всех произведенных в них исключениях, исправлениях или дополнениях;</w:t>
      </w:r>
    </w:p>
    <w:p>
      <w:pPr>
        <w:pStyle w:val="a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обжалование в суд любых неправомерных действий или бездействия работодателя при обработке и защите его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tabs>
          <w:tab w:val="left" w:pos="993"/>
        </w:tabs>
        <w:ind w:left="0"/>
        <w:jc w:val="center"/>
      </w:pPr>
      <w:r>
        <w:rPr>
          <w:lang w:val="en-US"/>
        </w:rPr>
        <w:t>III</w:t>
      </w:r>
      <w:r>
        <w:t>. ХРАНЕНИЕ И ИСПОЛЬЗОВАНИЕ ПЕРСОНАЛЬНЫХ ДАННЫХ РАБОТНИКОВ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должно осуществляться в форме, позволяющей определить работника Финансового управления, не дольше, чем этого требуют цели обработки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если срок хранения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не установлен Федеральным законом, договором, стороной которого </w:t>
      </w:r>
      <w:r>
        <w:rPr>
          <w:rFonts w:eastAsia="Calibri"/>
        </w:rPr>
        <w:lastRenderedPageBreak/>
        <w:t xml:space="preserve">является работник. Обрабатываемые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подлежат уничтожению по достижении целей обработки или в случае утраты необходимости в достижении этих целей, если иное не предусмотрено Федеральным законом. 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может осуществляться на бумажных и машинных носителях, доступ к которым ограничен списком лиц, допущенных к обработке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Все машинные носители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подлежат строгому учету. Форма Журнала учета машинных носителей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утверждается приказом начальника Финансового управления.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работников, содержащиеся на машинных носителях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должны храниться на автоматизированных рабочих местах и серверах информационных систем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Финансового управления, установленных в пределах помещений, утвержденных приказом начальника Финансового управления об обеспечении безопасности помещений, в которых размещены информационные системы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работников, содержащиеся на материальных носителях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должны храниться в пределах помещений, утвержденных приказом начальника Финансового управления об обеспечении безопасности материальных носителей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. 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Хранение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должно происходить в порядке, исключающем их утрату или их неправомерное использование.</w:t>
      </w:r>
    </w:p>
    <w:p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Использование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осуществляется исключительно в целях выполнения требований трудового законодательства Российской Федерации.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Обработка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Финансового управления осуществляется только специально уполномоченными лицами, перечень которых утверждается приказом начальника Финансового управления, при этом указанные в приказе сотрудники должны иметь право получать только те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субъекта, которые необходимы для выполнения непосредственных должностных обязанностей.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Лица, осуществляющие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без использования средств автоматизации (в том числе сотрудники Финансового управления или лица, осуществляющие такую обработку по договору), должны быть проинформированы о факте обработки ими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обработка которых осуществляется Финансовым управлением без использования средств автоматизации, категориях обрабатываемых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а также об особенностях и правилах осуществления такой обработки, установленных нормативными правовыми актами федеральных органов исполнительной власти, органов исполнительной власти субъектов Российской Федерации, а также локальными правовыми актами организации.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Передача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между структурными подразделениями Финансового управления осуществляется только между работниками, включенными в перечень лиц, имеющих доступ к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Обработка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должна осуществляться только в пределах помещений Финансового управления и с использованием средств вычислительной техники Финансового управления.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Финансовое управление вправе поручить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 другим юридическим или физическим лицам на основании договора (далее - поручение) с согласия работника, если иное не предусмотрено Федеральным законом «О персональных данных». Лицо, осуществляющее обработку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по поручению Финансового управления, обязано соблюдать принципы и правила обработки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предусмотренные Федеральным законом «О персональных данных».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Сотрудники Финансового управления и иные лица, получающие доступ к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, обязаны не раскрывать третьим лицам и не распространять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без согласия работников, если иное не предусмотрено Федеральным законодательством в сфере защиты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.</w:t>
      </w:r>
    </w:p>
    <w:p>
      <w:pPr>
        <w:pStyle w:val="a8"/>
        <w:tabs>
          <w:tab w:val="left" w:pos="993"/>
        </w:tabs>
        <w:ind w:left="709"/>
        <w:jc w:val="both"/>
        <w:rPr>
          <w:rFonts w:eastAsia="Calibri"/>
        </w:rPr>
      </w:pPr>
      <w:r>
        <w:rPr>
          <w:rFonts w:eastAsia="Calibri"/>
        </w:rPr>
        <w:br w:type="page"/>
      </w:r>
    </w:p>
    <w:p>
      <w:pPr>
        <w:pStyle w:val="a8"/>
        <w:tabs>
          <w:tab w:val="left" w:pos="993"/>
        </w:tabs>
        <w:ind w:left="709"/>
        <w:jc w:val="both"/>
        <w:rPr>
          <w:rFonts w:eastAsia="Calibri"/>
        </w:rPr>
      </w:pPr>
    </w:p>
    <w:p>
      <w:pPr>
        <w:pStyle w:val="a8"/>
        <w:tabs>
          <w:tab w:val="left" w:pos="993"/>
        </w:tabs>
        <w:ind w:left="0"/>
        <w:jc w:val="center"/>
      </w:pPr>
      <w:r>
        <w:rPr>
          <w:lang w:val="en-US"/>
        </w:rPr>
        <w:t>IV</w:t>
      </w:r>
      <w:r>
        <w:t>. ПЕРЕДАЧА ПЕРСОНАЛЬНЫХ ДАННЫХ</w:t>
      </w:r>
    </w:p>
    <w:p>
      <w:pPr>
        <w:pStyle w:val="a8"/>
        <w:tabs>
          <w:tab w:val="left" w:pos="993"/>
        </w:tabs>
        <w:ind w:left="709"/>
        <w:jc w:val="both"/>
      </w:pP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bookmarkStart w:id="1" w:name="sub_8801"/>
      <w:r>
        <w:rPr>
          <w:rFonts w:eastAsia="Calibri"/>
        </w:rPr>
        <w:t xml:space="preserve">При передаче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должны быть соблюдены следующие требования:</w:t>
      </w:r>
    </w:p>
    <w:bookmarkEnd w:id="1"/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не сообщать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третьей стороне без письменного согласия работника, за исключением случаев, когда это необходимо в целях предупреждения угрозы жизни и здоровью работника, а также в случаях, предусмотренных Трудовым кодексом Российской Федерации или иными Федеральными законами;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предупреждать лица, получающие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работников, о том, что эти данные могут быть использованы лишь в целях, для которых они сообщены, и требовать </w:t>
      </w:r>
      <w:proofErr w:type="gramStart"/>
      <w:r>
        <w:rPr>
          <w:rFonts w:eastAsia="Calibri"/>
        </w:rPr>
        <w:t>от этих лиц обеспечения конфиденциальности</w:t>
      </w:r>
      <w:proofErr w:type="gramEnd"/>
      <w:r>
        <w:rPr>
          <w:rFonts w:eastAsia="Calibri"/>
        </w:rPr>
        <w:t xml:space="preserve"> полученных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не сообщать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в коммерческих целях без его письменного согласия;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передавать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представителям работников в порядке, установленном Трудовым кодексом Российской Федерации, и ограничивать эту информацию только теми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работника, которые необходимы для выполнения указанными представителями их функций;</w:t>
      </w:r>
    </w:p>
    <w:p>
      <w:pPr>
        <w:pStyle w:val="a8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не отвечать на вопросы, связанные с передачей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работника по телефону или факсу, за исключением случаев, связанных с выполнением соответствующими работниками своих непосредственных должностных обязанностей, адресатам в чью компетенцию входит получение такой информации.</w:t>
      </w:r>
    </w:p>
    <w:p>
      <w:pPr>
        <w:pStyle w:val="a8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В целях обеспечения контроля </w:t>
      </w:r>
      <w:proofErr w:type="gramStart"/>
      <w:r>
        <w:rPr>
          <w:rFonts w:eastAsia="Calibri"/>
        </w:rPr>
        <w:t>правомерности использования</w:t>
      </w:r>
      <w:proofErr w:type="gramEnd"/>
      <w:r>
        <w:rPr>
          <w:rFonts w:eastAsia="Calibri"/>
        </w:rPr>
        <w:t xml:space="preserve"> переданных по запросам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лицами, их получившими, сведения о лице, направившем запрос, дата передачи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 xml:space="preserve"> или дата уведомления об отказе в их предоставлении, а также состав переданной информации фиксируются в Журнале учета передачи </w:t>
      </w:r>
      <w:proofErr w:type="spellStart"/>
      <w:r>
        <w:rPr>
          <w:rFonts w:eastAsia="Calibri"/>
        </w:rPr>
        <w:t>ПДн</w:t>
      </w:r>
      <w:proofErr w:type="spellEnd"/>
      <w:r>
        <w:rPr>
          <w:rFonts w:eastAsia="Calibri"/>
        </w:rPr>
        <w:t>, форма которого утверждается приказом начальника Финансового управления.</w:t>
      </w: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tabs>
          <w:tab w:val="left" w:pos="1399"/>
        </w:tabs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rPr>
          <w:rFonts w:eastAsia="Calibri"/>
        </w:rPr>
      </w:pPr>
    </w:p>
    <w:p>
      <w:pPr>
        <w:tabs>
          <w:tab w:val="left" w:pos="3007"/>
        </w:tabs>
        <w:rPr>
          <w:rFonts w:eastAsia="Calibri"/>
        </w:rPr>
      </w:pPr>
      <w:r>
        <w:rPr>
          <w:rFonts w:eastAsia="Calibri"/>
        </w:rPr>
        <w:tab/>
      </w:r>
    </w:p>
    <w:sectPr>
      <w:footerReference w:type="default" r:id="rId7"/>
      <w:pgSz w:w="11906" w:h="16838"/>
      <w:pgMar w:top="993" w:right="566" w:bottom="851" w:left="1701" w:header="708" w:footer="4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rPr>
        <w:sz w:val="20"/>
      </w:rPr>
    </w:pPr>
    <w:r>
      <w:rPr>
        <w:sz w:val="20"/>
      </w:rPr>
      <w:t>Внутренний номер: 0350724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252E4"/>
    <w:multiLevelType w:val="hybridMultilevel"/>
    <w:tmpl w:val="8FCAA7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A87775"/>
    <w:multiLevelType w:val="hybridMultilevel"/>
    <w:tmpl w:val="36CECD34"/>
    <w:lvl w:ilvl="0" w:tplc="BC24614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0484055"/>
    <w:multiLevelType w:val="multilevel"/>
    <w:tmpl w:val="6420A576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0" w:firstLine="709"/>
      </w:pPr>
      <w:rPr>
        <w:rFonts w:hint="default"/>
        <w:u w:val="none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isLgl/>
      <w:suff w:val="space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>
    <w:nsid w:val="425D374D"/>
    <w:multiLevelType w:val="hybridMultilevel"/>
    <w:tmpl w:val="6BDAE62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202309"/>
    <w:multiLevelType w:val="hybridMultilevel"/>
    <w:tmpl w:val="B7885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56050B9"/>
    <w:multiLevelType w:val="hybridMultilevel"/>
    <w:tmpl w:val="FD1CBA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6756390"/>
    <w:multiLevelType w:val="hybridMultilevel"/>
    <w:tmpl w:val="CAA822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pStyle w:val="1"/>
        <w:lvlText w:val="%1."/>
        <w:lvlJc w:val="left"/>
        <w:pPr>
          <w:ind w:left="1069" w:hanging="360"/>
        </w:pPr>
      </w:lvl>
    </w:lvlOverride>
    <w:lvlOverride w:ilvl="1">
      <w:lvl w:ilvl="1">
        <w:start w:val="1"/>
        <w:numFmt w:val="lowerLetter"/>
        <w:pStyle w:val="2"/>
        <w:lvlText w:val="%2."/>
        <w:lvlJc w:val="left"/>
        <w:pPr>
          <w:ind w:left="1789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509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229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949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669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389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109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829" w:hanging="180"/>
        </w:pPr>
      </w:lvl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5E319DF-E866-48EA-82A2-E3A3F316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Pr>
      <w:sz w:val="24"/>
      <w:szCs w:val="24"/>
    </w:rPr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Pr>
      <w:sz w:val="24"/>
      <w:szCs w:val="24"/>
    </w:rPr>
  </w:style>
  <w:style w:type="paragraph" w:customStyle="1" w:styleId="2">
    <w:name w:val="Большой список уровень 2"/>
    <w:basedOn w:val="a0"/>
    <w:qFormat/>
    <w:pPr>
      <w:numPr>
        <w:ilvl w:val="1"/>
        <w:numId w:val="1"/>
      </w:numPr>
      <w:spacing w:line="276" w:lineRule="auto"/>
      <w:jc w:val="both"/>
    </w:pPr>
    <w:rPr>
      <w:rFonts w:eastAsia="Calibri"/>
      <w:sz w:val="26"/>
      <w:szCs w:val="28"/>
      <w:lang w:eastAsia="en-US"/>
    </w:rPr>
  </w:style>
  <w:style w:type="numbering" w:customStyle="1" w:styleId="a">
    <w:name w:val="Большой список"/>
    <w:uiPriority w:val="99"/>
    <w:pPr>
      <w:numPr>
        <w:numId w:val="1"/>
      </w:numPr>
    </w:pPr>
  </w:style>
  <w:style w:type="paragraph" w:customStyle="1" w:styleId="1">
    <w:name w:val="Большой список уровень 1"/>
    <w:basedOn w:val="a0"/>
    <w:next w:val="a0"/>
    <w:qFormat/>
    <w:pPr>
      <w:keepNext/>
      <w:numPr>
        <w:numId w:val="1"/>
      </w:numPr>
      <w:spacing w:before="360" w:line="276" w:lineRule="auto"/>
      <w:jc w:val="center"/>
    </w:pPr>
    <w:rPr>
      <w:b/>
      <w:bCs/>
      <w:caps/>
      <w:sz w:val="26"/>
    </w:rPr>
  </w:style>
  <w:style w:type="paragraph" w:styleId="a8">
    <w:name w:val="List Paragraph"/>
    <w:basedOn w:val="a0"/>
    <w:uiPriority w:val="34"/>
    <w:qFormat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5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7</cp:revision>
  <cp:lastPrinted>2025-06-05T04:47:00Z</cp:lastPrinted>
  <dcterms:created xsi:type="dcterms:W3CDTF">2025-05-19T04:05:00Z</dcterms:created>
  <dcterms:modified xsi:type="dcterms:W3CDTF">2025-06-19T06:40:00Z</dcterms:modified>
</cp:coreProperties>
</file>