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ascii="Times New Roman" w:hAnsi="Times New Roman"/>
          <w:b/>
          <w:sz w:val="24"/>
        </w:rPr>
      </w:pPr>
      <w:bookmarkStart w:id="0" w:name="_GoBack"/>
      <w:bookmarkEnd w:id="0"/>
      <w:r>
        <w:rPr>
          <w:noProof/>
        </w:rPr>
        <w:drawing>
          <wp:anchor distT="0" distB="0" distL="114300" distR="114300" simplePos="0" relativeHeight="251659264" behindDoc="1" locked="0" layoutInCell="1" allowOverlap="1">
            <wp:simplePos x="0" y="0"/>
            <wp:positionH relativeFrom="margin">
              <wp:posOffset>2844165</wp:posOffset>
            </wp:positionH>
            <wp:positionV relativeFrom="paragraph">
              <wp:posOffset>-377190</wp:posOffset>
            </wp:positionV>
            <wp:extent cx="530225" cy="664845"/>
            <wp:effectExtent l="0" t="0" r="3175" b="1905"/>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cstate="print">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pic:spPr>
                </pic:pic>
              </a:graphicData>
            </a:graphic>
            <wp14:sizeRelH relativeFrom="page">
              <wp14:pctWidth>0</wp14:pctWidth>
            </wp14:sizeRelH>
            <wp14:sizeRelV relativeFrom="page">
              <wp14:pctHeight>0</wp14:pctHeight>
            </wp14:sizeRelV>
          </wp:anchor>
        </w:drawing>
      </w:r>
    </w:p>
    <w:p>
      <w:pPr>
        <w:jc w:val="center"/>
        <w:rPr>
          <w:rFonts w:ascii="Times New Roman" w:hAnsi="Times New Roman"/>
          <w:b/>
          <w:sz w:val="24"/>
        </w:rPr>
      </w:pPr>
    </w:p>
    <w:p>
      <w:pPr>
        <w:pStyle w:val="ae"/>
        <w:spacing w:line="360" w:lineRule="auto"/>
        <w:jc w:val="center"/>
        <w:rPr>
          <w:b/>
          <w:sz w:val="24"/>
          <w:szCs w:val="24"/>
        </w:rPr>
      </w:pPr>
      <w:r>
        <w:rPr>
          <w:b/>
          <w:sz w:val="24"/>
          <w:szCs w:val="24"/>
        </w:rPr>
        <w:t>АДМИНИСТРАЦИЯ ЗАТО СЕВЕРСК</w:t>
      </w:r>
    </w:p>
    <w:p>
      <w:pPr>
        <w:pStyle w:val="ae"/>
        <w:spacing w:line="360" w:lineRule="auto"/>
        <w:jc w:val="center"/>
        <w:rPr>
          <w:b/>
          <w:sz w:val="24"/>
          <w:szCs w:val="24"/>
        </w:rPr>
      </w:pPr>
      <w:r>
        <w:rPr>
          <w:b/>
          <w:sz w:val="24"/>
          <w:szCs w:val="24"/>
        </w:rPr>
        <w:t>ФИНАНСОВОЕ УПРАВЛЕНИЕ</w:t>
      </w:r>
    </w:p>
    <w:p>
      <w:pPr>
        <w:pStyle w:val="ae"/>
        <w:spacing w:line="360" w:lineRule="auto"/>
        <w:jc w:val="center"/>
        <w:rPr>
          <w:b/>
          <w:sz w:val="24"/>
          <w:szCs w:val="24"/>
        </w:rPr>
      </w:pPr>
      <w:r>
        <w:rPr>
          <w:b/>
          <w:sz w:val="24"/>
          <w:szCs w:val="24"/>
        </w:rPr>
        <w:t>НАЧАЛЬНИК</w:t>
      </w:r>
    </w:p>
    <w:p>
      <w:pPr>
        <w:pStyle w:val="ConsPlusNormal"/>
        <w:jc w:val="center"/>
        <w:outlineLvl w:val="1"/>
        <w:rPr>
          <w:b/>
        </w:rPr>
      </w:pPr>
      <w:r>
        <w:rPr>
          <w:b/>
        </w:rPr>
        <w:t>ПРИКАЗ</w:t>
      </w:r>
    </w:p>
    <w:p/>
    <w:tbl>
      <w:tblPr>
        <w:tblW w:w="0" w:type="auto"/>
        <w:tblInd w:w="108" w:type="dxa"/>
        <w:tblLook w:val="01E0" w:firstRow="1" w:lastRow="1" w:firstColumn="1" w:lastColumn="1" w:noHBand="0" w:noVBand="0"/>
      </w:tblPr>
      <w:tblGrid>
        <w:gridCol w:w="2339"/>
        <w:gridCol w:w="5573"/>
        <w:gridCol w:w="1618"/>
      </w:tblGrid>
      <w:tr>
        <w:tc>
          <w:tcPr>
            <w:tcW w:w="2340" w:type="dxa"/>
            <w:tcBorders>
              <w:top w:val="nil"/>
              <w:left w:val="nil"/>
              <w:bottom w:val="single" w:sz="4" w:space="0" w:color="auto"/>
              <w:right w:val="nil"/>
            </w:tcBorders>
          </w:tcPr>
          <w:p>
            <w:pPr>
              <w:jc w:val="center"/>
              <w:rPr>
                <w:rFonts w:ascii="Times New Roman" w:hAnsi="Times New Roman"/>
                <w:sz w:val="24"/>
                <w:szCs w:val="24"/>
              </w:rPr>
            </w:pPr>
            <w:r>
              <w:rPr>
                <w:rFonts w:ascii="Times New Roman" w:hAnsi="Times New Roman"/>
                <w:sz w:val="24"/>
                <w:szCs w:val="24"/>
              </w:rPr>
              <w:t>22.01.2024</w:t>
            </w:r>
          </w:p>
        </w:tc>
        <w:tc>
          <w:tcPr>
            <w:tcW w:w="5580" w:type="dxa"/>
          </w:tcPr>
          <w:p>
            <w:pPr>
              <w:jc w:val="right"/>
              <w:rPr>
                <w:rFonts w:ascii="Times New Roman" w:hAnsi="Times New Roman"/>
                <w:sz w:val="24"/>
                <w:szCs w:val="24"/>
              </w:rPr>
            </w:pPr>
            <w:r>
              <w:rPr>
                <w:sz w:val="24"/>
                <w:szCs w:val="24"/>
              </w:rPr>
              <w:t xml:space="preserve"> </w:t>
            </w:r>
            <w:r>
              <w:rPr>
                <w:rFonts w:ascii="Times New Roman" w:hAnsi="Times New Roman"/>
                <w:sz w:val="24"/>
                <w:szCs w:val="24"/>
              </w:rPr>
              <w:t>№</w:t>
            </w:r>
          </w:p>
        </w:tc>
        <w:tc>
          <w:tcPr>
            <w:tcW w:w="1620" w:type="dxa"/>
            <w:tcBorders>
              <w:top w:val="nil"/>
              <w:left w:val="nil"/>
              <w:bottom w:val="single" w:sz="4" w:space="0" w:color="auto"/>
              <w:right w:val="nil"/>
            </w:tcBorders>
          </w:tcPr>
          <w:p>
            <w:pPr>
              <w:jc w:val="center"/>
              <w:rPr>
                <w:b/>
                <w:sz w:val="24"/>
                <w:szCs w:val="24"/>
              </w:rPr>
            </w:pPr>
            <w:r>
              <w:rPr>
                <w:rFonts w:ascii="Times New Roman" w:hAnsi="Times New Roman"/>
                <w:b/>
                <w:sz w:val="24"/>
                <w:szCs w:val="24"/>
              </w:rPr>
              <w:t>7</w:t>
            </w:r>
          </w:p>
        </w:tc>
      </w:tr>
    </w:tbl>
    <w:p>
      <w:pPr>
        <w:rPr>
          <w:rFonts w:ascii="Times New Roman" w:hAnsi="Times New Roman"/>
          <w:sz w:val="28"/>
          <w:szCs w:val="28"/>
        </w:rPr>
      </w:pPr>
    </w:p>
    <w:p>
      <w:pPr>
        <w:widowControl w:val="0"/>
        <w:autoSpaceDE w:val="0"/>
        <w:autoSpaceDN w:val="0"/>
        <w:adjustRightInd w:val="0"/>
        <w:jc w:val="center"/>
        <w:rPr>
          <w:rFonts w:ascii="Times New Roman" w:hAnsi="Times New Roman"/>
          <w:bCs/>
          <w:sz w:val="24"/>
          <w:szCs w:val="24"/>
        </w:rPr>
      </w:pPr>
    </w:p>
    <w:p>
      <w:pPr>
        <w:pStyle w:val="ConsPlusNormal"/>
        <w:jc w:val="center"/>
        <w:outlineLvl w:val="1"/>
      </w:pPr>
      <w:r>
        <w:t>Об утверждении порядка учета бюджетных и денежных обязательств</w:t>
      </w:r>
    </w:p>
    <w:p>
      <w:pPr>
        <w:widowControl w:val="0"/>
        <w:autoSpaceDE w:val="0"/>
        <w:autoSpaceDN w:val="0"/>
        <w:adjustRightInd w:val="0"/>
        <w:jc w:val="center"/>
        <w:rPr>
          <w:rFonts w:ascii="Times New Roman" w:hAnsi="Times New Roman"/>
          <w:bCs/>
          <w:sz w:val="24"/>
          <w:szCs w:val="24"/>
        </w:rPr>
      </w:pPr>
      <w:r>
        <w:rPr>
          <w:rFonts w:ascii="Times New Roman" w:hAnsi="Times New Roman"/>
          <w:bCs/>
          <w:sz w:val="24"/>
          <w:szCs w:val="24"/>
        </w:rPr>
        <w:t>получателей средств бюджета городского округа закрытого</w:t>
      </w:r>
    </w:p>
    <w:p>
      <w:pPr>
        <w:autoSpaceDE w:val="0"/>
        <w:autoSpaceDN w:val="0"/>
        <w:adjustRightInd w:val="0"/>
        <w:jc w:val="center"/>
        <w:rPr>
          <w:rFonts w:ascii="Times New Roman" w:hAnsi="Times New Roman"/>
          <w:bCs/>
          <w:sz w:val="24"/>
          <w:szCs w:val="24"/>
        </w:rPr>
      </w:pPr>
      <w:r>
        <w:rPr>
          <w:rFonts w:ascii="Times New Roman" w:hAnsi="Times New Roman"/>
          <w:bCs/>
          <w:sz w:val="24"/>
          <w:szCs w:val="24"/>
        </w:rPr>
        <w:t>административно-территориального образования Северск</w:t>
      </w:r>
    </w:p>
    <w:p>
      <w:pPr>
        <w:autoSpaceDE w:val="0"/>
        <w:autoSpaceDN w:val="0"/>
        <w:adjustRightInd w:val="0"/>
        <w:jc w:val="center"/>
        <w:rPr>
          <w:rFonts w:ascii="Times New Roman" w:eastAsiaTheme="minorHAnsi" w:hAnsi="Times New Roman"/>
          <w:sz w:val="24"/>
          <w:szCs w:val="24"/>
          <w:lang w:eastAsia="en-US"/>
        </w:rPr>
      </w:pPr>
      <w:r>
        <w:rPr>
          <w:rFonts w:ascii="Times New Roman" w:hAnsi="Times New Roman"/>
          <w:bCs/>
          <w:sz w:val="24"/>
          <w:szCs w:val="24"/>
        </w:rPr>
        <w:t xml:space="preserve">Томской области </w:t>
      </w:r>
      <w:r>
        <w:rPr>
          <w:rFonts w:ascii="Times New Roman" w:eastAsiaTheme="minorHAnsi" w:hAnsi="Times New Roman"/>
          <w:sz w:val="24"/>
          <w:szCs w:val="24"/>
          <w:lang w:eastAsia="en-US"/>
        </w:rPr>
        <w:t xml:space="preserve">Управлением Федерального </w:t>
      </w:r>
    </w:p>
    <w:p>
      <w:pPr>
        <w:autoSpaceDE w:val="0"/>
        <w:autoSpaceDN w:val="0"/>
        <w:adjustRightInd w:val="0"/>
        <w:jc w:val="center"/>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казначейства по </w:t>
      </w:r>
      <w:r>
        <w:rPr>
          <w:rFonts w:ascii="Times New Roman" w:hAnsi="Times New Roman"/>
          <w:bCs/>
          <w:sz w:val="24"/>
          <w:szCs w:val="24"/>
        </w:rPr>
        <w:t>Томской области</w:t>
      </w:r>
    </w:p>
    <w:p>
      <w:pPr>
        <w:widowControl w:val="0"/>
        <w:autoSpaceDE w:val="0"/>
        <w:autoSpaceDN w:val="0"/>
        <w:adjustRightInd w:val="0"/>
        <w:jc w:val="center"/>
        <w:rPr>
          <w:rFonts w:ascii="Times New Roman" w:hAnsi="Times New Roman"/>
          <w:bCs/>
          <w:sz w:val="24"/>
          <w:szCs w:val="24"/>
        </w:rPr>
      </w:pPr>
    </w:p>
    <w:p>
      <w:pPr>
        <w:autoSpaceDE w:val="0"/>
        <w:autoSpaceDN w:val="0"/>
        <w:adjustRightInd w:val="0"/>
        <w:ind w:firstLine="708"/>
        <w:jc w:val="both"/>
        <w:rPr>
          <w:sz w:val="24"/>
          <w:szCs w:val="24"/>
        </w:rPr>
      </w:pPr>
    </w:p>
    <w:p>
      <w:pPr>
        <w:autoSpaceDE w:val="0"/>
        <w:autoSpaceDN w:val="0"/>
        <w:adjustRightInd w:val="0"/>
        <w:ind w:firstLine="708"/>
        <w:jc w:val="both"/>
        <w:rPr>
          <w:rFonts w:cs="Times New Roman CYR"/>
          <w:caps/>
          <w:sz w:val="24"/>
          <w:szCs w:val="24"/>
        </w:rPr>
      </w:pPr>
      <w:r>
        <w:rPr>
          <w:sz w:val="24"/>
          <w:szCs w:val="24"/>
        </w:rPr>
        <w:t xml:space="preserve">В соответствии с </w:t>
      </w:r>
      <w:hyperlink r:id="rId9">
        <w:r>
          <w:rPr>
            <w:sz w:val="24"/>
            <w:szCs w:val="24"/>
          </w:rPr>
          <w:t>пунктами 1</w:t>
        </w:r>
      </w:hyperlink>
      <w:r>
        <w:rPr>
          <w:sz w:val="24"/>
          <w:szCs w:val="24"/>
        </w:rPr>
        <w:t xml:space="preserve">, </w:t>
      </w:r>
      <w:hyperlink r:id="rId10">
        <w:r>
          <w:rPr>
            <w:sz w:val="24"/>
            <w:szCs w:val="24"/>
          </w:rPr>
          <w:t>2</w:t>
        </w:r>
      </w:hyperlink>
      <w:r>
        <w:rPr>
          <w:sz w:val="24"/>
          <w:szCs w:val="24"/>
        </w:rPr>
        <w:t xml:space="preserve">, </w:t>
      </w:r>
      <w:hyperlink r:id="rId11">
        <w:r>
          <w:rPr>
            <w:sz w:val="24"/>
            <w:szCs w:val="24"/>
          </w:rPr>
          <w:t>абзацем третьим пункта 5 статьи 219</w:t>
        </w:r>
      </w:hyperlink>
      <w:r>
        <w:rPr>
          <w:sz w:val="24"/>
          <w:szCs w:val="24"/>
        </w:rPr>
        <w:t xml:space="preserve"> Бюджетного кодекса Российской Федерации</w:t>
      </w:r>
    </w:p>
    <w:p>
      <w:pPr>
        <w:autoSpaceDE w:val="0"/>
        <w:autoSpaceDN w:val="0"/>
        <w:adjustRightInd w:val="0"/>
        <w:jc w:val="both"/>
        <w:rPr>
          <w:rFonts w:cs="Times New Roman CYR"/>
          <w:caps/>
          <w:sz w:val="24"/>
          <w:szCs w:val="24"/>
        </w:rPr>
      </w:pPr>
    </w:p>
    <w:p>
      <w:pPr>
        <w:autoSpaceDE w:val="0"/>
        <w:autoSpaceDN w:val="0"/>
        <w:adjustRightInd w:val="0"/>
        <w:jc w:val="center"/>
        <w:rPr>
          <w:rFonts w:cs="Times New Roman CYR"/>
          <w:caps/>
          <w:sz w:val="24"/>
          <w:szCs w:val="24"/>
        </w:rPr>
      </w:pPr>
      <w:r>
        <w:rPr>
          <w:rFonts w:cs="Times New Roman CYR"/>
          <w:caps/>
          <w:sz w:val="24"/>
          <w:szCs w:val="24"/>
        </w:rPr>
        <w:t>приказываю:</w:t>
      </w:r>
    </w:p>
    <w:p>
      <w:pPr>
        <w:autoSpaceDE w:val="0"/>
        <w:autoSpaceDN w:val="0"/>
        <w:adjustRightInd w:val="0"/>
        <w:jc w:val="center"/>
        <w:rPr>
          <w:rFonts w:cs="Times New Roman CYR"/>
          <w:caps/>
          <w:sz w:val="24"/>
          <w:szCs w:val="24"/>
        </w:rPr>
      </w:pPr>
    </w:p>
    <w:p>
      <w:pPr>
        <w:autoSpaceDE w:val="0"/>
        <w:autoSpaceDN w:val="0"/>
        <w:adjustRightInd w:val="0"/>
        <w:ind w:firstLine="708"/>
        <w:jc w:val="both"/>
        <w:rPr>
          <w:rFonts w:ascii="Times New Roman" w:hAnsi="Times New Roman"/>
          <w:bCs/>
          <w:sz w:val="24"/>
          <w:szCs w:val="24"/>
        </w:rPr>
      </w:pPr>
      <w:r>
        <w:rPr>
          <w:rFonts w:ascii="Times New Roman" w:hAnsi="Times New Roman"/>
          <w:sz w:val="24"/>
          <w:szCs w:val="24"/>
        </w:rPr>
        <w:t xml:space="preserve">1. Утвердить прилагаемый Порядок учета бюджетных и денежных обязательств получателей средств </w:t>
      </w:r>
      <w:r>
        <w:rPr>
          <w:rFonts w:ascii="Times New Roman" w:hAnsi="Times New Roman"/>
          <w:bCs/>
          <w:sz w:val="24"/>
          <w:szCs w:val="24"/>
        </w:rPr>
        <w:t>бюджета городского округа закрытого административно-территориального образования Северск Томской области</w:t>
      </w:r>
      <w:r>
        <w:rPr>
          <w:rFonts w:ascii="Times New Roman" w:hAnsi="Times New Roman"/>
          <w:sz w:val="24"/>
          <w:szCs w:val="24"/>
        </w:rPr>
        <w:t xml:space="preserve"> </w:t>
      </w:r>
      <w:r>
        <w:rPr>
          <w:rFonts w:ascii="Times New Roman" w:eastAsiaTheme="minorHAnsi" w:hAnsi="Times New Roman"/>
          <w:sz w:val="24"/>
          <w:szCs w:val="24"/>
          <w:lang w:eastAsia="en-US"/>
        </w:rPr>
        <w:t xml:space="preserve">Управлением Федерального казначейства по </w:t>
      </w:r>
      <w:r>
        <w:rPr>
          <w:rFonts w:ascii="Times New Roman" w:hAnsi="Times New Roman"/>
          <w:bCs/>
          <w:sz w:val="24"/>
          <w:szCs w:val="24"/>
        </w:rPr>
        <w:t>Томской области.</w:t>
      </w:r>
    </w:p>
    <w:p>
      <w:pPr>
        <w:pStyle w:val="ab"/>
        <w:ind w:left="0" w:firstLine="708"/>
        <w:jc w:val="both"/>
        <w:rPr>
          <w:rFonts w:ascii="Times New Roman" w:hAnsi="Times New Roman"/>
          <w:bCs/>
          <w:sz w:val="24"/>
          <w:szCs w:val="24"/>
        </w:rPr>
      </w:pPr>
      <w:r>
        <w:rPr>
          <w:rFonts w:ascii="Times New Roman" w:hAnsi="Times New Roman"/>
          <w:sz w:val="24"/>
        </w:rPr>
        <w:t xml:space="preserve">2. Признать утратившим силу </w:t>
      </w:r>
      <w:r>
        <w:rPr>
          <w:rFonts w:ascii="Times New Roman" w:hAnsi="Times New Roman"/>
          <w:sz w:val="24"/>
          <w:szCs w:val="24"/>
        </w:rPr>
        <w:t xml:space="preserve">приказ начальника Финансового управления Администрации ЗАТО Северск </w:t>
      </w:r>
      <w:r>
        <w:rPr>
          <w:rFonts w:ascii="Times New Roman" w:hAnsi="Times New Roman"/>
          <w:sz w:val="24"/>
          <w:szCs w:val="24"/>
          <w:shd w:val="clear" w:color="auto" w:fill="FFFFFF"/>
        </w:rPr>
        <w:t xml:space="preserve">от 29.12.2021 № 92 </w:t>
      </w:r>
      <w:r>
        <w:rPr>
          <w:rFonts w:ascii="Times New Roman" w:hAnsi="Times New Roman"/>
          <w:sz w:val="24"/>
          <w:szCs w:val="24"/>
        </w:rPr>
        <w:t>«</w:t>
      </w:r>
      <w:r>
        <w:rPr>
          <w:rFonts w:ascii="Times New Roman" w:hAnsi="Times New Roman"/>
          <w:bCs/>
          <w:sz w:val="24"/>
          <w:szCs w:val="24"/>
        </w:rPr>
        <w:t>Об утверждении Порядка учёта бюджетных обязательств получателей средств бюджета ЗАТО Северск».</w:t>
      </w:r>
    </w:p>
    <w:p>
      <w:pPr>
        <w:pStyle w:val="ConsPlusNormal"/>
        <w:ind w:firstLine="709"/>
        <w:jc w:val="both"/>
        <w:rPr>
          <w:szCs w:val="24"/>
        </w:rPr>
      </w:pPr>
      <w:r>
        <w:rPr>
          <w:szCs w:val="24"/>
        </w:rPr>
        <w:t>3. Настоящий приказ вступает в силу с 01.01.2024.</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4. Разместить приказ на официальном сайте Администрации ЗАТО Северск в информационно-телекоммуникационной сети «Интернет» (https://зато-северск.рф).</w:t>
      </w:r>
    </w:p>
    <w:p>
      <w:pPr>
        <w:ind w:firstLine="720"/>
        <w:jc w:val="both"/>
        <w:rPr>
          <w:rFonts w:ascii="Times New Roman" w:hAnsi="Times New Roman"/>
          <w:sz w:val="24"/>
          <w:szCs w:val="24"/>
        </w:rPr>
      </w:pPr>
      <w:r>
        <w:rPr>
          <w:rFonts w:ascii="Times New Roman" w:hAnsi="Times New Roman"/>
          <w:sz w:val="24"/>
          <w:szCs w:val="24"/>
        </w:rPr>
        <w:t>5. Контроль за исполнением приказа возложить на заместителя начальника Финансового управления Администрации ЗАТО Северск.</w:t>
      </w:r>
    </w:p>
    <w:p>
      <w:pPr>
        <w:pStyle w:val="ab"/>
        <w:tabs>
          <w:tab w:val="left" w:pos="0"/>
        </w:tabs>
        <w:ind w:left="0"/>
        <w:rPr>
          <w:rFonts w:ascii="Times New Roman" w:hAnsi="Times New Roman"/>
          <w:sz w:val="24"/>
          <w:szCs w:val="24"/>
        </w:rPr>
      </w:pPr>
    </w:p>
    <w:p>
      <w:pPr>
        <w:pStyle w:val="a6"/>
        <w:ind w:firstLine="0"/>
        <w:jc w:val="left"/>
        <w:rPr>
          <w:sz w:val="24"/>
          <w:szCs w:val="24"/>
        </w:rPr>
      </w:pPr>
    </w:p>
    <w:p>
      <w:pPr>
        <w:pStyle w:val="a6"/>
        <w:ind w:firstLine="0"/>
        <w:jc w:val="left"/>
        <w:rPr>
          <w:sz w:val="24"/>
          <w:szCs w:val="24"/>
        </w:rPr>
      </w:pPr>
    </w:p>
    <w:p>
      <w:pPr>
        <w:pStyle w:val="a6"/>
        <w:ind w:firstLine="0"/>
        <w:jc w:val="left"/>
        <w:rPr>
          <w:sz w:val="24"/>
          <w:szCs w:val="24"/>
        </w:rPr>
      </w:pPr>
      <w:r>
        <w:rPr>
          <w:sz w:val="24"/>
          <w:szCs w:val="24"/>
        </w:rPr>
        <w:t xml:space="preserve">                                                                                                                                      Л.И.Овчаренко</w:t>
      </w:r>
    </w:p>
    <w:p>
      <w:pPr>
        <w:pStyle w:val="a6"/>
        <w:ind w:firstLine="0"/>
        <w:jc w:val="left"/>
        <w:rPr>
          <w:sz w:val="24"/>
          <w:szCs w:val="24"/>
        </w:rPr>
      </w:pPr>
    </w:p>
    <w:p>
      <w:pPr>
        <w:pStyle w:val="a6"/>
        <w:ind w:firstLine="0"/>
        <w:jc w:val="left"/>
        <w:rPr>
          <w:sz w:val="24"/>
          <w:szCs w:val="24"/>
        </w:rPr>
      </w:pPr>
    </w:p>
    <w:p>
      <w:pPr>
        <w:pStyle w:val="a6"/>
        <w:ind w:firstLine="0"/>
        <w:jc w:val="left"/>
        <w:rPr>
          <w:sz w:val="16"/>
          <w:szCs w:val="16"/>
        </w:rPr>
      </w:pPr>
    </w:p>
    <w:p>
      <w:pPr>
        <w:pStyle w:val="a6"/>
        <w:ind w:firstLine="0"/>
        <w:jc w:val="left"/>
        <w:rPr>
          <w:sz w:val="16"/>
          <w:szCs w:val="16"/>
        </w:rPr>
      </w:pPr>
    </w:p>
    <w:p>
      <w:pPr>
        <w:pStyle w:val="a6"/>
        <w:ind w:firstLine="0"/>
        <w:jc w:val="left"/>
        <w:rPr>
          <w:sz w:val="16"/>
          <w:szCs w:val="16"/>
        </w:rPr>
      </w:pPr>
    </w:p>
    <w:p>
      <w:pPr>
        <w:pStyle w:val="a6"/>
        <w:ind w:firstLine="0"/>
        <w:jc w:val="left"/>
        <w:rPr>
          <w:sz w:val="16"/>
          <w:szCs w:val="16"/>
        </w:rPr>
      </w:pPr>
    </w:p>
    <w:p>
      <w:pPr>
        <w:pStyle w:val="a6"/>
        <w:ind w:firstLine="0"/>
        <w:jc w:val="left"/>
        <w:rPr>
          <w:sz w:val="16"/>
          <w:szCs w:val="16"/>
        </w:rPr>
      </w:pPr>
    </w:p>
    <w:p>
      <w:pPr>
        <w:jc w:val="both"/>
        <w:rPr>
          <w:rFonts w:ascii="Times New Roman" w:hAnsi="Times New Roman"/>
          <w:sz w:val="24"/>
          <w:szCs w:val="24"/>
        </w:rPr>
      </w:pPr>
    </w:p>
    <w:p>
      <w:pPr>
        <w:jc w:val="both"/>
        <w:rPr>
          <w:rFonts w:ascii="Times New Roman" w:hAnsi="Times New Roman"/>
          <w:sz w:val="24"/>
          <w:szCs w:val="24"/>
        </w:rPr>
      </w:pPr>
    </w:p>
    <w:p>
      <w:pPr>
        <w:jc w:val="both"/>
        <w:rPr>
          <w:rFonts w:ascii="Times New Roman" w:hAnsi="Times New Roman"/>
          <w:sz w:val="24"/>
          <w:szCs w:val="24"/>
        </w:rPr>
      </w:pPr>
    </w:p>
    <w:p>
      <w:pPr>
        <w:jc w:val="both"/>
        <w:rPr>
          <w:rFonts w:ascii="Times New Roman" w:hAnsi="Times New Roman"/>
          <w:sz w:val="24"/>
          <w:szCs w:val="24"/>
        </w:rPr>
      </w:pPr>
    </w:p>
    <w:p>
      <w:pPr>
        <w:jc w:val="both"/>
        <w:rPr>
          <w:rFonts w:ascii="Times New Roman" w:hAnsi="Times New Roman"/>
          <w:sz w:val="24"/>
          <w:szCs w:val="24"/>
        </w:rPr>
      </w:pPr>
    </w:p>
    <w:p>
      <w:pPr>
        <w:jc w:val="both"/>
        <w:rPr>
          <w:rFonts w:ascii="Times New Roman" w:hAnsi="Times New Roman"/>
          <w:sz w:val="24"/>
          <w:szCs w:val="24"/>
        </w:rPr>
      </w:pPr>
    </w:p>
    <w:p>
      <w:pPr>
        <w:shd w:val="clear" w:color="auto" w:fill="FFFFFF"/>
        <w:tabs>
          <w:tab w:val="left" w:pos="787"/>
        </w:tabs>
        <w:rPr>
          <w:rFonts w:ascii="Times New Roman" w:hAnsi="Times New Roman"/>
        </w:rPr>
        <w:sectPr>
          <w:headerReference w:type="even" r:id="rId12"/>
          <w:footerReference w:type="default" r:id="rId13"/>
          <w:headerReference w:type="first" r:id="rId14"/>
          <w:footerReference w:type="first" r:id="rId15"/>
          <w:pgSz w:w="11906" w:h="16838"/>
          <w:pgMar w:top="1134" w:right="567" w:bottom="709" w:left="1701" w:header="567" w:footer="454" w:gutter="0"/>
          <w:cols w:space="708"/>
          <w:docGrid w:linePitch="360"/>
        </w:sectPr>
      </w:pPr>
      <w:r>
        <w:rPr>
          <w:rFonts w:ascii="Times New Roman" w:hAnsi="Times New Roman"/>
        </w:rPr>
        <w:t>Купцова Ирина Олеговна</w:t>
      </w:r>
      <w:r>
        <w:rPr>
          <w:rFonts w:ascii="Times New Roman" w:hAnsi="Times New Roman"/>
        </w:rPr>
        <w:br/>
        <w:t>(3823) 77-38-16</w:t>
      </w:r>
    </w:p>
    <w:p>
      <w:pPr>
        <w:ind w:firstLine="6379"/>
        <w:rPr>
          <w:rFonts w:ascii="Times New Roman" w:hAnsi="Times New Roman"/>
          <w:sz w:val="24"/>
          <w:szCs w:val="24"/>
        </w:rPr>
      </w:pPr>
      <w:r>
        <w:rPr>
          <w:rFonts w:ascii="Times New Roman" w:hAnsi="Times New Roman"/>
          <w:sz w:val="24"/>
          <w:szCs w:val="24"/>
        </w:rPr>
        <w:lastRenderedPageBreak/>
        <w:t>УТВЕРЖДЕН</w:t>
      </w:r>
    </w:p>
    <w:p>
      <w:pPr>
        <w:ind w:firstLine="6379"/>
        <w:rPr>
          <w:rFonts w:ascii="Times New Roman" w:hAnsi="Times New Roman"/>
          <w:sz w:val="24"/>
          <w:szCs w:val="24"/>
        </w:rPr>
      </w:pPr>
      <w:r>
        <w:rPr>
          <w:rFonts w:ascii="Times New Roman" w:hAnsi="Times New Roman"/>
          <w:sz w:val="24"/>
          <w:szCs w:val="24"/>
        </w:rPr>
        <w:t>приказом начальника</w:t>
      </w:r>
    </w:p>
    <w:p>
      <w:pPr>
        <w:ind w:firstLine="6379"/>
        <w:rPr>
          <w:rFonts w:ascii="Times New Roman" w:hAnsi="Times New Roman"/>
          <w:sz w:val="24"/>
          <w:szCs w:val="24"/>
        </w:rPr>
      </w:pPr>
      <w:r>
        <w:rPr>
          <w:rFonts w:ascii="Times New Roman" w:hAnsi="Times New Roman"/>
          <w:sz w:val="24"/>
          <w:szCs w:val="24"/>
        </w:rPr>
        <w:t>Финансового управления</w:t>
      </w:r>
    </w:p>
    <w:p>
      <w:pPr>
        <w:ind w:firstLine="6379"/>
        <w:rPr>
          <w:rFonts w:ascii="Times New Roman" w:hAnsi="Times New Roman"/>
          <w:sz w:val="24"/>
          <w:szCs w:val="24"/>
        </w:rPr>
      </w:pPr>
      <w:r>
        <w:rPr>
          <w:rFonts w:ascii="Times New Roman" w:hAnsi="Times New Roman"/>
          <w:sz w:val="24"/>
          <w:szCs w:val="24"/>
        </w:rPr>
        <w:t>Администрации ЗАТО Северск</w:t>
      </w:r>
    </w:p>
    <w:p>
      <w:pPr>
        <w:ind w:firstLine="6379"/>
        <w:rPr>
          <w:rFonts w:ascii="Times New Roman" w:hAnsi="Times New Roman"/>
          <w:sz w:val="24"/>
          <w:szCs w:val="24"/>
        </w:rPr>
      </w:pPr>
      <w:r>
        <w:rPr>
          <w:rFonts w:ascii="Times New Roman" w:hAnsi="Times New Roman"/>
          <w:sz w:val="24"/>
          <w:szCs w:val="24"/>
        </w:rPr>
        <w:t>от 22.01.2024 № 7</w:t>
      </w:r>
    </w:p>
    <w:p>
      <w:pPr>
        <w:widowControl w:val="0"/>
        <w:autoSpaceDE w:val="0"/>
        <w:autoSpaceDN w:val="0"/>
        <w:adjustRightInd w:val="0"/>
        <w:jc w:val="center"/>
        <w:rPr>
          <w:rFonts w:ascii="Times New Roman" w:hAnsi="Times New Roman"/>
          <w:bCs/>
          <w:sz w:val="24"/>
          <w:szCs w:val="24"/>
        </w:rPr>
      </w:pPr>
      <w:r>
        <w:rPr>
          <w:rFonts w:ascii="Times New Roman" w:hAnsi="Times New Roman"/>
          <w:bCs/>
          <w:sz w:val="24"/>
          <w:szCs w:val="24"/>
        </w:rPr>
        <w:t xml:space="preserve">Порядок </w:t>
      </w:r>
    </w:p>
    <w:p>
      <w:pPr>
        <w:widowControl w:val="0"/>
        <w:autoSpaceDE w:val="0"/>
        <w:autoSpaceDN w:val="0"/>
        <w:adjustRightInd w:val="0"/>
        <w:jc w:val="center"/>
        <w:rPr>
          <w:rFonts w:ascii="Times New Roman" w:hAnsi="Times New Roman"/>
          <w:bCs/>
          <w:sz w:val="24"/>
          <w:szCs w:val="24"/>
        </w:rPr>
      </w:pPr>
      <w:r>
        <w:rPr>
          <w:rFonts w:ascii="Times New Roman" w:hAnsi="Times New Roman"/>
          <w:bCs/>
          <w:sz w:val="24"/>
          <w:szCs w:val="24"/>
        </w:rPr>
        <w:t>учета бюджетных и денежных обязательств</w:t>
      </w:r>
    </w:p>
    <w:p>
      <w:pPr>
        <w:widowControl w:val="0"/>
        <w:autoSpaceDE w:val="0"/>
        <w:autoSpaceDN w:val="0"/>
        <w:adjustRightInd w:val="0"/>
        <w:jc w:val="center"/>
        <w:rPr>
          <w:rFonts w:ascii="Times New Roman" w:hAnsi="Times New Roman"/>
          <w:bCs/>
          <w:sz w:val="24"/>
          <w:szCs w:val="24"/>
        </w:rPr>
      </w:pPr>
      <w:r>
        <w:rPr>
          <w:rFonts w:ascii="Times New Roman" w:hAnsi="Times New Roman"/>
          <w:bCs/>
          <w:sz w:val="24"/>
          <w:szCs w:val="24"/>
        </w:rPr>
        <w:t xml:space="preserve">получателей средств бюджета городского округа закрытого </w:t>
      </w:r>
    </w:p>
    <w:p>
      <w:pPr>
        <w:widowControl w:val="0"/>
        <w:autoSpaceDE w:val="0"/>
        <w:autoSpaceDN w:val="0"/>
        <w:adjustRightInd w:val="0"/>
        <w:jc w:val="center"/>
        <w:rPr>
          <w:rFonts w:ascii="Times New Roman" w:hAnsi="Times New Roman"/>
          <w:bCs/>
          <w:sz w:val="24"/>
          <w:szCs w:val="24"/>
        </w:rPr>
      </w:pPr>
      <w:r>
        <w:rPr>
          <w:rFonts w:ascii="Times New Roman" w:hAnsi="Times New Roman"/>
          <w:bCs/>
          <w:sz w:val="24"/>
          <w:szCs w:val="24"/>
        </w:rPr>
        <w:t>административно-территориального образования Северск Томской области</w:t>
      </w:r>
    </w:p>
    <w:p>
      <w:pPr>
        <w:widowControl w:val="0"/>
        <w:autoSpaceDE w:val="0"/>
        <w:autoSpaceDN w:val="0"/>
        <w:adjustRightInd w:val="0"/>
        <w:jc w:val="center"/>
        <w:rPr>
          <w:rFonts w:ascii="Times New Roman" w:hAnsi="Times New Roman"/>
          <w:bCs/>
          <w:sz w:val="24"/>
          <w:szCs w:val="24"/>
        </w:rPr>
      </w:pPr>
      <w:r>
        <w:rPr>
          <w:rFonts w:ascii="Times New Roman" w:eastAsiaTheme="minorHAnsi" w:hAnsi="Times New Roman"/>
          <w:sz w:val="24"/>
          <w:szCs w:val="24"/>
          <w:lang w:eastAsia="en-US"/>
        </w:rPr>
        <w:t xml:space="preserve">Управлением Федерального казначейства по </w:t>
      </w:r>
      <w:r>
        <w:rPr>
          <w:rFonts w:ascii="Times New Roman" w:hAnsi="Times New Roman"/>
          <w:bCs/>
          <w:sz w:val="24"/>
          <w:szCs w:val="24"/>
        </w:rPr>
        <w:t>Томской области</w:t>
      </w:r>
    </w:p>
    <w:p>
      <w:pPr>
        <w:widowControl w:val="0"/>
        <w:autoSpaceDE w:val="0"/>
        <w:autoSpaceDN w:val="0"/>
        <w:adjustRightInd w:val="0"/>
        <w:jc w:val="center"/>
        <w:rPr>
          <w:rFonts w:ascii="Times New Roman" w:hAnsi="Times New Roman"/>
          <w:bCs/>
          <w:sz w:val="24"/>
          <w:szCs w:val="24"/>
        </w:rPr>
      </w:pPr>
    </w:p>
    <w:p>
      <w:pPr>
        <w:pStyle w:val="ConsPlusNormal"/>
        <w:jc w:val="center"/>
        <w:outlineLvl w:val="1"/>
      </w:pPr>
      <w:r>
        <w:t>I. Общие положения</w:t>
      </w:r>
    </w:p>
    <w:p>
      <w:pPr>
        <w:shd w:val="clear" w:color="auto" w:fill="FFFFFF"/>
        <w:tabs>
          <w:tab w:val="left" w:pos="787"/>
        </w:tabs>
        <w:rPr>
          <w:rFonts w:ascii="Times New Roman" w:hAnsi="Times New Roman"/>
        </w:rPr>
      </w:pPr>
    </w:p>
    <w:p>
      <w:pPr>
        <w:autoSpaceDE w:val="0"/>
        <w:autoSpaceDN w:val="0"/>
        <w:adjustRightInd w:val="0"/>
        <w:ind w:firstLine="567"/>
        <w:jc w:val="both"/>
        <w:rPr>
          <w:rFonts w:ascii="Times New Roman" w:hAnsi="Times New Roman"/>
          <w:sz w:val="24"/>
          <w:szCs w:val="24"/>
        </w:rPr>
      </w:pPr>
      <w:r>
        <w:rPr>
          <w:rFonts w:ascii="Times New Roman" w:hAnsi="Times New Roman"/>
          <w:sz w:val="24"/>
          <w:szCs w:val="24"/>
        </w:rPr>
        <w:t xml:space="preserve">1. Настоящий документ устанавливает порядок исполнения </w:t>
      </w:r>
      <w:r>
        <w:rPr>
          <w:rFonts w:ascii="Times New Roman" w:hAnsi="Times New Roman"/>
          <w:bCs/>
          <w:sz w:val="24"/>
          <w:szCs w:val="24"/>
        </w:rPr>
        <w:t>бюджета городского округа закрытого административно-территориального образования Северск Томской области</w:t>
      </w:r>
      <w:r>
        <w:rPr>
          <w:rFonts w:ascii="Times New Roman" w:hAnsi="Times New Roman"/>
          <w:sz w:val="24"/>
          <w:szCs w:val="24"/>
        </w:rPr>
        <w:t xml:space="preserve"> </w:t>
      </w:r>
      <w:r>
        <w:rPr>
          <w:rFonts w:ascii="Times New Roman" w:hAnsi="Times New Roman"/>
          <w:bCs/>
          <w:sz w:val="24"/>
          <w:szCs w:val="24"/>
        </w:rPr>
        <w:t xml:space="preserve">(далее – бюджет ЗАТО Северск) по расходам в части постановки на учет </w:t>
      </w:r>
      <w:r>
        <w:rPr>
          <w:rFonts w:ascii="Times New Roman" w:hAnsi="Times New Roman"/>
          <w:sz w:val="24"/>
          <w:szCs w:val="24"/>
        </w:rPr>
        <w:t xml:space="preserve">бюджетных и денежных обязательств получателей средств бюджета </w:t>
      </w:r>
      <w:r>
        <w:rPr>
          <w:rFonts w:ascii="Times New Roman" w:hAnsi="Times New Roman"/>
          <w:bCs/>
          <w:sz w:val="24"/>
          <w:szCs w:val="24"/>
        </w:rPr>
        <w:t xml:space="preserve">ЗАТО Северск </w:t>
      </w:r>
      <w:r>
        <w:rPr>
          <w:rFonts w:ascii="Times New Roman" w:hAnsi="Times New Roman"/>
          <w:sz w:val="24"/>
          <w:szCs w:val="24"/>
        </w:rPr>
        <w:t xml:space="preserve">(далее – бюджетные и денежные обязательства) и внесения в них изменений </w:t>
      </w:r>
      <w:r>
        <w:rPr>
          <w:rFonts w:ascii="Times New Roman" w:eastAsiaTheme="minorHAnsi" w:hAnsi="Times New Roman"/>
          <w:sz w:val="24"/>
          <w:szCs w:val="24"/>
          <w:lang w:eastAsia="en-US"/>
        </w:rPr>
        <w:t xml:space="preserve">Управлением Федерального казначейства по </w:t>
      </w:r>
      <w:r>
        <w:rPr>
          <w:rFonts w:ascii="Times New Roman" w:hAnsi="Times New Roman"/>
          <w:bCs/>
          <w:sz w:val="24"/>
          <w:szCs w:val="24"/>
        </w:rPr>
        <w:t xml:space="preserve">Томской области (далее – Порядок, УФК по ТО) </w:t>
      </w:r>
      <w:r>
        <w:rPr>
          <w:rFonts w:ascii="Times New Roman" w:hAnsi="Times New Roman"/>
          <w:sz w:val="24"/>
          <w:szCs w:val="24"/>
        </w:rPr>
        <w:t>в целях отражения указанных операций в пределах лимитов бюджетных обязательств на лицевых счетах получателей средств бюджета ЗАТО Северск или лицевых счетах для учета операций по переданным полномочиям получателя бюджетных средств, открытых в установленном порядке в УФК по ТО &lt;1&gt;.</w:t>
      </w:r>
    </w:p>
    <w:p>
      <w:pPr>
        <w:pStyle w:val="ConsPlusNormal"/>
        <w:ind w:firstLine="709"/>
        <w:jc w:val="both"/>
      </w:pPr>
      <w:r>
        <w:t xml:space="preserve">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w:t>
      </w:r>
      <w:r>
        <w:br/>
        <w:t>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pPr>
        <w:pStyle w:val="ConsPlusNormal"/>
        <w:ind w:firstLine="709"/>
        <w:jc w:val="both"/>
      </w:pPr>
      <w:r>
        <w:t xml:space="preserve">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w:t>
      </w:r>
      <w:r>
        <w:br/>
        <w:t xml:space="preserve">и Сведениями о денежном обязательстве, реквизиты которых установлены в </w:t>
      </w:r>
      <w:hyperlink w:anchor="P358">
        <w:r>
          <w:t xml:space="preserve">приложениях </w:t>
        </w:r>
        <w:r>
          <w:br/>
          <w:t>№ 1</w:t>
        </w:r>
      </w:hyperlink>
      <w:r>
        <w:t xml:space="preserve"> и №</w:t>
      </w:r>
      <w:hyperlink w:anchor="P536"/>
      <w:r>
        <w:t xml:space="preserve"> 2 </w:t>
      </w:r>
      <w:r>
        <w:rPr>
          <w:szCs w:val="24"/>
        </w:rPr>
        <w:t xml:space="preserve">(далее - сведения о бюджетном и денежном обязательстве) </w:t>
      </w:r>
      <w:r>
        <w:t>к настоящему Порядку соответственно.</w:t>
      </w:r>
    </w:p>
    <w:p>
      <w:pPr>
        <w:pStyle w:val="ConsPlusNormal"/>
        <w:ind w:firstLine="540"/>
        <w:jc w:val="both"/>
      </w:pPr>
      <w:r>
        <w:t>3. Сведения о бюджетном обязательстве и Сведения о денежном обязательстве формируются в форме электронного документа в  информационных системах Министерства финансов Российской Федерации и информационных системах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ЗАТО Северск или в случаях, предусмотренных настоящим Порядком, УФК по ТО в соответствующей информационной системе.</w:t>
      </w:r>
    </w:p>
    <w:p>
      <w:pPr>
        <w:pStyle w:val="ConsPlusNormal"/>
        <w:ind w:firstLine="540"/>
        <w:jc w:val="both"/>
      </w:pPr>
      <w:r>
        <w:t xml:space="preserve">Сведения о бюджетном обязательстве и Сведения о денежном обязательстве формируются получателем средств бюджета ЗАТО Северск или УФК по ТО с учетом положений </w:t>
      </w:r>
      <w:hyperlink w:anchor="P79">
        <w:r>
          <w:t>пунктов 8</w:t>
        </w:r>
      </w:hyperlink>
      <w:r>
        <w:t xml:space="preserve"> и </w:t>
      </w:r>
      <w:hyperlink w:anchor="P234">
        <w:r>
          <w:t>22</w:t>
        </w:r>
      </w:hyperlink>
      <w:r>
        <w:t xml:space="preserve"> настоящего Порядка.</w:t>
      </w:r>
    </w:p>
    <w:p>
      <w:pPr>
        <w:autoSpaceDE w:val="0"/>
        <w:autoSpaceDN w:val="0"/>
        <w:adjustRightInd w:val="0"/>
        <w:ind w:firstLine="540"/>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w:t>
      </w:r>
    </w:p>
    <w:p>
      <w:pPr>
        <w:autoSpaceDE w:val="0"/>
        <w:autoSpaceDN w:val="0"/>
        <w:adjustRightInd w:val="0"/>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&lt;1&gt; </w:t>
      </w:r>
      <w:hyperlink r:id="rId16" w:history="1">
        <w:r>
          <w:rPr>
            <w:rFonts w:ascii="Times New Roman" w:eastAsiaTheme="minorHAnsi" w:hAnsi="Times New Roman"/>
            <w:sz w:val="24"/>
            <w:szCs w:val="24"/>
            <w:lang w:eastAsia="en-US"/>
          </w:rPr>
          <w:t>Пункт 9 статьи 220.1</w:t>
        </w:r>
      </w:hyperlink>
      <w:r>
        <w:rPr>
          <w:rFonts w:ascii="Times New Roman" w:eastAsiaTheme="minorHAnsi" w:hAnsi="Times New Roman"/>
          <w:sz w:val="24"/>
          <w:szCs w:val="24"/>
          <w:lang w:eastAsia="en-US"/>
        </w:rPr>
        <w:t xml:space="preserve"> Бюджетного кодекса Российской Федерации (Собрание законодательства Российской Федерации, 1998, № 31, ст. 3823; 2019, № 52, ст. 7797), </w:t>
      </w:r>
      <w:r>
        <w:rPr>
          <w:rFonts w:ascii="Times New Roman" w:eastAsiaTheme="minorHAnsi" w:hAnsi="Times New Roman"/>
          <w:sz w:val="24"/>
          <w:szCs w:val="24"/>
          <w:lang w:eastAsia="en-US"/>
        </w:rPr>
        <w:br/>
        <w:t>Приказ Казначейства России от 01.04.2020 № 14н</w:t>
      </w:r>
    </w:p>
    <w:p>
      <w:pPr>
        <w:autoSpaceDE w:val="0"/>
        <w:autoSpaceDN w:val="0"/>
        <w:adjustRightInd w:val="0"/>
        <w:jc w:val="both"/>
        <w:rPr>
          <w:rFonts w:ascii="Times New Roman" w:eastAsiaTheme="minorHAnsi" w:hAnsi="Times New Roman"/>
          <w:sz w:val="24"/>
          <w:szCs w:val="24"/>
          <w:lang w:eastAsia="en-US"/>
        </w:rPr>
      </w:pP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r>
        <w:lastRenderedPageBreak/>
        <w:t xml:space="preserve">4. 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w:t>
      </w:r>
      <w:r>
        <w:br/>
        <w:t>от имени получателя средств бюджета ЗАТО Северск.</w:t>
      </w:r>
    </w:p>
    <w:p>
      <w:pPr>
        <w:pStyle w:val="ConsPlusNormal"/>
        <w:ind w:firstLine="709"/>
        <w:jc w:val="both"/>
      </w:pPr>
      <w:r>
        <w:t xml:space="preserve">5. Сведения о бюджетном обязательстве и Сведения о денежном обязательстве формируются на основании документов, предусмотренных в </w:t>
      </w:r>
      <w:hyperlink w:anchor="P647">
        <w:r>
          <w:t>графах 2</w:t>
        </w:r>
      </w:hyperlink>
      <w:r>
        <w:t xml:space="preserve"> и </w:t>
      </w:r>
      <w:hyperlink w:anchor="P648">
        <w:r>
          <w:t>3</w:t>
        </w:r>
      </w:hyperlink>
      <w: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w:anchor="P634">
        <w:r>
          <w:t>приложению № 3</w:t>
        </w:r>
      </w:hyperlink>
      <w:r>
        <w:t xml:space="preserve"> </w:t>
      </w:r>
      <w:r>
        <w:br/>
        <w:t>к настоящему Порядку (далее соответственно - Перечень, документы-основания, документы, подтверждающие возникновение денежных обязательств).</w:t>
      </w:r>
    </w:p>
    <w:p>
      <w:pPr>
        <w:pStyle w:val="ConsPlusNormal"/>
        <w:ind w:firstLine="709"/>
        <w:jc w:val="both"/>
      </w:pPr>
      <w:r>
        <w:t xml:space="preserve">Информация, содержащаяся в Сведениях о бюджетном обязательстве и Сведениях денежном обязательстве, должна соответствовать аналогичной информации, содержащейся </w:t>
      </w:r>
      <w:r>
        <w:br/>
        <w:t>в документе-основании и документе, подтверждающем возникновение денежного обязательства.</w:t>
      </w:r>
    </w:p>
    <w:p>
      <w:pPr>
        <w:autoSpaceDE w:val="0"/>
        <w:autoSpaceDN w:val="0"/>
        <w:adjustRightInd w:val="0"/>
        <w:ind w:firstLine="709"/>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Сведения о бюджетном обязательстве и Сведения о денежном обязательстве формируются с использованием </w:t>
      </w:r>
      <w:r>
        <w:rPr>
          <w:sz w:val="24"/>
          <w:szCs w:val="24"/>
        </w:rPr>
        <w:t>информационной системы Федерального казначейства,</w:t>
      </w:r>
      <w:r>
        <w:rPr>
          <w:rFonts w:ascii="Times New Roman" w:eastAsiaTheme="minorHAnsi" w:hAnsi="Times New Roman"/>
          <w:sz w:val="24"/>
          <w:szCs w:val="24"/>
          <w:lang w:eastAsia="en-US"/>
        </w:rPr>
        <w:t xml:space="preserve"> за исключением случая формирования Сведений о бюджетном обязательстве </w:t>
      </w:r>
      <w:r>
        <w:rPr>
          <w:rFonts w:ascii="Times New Roman" w:eastAsiaTheme="minorHAnsi" w:hAnsi="Times New Roman"/>
          <w:sz w:val="24"/>
          <w:szCs w:val="24"/>
          <w:lang w:eastAsia="en-US"/>
        </w:rPr>
        <w:br/>
        <w:t xml:space="preserve">и Сведений о денежном обязательстве с использованием единой информационной системы </w:t>
      </w:r>
      <w:r>
        <w:rPr>
          <w:rFonts w:ascii="Times New Roman" w:eastAsiaTheme="minorHAnsi" w:hAnsi="Times New Roman"/>
          <w:sz w:val="24"/>
          <w:szCs w:val="24"/>
          <w:lang w:eastAsia="en-US"/>
        </w:rPr>
        <w:br/>
        <w:t xml:space="preserve">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w:t>
      </w:r>
      <w:hyperlink r:id="rId17" w:history="1">
        <w:r>
          <w:rPr>
            <w:rFonts w:ascii="Times New Roman" w:eastAsiaTheme="minorHAnsi" w:hAnsi="Times New Roman"/>
            <w:sz w:val="24"/>
            <w:szCs w:val="24"/>
            <w:lang w:eastAsia="en-US"/>
          </w:rPr>
          <w:t>пунктами 1</w:t>
        </w:r>
      </w:hyperlink>
      <w:r>
        <w:rPr>
          <w:rFonts w:ascii="Times New Roman" w:eastAsiaTheme="minorHAnsi" w:hAnsi="Times New Roman"/>
          <w:sz w:val="24"/>
          <w:szCs w:val="24"/>
          <w:lang w:eastAsia="en-US"/>
        </w:rPr>
        <w:t xml:space="preserve">, </w:t>
      </w:r>
      <w:hyperlink r:id="rId18" w:history="1">
        <w:r>
          <w:rPr>
            <w:rFonts w:ascii="Times New Roman" w:eastAsiaTheme="minorHAnsi" w:hAnsi="Times New Roman"/>
            <w:sz w:val="24"/>
            <w:szCs w:val="24"/>
            <w:lang w:eastAsia="en-US"/>
          </w:rPr>
          <w:t>2</w:t>
        </w:r>
      </w:hyperlink>
      <w:r>
        <w:rPr>
          <w:rFonts w:ascii="Times New Roman" w:eastAsiaTheme="minorHAnsi" w:hAnsi="Times New Roman"/>
          <w:sz w:val="24"/>
          <w:szCs w:val="24"/>
          <w:lang w:eastAsia="en-US"/>
        </w:rPr>
        <w:t xml:space="preserve">, </w:t>
      </w:r>
      <w:hyperlink r:id="rId19" w:history="1">
        <w:r>
          <w:rPr>
            <w:rFonts w:ascii="Times New Roman" w:eastAsiaTheme="minorHAnsi" w:hAnsi="Times New Roman"/>
            <w:sz w:val="24"/>
            <w:szCs w:val="24"/>
            <w:lang w:eastAsia="en-US"/>
          </w:rPr>
          <w:t>3</w:t>
        </w:r>
      </w:hyperlink>
      <w:r>
        <w:rPr>
          <w:rFonts w:ascii="Times New Roman" w:eastAsiaTheme="minorHAnsi" w:hAnsi="Times New Roman"/>
          <w:sz w:val="24"/>
          <w:szCs w:val="24"/>
          <w:lang w:eastAsia="en-US"/>
        </w:rPr>
        <w:t xml:space="preserve">, </w:t>
      </w:r>
      <w:hyperlink r:id="rId20" w:history="1">
        <w:r>
          <w:rPr>
            <w:rFonts w:ascii="Times New Roman" w:eastAsiaTheme="minorHAnsi" w:hAnsi="Times New Roman"/>
            <w:sz w:val="24"/>
            <w:szCs w:val="24"/>
            <w:lang w:eastAsia="en-US"/>
          </w:rPr>
          <w:t>3.</w:t>
        </w:r>
      </w:hyperlink>
      <w:r>
        <w:rPr>
          <w:rFonts w:ascii="Times New Roman" w:eastAsiaTheme="minorHAnsi" w:hAnsi="Times New Roman"/>
          <w:sz w:val="24"/>
          <w:szCs w:val="24"/>
          <w:lang w:eastAsia="en-US"/>
        </w:rPr>
        <w:t xml:space="preserve">1 Перечня, подлежащих размещению в единой информационной системе, а также </w:t>
      </w:r>
      <w:hyperlink r:id="rId21" w:history="1">
        <w:r>
          <w:rPr>
            <w:rFonts w:ascii="Times New Roman" w:eastAsiaTheme="minorHAnsi" w:hAnsi="Times New Roman"/>
            <w:sz w:val="24"/>
            <w:szCs w:val="24"/>
            <w:lang w:eastAsia="en-US"/>
          </w:rPr>
          <w:t>пунктом 4</w:t>
        </w:r>
      </w:hyperlink>
      <w:r>
        <w:rPr>
          <w:rFonts w:ascii="Times New Roman" w:eastAsiaTheme="minorHAnsi" w:hAnsi="Times New Roman"/>
          <w:sz w:val="24"/>
          <w:szCs w:val="24"/>
          <w:lang w:eastAsia="en-US"/>
        </w:rPr>
        <w:t xml:space="preserve"> Перечня, сведения о которых подлежат включению в определенный законодательством Российской Федерации </w:t>
      </w:r>
      <w:r>
        <w:rPr>
          <w:rFonts w:ascii="Times New Roman" w:eastAsiaTheme="minorHAnsi" w:hAnsi="Times New Roman"/>
          <w:sz w:val="24"/>
          <w:szCs w:val="24"/>
          <w:lang w:eastAsia="en-US"/>
        </w:rPr>
        <w:br/>
        <w:t xml:space="preserve">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w:t>
      </w:r>
      <w:r>
        <w:rPr>
          <w:rFonts w:ascii="Times New Roman" w:eastAsiaTheme="minorHAnsi" w:hAnsi="Times New Roman"/>
          <w:sz w:val="24"/>
          <w:szCs w:val="24"/>
          <w:lang w:eastAsia="en-US"/>
        </w:rPr>
        <w:br/>
        <w:t xml:space="preserve">в соответствии с порядком, предусмотренным </w:t>
      </w:r>
      <w:hyperlink r:id="rId22" w:history="1">
        <w:r>
          <w:rPr>
            <w:rFonts w:ascii="Times New Roman" w:eastAsiaTheme="minorHAnsi" w:hAnsi="Times New Roman"/>
            <w:sz w:val="24"/>
            <w:szCs w:val="24"/>
            <w:lang w:eastAsia="en-US"/>
          </w:rPr>
          <w:t>частью 6 статьи 103</w:t>
        </w:r>
      </w:hyperlink>
      <w:r>
        <w:rPr>
          <w:rFonts w:ascii="Times New Roman" w:eastAsiaTheme="minorHAnsi" w:hAnsi="Times New Roman"/>
          <w:sz w:val="24"/>
          <w:szCs w:val="24"/>
          <w:lang w:eastAsia="en-US"/>
        </w:rPr>
        <w:t xml:space="preserve"> Федерального закона </w:t>
      </w:r>
      <w:r>
        <w:rPr>
          <w:rFonts w:ascii="Times New Roman" w:eastAsiaTheme="minorHAnsi" w:hAnsi="Times New Roman"/>
          <w:sz w:val="24"/>
          <w:szCs w:val="24"/>
          <w:lang w:eastAsia="en-US"/>
        </w:rPr>
        <w:br/>
        <w:t>от 5 апреля 2013 г. № 44-ФЗ «О контрактной системе в сфере закупок товаров, работ, услуг для обеспечения государственных и муниципальных нужд».</w:t>
      </w:r>
    </w:p>
    <w:p>
      <w:pPr>
        <w:pStyle w:val="ConsPlusNormal"/>
        <w:ind w:firstLine="709"/>
        <w:jc w:val="both"/>
      </w:pPr>
      <w:r>
        <w:t>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ЗАТО Северск направляет в УФК по ТО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ЗАТО Северск.</w:t>
      </w:r>
    </w:p>
    <w:p>
      <w:pPr>
        <w:pStyle w:val="ConsPlusNormal"/>
        <w:ind w:firstLine="709"/>
        <w:jc w:val="both"/>
      </w:pPr>
      <w:r>
        <w:t xml:space="preserve">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w:t>
      </w:r>
      <w:r>
        <w:br/>
        <w:t>в информационной системе, в соответствии с настоящим Порядком.</w:t>
      </w:r>
    </w:p>
    <w:p>
      <w:pPr>
        <w:pStyle w:val="ConsPlusNormal"/>
        <w:ind w:firstLine="709"/>
        <w:jc w:val="both"/>
      </w:pPr>
    </w:p>
    <w:p>
      <w:pPr>
        <w:pStyle w:val="ConsPlusNormal"/>
        <w:jc w:val="center"/>
        <w:outlineLvl w:val="1"/>
      </w:pPr>
      <w:r>
        <w:t xml:space="preserve">II. Постановка на учет бюджетных обязательств </w:t>
      </w:r>
    </w:p>
    <w:p>
      <w:pPr>
        <w:pStyle w:val="ConsPlusTitle"/>
        <w:jc w:val="center"/>
        <w:rPr>
          <w:b w:val="0"/>
        </w:rPr>
      </w:pPr>
      <w:r>
        <w:rPr>
          <w:b w:val="0"/>
        </w:rPr>
        <w:t>и внесение в них изменений</w:t>
      </w:r>
    </w:p>
    <w:p>
      <w:pPr>
        <w:pStyle w:val="ConsPlusNormal"/>
        <w:ind w:firstLine="709"/>
        <w:jc w:val="both"/>
      </w:pPr>
    </w:p>
    <w:p>
      <w:pPr>
        <w:pStyle w:val="ConsPlusNormal"/>
        <w:ind w:firstLine="709"/>
        <w:jc w:val="both"/>
      </w:pPr>
      <w:bookmarkStart w:id="1" w:name="P79"/>
      <w:bookmarkEnd w:id="1"/>
      <w:r>
        <w:t xml:space="preserve">8. Сведения о бюджетных обязательствах, возникших на основании документов-оснований, предусмотренных </w:t>
      </w:r>
      <w:hyperlink w:anchor="P650">
        <w:r>
          <w:t>пунктами 1</w:t>
        </w:r>
      </w:hyperlink>
      <w:r>
        <w:t xml:space="preserve"> - </w:t>
      </w:r>
      <w:hyperlink w:anchor="P686">
        <w:r>
          <w:t>3.</w:t>
        </w:r>
      </w:hyperlink>
      <w:r>
        <w:t>3, 6.1, 7,1</w:t>
      </w:r>
      <w:hyperlink w:anchor="P768">
        <w:r>
          <w:t xml:space="preserve"> графы 2</w:t>
        </w:r>
      </w:hyperlink>
      <w:r>
        <w:t xml:space="preserve"> Перечня (далее - принимаемые бюджетные обязательства), а также документов-оснований, предусмотренных </w:t>
      </w:r>
      <w:hyperlink w:anchor="P690">
        <w:r>
          <w:t>пунктами 4</w:t>
        </w:r>
      </w:hyperlink>
      <w:r>
        <w:t xml:space="preserve"> – 6, 7, 8 - </w:t>
      </w:r>
      <w:hyperlink w:anchor="P801">
        <w:r>
          <w:t>12 графы 2</w:t>
        </w:r>
      </w:hyperlink>
      <w:r>
        <w:t xml:space="preserve"> Перечня (далее - принятые бюджетные обязательства), формируются в соответствии с настоящим Порядком:</w:t>
      </w:r>
    </w:p>
    <w:p>
      <w:pPr>
        <w:pStyle w:val="ConsPlusNormal"/>
        <w:ind w:firstLine="709"/>
        <w:jc w:val="both"/>
      </w:pPr>
      <w:r>
        <w:t>а) УФК по ТО:</w:t>
      </w:r>
    </w:p>
    <w:p>
      <w:pPr>
        <w:pStyle w:val="ConsPlusNormal"/>
        <w:ind w:firstLine="709"/>
        <w:jc w:val="both"/>
      </w:pPr>
      <w:r>
        <w:t xml:space="preserve">в части принимаемых бюджетных обязательств, возникающих на основании документов-оснований, предусмотренных </w:t>
      </w:r>
      <w:hyperlink w:anchor="P674">
        <w:r>
          <w:t>пунктом 3.</w:t>
        </w:r>
      </w:hyperlink>
      <w:r>
        <w:t xml:space="preserve">2, 3.3, 6.1, 7,1 </w:t>
      </w:r>
      <w:hyperlink w:anchor="P768">
        <w:r>
          <w:t>графы 2</w:t>
        </w:r>
      </w:hyperlink>
      <w:r>
        <w:t xml:space="preserve"> Перечня – не позднее одного рабочего дня, следующего за днем представления в УФК по ТО документа-основания;</w:t>
      </w:r>
    </w:p>
    <w:p>
      <w:pPr>
        <w:pStyle w:val="ConsPlusNormal"/>
        <w:ind w:firstLine="709"/>
        <w:jc w:val="both"/>
      </w:pPr>
      <w:r>
        <w:t>в части принятых бюджетных обязательств, возникших на основании документов-оснований, предусмотренных:</w:t>
      </w:r>
    </w:p>
    <w:p>
      <w:pPr>
        <w:autoSpaceDE w:val="0"/>
        <w:autoSpaceDN w:val="0"/>
        <w:adjustRightInd w:val="0"/>
        <w:ind w:firstLine="708"/>
        <w:jc w:val="both"/>
        <w:rPr>
          <w:rFonts w:ascii="Times New Roman" w:eastAsiaTheme="minorHAnsi" w:hAnsi="Times New Roman"/>
          <w:sz w:val="24"/>
          <w:szCs w:val="24"/>
          <w:lang w:eastAsia="en-US"/>
        </w:rPr>
      </w:pPr>
      <w:hyperlink r:id="rId23" w:history="1">
        <w:r>
          <w:rPr>
            <w:rFonts w:ascii="Times New Roman" w:eastAsiaTheme="minorHAnsi" w:hAnsi="Times New Roman"/>
            <w:sz w:val="24"/>
            <w:szCs w:val="24"/>
            <w:lang w:eastAsia="en-US"/>
          </w:rPr>
          <w:t>пунктами 6</w:t>
        </w:r>
      </w:hyperlink>
      <w:r>
        <w:rPr>
          <w:rFonts w:ascii="Times New Roman" w:eastAsiaTheme="minorHAnsi" w:hAnsi="Times New Roman"/>
          <w:sz w:val="24"/>
          <w:szCs w:val="24"/>
          <w:lang w:eastAsia="en-US"/>
        </w:rPr>
        <w:t xml:space="preserve">, </w:t>
      </w:r>
      <w:hyperlink r:id="rId24" w:history="1">
        <w:r>
          <w:rPr>
            <w:rFonts w:ascii="Times New Roman" w:eastAsiaTheme="minorHAnsi" w:hAnsi="Times New Roman"/>
            <w:sz w:val="24"/>
            <w:szCs w:val="24"/>
            <w:lang w:eastAsia="en-US"/>
          </w:rPr>
          <w:t>7</w:t>
        </w:r>
      </w:hyperlink>
      <w:r>
        <w:rPr>
          <w:rFonts w:ascii="Times New Roman" w:eastAsiaTheme="minorHAnsi" w:hAnsi="Times New Roman"/>
          <w:sz w:val="24"/>
          <w:szCs w:val="24"/>
          <w:lang w:eastAsia="en-US"/>
        </w:rPr>
        <w:t xml:space="preserve">, </w:t>
      </w:r>
      <w:hyperlink r:id="rId25" w:history="1">
        <w:r>
          <w:rPr>
            <w:rFonts w:ascii="Times New Roman" w:eastAsiaTheme="minorHAnsi" w:hAnsi="Times New Roman"/>
            <w:sz w:val="24"/>
            <w:szCs w:val="24"/>
            <w:lang w:eastAsia="en-US"/>
          </w:rPr>
          <w:t>8</w:t>
        </w:r>
      </w:hyperlink>
      <w:hyperlink r:id="rId26" w:history="1">
        <w:r>
          <w:rPr>
            <w:rFonts w:ascii="Times New Roman" w:eastAsiaTheme="minorHAnsi" w:hAnsi="Times New Roman"/>
            <w:sz w:val="24"/>
            <w:szCs w:val="24"/>
            <w:lang w:eastAsia="en-US"/>
          </w:rPr>
          <w:t xml:space="preserve"> графы 2</w:t>
        </w:r>
      </w:hyperlink>
      <w:r>
        <w:rPr>
          <w:rFonts w:ascii="Times New Roman" w:eastAsiaTheme="minorHAnsi" w:hAnsi="Times New Roman"/>
          <w:sz w:val="24"/>
          <w:szCs w:val="24"/>
          <w:lang w:eastAsia="en-US"/>
        </w:rPr>
        <w:t xml:space="preserve"> Перечня, - одновременно с включением сведений </w:t>
      </w:r>
      <w:r>
        <w:rPr>
          <w:rFonts w:ascii="Times New Roman" w:eastAsiaTheme="minorHAnsi" w:hAnsi="Times New Roman"/>
          <w:sz w:val="24"/>
          <w:szCs w:val="24"/>
          <w:lang w:eastAsia="en-US"/>
        </w:rPr>
        <w:br/>
        <w:t xml:space="preserve">о соответствующем документе-основании в реестр соглашений (договоров) о предоставлении субсидий, бюджетных инвестиций, межбюджетных трансфертов, ведение которого осуществляется в порядке, установленном Приказом Минфина России от 19.06.2023 № 92н; </w:t>
      </w:r>
    </w:p>
    <w:p>
      <w:pPr>
        <w:pStyle w:val="ConsPlusNormal"/>
        <w:ind w:firstLine="709"/>
        <w:jc w:val="both"/>
        <w:rPr>
          <w:rFonts w:eastAsiaTheme="minorHAnsi"/>
          <w:szCs w:val="24"/>
          <w:lang w:eastAsia="en-US"/>
        </w:rPr>
      </w:pPr>
      <w:hyperlink w:anchor="P801">
        <w:r>
          <w:rPr>
            <w:rFonts w:eastAsiaTheme="minorHAnsi"/>
            <w:szCs w:val="24"/>
            <w:lang w:eastAsia="en-US"/>
          </w:rPr>
          <w:t>пунктом 12 графы 2</w:t>
        </w:r>
      </w:hyperlink>
      <w:r>
        <w:rPr>
          <w:rFonts w:eastAsiaTheme="minorHAnsi"/>
          <w:szCs w:val="24"/>
          <w:lang w:eastAsia="en-US"/>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w:anchor="P234">
        <w:r>
          <w:rPr>
            <w:rFonts w:eastAsiaTheme="minorHAnsi"/>
            <w:szCs w:val="24"/>
            <w:lang w:eastAsia="en-US"/>
          </w:rPr>
          <w:t>абзацем первым пункта 22</w:t>
        </w:r>
      </w:hyperlink>
      <w:r>
        <w:rPr>
          <w:rFonts w:eastAsiaTheme="minorHAnsi"/>
          <w:szCs w:val="24"/>
          <w:lang w:eastAsia="en-US"/>
        </w:rPr>
        <w:t xml:space="preserve"> настоящего Порядка;</w:t>
      </w:r>
    </w:p>
    <w:p>
      <w:pPr>
        <w:autoSpaceDE w:val="0"/>
        <w:autoSpaceDN w:val="0"/>
        <w:adjustRightInd w:val="0"/>
        <w:ind w:firstLine="708"/>
        <w:jc w:val="both"/>
        <w:rPr>
          <w:rFonts w:eastAsiaTheme="minorHAnsi"/>
          <w:sz w:val="24"/>
          <w:szCs w:val="24"/>
          <w:lang w:eastAsia="en-US"/>
        </w:rPr>
      </w:pPr>
      <w:r>
        <w:rPr>
          <w:rFonts w:ascii="Times New Roman" w:eastAsiaTheme="minorHAnsi" w:hAnsi="Times New Roman"/>
          <w:sz w:val="24"/>
          <w:szCs w:val="24"/>
          <w:lang w:eastAsia="en-US"/>
        </w:rPr>
        <w:t xml:space="preserve">Формирование Сведений о бюджетных обязательствах, возникших на основании документов-оснований, предусмотренных </w:t>
      </w:r>
      <w:hyperlink w:anchor="P801">
        <w:r>
          <w:rPr>
            <w:rFonts w:ascii="Times New Roman" w:eastAsiaTheme="minorHAnsi" w:hAnsi="Times New Roman"/>
            <w:sz w:val="24"/>
            <w:szCs w:val="24"/>
            <w:lang w:eastAsia="en-US"/>
          </w:rPr>
          <w:t>пунктом 12 графы 2</w:t>
        </w:r>
      </w:hyperlink>
      <w:r>
        <w:rPr>
          <w:rFonts w:ascii="Times New Roman" w:eastAsiaTheme="minorHAnsi" w:hAnsi="Times New Roman"/>
          <w:sz w:val="24"/>
          <w:szCs w:val="24"/>
          <w:lang w:eastAsia="en-US"/>
        </w:rPr>
        <w:t xml:space="preserve"> Перечня, осуществляется УФК по ТО после проверки наличия в распоряжении о совершении казначейских платежей (далее - распоряжение), представленном получателем средств бюджета ЗАТО Северск в соответствии с порядком казначейского обслуживания, установленным Приказом Казначейства России от 14.05.2020 № 21н</w:t>
      </w:r>
      <w:r>
        <w:rPr>
          <w:rFonts w:eastAsiaTheme="minorHAnsi"/>
          <w:sz w:val="24"/>
          <w:szCs w:val="24"/>
          <w:lang w:eastAsia="en-US"/>
        </w:rPr>
        <w:t>, типа бюджетного обязательства;</w:t>
      </w:r>
    </w:p>
    <w:p>
      <w:pPr>
        <w:pStyle w:val="ConsPlusNormal"/>
        <w:ind w:firstLine="709"/>
        <w:jc w:val="both"/>
        <w:rPr>
          <w:rFonts w:eastAsiaTheme="minorHAnsi"/>
          <w:szCs w:val="24"/>
          <w:lang w:eastAsia="en-US"/>
        </w:rPr>
      </w:pPr>
      <w:proofErr w:type="gramStart"/>
      <w:r>
        <w:rPr>
          <w:rFonts w:eastAsiaTheme="minorHAnsi"/>
          <w:szCs w:val="24"/>
          <w:lang w:eastAsia="en-US"/>
        </w:rPr>
        <w:t>б</w:t>
      </w:r>
      <w:proofErr w:type="gramEnd"/>
      <w:r>
        <w:rPr>
          <w:rFonts w:eastAsiaTheme="minorHAnsi"/>
          <w:szCs w:val="24"/>
          <w:lang w:eastAsia="en-US"/>
        </w:rPr>
        <w:t>) получателем средств бюджета ЗАТО Северск:</w:t>
      </w:r>
    </w:p>
    <w:p>
      <w:pPr>
        <w:pStyle w:val="ConsPlusNormal"/>
        <w:ind w:firstLine="709"/>
        <w:jc w:val="both"/>
      </w:pPr>
      <w:r>
        <w:rPr>
          <w:rFonts w:eastAsiaTheme="minorHAnsi"/>
          <w:szCs w:val="24"/>
          <w:lang w:eastAsia="en-US"/>
        </w:rPr>
        <w:t>в части принимаемых</w:t>
      </w:r>
      <w:r>
        <w:t xml:space="preserve"> бюджетных обязательств, возникших на основании документов-оснований, предусмотренных:</w:t>
      </w:r>
    </w:p>
    <w:p>
      <w:pPr>
        <w:pStyle w:val="ConsPlusNormal"/>
        <w:ind w:firstLine="709"/>
        <w:jc w:val="both"/>
      </w:pPr>
      <w:hyperlink w:anchor="P650">
        <w:r>
          <w:t>пунктами 1</w:t>
        </w:r>
      </w:hyperlink>
      <w:r>
        <w:t xml:space="preserve"> и </w:t>
      </w:r>
      <w:hyperlink w:anchor="P653">
        <w:r>
          <w:t>2 графы 2</w:t>
        </w:r>
      </w:hyperlink>
      <w:r>
        <w:t xml:space="preserve"> Перечня, подлежащих размещению в единой информационной системе, - в течение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pPr>
        <w:pStyle w:val="ConsPlusNormal"/>
        <w:ind w:firstLine="709"/>
        <w:jc w:val="both"/>
      </w:pPr>
      <w:hyperlink w:anchor="P653">
        <w:r>
          <w:t>пунктом 2 графы 2</w:t>
        </w:r>
      </w:hyperlink>
      <w:r>
        <w:t xml:space="preserve"> Перечня, не подлежащих размещению в единой информационной системе, - одновременно с направлением в УФК по ТО выписки </w:t>
      </w:r>
      <w:r>
        <w:br/>
        <w:t xml:space="preserve">из приглашения принять участие в определении поставщика (подрядчика, исполнителя) </w:t>
      </w:r>
      <w:r>
        <w:br/>
        <w:t xml:space="preserve">в соответствии с </w:t>
      </w:r>
      <w:hyperlink r:id="rId27">
        <w:r>
          <w:t>подпунктом «а» пункта 26</w:t>
        </w:r>
      </w:hyperlink>
      <w:r>
        <w:t xml:space="preserve"> Правил осуществления контроля, предусмотренного частями 5 и 5.1 статьи 99 Федерального закона «О контрактной системе </w:t>
      </w:r>
      <w:r>
        <w:br/>
        <w:t>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 г. № 1193 (далее - Правила контроля № 1193);</w:t>
      </w:r>
    </w:p>
    <w:p>
      <w:pPr>
        <w:pStyle w:val="ConsPlusNormal"/>
        <w:ind w:firstLine="709"/>
        <w:jc w:val="both"/>
      </w:pPr>
      <w:hyperlink w:anchor="P662">
        <w:r>
          <w:t>пунктом 3 графы 2</w:t>
        </w:r>
      </w:hyperlink>
      <w:r>
        <w:t xml:space="preserve"> Перечня, подлежащих размещению в единой информационной системе, - одновременно с направлением в УФК по ТО проекта муниципального контракта с единственным поставщиком (подрядчиком, исполнителем) в соответствии с </w:t>
      </w:r>
      <w:hyperlink r:id="rId28">
        <w:r>
          <w:t>пунктом 24</w:t>
        </w:r>
      </w:hyperlink>
      <w:r>
        <w:t xml:space="preserve"> Правил контроля № 1193;</w:t>
      </w:r>
    </w:p>
    <w:p>
      <w:pPr>
        <w:autoSpaceDE w:val="0"/>
        <w:autoSpaceDN w:val="0"/>
        <w:adjustRightInd w:val="0"/>
        <w:ind w:firstLine="709"/>
        <w:jc w:val="both"/>
        <w:rPr>
          <w:rFonts w:ascii="Times New Roman" w:eastAsiaTheme="minorHAnsi" w:hAnsi="Times New Roman"/>
          <w:sz w:val="24"/>
          <w:szCs w:val="24"/>
          <w:lang w:eastAsia="en-US"/>
        </w:rPr>
      </w:pPr>
      <w:hyperlink r:id="rId29" w:history="1">
        <w:r>
          <w:rPr>
            <w:rFonts w:ascii="Times New Roman" w:eastAsiaTheme="minorHAnsi" w:hAnsi="Times New Roman"/>
            <w:sz w:val="24"/>
            <w:szCs w:val="24"/>
            <w:lang w:eastAsia="en-US"/>
          </w:rPr>
          <w:t>пунктом 3.1 графы 2</w:t>
        </w:r>
      </w:hyperlink>
      <w:r>
        <w:rPr>
          <w:rFonts w:ascii="Times New Roman" w:eastAsiaTheme="minorHAnsi" w:hAnsi="Times New Roman"/>
          <w:sz w:val="24"/>
          <w:szCs w:val="24"/>
          <w:lang w:eastAsia="en-US"/>
        </w:rPr>
        <w:t xml:space="preserve"> Перечня, подлежащих размещению в единой информационной системе, - одновременно с направлением в </w:t>
      </w:r>
      <w:r>
        <w:t>УФК по ТО</w:t>
      </w:r>
      <w:r>
        <w:rPr>
          <w:rFonts w:ascii="Times New Roman" w:eastAsiaTheme="minorHAnsi" w:hAnsi="Times New Roman"/>
          <w:sz w:val="24"/>
          <w:szCs w:val="24"/>
          <w:lang w:eastAsia="en-US"/>
        </w:rPr>
        <w:t xml:space="preserve"> проекта соглашения </w:t>
      </w:r>
      <w:r>
        <w:rPr>
          <w:rFonts w:ascii="Times New Roman" w:eastAsiaTheme="minorHAnsi" w:hAnsi="Times New Roman"/>
          <w:sz w:val="24"/>
          <w:szCs w:val="24"/>
          <w:lang w:eastAsia="en-US"/>
        </w:rPr>
        <w:br/>
        <w:t xml:space="preserve">об изменении условий муниципального контракта в соответствии с </w:t>
      </w:r>
      <w:hyperlink r:id="rId30" w:history="1">
        <w:r>
          <w:rPr>
            <w:rFonts w:ascii="Times New Roman" w:eastAsiaTheme="minorHAnsi" w:hAnsi="Times New Roman"/>
            <w:sz w:val="24"/>
            <w:szCs w:val="24"/>
            <w:lang w:eastAsia="en-US"/>
          </w:rPr>
          <w:t>пунктом 24</w:t>
        </w:r>
      </w:hyperlink>
      <w:r>
        <w:rPr>
          <w:rFonts w:ascii="Times New Roman" w:eastAsiaTheme="minorHAnsi" w:hAnsi="Times New Roman"/>
          <w:sz w:val="24"/>
          <w:szCs w:val="24"/>
          <w:lang w:eastAsia="en-US"/>
        </w:rPr>
        <w:t xml:space="preserve"> Правил контроля № 1193;</w:t>
      </w:r>
    </w:p>
    <w:p>
      <w:pPr>
        <w:pStyle w:val="ConsPlusNormal"/>
        <w:ind w:firstLine="709"/>
        <w:jc w:val="both"/>
      </w:pPr>
      <w:r>
        <w:t>в части принятых бюджетных обязательств, возникших на основании документов-оснований, предусмотренных:</w:t>
      </w:r>
    </w:p>
    <w:p>
      <w:pPr>
        <w:autoSpaceDE w:val="0"/>
        <w:autoSpaceDN w:val="0"/>
        <w:adjustRightInd w:val="0"/>
        <w:ind w:firstLine="709"/>
        <w:jc w:val="both"/>
        <w:rPr>
          <w:rFonts w:ascii="Times New Roman" w:eastAsiaTheme="minorHAnsi" w:hAnsi="Times New Roman"/>
          <w:sz w:val="24"/>
          <w:szCs w:val="24"/>
          <w:lang w:eastAsia="en-US"/>
        </w:rPr>
      </w:pPr>
      <w:hyperlink w:anchor="P690">
        <w:r>
          <w:rPr>
            <w:rFonts w:ascii="Times New Roman" w:eastAsiaTheme="minorHAnsi" w:hAnsi="Times New Roman"/>
            <w:sz w:val="24"/>
            <w:szCs w:val="24"/>
            <w:lang w:eastAsia="en-US"/>
          </w:rPr>
          <w:t>пунктом 4 графы 2</w:t>
        </w:r>
      </w:hyperlink>
      <w:r>
        <w:rPr>
          <w:rFonts w:ascii="Times New Roman" w:eastAsiaTheme="minorHAnsi" w:hAnsi="Times New Roman"/>
          <w:sz w:val="24"/>
          <w:szCs w:val="24"/>
          <w:lang w:eastAsia="en-US"/>
        </w:rPr>
        <w:t xml:space="preserve"> Перечня, сведения о котором подлежат включению в реестр контрактов, - одновременно с направлением в УФК по ТО сведений </w:t>
      </w:r>
      <w:r>
        <w:rPr>
          <w:rFonts w:ascii="Times New Roman" w:eastAsiaTheme="minorHAnsi" w:hAnsi="Times New Roman"/>
          <w:sz w:val="24"/>
          <w:szCs w:val="24"/>
          <w:lang w:eastAsia="en-US"/>
        </w:rPr>
        <w:br/>
        <w:t>о заключенном муниципальном контракте, подлежащих включению в реестр контрактов</w:t>
      </w:r>
      <w:r>
        <w:rPr>
          <w:rFonts w:ascii="Times New Roman" w:eastAsiaTheme="minorHAnsi" w:hAnsi="Times New Roman"/>
          <w:sz w:val="24"/>
          <w:szCs w:val="24"/>
          <w:lang w:eastAsia="en-US"/>
        </w:rPr>
        <w:br/>
        <w:t>в соответствии с Постановлением Правительства РФ от 27.01.2022 № 60;</w:t>
      </w:r>
    </w:p>
    <w:p>
      <w:pPr>
        <w:autoSpaceDE w:val="0"/>
        <w:autoSpaceDN w:val="0"/>
        <w:adjustRightInd w:val="0"/>
        <w:ind w:firstLine="709"/>
        <w:jc w:val="both"/>
        <w:rPr>
          <w:rFonts w:ascii="Times New Roman" w:hAnsi="Times New Roman"/>
          <w:sz w:val="24"/>
        </w:rPr>
      </w:pPr>
      <w:hyperlink w:anchor="P698">
        <w:r>
          <w:rPr>
            <w:rFonts w:ascii="Times New Roman" w:eastAsiaTheme="minorHAnsi" w:hAnsi="Times New Roman"/>
            <w:sz w:val="24"/>
            <w:szCs w:val="24"/>
            <w:lang w:eastAsia="en-US"/>
          </w:rPr>
          <w:t>пунктом 5 графы 2</w:t>
        </w:r>
      </w:hyperlink>
      <w:r>
        <w:rPr>
          <w:rFonts w:ascii="Times New Roman" w:eastAsiaTheme="minorHAnsi" w:hAnsi="Times New Roman"/>
          <w:sz w:val="24"/>
          <w:szCs w:val="24"/>
          <w:lang w:eastAsia="en-US"/>
        </w:rPr>
        <w:t xml:space="preserve"> Перечня - не позднее трех рабочих дней, следующих за днем заключения муниципального контракта, договора, </w:t>
      </w:r>
      <w:r>
        <w:rPr>
          <w:rFonts w:ascii="Times New Roman" w:hAnsi="Times New Roman"/>
          <w:sz w:val="24"/>
        </w:rPr>
        <w:t xml:space="preserve">указанных в названных пунктах </w:t>
      </w:r>
      <w:hyperlink w:anchor="P647">
        <w:r>
          <w:rPr>
            <w:rFonts w:ascii="Times New Roman" w:hAnsi="Times New Roman"/>
            <w:sz w:val="24"/>
          </w:rPr>
          <w:t>графы 2</w:t>
        </w:r>
      </w:hyperlink>
      <w:r>
        <w:rPr>
          <w:rFonts w:ascii="Times New Roman" w:hAnsi="Times New Roman"/>
          <w:sz w:val="24"/>
        </w:rPr>
        <w:t xml:space="preserve"> Перечня;</w:t>
      </w:r>
    </w:p>
    <w:p>
      <w:pPr>
        <w:pStyle w:val="ConsPlusNormal"/>
        <w:ind w:firstLine="709"/>
        <w:jc w:val="both"/>
      </w:pPr>
      <w:hyperlink w:anchor="P782">
        <w:r>
          <w:t>пунктом 9 графы 2</w:t>
        </w:r>
      </w:hyperlink>
      <w:r>
        <w:t xml:space="preserve"> Перечня, - не позднее двух рабочих дней, следующих за днем доведения лимитов бюджетных обязательств на принятие и исполнение получателем средств бюджета ЗАТО Северск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pPr>
        <w:pStyle w:val="ConsPlusNormal"/>
        <w:ind w:firstLine="709"/>
        <w:jc w:val="both"/>
      </w:pPr>
      <w:hyperlink w:anchor="P788">
        <w:r>
          <w:t>пунктами 1</w:t>
        </w:r>
      </w:hyperlink>
      <w:r>
        <w:t xml:space="preserve">0 - </w:t>
      </w:r>
      <w:hyperlink w:anchor="P795">
        <w:r>
          <w:t>11 графы 2</w:t>
        </w:r>
      </w:hyperlink>
      <w:r>
        <w:t xml:space="preserve">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ЗАТО Северск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pPr>
        <w:pStyle w:val="ConsPlusNormal"/>
        <w:ind w:firstLine="709"/>
        <w:jc w:val="both"/>
      </w:pPr>
      <w:hyperlink w:anchor="P801">
        <w:proofErr w:type="gramStart"/>
        <w:r>
          <w:t>пунктом</w:t>
        </w:r>
        <w:proofErr w:type="gramEnd"/>
        <w:r>
          <w:t xml:space="preserve"> 12 графы 2</w:t>
        </w:r>
      </w:hyperlink>
      <w:r>
        <w:t xml:space="preserve"> Перечня, исполнение денежных обязательств по которым осуществляется в случаях, установленных </w:t>
      </w:r>
      <w:hyperlink w:anchor="P241">
        <w:r>
          <w:t>абзацами третьим</w:t>
        </w:r>
      </w:hyperlink>
      <w:r>
        <w:t xml:space="preserve"> - </w:t>
      </w:r>
      <w:hyperlink w:anchor="P246">
        <w:r>
          <w:t>седьмым пункта 22</w:t>
        </w:r>
      </w:hyperlink>
      <w:r>
        <w:t xml:space="preserve"> настоящего Порядка, не позднее трех рабочих дней со дня поступления документа-основания получателю средств бюджета ЗАТО Северск для оплаты.</w:t>
      </w:r>
    </w:p>
    <w:p>
      <w:pPr>
        <w:pStyle w:val="ConsPlusNormal"/>
        <w:ind w:firstLine="709"/>
        <w:jc w:val="both"/>
      </w:pPr>
      <w:r>
        <w:t xml:space="preserve">При направлении в УФК по ТО Сведений о бюджетном обязательстве, возникшем на основании документа-основания, предусмотренного </w:t>
      </w:r>
      <w:hyperlink w:anchor="P782">
        <w:r>
          <w:t>пунктом 9 графы 2</w:t>
        </w:r>
      </w:hyperlink>
      <w:r>
        <w:t xml:space="preserve"> Перечня, копия указанного документа-основания в УФК по ТО не представляется.</w:t>
      </w:r>
    </w:p>
    <w:p>
      <w:pPr>
        <w:pStyle w:val="ConsPlusNormal"/>
        <w:ind w:firstLine="709"/>
        <w:jc w:val="both"/>
      </w:pPr>
      <w:bookmarkStart w:id="2" w:name="P114"/>
      <w:bookmarkEnd w:id="2"/>
      <w:r>
        <w:t xml:space="preserve">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w:t>
      </w:r>
      <w:r>
        <w:br/>
        <w:t xml:space="preserve">о бюджетном обязательстве в соответствии с положениями </w:t>
      </w:r>
      <w:hyperlink w:anchor="P79">
        <w:r>
          <w:t>пункта 8</w:t>
        </w:r>
      </w:hyperlink>
      <w:r>
        <w:t xml:space="preserve"> настоящего Порядка </w:t>
      </w:r>
      <w:r>
        <w:br/>
        <w:t>с указанием учетного номера бюджетного обязательства, в которое вносится изменение.</w:t>
      </w:r>
    </w:p>
    <w:p>
      <w:pPr>
        <w:pStyle w:val="ConsPlusNormal"/>
        <w:ind w:firstLine="709"/>
        <w:jc w:val="both"/>
      </w:pPr>
      <w:bookmarkStart w:id="3" w:name="P116"/>
      <w:bookmarkEnd w:id="3"/>
      <w:r>
        <w:t xml:space="preserve">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w:t>
      </w:r>
      <w:hyperlink w:anchor="P689">
        <w:r>
          <w:t>пунктами 4</w:t>
        </w:r>
      </w:hyperlink>
      <w:r>
        <w:t xml:space="preserve"> (сведения о которых подлежат включению в реестр контрактов), </w:t>
      </w:r>
      <w:hyperlink w:anchor="P710">
        <w:r>
          <w:t>6</w:t>
        </w:r>
      </w:hyperlink>
      <w:r>
        <w:t xml:space="preserve"> и 7</w:t>
      </w:r>
      <w:hyperlink w:anchor="P743"/>
      <w:r>
        <w:t xml:space="preserve"> Перечня, Сведения о бюджетном обязательстве формируются на основании документов-оснований, предусмотренных </w:t>
      </w:r>
      <w:hyperlink w:anchor="P668">
        <w:r>
          <w:t>пунктами 3.</w:t>
        </w:r>
      </w:hyperlink>
      <w:r>
        <w:t>1, 6,1 и 7</w:t>
      </w:r>
      <w:hyperlink w:anchor="P768">
        <w:r>
          <w:t>.1 графы 2</w:t>
        </w:r>
      </w:hyperlink>
      <w:r>
        <w:t xml:space="preserve"> Перечня, до внесения изменений в поставленное на учет бюджетное обязательство для осуществления проверки, предусмотренной:</w:t>
      </w:r>
    </w:p>
    <w:p>
      <w:pPr>
        <w:pStyle w:val="ConsPlusNormal"/>
        <w:ind w:firstLine="709"/>
        <w:jc w:val="both"/>
      </w:pPr>
      <w:hyperlink w:anchor="P136">
        <w:r>
          <w:t>абзацем четвертым</w:t>
        </w:r>
      </w:hyperlink>
      <w:hyperlink w:anchor="P137">
        <w:r>
          <w:t xml:space="preserve"> пункта 11</w:t>
        </w:r>
      </w:hyperlink>
      <w:r>
        <w:t xml:space="preserve">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pPr>
        <w:pStyle w:val="ConsPlusNormal"/>
        <w:ind w:firstLine="709"/>
        <w:jc w:val="both"/>
      </w:pPr>
      <w:hyperlink w:anchor="P144">
        <w:r>
          <w:t>абзацем девятым пункта 11</w:t>
        </w:r>
      </w:hyperlink>
      <w:r>
        <w:t xml:space="preserve"> настоящего Порядка - в случае, если документом-основанием предусматривается уменьшение суммы принятого бюджетного обязательства </w:t>
      </w:r>
      <w:r>
        <w:br/>
        <w:t>по соответствующему коду бюджетной классификации.</w:t>
      </w:r>
    </w:p>
    <w:p>
      <w:pPr>
        <w:pStyle w:val="ConsPlusNormal"/>
        <w:ind w:firstLine="709"/>
        <w:jc w:val="both"/>
      </w:pPr>
      <w:r>
        <w:t xml:space="preserve">В случае внесения изменений в поставленное на учет бюджетное обязательство без внесения изменений в документ-основание, предусмотренный </w:t>
      </w:r>
      <w:hyperlink w:anchor="P690">
        <w:r>
          <w:t>пунктами 4</w:t>
        </w:r>
      </w:hyperlink>
      <w:r>
        <w:t xml:space="preserve"> и </w:t>
      </w:r>
      <w:hyperlink w:anchor="P698">
        <w:r>
          <w:t xml:space="preserve">5 </w:t>
        </w:r>
        <w:r>
          <w:br/>
          <w:t>графы 2</w:t>
        </w:r>
      </w:hyperlink>
      <w:r>
        <w:t xml:space="preserve"> Перечня, получатель средств бюджета ЗАТО Северск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pPr>
        <w:pStyle w:val="ConsPlusNormal"/>
        <w:ind w:firstLine="709"/>
        <w:jc w:val="both"/>
      </w:pPr>
      <w:r>
        <w:t xml:space="preserve">При формировании Сведений о бюджетном обязательстве получателем средств бюджета ЗАТО Северск в соответствии с </w:t>
      </w:r>
      <w:hyperlink w:anchor="P116">
        <w:r>
          <w:t>абзацем вторым</w:t>
        </w:r>
      </w:hyperlink>
      <w:r>
        <w:t xml:space="preserve"> настоящего пункта УФК по ТО дополнительно осуществляет проверку, предусмотренную </w:t>
      </w:r>
      <w:hyperlink w:anchor="P130">
        <w:r>
          <w:t>абзацами вторым</w:t>
        </w:r>
      </w:hyperlink>
      <w:r>
        <w:t xml:space="preserve">, </w:t>
      </w:r>
      <w:hyperlink w:anchor="P135">
        <w:r>
          <w:t>третьим</w:t>
        </w:r>
      </w:hyperlink>
      <w:r>
        <w:t xml:space="preserve"> и пятым </w:t>
      </w:r>
      <w:hyperlink w:anchor="P138">
        <w:r>
          <w:t>пункта 11</w:t>
        </w:r>
      </w:hyperlink>
      <w:r>
        <w:t xml:space="preserve"> настоящего Порядка.</w:t>
      </w:r>
    </w:p>
    <w:p>
      <w:pPr>
        <w:pStyle w:val="ConsPlusNormal"/>
        <w:ind w:firstLine="709"/>
        <w:jc w:val="both"/>
      </w:pPr>
      <w: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УФК по ТО повторно не представляется.</w:t>
      </w:r>
    </w:p>
    <w:p>
      <w:pPr>
        <w:pStyle w:val="ConsPlusNormal"/>
        <w:ind w:firstLine="709"/>
        <w:jc w:val="both"/>
      </w:pPr>
      <w: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w:t>
      </w:r>
      <w:r>
        <w:br/>
        <w:t xml:space="preserve">в документ-основание, отсутствующий в информационной системе, направляется получателем средств бюджета ЗАТО Северск в УФК по ТО одновременно </w:t>
      </w:r>
      <w:r>
        <w:br/>
        <w:t>с формированием Сведений о бюджетном обязательстве.</w:t>
      </w:r>
    </w:p>
    <w:p>
      <w:pPr>
        <w:pStyle w:val="ConsPlusNormal"/>
        <w:ind w:firstLine="709"/>
        <w:jc w:val="both"/>
      </w:pPr>
      <w:bookmarkStart w:id="4" w:name="P128"/>
      <w:bookmarkEnd w:id="4"/>
      <w:r>
        <w:t xml:space="preserve">11. При постановке на учет бюджетных обязательств (внесении в них изменений) </w:t>
      </w:r>
      <w:r>
        <w:br/>
        <w:t>в соответствии со Сведениями о бюджетном обязательстве, сформированными получателем средств бюджета ЗАТО Северск, УФК по ТО осуществляет их проверку по следующим направлениям:</w:t>
      </w:r>
    </w:p>
    <w:p>
      <w:pPr>
        <w:pStyle w:val="ConsPlusNormal"/>
        <w:ind w:firstLine="709"/>
        <w:jc w:val="both"/>
      </w:pPr>
      <w:bookmarkStart w:id="5" w:name="P130"/>
      <w:bookmarkEnd w:id="5"/>
      <w:proofErr w:type="gramStart"/>
      <w:r>
        <w:t>соответствие</w:t>
      </w:r>
      <w:proofErr w:type="gramEnd"/>
      <w:r>
        <w:t xml:space="preserve"> информации о бюджетном обязательстве, указанной в Сведениях </w:t>
      </w:r>
      <w:r>
        <w:br/>
        <w:t>о бюджетном обязательстве, документам-основаниям, подлежащим представлению получателями средств бюджета ЗАТО Северск в УФК по ТО для постановки на учет бюджетных обязательств в соответствии с настоящим Порядком или включению в реестр контрактов);</w:t>
      </w:r>
    </w:p>
    <w:p>
      <w:pPr>
        <w:pStyle w:val="ConsPlusNormal"/>
        <w:ind w:firstLine="709"/>
        <w:jc w:val="both"/>
      </w:pPr>
      <w:bookmarkStart w:id="6" w:name="P135"/>
      <w:bookmarkEnd w:id="6"/>
      <w:r>
        <w:t xml:space="preserve">соответствие информации о бюджетном обязательстве, указанной в Сведениях </w:t>
      </w:r>
      <w:r>
        <w:br/>
        <w:t xml:space="preserve">о бюджетном обязательстве, составу информации, подлежащей включению в Сведения </w:t>
      </w:r>
      <w:r>
        <w:br/>
        <w:t xml:space="preserve">о бюджетном обязательстве в соответствии с </w:t>
      </w:r>
      <w:hyperlink w:anchor="P358">
        <w:r>
          <w:t>приложением № 1</w:t>
        </w:r>
      </w:hyperlink>
      <w:r>
        <w:t xml:space="preserve"> к настоящему Порядку;</w:t>
      </w:r>
    </w:p>
    <w:p>
      <w:pPr>
        <w:pStyle w:val="ConsPlusNormal"/>
        <w:ind w:firstLine="709"/>
        <w:jc w:val="both"/>
      </w:pPr>
      <w:bookmarkStart w:id="7" w:name="P136"/>
      <w:bookmarkEnd w:id="7"/>
      <w:proofErr w:type="spellStart"/>
      <w:proofErr w:type="gramStart"/>
      <w:r>
        <w:t>непревышение</w:t>
      </w:r>
      <w:proofErr w:type="spellEnd"/>
      <w:proofErr w:type="gramEnd"/>
      <w:r>
        <w:t xml:space="preserve"> суммы бюджетного обязательства по соответствующим кодам классификации расходов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ЗАТО Северск, отдельно для текущего финансового года, для первого и для второго года планового периода;</w:t>
      </w:r>
    </w:p>
    <w:p>
      <w:pPr>
        <w:pStyle w:val="ConsPlusNormal"/>
        <w:ind w:firstLine="709"/>
        <w:jc w:val="both"/>
      </w:pPr>
      <w:bookmarkStart w:id="8" w:name="P137"/>
      <w:bookmarkStart w:id="9" w:name="P138"/>
      <w:bookmarkEnd w:id="8"/>
      <w:bookmarkEnd w:id="9"/>
      <w:proofErr w:type="gramStart"/>
      <w:r>
        <w:t>соответствие</w:t>
      </w:r>
      <w:proofErr w:type="gramEnd"/>
      <w:r>
        <w:t xml:space="preserve"> предмета бюджетного обязательства, указанного в Сведениях </w:t>
      </w:r>
      <w:r>
        <w:br/>
        <w:t>о бюджетном обязательстве, документе-основании, коду вида (кодам видов) расходов классификации расходов бюджета ЗАТО Северск, указанному в Сведениях о бюджетном обязательстве, документе-основании.</w:t>
      </w:r>
    </w:p>
    <w:p>
      <w:pPr>
        <w:pStyle w:val="ConsPlusNormal"/>
        <w:ind w:firstLine="709"/>
        <w:jc w:val="both"/>
      </w:pPr>
      <w:r>
        <w:t xml:space="preserve">В случае формирования Сведений о бюджетном обязательстве УФК по ТО при постановке на учет бюджетного обязательства (внесении в него изменений), осуществляется проверка, предусмотренная </w:t>
      </w:r>
      <w:hyperlink w:anchor="P136">
        <w:r>
          <w:t>абзацем четвертым</w:t>
        </w:r>
      </w:hyperlink>
      <w:r>
        <w:t xml:space="preserve"> настоящего пункта.</w:t>
      </w:r>
    </w:p>
    <w:p>
      <w:pPr>
        <w:pStyle w:val="ConsPlusNormal"/>
        <w:ind w:firstLine="709"/>
        <w:jc w:val="both"/>
      </w:pPr>
      <w:r>
        <w:t xml:space="preserve">При постановке на учет бюджетных обязательств, возникающих на основании документа-основания, предусмотренного </w:t>
      </w:r>
      <w:hyperlink w:anchor="P690">
        <w:r>
          <w:t>пунктом 4 графы 2</w:t>
        </w:r>
      </w:hyperlink>
      <w:r>
        <w:t xml:space="preserve"> Перечня, сведения о котором подлежат включению в реестр контрактов, УФК по ТО при проведении проверки, предусмотренной </w:t>
      </w:r>
      <w:hyperlink w:anchor="P130">
        <w:r>
          <w:t>абзацем вторым</w:t>
        </w:r>
      </w:hyperlink>
      <w:r>
        <w:t xml:space="preserve">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pPr>
        <w:pStyle w:val="ConsPlusNormal"/>
        <w:ind w:firstLine="709"/>
        <w:jc w:val="both"/>
      </w:pPr>
      <w:r>
        <w:t xml:space="preserve">При постановке на учет бюджетных обязательств, возникающих на основании документов-оснований, предусмотренных </w:t>
      </w:r>
      <w:hyperlink w:anchor="P650">
        <w:r>
          <w:t>пунктом 1</w:t>
        </w:r>
      </w:hyperlink>
      <w:r>
        <w:t xml:space="preserve">, </w:t>
      </w:r>
      <w:hyperlink w:anchor="P653">
        <w:r>
          <w:t>2</w:t>
        </w:r>
      </w:hyperlink>
      <w:r>
        <w:t xml:space="preserve">, </w:t>
      </w:r>
      <w:hyperlink w:anchor="P662">
        <w:r>
          <w:t>3</w:t>
        </w:r>
      </w:hyperlink>
      <w:r>
        <w:t xml:space="preserve">, </w:t>
      </w:r>
      <w:hyperlink w:anchor="P668">
        <w:r>
          <w:t>3.1 графы 2</w:t>
        </w:r>
      </w:hyperlink>
      <w:r>
        <w:t xml:space="preserve"> Перечня, подлежащих размещению в единой информационной системе, при проведении проверки, предусмотренной </w:t>
      </w:r>
      <w:hyperlink w:anchor="P138">
        <w:r>
          <w:t xml:space="preserve">абзацем </w:t>
        </w:r>
      </w:hyperlink>
      <w:r>
        <w:t xml:space="preserve">пятым настоящего пункта, УФК по ТО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w:t>
      </w:r>
      <w:hyperlink r:id="rId31">
        <w:r>
          <w:t>Правилами</w:t>
        </w:r>
      </w:hyperlink>
      <w:r>
        <w:t xml:space="preserve"> контроля № 1193.</w:t>
      </w:r>
    </w:p>
    <w:p>
      <w:pPr>
        <w:pStyle w:val="ConsPlusNormal"/>
        <w:ind w:firstLine="709"/>
        <w:jc w:val="both"/>
      </w:pPr>
      <w:bookmarkStart w:id="10" w:name="P144"/>
      <w:bookmarkEnd w:id="10"/>
      <w:r>
        <w:t xml:space="preserve">В случае внесения изменений в поставленное на учет бюджетное обязательство, предусматривающих уменьшение суммы принятого бюджетного обязательства, УФК по ТО осуществляет проверку </w:t>
      </w:r>
      <w:proofErr w:type="spellStart"/>
      <w:r>
        <w:t>непревышения</w:t>
      </w:r>
      <w:proofErr w:type="spellEnd"/>
      <w:r>
        <w:t xml:space="preserve"> суммы исполнения бюджетного обязательства над изменяемой суммой бюджетного обязательства.</w:t>
      </w:r>
    </w:p>
    <w:p>
      <w:pPr>
        <w:pStyle w:val="ConsPlusNormal"/>
        <w:ind w:firstLine="709"/>
        <w:jc w:val="both"/>
      </w:pPr>
      <w:r>
        <w:t xml:space="preserve">В случае аннулирования принимаемого бюджетного обязательства проверка, предусмотренная </w:t>
      </w:r>
      <w:hyperlink w:anchor="P130">
        <w:r>
          <w:t>абзацами вторым</w:t>
        </w:r>
      </w:hyperlink>
      <w:r>
        <w:t xml:space="preserve">, </w:t>
      </w:r>
      <w:hyperlink w:anchor="P136">
        <w:r>
          <w:t>четвертым</w:t>
        </w:r>
      </w:hyperlink>
      <w:r>
        <w:t xml:space="preserve"> настоящего пункта, не осуществляется.</w:t>
      </w:r>
    </w:p>
    <w:p>
      <w:pPr>
        <w:pStyle w:val="ConsPlusNormal"/>
        <w:ind w:firstLine="709"/>
        <w:jc w:val="both"/>
      </w:pPr>
      <w:bookmarkStart w:id="11" w:name="P148"/>
      <w:bookmarkEnd w:id="11"/>
      <w:r>
        <w:t xml:space="preserve">12. При проверке Сведений о бюджетном обязательстве по документу-основанию, заключенному (принятому) в целях осуществления капитальных вложений в объекты капитального строительства или объекты недвижимого имущества УФК по ТО осуществляется проверка, предусмотренная </w:t>
      </w:r>
      <w:hyperlink w:anchor="P128">
        <w:r>
          <w:t>пунктом 11</w:t>
        </w:r>
      </w:hyperlink>
      <w:r>
        <w:t xml:space="preserve"> настоящего Порядка по каждому уникальному коду объекта капитального строительства или объекта недвижимого имущества, отраженному на соответствующем лицевом счете получателя бюджетных средств ЗАТО Северск.</w:t>
      </w:r>
    </w:p>
    <w:p>
      <w:pPr>
        <w:pStyle w:val="ConsPlusNormal"/>
        <w:ind w:firstLine="709"/>
        <w:jc w:val="both"/>
      </w:pPr>
      <w:bookmarkStart w:id="12" w:name="P155"/>
      <w:bookmarkEnd w:id="12"/>
      <w:r>
        <w:t xml:space="preserve">13. При постановке на учет принимаемого бюджетного обязательства, возникающего на основании документа-основания, предусмотренного </w:t>
      </w:r>
      <w:hyperlink w:anchor="P650">
        <w:r>
          <w:t>пунктами 1</w:t>
        </w:r>
      </w:hyperlink>
      <w:r>
        <w:t xml:space="preserve"> - </w:t>
      </w:r>
      <w:hyperlink w:anchor="P662">
        <w:r>
          <w:t>3 графы 2</w:t>
        </w:r>
      </w:hyperlink>
      <w:r>
        <w:t xml:space="preserve"> Перечня, заключаемого в целях осуществления капитальных вложений в объекты капитального строительства, в дополнение к проверке, предусмотренной </w:t>
      </w:r>
      <w:hyperlink w:anchor="P128">
        <w:r>
          <w:t>пунктом 11</w:t>
        </w:r>
      </w:hyperlink>
      <w:r>
        <w:t xml:space="preserve"> настоящего Порядка, УФК по ТО осуществляет проверку наличия в составе документа-основания утвержденной проектной документации на объекты капитального строительства.</w:t>
      </w:r>
    </w:p>
    <w:p>
      <w:pPr>
        <w:pStyle w:val="ConsPlusNormal"/>
        <w:ind w:firstLine="709"/>
        <w:jc w:val="both"/>
      </w:pPr>
      <w:r>
        <w:t xml:space="preserve">Проверка, предусмотренная </w:t>
      </w:r>
      <w:hyperlink w:anchor="P155">
        <w:r>
          <w:t>абзацем первым</w:t>
        </w:r>
      </w:hyperlink>
      <w:r>
        <w:t xml:space="preserve"> настоящего пункта, не осуществляется при постановке на учет бюджетного обязательства по объектам капитального строительства, в отношении которых в случаях и порядке,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заключаются муниципальные контракты, предметами которых являются одновременно подготовка проектной документации и (или) выполнение инженерных изысканий, выполнение работ по строительству, реконструкции объекта капитального строительства.</w:t>
      </w:r>
    </w:p>
    <w:p>
      <w:pPr>
        <w:pStyle w:val="ConsPlusNormal"/>
        <w:ind w:firstLine="709"/>
        <w:jc w:val="both"/>
      </w:pPr>
      <w:r>
        <w:t>13.1. При постановке на учет бюджетного обязательства (внесении в него изменений) УФК по ТО осуществляет проверку Сведений о бюджетном обязательстве, сформированном на основании документа-основания, предусмотренного пунктом:</w:t>
      </w:r>
    </w:p>
    <w:bookmarkStart w:id="13" w:name="P159"/>
    <w:bookmarkEnd w:id="13"/>
    <w:p>
      <w:pPr>
        <w:pStyle w:val="ConsPlusNormal"/>
        <w:ind w:firstLine="709"/>
        <w:jc w:val="both"/>
      </w:pPr>
      <w:r>
        <w:fldChar w:fldCharType="begin"/>
      </w:r>
      <w:r>
        <w:instrText xml:space="preserve"> HYPERLINK \l "P650" \h </w:instrText>
      </w:r>
      <w:r>
        <w:fldChar w:fldCharType="separate"/>
      </w:r>
      <w:r>
        <w:t>1</w:t>
      </w:r>
      <w:r>
        <w:fldChar w:fldCharType="end"/>
      </w:r>
      <w:r>
        <w:t xml:space="preserve">, </w:t>
      </w:r>
      <w:hyperlink w:anchor="P653">
        <w:r>
          <w:t>2</w:t>
        </w:r>
      </w:hyperlink>
      <w:r>
        <w:t xml:space="preserve">, </w:t>
      </w:r>
      <w:hyperlink w:anchor="P662">
        <w:r>
          <w:t>3</w:t>
        </w:r>
      </w:hyperlink>
      <w:r>
        <w:t xml:space="preserve">, </w:t>
      </w:r>
      <w:hyperlink w:anchor="P668">
        <w:r>
          <w:t>3.1 графы 2</w:t>
        </w:r>
      </w:hyperlink>
      <w:r>
        <w:t xml:space="preserve"> Перечня, сформированного с использованием единой информационной системы, - в течение одного рабочего дня, следующего за днем поступления в УФК по ТО Сведений о бюджетном обязательстве или документа-основания в соответствии с </w:t>
      </w:r>
      <w:hyperlink r:id="rId32">
        <w:r>
          <w:t>пунктами 24</w:t>
        </w:r>
      </w:hyperlink>
      <w:r>
        <w:t xml:space="preserve"> и </w:t>
      </w:r>
      <w:hyperlink r:id="rId33">
        <w:r>
          <w:t>28</w:t>
        </w:r>
      </w:hyperlink>
      <w:r>
        <w:t xml:space="preserve"> Правил контроля № 1193;</w:t>
      </w:r>
    </w:p>
    <w:p>
      <w:pPr>
        <w:pStyle w:val="ConsPlusNormal"/>
        <w:ind w:firstLine="709"/>
        <w:jc w:val="both"/>
      </w:pPr>
      <w:hyperlink w:anchor="P690">
        <w:r>
          <w:t>4 графы 2</w:t>
        </w:r>
      </w:hyperlink>
      <w:r>
        <w:t xml:space="preserve"> Перечня, сформированного с использованием единой информационной системы, - в течение трех рабочих дней, следующих за днем поступления в УФК по ТО Сведений о бюджетном обязательстве или документа-основания в соответствии с </w:t>
      </w:r>
      <w:hyperlink r:id="rId34">
        <w:r>
          <w:t>пунктом 15</w:t>
        </w:r>
      </w:hyperlink>
      <w:r>
        <w:t xml:space="preserve"> Правил ведения реестра контрактов;</w:t>
      </w:r>
    </w:p>
    <w:bookmarkStart w:id="14" w:name="P162"/>
    <w:bookmarkEnd w:id="14"/>
    <w:p>
      <w:pPr>
        <w:pStyle w:val="ConsPlusNormal"/>
        <w:ind w:firstLine="709"/>
        <w:jc w:val="both"/>
      </w:pPr>
      <w:r>
        <w:fldChar w:fldCharType="begin"/>
      </w:r>
      <w:r>
        <w:instrText xml:space="preserve"> HYPERLINK \l "P653" \h </w:instrText>
      </w:r>
      <w:r>
        <w:fldChar w:fldCharType="separate"/>
      </w:r>
      <w:r>
        <w:t>2</w:t>
      </w:r>
      <w:r>
        <w:fldChar w:fldCharType="end"/>
      </w:r>
      <w:r>
        <w:t xml:space="preserve">, </w:t>
      </w:r>
      <w:hyperlink w:anchor="P674">
        <w:r>
          <w:t>3.</w:t>
        </w:r>
      </w:hyperlink>
      <w:r>
        <w:t xml:space="preserve">2, </w:t>
      </w:r>
      <w:hyperlink w:anchor="P686">
        <w:r>
          <w:t>3.</w:t>
        </w:r>
      </w:hyperlink>
      <w:r>
        <w:t xml:space="preserve">3, </w:t>
      </w:r>
      <w:hyperlink w:anchor="P698">
        <w:r>
          <w:t>5</w:t>
        </w:r>
      </w:hyperlink>
      <w:r>
        <w:t xml:space="preserve"> - </w:t>
      </w:r>
      <w:hyperlink w:anchor="P801">
        <w:r>
          <w:t>12 графы 2</w:t>
        </w:r>
      </w:hyperlink>
      <w:r>
        <w:t xml:space="preserve"> Перечня, сформированного без использования единой информационной системы, - в течение двух рабочих дней, следующих за днем поступления </w:t>
      </w:r>
      <w:r>
        <w:br/>
        <w:t>в УФК по ТО Сведений о бюджетном обязательстве.</w:t>
      </w:r>
    </w:p>
    <w:p>
      <w:pPr>
        <w:autoSpaceDE w:val="0"/>
        <w:autoSpaceDN w:val="0"/>
        <w:adjustRightInd w:val="0"/>
        <w:ind w:firstLine="709"/>
        <w:jc w:val="both"/>
        <w:rPr>
          <w:rFonts w:ascii="Times New Roman" w:eastAsiaTheme="minorHAnsi" w:hAnsi="Times New Roman"/>
          <w:sz w:val="24"/>
          <w:szCs w:val="24"/>
          <w:lang w:eastAsia="en-US"/>
        </w:rPr>
      </w:pPr>
      <w:r>
        <w:rPr>
          <w:sz w:val="24"/>
          <w:szCs w:val="24"/>
        </w:rPr>
        <w:t>13.2.</w:t>
      </w:r>
      <w:r>
        <w:t xml:space="preserve"> </w:t>
      </w:r>
      <w:bookmarkStart w:id="15" w:name="P166"/>
      <w:bookmarkEnd w:id="15"/>
      <w:r>
        <w:rPr>
          <w:rFonts w:ascii="Times New Roman" w:eastAsiaTheme="minorHAnsi" w:hAnsi="Times New Roman"/>
          <w:sz w:val="24"/>
          <w:szCs w:val="24"/>
          <w:lang w:eastAsia="en-US"/>
        </w:rPr>
        <w:t>При формировании Сведений о бюджетном обязательстве с использованием единой информационной системы проверка, предусмотренная:</w:t>
      </w:r>
      <w:bookmarkStart w:id="16" w:name="Par1"/>
      <w:bookmarkEnd w:id="16"/>
    </w:p>
    <w:p>
      <w:pPr>
        <w:autoSpaceDE w:val="0"/>
        <w:autoSpaceDN w:val="0"/>
        <w:adjustRightInd w:val="0"/>
        <w:ind w:firstLine="709"/>
        <w:jc w:val="both"/>
        <w:rPr>
          <w:rFonts w:ascii="Times New Roman" w:eastAsiaTheme="minorHAnsi" w:hAnsi="Times New Roman"/>
          <w:sz w:val="24"/>
          <w:szCs w:val="24"/>
          <w:lang w:eastAsia="en-US"/>
        </w:rPr>
      </w:pPr>
      <w:hyperlink r:id="rId35" w:history="1">
        <w:r>
          <w:rPr>
            <w:rFonts w:ascii="Times New Roman" w:eastAsiaTheme="minorHAnsi" w:hAnsi="Times New Roman"/>
            <w:sz w:val="24"/>
            <w:szCs w:val="24"/>
            <w:lang w:eastAsia="en-US"/>
          </w:rPr>
          <w:t>абзацами вторым</w:t>
        </w:r>
      </w:hyperlink>
      <w:r>
        <w:rPr>
          <w:rFonts w:ascii="Times New Roman" w:eastAsiaTheme="minorHAnsi" w:hAnsi="Times New Roman"/>
          <w:sz w:val="24"/>
          <w:szCs w:val="24"/>
          <w:lang w:eastAsia="en-US"/>
        </w:rPr>
        <w:t xml:space="preserve">, </w:t>
      </w:r>
      <w:hyperlink r:id="rId36" w:history="1">
        <w:r>
          <w:rPr>
            <w:rFonts w:ascii="Times New Roman" w:eastAsiaTheme="minorHAnsi" w:hAnsi="Times New Roman"/>
            <w:sz w:val="24"/>
            <w:szCs w:val="24"/>
            <w:lang w:eastAsia="en-US"/>
          </w:rPr>
          <w:t>третьим</w:t>
        </w:r>
      </w:hyperlink>
      <w:r>
        <w:rPr>
          <w:rFonts w:ascii="Times New Roman" w:eastAsiaTheme="minorHAnsi" w:hAnsi="Times New Roman"/>
          <w:sz w:val="24"/>
          <w:szCs w:val="24"/>
          <w:lang w:eastAsia="en-US"/>
        </w:rPr>
        <w:t xml:space="preserve">, </w:t>
      </w:r>
      <w:hyperlink r:id="rId37" w:history="1">
        <w:r>
          <w:rPr>
            <w:rFonts w:ascii="Times New Roman" w:eastAsiaTheme="minorHAnsi" w:hAnsi="Times New Roman"/>
            <w:sz w:val="24"/>
            <w:szCs w:val="24"/>
            <w:lang w:eastAsia="en-US"/>
          </w:rPr>
          <w:t>пятым пункта  1</w:t>
        </w:r>
      </w:hyperlink>
      <w:r>
        <w:rPr>
          <w:rFonts w:ascii="Times New Roman" w:eastAsiaTheme="minorHAnsi" w:hAnsi="Times New Roman"/>
          <w:sz w:val="24"/>
          <w:szCs w:val="24"/>
          <w:lang w:eastAsia="en-US"/>
        </w:rPr>
        <w:t xml:space="preserve">, </w:t>
      </w:r>
      <w:hyperlink r:id="rId38" w:history="1">
        <w:r>
          <w:rPr>
            <w:rFonts w:ascii="Times New Roman" w:eastAsiaTheme="minorHAnsi" w:hAnsi="Times New Roman"/>
            <w:sz w:val="24"/>
            <w:szCs w:val="24"/>
            <w:lang w:eastAsia="en-US"/>
          </w:rPr>
          <w:t>пунктами 12</w:t>
        </w:r>
      </w:hyperlink>
      <w:r>
        <w:rPr>
          <w:rFonts w:ascii="Times New Roman" w:eastAsiaTheme="minorHAnsi" w:hAnsi="Times New Roman"/>
          <w:sz w:val="24"/>
          <w:szCs w:val="24"/>
          <w:lang w:eastAsia="en-US"/>
        </w:rPr>
        <w:t xml:space="preserve">, </w:t>
      </w:r>
      <w:hyperlink r:id="rId39" w:history="1">
        <w:r>
          <w:rPr>
            <w:rFonts w:ascii="Times New Roman" w:eastAsiaTheme="minorHAnsi" w:hAnsi="Times New Roman"/>
            <w:sz w:val="24"/>
            <w:szCs w:val="24"/>
            <w:lang w:eastAsia="en-US"/>
          </w:rPr>
          <w:t>13</w:t>
        </w:r>
      </w:hyperlink>
      <w:r>
        <w:rPr>
          <w:rFonts w:ascii="Times New Roman" w:eastAsiaTheme="minorHAnsi" w:hAnsi="Times New Roman"/>
          <w:sz w:val="24"/>
          <w:szCs w:val="24"/>
          <w:lang w:eastAsia="en-US"/>
        </w:rPr>
        <w:t xml:space="preserve"> настоящего Порядка, осуществляется в информационной системе </w:t>
      </w:r>
      <w:r>
        <w:rPr>
          <w:sz w:val="24"/>
          <w:szCs w:val="24"/>
        </w:rPr>
        <w:t>Федерального казначейства</w:t>
      </w:r>
      <w:r>
        <w:rPr>
          <w:rFonts w:ascii="Times New Roman" w:eastAsiaTheme="minorHAnsi" w:hAnsi="Times New Roman"/>
          <w:sz w:val="24"/>
          <w:szCs w:val="24"/>
          <w:lang w:eastAsia="en-US"/>
        </w:rPr>
        <w:t>, в том числе автоматически;</w:t>
      </w:r>
      <w:bookmarkStart w:id="17" w:name="Par2"/>
      <w:bookmarkEnd w:id="17"/>
    </w:p>
    <w:p>
      <w:pPr>
        <w:autoSpaceDE w:val="0"/>
        <w:autoSpaceDN w:val="0"/>
        <w:adjustRightInd w:val="0"/>
        <w:ind w:firstLine="709"/>
        <w:jc w:val="both"/>
        <w:rPr>
          <w:rFonts w:ascii="Times New Roman" w:eastAsiaTheme="minorHAnsi" w:hAnsi="Times New Roman"/>
          <w:sz w:val="24"/>
          <w:szCs w:val="24"/>
          <w:lang w:eastAsia="en-US"/>
        </w:rPr>
      </w:pPr>
      <w:hyperlink r:id="rId40" w:history="1">
        <w:r>
          <w:rPr>
            <w:rFonts w:ascii="Times New Roman" w:eastAsiaTheme="minorHAnsi" w:hAnsi="Times New Roman"/>
            <w:sz w:val="24"/>
            <w:szCs w:val="24"/>
            <w:lang w:eastAsia="en-US"/>
          </w:rPr>
          <w:t>абзацем четвертым</w:t>
        </w:r>
      </w:hyperlink>
      <w:hyperlink r:id="rId41" w:history="1">
        <w:r>
          <w:rPr>
            <w:rFonts w:ascii="Times New Roman" w:eastAsiaTheme="minorHAnsi" w:hAnsi="Times New Roman"/>
            <w:sz w:val="24"/>
            <w:szCs w:val="24"/>
            <w:lang w:eastAsia="en-US"/>
          </w:rPr>
          <w:t xml:space="preserve"> пункта 11</w:t>
        </w:r>
      </w:hyperlink>
      <w:r>
        <w:rPr>
          <w:rFonts w:ascii="Times New Roman" w:eastAsiaTheme="minorHAnsi" w:hAnsi="Times New Roman"/>
          <w:sz w:val="24"/>
          <w:szCs w:val="24"/>
          <w:lang w:eastAsia="en-US"/>
        </w:rPr>
        <w:t xml:space="preserve"> настоящего Порядка, осуществляется в информационной системе </w:t>
      </w:r>
      <w:r>
        <w:rPr>
          <w:sz w:val="24"/>
          <w:szCs w:val="24"/>
        </w:rPr>
        <w:t>Федерального казначейства</w:t>
      </w:r>
      <w:r>
        <w:rPr>
          <w:rFonts w:ascii="Times New Roman" w:eastAsiaTheme="minorHAnsi" w:hAnsi="Times New Roman"/>
          <w:sz w:val="24"/>
          <w:szCs w:val="24"/>
          <w:lang w:eastAsia="en-US"/>
        </w:rPr>
        <w:t>;</w:t>
      </w:r>
    </w:p>
    <w:p>
      <w:pPr>
        <w:autoSpaceDE w:val="0"/>
        <w:autoSpaceDN w:val="0"/>
        <w:adjustRightInd w:val="0"/>
        <w:ind w:firstLine="709"/>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В случае положительного результата проверки, указанной в </w:t>
      </w:r>
      <w:hyperlink w:anchor="Par1" w:history="1">
        <w:r>
          <w:rPr>
            <w:rFonts w:ascii="Times New Roman" w:eastAsiaTheme="minorHAnsi" w:hAnsi="Times New Roman"/>
            <w:sz w:val="24"/>
            <w:szCs w:val="24"/>
            <w:lang w:eastAsia="en-US"/>
          </w:rPr>
          <w:t>абзаце втором</w:t>
        </w:r>
      </w:hyperlink>
      <w:r>
        <w:rPr>
          <w:rFonts w:ascii="Times New Roman" w:eastAsiaTheme="minorHAnsi" w:hAnsi="Times New Roman"/>
          <w:sz w:val="24"/>
          <w:szCs w:val="24"/>
          <w:lang w:eastAsia="en-US"/>
        </w:rPr>
        <w:t xml:space="preserve"> настоящего пункта, Сведения о бюджетных обязательствах и информация о положительном результате проверок направляются в информационную систему </w:t>
      </w:r>
      <w:r>
        <w:rPr>
          <w:sz w:val="24"/>
          <w:szCs w:val="24"/>
        </w:rPr>
        <w:t>Федерального казначейства</w:t>
      </w:r>
      <w:r>
        <w:rPr>
          <w:rFonts w:ascii="Times New Roman" w:eastAsiaTheme="minorHAnsi" w:hAnsi="Times New Roman"/>
          <w:sz w:val="24"/>
          <w:szCs w:val="24"/>
          <w:lang w:eastAsia="en-US"/>
        </w:rPr>
        <w:t xml:space="preserve"> для осуществления проверки, указанной в </w:t>
      </w:r>
      <w:hyperlink w:anchor="Par2" w:history="1">
        <w:r>
          <w:rPr>
            <w:rFonts w:ascii="Times New Roman" w:eastAsiaTheme="minorHAnsi" w:hAnsi="Times New Roman"/>
            <w:sz w:val="24"/>
            <w:szCs w:val="24"/>
            <w:lang w:eastAsia="en-US"/>
          </w:rPr>
          <w:t>абзаце третьем</w:t>
        </w:r>
      </w:hyperlink>
      <w:r>
        <w:rPr>
          <w:rFonts w:ascii="Times New Roman" w:eastAsiaTheme="minorHAnsi" w:hAnsi="Times New Roman"/>
          <w:sz w:val="24"/>
          <w:szCs w:val="24"/>
          <w:lang w:eastAsia="en-US"/>
        </w:rPr>
        <w:t xml:space="preserve"> настоящего пункта.</w:t>
      </w:r>
    </w:p>
    <w:p>
      <w:pPr>
        <w:pStyle w:val="ConsPlusNormal"/>
        <w:ind w:firstLine="709"/>
        <w:jc w:val="both"/>
      </w:pPr>
      <w:r>
        <w:t xml:space="preserve">14. В случае положительного результата проверки, предусмотренной </w:t>
      </w:r>
      <w:hyperlink w:anchor="P128">
        <w:r>
          <w:t>пунктами 11</w:t>
        </w:r>
      </w:hyperlink>
      <w:r>
        <w:t xml:space="preserve"> - </w:t>
      </w:r>
      <w:hyperlink w:anchor="P155">
        <w:r>
          <w:t>13</w:t>
        </w:r>
      </w:hyperlink>
      <w:r>
        <w:t xml:space="preserve"> настоящего Порядка, УФК по ТО присваивает учетный номер бюджетному обязательству (вносит изменения в бюджетное обязательство) в течение сроков, указанных в </w:t>
      </w:r>
      <w:hyperlink w:anchor="P159">
        <w:r>
          <w:t>абзацах втором</w:t>
        </w:r>
      </w:hyperlink>
      <w:r>
        <w:t xml:space="preserve"> - </w:t>
      </w:r>
      <w:hyperlink w:anchor="P162">
        <w:r>
          <w:t>пятом пункта 13.1</w:t>
        </w:r>
      </w:hyperlink>
      <w:r>
        <w:t xml:space="preserve"> настоящего Порядка, и в день постановки на учет бюджетного обязательства (внесения изменений в бюджетное обязательство) направляет получателю средств бюджета извещение о постановке на учет (изменении) бюджетного обязательства, реквизиты которого установлены в </w:t>
      </w:r>
      <w:hyperlink w:anchor="P1505">
        <w:r>
          <w:t>Приложении № 12</w:t>
        </w:r>
      </w:hyperlink>
      <w:r>
        <w:t xml:space="preserve"> к настоящему Порядку (далее - Извещение о бюджетном обязательстве).</w:t>
      </w:r>
    </w:p>
    <w:p>
      <w:pPr>
        <w:pStyle w:val="ConsPlusNormal"/>
        <w:ind w:firstLine="709"/>
        <w:jc w:val="both"/>
      </w:pPr>
      <w:r>
        <w:t>Извещение о бюджетном обязательстве направляется УФК по ТО получателю средств бюджета ЗАТО Северск:</w:t>
      </w:r>
    </w:p>
    <w:p>
      <w:pPr>
        <w:pStyle w:val="ConsPlusNormal"/>
        <w:ind w:firstLine="709"/>
        <w:jc w:val="both"/>
      </w:pPr>
      <w:r>
        <w:t xml:space="preserve">в форме электронного документа, подписанного электронной подписью уполномоченного лица УФК по ТО, - в отношении Сведений </w:t>
      </w:r>
      <w:r>
        <w:br/>
        <w:t>о бюджетном обязательстве, представленных в форме электронного документа;</w:t>
      </w:r>
    </w:p>
    <w:p>
      <w:pPr>
        <w:pStyle w:val="ConsPlusNormal"/>
        <w:ind w:firstLine="709"/>
        <w:jc w:val="both"/>
      </w:pPr>
      <w:r>
        <w:t xml:space="preserve">на бумажном носителе, подписанном уполномоченным лицом УФК по ТО, - в отношении Сведений о бюджетном обязательстве, представленных </w:t>
      </w:r>
      <w:r>
        <w:br/>
        <w:t>на бумажном носителе.</w:t>
      </w:r>
    </w:p>
    <w:p>
      <w:pPr>
        <w:pStyle w:val="ConsPlusNormal"/>
        <w:ind w:firstLine="709"/>
        <w:jc w:val="both"/>
      </w:pPr>
      <w: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pPr>
        <w:pStyle w:val="ConsPlusNormal"/>
        <w:ind w:firstLine="709"/>
        <w:jc w:val="both"/>
      </w:pPr>
      <w:r>
        <w:t xml:space="preserve">Учетный номер бюджетного обязательства имеет следующую структуру, состоящую </w:t>
      </w:r>
      <w:r>
        <w:br/>
        <w:t>из девятнадцати разрядов:</w:t>
      </w:r>
    </w:p>
    <w:p>
      <w:pPr>
        <w:pStyle w:val="ConsPlusNormal"/>
        <w:ind w:firstLine="709"/>
        <w:jc w:val="both"/>
      </w:pPr>
      <w:proofErr w:type="gramStart"/>
      <w:r>
        <w:t>с</w:t>
      </w:r>
      <w:proofErr w:type="gramEnd"/>
      <w:r>
        <w:t xml:space="preserve"> 1 по 8 разряд - код получателя средств бюджета ЗАТО Северск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 </w:t>
      </w:r>
    </w:p>
    <w:p>
      <w:pPr>
        <w:pStyle w:val="ConsPlusNormal"/>
        <w:ind w:firstLine="709"/>
        <w:jc w:val="both"/>
      </w:pPr>
      <w:r>
        <w:t>9 и 10 разряды - последние две цифры года, в котором бюджетное обязательство поставлено на учет;</w:t>
      </w:r>
    </w:p>
    <w:p>
      <w:pPr>
        <w:pStyle w:val="ConsPlusNormal"/>
        <w:ind w:firstLine="709"/>
        <w:jc w:val="both"/>
      </w:pPr>
      <w:r>
        <w:t>с 11 по 19 разряд - номер бюджетного обязательства, присваиваемый УФК по ТО в рамках одного календарного года.</w:t>
      </w:r>
    </w:p>
    <w:p>
      <w:pPr>
        <w:pStyle w:val="ConsPlusNormal"/>
        <w:ind w:firstLine="709"/>
        <w:jc w:val="both"/>
      </w:pPr>
      <w:bookmarkStart w:id="18" w:name="P182"/>
      <w:bookmarkEnd w:id="18"/>
      <w:r>
        <w:t>15. Одно поставленное на учет бюджетное обязательство может содержать несколько кодов классификации расходов бюджета и уникальных кодов объектов капитального строительства или объектов недвижимого имущества.</w:t>
      </w:r>
    </w:p>
    <w:p>
      <w:pPr>
        <w:pStyle w:val="ConsPlusNormal"/>
        <w:ind w:firstLine="709"/>
        <w:jc w:val="both"/>
      </w:pPr>
      <w:bookmarkStart w:id="19" w:name="P183"/>
      <w:bookmarkEnd w:id="19"/>
      <w:r>
        <w:t xml:space="preserve">16. В случае отрицательного результата проверки Сведений о бюджетном обязательстве на соответствие положениям, предусмотренным </w:t>
      </w:r>
      <w:hyperlink w:anchor="P130">
        <w:r>
          <w:t>абзацами вторым</w:t>
        </w:r>
      </w:hyperlink>
      <w:r>
        <w:t xml:space="preserve">, </w:t>
      </w:r>
      <w:hyperlink w:anchor="P135">
        <w:r>
          <w:t>третьим</w:t>
        </w:r>
      </w:hyperlink>
      <w:r>
        <w:t>, пятым</w:t>
      </w:r>
      <w:hyperlink w:anchor="P138"/>
      <w:r>
        <w:t xml:space="preserve"> и </w:t>
      </w:r>
      <w:hyperlink w:anchor="P144">
        <w:r>
          <w:t>девятым пункта 11</w:t>
        </w:r>
      </w:hyperlink>
      <w:r>
        <w:t xml:space="preserve">, </w:t>
      </w:r>
      <w:hyperlink w:anchor="P148">
        <w:r>
          <w:t>пунктами 12</w:t>
        </w:r>
      </w:hyperlink>
      <w:r>
        <w:t xml:space="preserve"> и </w:t>
      </w:r>
      <w:hyperlink w:anchor="P155">
        <w:r>
          <w:t>13</w:t>
        </w:r>
      </w:hyperlink>
      <w:r>
        <w:t xml:space="preserve"> настоящего Порядка, УФК по ТО в сроки, установленные </w:t>
      </w:r>
      <w:hyperlink w:anchor="P159">
        <w:r>
          <w:t>абзацами вторым</w:t>
        </w:r>
      </w:hyperlink>
      <w:r>
        <w:t xml:space="preserve"> - </w:t>
      </w:r>
      <w:hyperlink w:anchor="P162">
        <w:r>
          <w:t>пятым пункта 13.1</w:t>
        </w:r>
      </w:hyperlink>
      <w:r>
        <w:t xml:space="preserve"> настоящего Порядка, направляет получателю средств бюджета ЗАТО Северск уведомление в электронной форме, содержащее информацию, позволяющую идентифицировать документ, не принятый </w:t>
      </w:r>
      <w:r>
        <w:br/>
        <w:t>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pPr>
        <w:pStyle w:val="ConsPlusNormal"/>
        <w:ind w:firstLine="709"/>
        <w:jc w:val="both"/>
      </w:pPr>
      <w:r>
        <w:t>В отношении Сведений о бюджетных обязательствах, представленных на бумажном носителе, УФК по ТО возвращает получателю средств бюджета ЗАТО Северск копию Сведений о бюджетном обязательстве с проставлением даты отказа, должности сотрудника УФК по ТО, его подписи, расшифровки подписи с указанием инициалов и фамилии, причины отказа.</w:t>
      </w:r>
    </w:p>
    <w:p>
      <w:pPr>
        <w:pStyle w:val="ConsPlusNormal"/>
        <w:ind w:firstLine="709"/>
        <w:jc w:val="both"/>
      </w:pPr>
      <w:bookmarkStart w:id="20" w:name="P191"/>
      <w:bookmarkEnd w:id="20"/>
      <w:r>
        <w:t xml:space="preserve">17. В случае превышения суммы бюджетного обязательства по соответствующим кодам классификации расходов бюджета над суммой неиспользованных лимитов бюджетных обязательств, отраженных на соответствующем лицевом счете получателя бюджетных средств ЗАТО Северск в валюте Российской Федерации в соответствии с </w:t>
      </w:r>
      <w:hyperlink w:anchor="P182">
        <w:r>
          <w:t>пунктом 15</w:t>
        </w:r>
      </w:hyperlink>
      <w:r>
        <w:t xml:space="preserve"> настоящего Порядка, над суммой неиспользованных лимитов бюджетных обязательств, отраженных на соответствующем лицевом счете, УФК по ТО в сроки, установленные </w:t>
      </w:r>
      <w:hyperlink w:anchor="P159">
        <w:r>
          <w:t>абзацами вторым</w:t>
        </w:r>
      </w:hyperlink>
      <w:r>
        <w:t xml:space="preserve"> - </w:t>
      </w:r>
      <w:hyperlink w:anchor="P162">
        <w:r>
          <w:t>пятым пункта 13.1</w:t>
        </w:r>
      </w:hyperlink>
      <w:r>
        <w:t xml:space="preserve"> настоящего Порядка:</w:t>
      </w:r>
    </w:p>
    <w:p>
      <w:pPr>
        <w:pStyle w:val="ConsPlusNormal"/>
        <w:ind w:firstLine="709"/>
        <w:jc w:val="both"/>
      </w:pPr>
      <w:r>
        <w:t xml:space="preserve">в отношении Сведений о бюджетных обязательствах, возникших на основании документов-оснований, предусмотренных </w:t>
      </w:r>
      <w:hyperlink w:anchor="P650">
        <w:r>
          <w:t>пунктами 1</w:t>
        </w:r>
      </w:hyperlink>
      <w:r>
        <w:t xml:space="preserve"> - </w:t>
      </w:r>
      <w:hyperlink w:anchor="P686">
        <w:r>
          <w:t>3.</w:t>
        </w:r>
      </w:hyperlink>
      <w:r>
        <w:t xml:space="preserve">3, 6,1, </w:t>
      </w:r>
      <w:hyperlink w:anchor="P768">
        <w:r>
          <w:t>7.1</w:t>
        </w:r>
      </w:hyperlink>
      <w:r>
        <w:t xml:space="preserve"> и </w:t>
      </w:r>
      <w:hyperlink w:anchor="P801">
        <w:r>
          <w:t>12 графы 2</w:t>
        </w:r>
      </w:hyperlink>
      <w:r>
        <w:t xml:space="preserve"> Перечня, </w:t>
      </w:r>
      <w:r>
        <w:br/>
        <w:t xml:space="preserve">а также бюджетных обязательств, возникающих на основании документов-оснований, предусмотренных </w:t>
      </w:r>
      <w:hyperlink w:anchor="P801">
        <w:r>
          <w:t>пунктом 12 графы 2</w:t>
        </w:r>
      </w:hyperlink>
      <w:r>
        <w:t xml:space="preserve"> Перечня, связанных с перечислением сумм возврата дебиторской задолженности прошлых лет в доход бюджета ЗАТО Северск:</w:t>
      </w:r>
    </w:p>
    <w:p>
      <w:pPr>
        <w:pStyle w:val="ConsPlusNormal"/>
        <w:ind w:firstLine="709"/>
        <w:jc w:val="both"/>
      </w:pPr>
      <w:proofErr w:type="gramStart"/>
      <w:r>
        <w:t>представленных</w:t>
      </w:r>
      <w:proofErr w:type="gramEnd"/>
      <w:r>
        <w:t xml:space="preserve"> в электронной форме, - направляет получателю средств бюджета ЗАТО Северск уведомление в электронной форме;</w:t>
      </w:r>
    </w:p>
    <w:p>
      <w:pPr>
        <w:pStyle w:val="ConsPlusNormal"/>
        <w:ind w:firstLine="709"/>
        <w:jc w:val="both"/>
      </w:pPr>
      <w:proofErr w:type="gramStart"/>
      <w:r>
        <w:t>представленных</w:t>
      </w:r>
      <w:proofErr w:type="gramEnd"/>
      <w:r>
        <w:t xml:space="preserve"> на бумажном носителе, - возвращает получателю средств бюджета ЗАТО Северск копию Сведений о бюджетном обязательстве с проставлением даты отказа, должности сотрудника УФК по ТО, его подписи, расшифровки подписи </w:t>
      </w:r>
      <w:r>
        <w:br/>
        <w:t>с указанием инициалов и фамилии, причины отказа;</w:t>
      </w:r>
    </w:p>
    <w:p>
      <w:pPr>
        <w:pStyle w:val="ConsPlusNormal"/>
        <w:ind w:firstLine="709"/>
        <w:jc w:val="both"/>
      </w:pPr>
      <w:r>
        <w:t xml:space="preserve">в отношении Сведений о бюджетных обязательствах, возникших на основании документов-оснований, предусмотренных </w:t>
      </w:r>
      <w:hyperlink w:anchor="P690">
        <w:r>
          <w:t>пунктами 4</w:t>
        </w:r>
      </w:hyperlink>
      <w:r>
        <w:t xml:space="preserve"> - 6, 7, 8 - </w:t>
      </w:r>
      <w:hyperlink w:anchor="P795">
        <w:r>
          <w:t>11 графы 2</w:t>
        </w:r>
      </w:hyperlink>
      <w:r>
        <w:t xml:space="preserve"> Перечня (документов-оснований, предусмотренных </w:t>
      </w:r>
      <w:hyperlink w:anchor="P650">
        <w:r>
          <w:t>пунктами 1</w:t>
        </w:r>
      </w:hyperlink>
      <w:r>
        <w:t xml:space="preserve"> - </w:t>
      </w:r>
      <w:hyperlink w:anchor="P801">
        <w:r>
          <w:t>12 графы 2</w:t>
        </w:r>
      </w:hyperlink>
      <w:r>
        <w:t xml:space="preserve"> Перечня, источником финансового обеспечения которых являются лимиты бюджетных обязательств по дополнительному бюджетному финансированию, а также документов-оснований, предусмотренных </w:t>
      </w:r>
      <w:hyperlink w:anchor="P801">
        <w:r>
          <w:t>пунктом 12 графы 2</w:t>
        </w:r>
      </w:hyperlink>
      <w:r>
        <w:t xml:space="preserve"> Перечня, связанных с перечислением сумм возврата дебиторской задолженности прошлых лет в доход бюджета),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pPr>
        <w:pStyle w:val="ConsPlusNormal"/>
        <w:ind w:firstLine="709"/>
        <w:jc w:val="both"/>
      </w:pPr>
      <w:proofErr w:type="gramStart"/>
      <w:r>
        <w:t>получателю</w:t>
      </w:r>
      <w:proofErr w:type="gramEnd"/>
      <w:r>
        <w:t xml:space="preserve"> средств бюджета ЗАТО Северск Извещение о бюджетном обязательстве;</w:t>
      </w:r>
    </w:p>
    <w:p>
      <w:pPr>
        <w:pStyle w:val="ConsPlusNormal"/>
        <w:ind w:firstLine="709"/>
        <w:jc w:val="both"/>
      </w:pPr>
      <w:proofErr w:type="gramStart"/>
      <w:r>
        <w:t>получателю</w:t>
      </w:r>
      <w:proofErr w:type="gramEnd"/>
      <w:r>
        <w:t xml:space="preserve"> средств бюджета ЗАТО Северск и главному распорядителю средств бюджета ЗАТО Северск, в ведении которого находится получатель средств бюджета ЗАТО Северск, Уведомление о превышении бюджетным обязательством неиспользованных лимитов бюджетных обязательств, реквизиты которого установлены в </w:t>
      </w:r>
      <w:hyperlink w:anchor="P851">
        <w:r>
          <w:t>приложении № 4</w:t>
        </w:r>
      </w:hyperlink>
      <w:r>
        <w:t xml:space="preserve"> к настоящему Порядку (далее - Уведомление о превышении).</w:t>
      </w:r>
    </w:p>
    <w:p>
      <w:pPr>
        <w:pStyle w:val="ConsPlusNormal"/>
        <w:ind w:firstLine="709"/>
        <w:jc w:val="both"/>
      </w:pPr>
      <w:r>
        <w:t xml:space="preserve">В случае превышения в течение текущего финансового года суммы поставленного </w:t>
      </w:r>
      <w:r>
        <w:br/>
        <w:t>на учет бюджетного обязательства, возникшего на основании документа-основания, связанного с осуществлением капитальных вложений, по уникальному коду объекта капитального строительства или объекта недвижимого имущества, отраженному на лицевом счете получателя бюджетных средств ЗАТО Северск, над суммой неиспользованных лимитов бюджетных обязательств по коду бюджетной классификации расходов бюджета, детализированному по соответствующему уникальному коду объекта капитального строительства или объекта недвижимого имущества, УФК по ТО направляет главному распорядителю средств бюджета ЗАТО Северск и получателю средств бюджета ЗАТО Северск Уведомление о превышении не позднее рабочего дня, следующего за днем образования превышения, содержащее указание на установленный Правительством Российской Федерации предельный срок для внесения изменений в документ-основание, в соответствии с которым возникло указанное бюджетное обязательство.</w:t>
      </w:r>
    </w:p>
    <w:p>
      <w:pPr>
        <w:pStyle w:val="ConsPlusNormal"/>
        <w:ind w:firstLine="709"/>
        <w:jc w:val="both"/>
      </w:pPr>
      <w:bookmarkStart w:id="21" w:name="P207"/>
      <w:bookmarkEnd w:id="21"/>
      <w:r>
        <w:t xml:space="preserve">18.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УФК по ТО в соответствии с </w:t>
      </w:r>
      <w:hyperlink w:anchor="P114">
        <w:r>
          <w:t>пунктом 9</w:t>
        </w:r>
      </w:hyperlink>
      <w:r>
        <w:t xml:space="preserve"> настоящего Порядка в первый рабочий день текущего финансового года:</w:t>
      </w:r>
    </w:p>
    <w:p>
      <w:pPr>
        <w:pStyle w:val="ConsPlusNormal"/>
        <w:ind w:firstLine="709"/>
        <w:jc w:val="both"/>
      </w:pPr>
      <w:r>
        <w:t xml:space="preserve">в отношении бюджетных обязательств, возникших на основании документов-оснований, предусмотренных </w:t>
      </w:r>
      <w:hyperlink w:anchor="P650">
        <w:r>
          <w:t>пунктами 1</w:t>
        </w:r>
      </w:hyperlink>
      <w:r>
        <w:t xml:space="preserve"> - </w:t>
      </w:r>
      <w:hyperlink w:anchor="P698">
        <w:r>
          <w:t>5</w:t>
        </w:r>
      </w:hyperlink>
      <w:r>
        <w:t xml:space="preserve">, </w:t>
      </w:r>
      <w:hyperlink w:anchor="P788">
        <w:r>
          <w:t>1</w:t>
        </w:r>
      </w:hyperlink>
      <w:r>
        <w:t xml:space="preserve">0 и </w:t>
      </w:r>
      <w:hyperlink w:anchor="P795">
        <w:r>
          <w:t>11 графы 2</w:t>
        </w:r>
      </w:hyperlink>
      <w: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pPr>
        <w:pStyle w:val="ConsPlusNormal"/>
        <w:ind w:firstLine="709"/>
        <w:jc w:val="both"/>
      </w:pPr>
      <w:proofErr w:type="gramStart"/>
      <w:r>
        <w:t>в</w:t>
      </w:r>
      <w:proofErr w:type="gramEnd"/>
      <w:r>
        <w:t xml:space="preserve"> отношении бюджетных обязательств, возникших на основании документов-оснований, предусмотренных </w:t>
      </w:r>
      <w:hyperlink w:anchor="P711">
        <w:r>
          <w:t xml:space="preserve">пунктами </w:t>
        </w:r>
      </w:hyperlink>
      <w:r>
        <w:t>7</w:t>
      </w:r>
      <w:hyperlink w:anchor="P744"/>
      <w:r>
        <w:t xml:space="preserve">, 8 Перечня, - на сумму, предусмотренную </w:t>
      </w:r>
      <w:r>
        <w:br/>
        <w:t>на плановый период (при наличии).</w:t>
      </w:r>
    </w:p>
    <w:p>
      <w:pPr>
        <w:pStyle w:val="ConsPlusNormal"/>
        <w:ind w:firstLine="709"/>
        <w:jc w:val="both"/>
      </w:pPr>
      <w:bookmarkStart w:id="22" w:name="P216"/>
      <w:bookmarkEnd w:id="22"/>
      <w:r>
        <w:t xml:space="preserve">В бюджетные обязательства, в которые внесены изменения в соответствии с настоящим пунктом, получателем средств бюджета ЗАТО Северск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w:t>
      </w:r>
      <w:hyperlink w:anchor="P114">
        <w:r>
          <w:t>пунктом 9</w:t>
        </w:r>
      </w:hyperlink>
      <w:r>
        <w:t xml:space="preserve"> настоящего Порядка не позднее первого рабочего дня апреля текущего финансового года.</w:t>
      </w:r>
    </w:p>
    <w:p>
      <w:pPr>
        <w:pStyle w:val="ConsPlusNormal"/>
        <w:ind w:firstLine="709"/>
        <w:jc w:val="both"/>
      </w:pPr>
      <w:r>
        <w:t xml:space="preserve">Внесение в бюджетные обязательства изменений, предусмотренных </w:t>
      </w:r>
      <w:hyperlink w:anchor="P216">
        <w:r>
          <w:t>абзацем четвертым</w:t>
        </w:r>
      </w:hyperlink>
      <w:r>
        <w:t xml:space="preserve"> настоящего пункта, в части кодов бюджетной классификации Российской Федерации по документам-основаниям, предусмотренным </w:t>
      </w:r>
      <w:hyperlink w:anchor="P690">
        <w:r>
          <w:t>пунктом 4 графы 2</w:t>
        </w:r>
      </w:hyperlink>
      <w:r>
        <w:t xml:space="preserve"> Перечня, осуществляется получателем средств бюджета ЗАТО Северск не позднее первого февраля текущего финансового года.</w:t>
      </w:r>
    </w:p>
    <w:p>
      <w:pPr>
        <w:pStyle w:val="ConsPlusNormal"/>
        <w:ind w:firstLine="709"/>
        <w:jc w:val="both"/>
      </w:pPr>
      <w:r>
        <w:t xml:space="preserve">УФК по ТО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P136">
        <w:r>
          <w:t>абзаца четвертого</w:t>
        </w:r>
      </w:hyperlink>
      <w:r>
        <w:t xml:space="preserve">  </w:t>
      </w:r>
      <w:hyperlink w:anchor="P137">
        <w:r>
          <w:t xml:space="preserve"> пункта 11</w:t>
        </w:r>
      </w:hyperlink>
      <w:r>
        <w:t xml:space="preserve"> настоящего Порядка, направляет для сведения главному распорядителю средств бюджета ЗАТО Северск, в ведении которого находится получатель средств бюджета ЗАТО Северск, Уведомление </w:t>
      </w:r>
      <w:r>
        <w:br/>
        <w:t>о превышении не позднее следующего рабочего дня после дня совершения операций, предусмотренных настоящим пунктом.</w:t>
      </w:r>
    </w:p>
    <w:p>
      <w:pPr>
        <w:pStyle w:val="ConsPlusNormal"/>
        <w:ind w:firstLine="709"/>
        <w:jc w:val="both"/>
      </w:pPr>
      <w:r>
        <w:t xml:space="preserve">В случае если по состоянию на первый рабочий день апреля текущего финансового года бюджетные обязательства, указанные в </w:t>
      </w:r>
      <w:hyperlink w:anchor="P207">
        <w:r>
          <w:t>абзаце первом</w:t>
        </w:r>
      </w:hyperlink>
      <w:r>
        <w:t xml:space="preserve"> настоящего пункта, превышают неиспользованные лимиты бюджетных обязательств, отраженные на соответствующем лицевом счете получателя бюджетных средств ЗАТО Северск, УФК по ТО направляет главному распорядителю средств бюджета ЗАТО Северск, в ведении которого находится получатель средств бюджета ЗАТО Северск, и получателю средств бюджета ЗАТО Северск Уведомление о превышении в течение первого рабочего дня апреля текущего финансового года.</w:t>
      </w:r>
    </w:p>
    <w:p>
      <w:pPr>
        <w:pStyle w:val="ConsPlusNormal"/>
        <w:ind w:firstLine="709"/>
        <w:jc w:val="both"/>
      </w:pPr>
      <w:r>
        <w:t>19. В случае ликвидации, реорганизации получателя средств бюджета ЗАТО Северск либо изменения типа казенного учреждения не позднее пяти рабочих дней со дня, следующего за днем отзыва с соответствующего лицевого счета получателя бюджетных средств ЗАТО Северск неиспользованных лимитов бюджетных обязательств (бюджетных ассигнований на исполнение публичных нормативных обязательств) УФК по ТО вносятся изменения в ранее учтенные бюджетные обязательства получателя средств бюджета ЗАТО Северск в части аннулирования соответствующих неисполненных бюджетных обязательств.</w:t>
      </w:r>
    </w:p>
    <w:p>
      <w:pPr>
        <w:pStyle w:val="ConsPlusNormal"/>
        <w:ind w:firstLine="709"/>
        <w:jc w:val="both"/>
      </w:pPr>
    </w:p>
    <w:p>
      <w:pPr>
        <w:pStyle w:val="ConsPlusNormal"/>
        <w:jc w:val="center"/>
        <w:outlineLvl w:val="1"/>
      </w:pPr>
      <w:r>
        <w:t xml:space="preserve">III. Учет бюджетных обязательств по исполнительным </w:t>
      </w:r>
    </w:p>
    <w:p>
      <w:pPr>
        <w:pStyle w:val="ConsPlusTitle"/>
        <w:jc w:val="center"/>
        <w:rPr>
          <w:b w:val="0"/>
        </w:rPr>
      </w:pPr>
      <w:r>
        <w:rPr>
          <w:b w:val="0"/>
        </w:rPr>
        <w:t>документам, решениям налоговых органов</w:t>
      </w:r>
    </w:p>
    <w:p>
      <w:pPr>
        <w:pStyle w:val="ConsPlusNormal"/>
        <w:ind w:firstLine="709"/>
        <w:jc w:val="both"/>
      </w:pPr>
    </w:p>
    <w:p>
      <w:pPr>
        <w:pStyle w:val="ConsPlusNormal"/>
        <w:ind w:firstLine="709"/>
        <w:jc w:val="both"/>
      </w:pPr>
      <w:r>
        <w:t xml:space="preserve">20. В случае если УФК по ТО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w:t>
      </w:r>
      <w:r>
        <w:br/>
        <w:t>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pPr>
        <w:pStyle w:val="ConsPlusNormal"/>
        <w:ind w:firstLine="709"/>
        <w:jc w:val="both"/>
      </w:pPr>
      <w:r>
        <w:t>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 ЗАТО Северск.</w:t>
      </w:r>
    </w:p>
    <w:p>
      <w:pPr>
        <w:pStyle w:val="ConsPlusNormal"/>
        <w:ind w:firstLine="709"/>
        <w:jc w:val="both"/>
      </w:pPr>
    </w:p>
    <w:p>
      <w:pPr>
        <w:pStyle w:val="ConsPlusNormal"/>
        <w:jc w:val="center"/>
        <w:outlineLvl w:val="1"/>
      </w:pPr>
    </w:p>
    <w:p>
      <w:pPr>
        <w:pStyle w:val="ConsPlusNormal"/>
        <w:jc w:val="center"/>
        <w:outlineLvl w:val="1"/>
      </w:pPr>
      <w:r>
        <w:t>IV. Постановка на учет денежных обязательств</w:t>
      </w:r>
    </w:p>
    <w:p>
      <w:pPr>
        <w:pStyle w:val="ConsPlusTitle"/>
        <w:jc w:val="center"/>
        <w:rPr>
          <w:b w:val="0"/>
        </w:rPr>
      </w:pPr>
      <w:r>
        <w:rPr>
          <w:b w:val="0"/>
        </w:rPr>
        <w:t>и внесение в них изменений</w:t>
      </w:r>
    </w:p>
    <w:p>
      <w:pPr>
        <w:pStyle w:val="ConsPlusNormal"/>
        <w:ind w:firstLine="709"/>
        <w:jc w:val="both"/>
      </w:pPr>
    </w:p>
    <w:p>
      <w:pPr>
        <w:pStyle w:val="ConsPlusNormal"/>
        <w:ind w:firstLine="709"/>
        <w:jc w:val="both"/>
      </w:pPr>
      <w:bookmarkStart w:id="23" w:name="P234"/>
      <w:bookmarkEnd w:id="23"/>
      <w:r>
        <w:t xml:space="preserve">22. Сведения о денежных обязательствах по принятым бюджетным обязательствам формируются УФК по ТО в срок, установленный для оплаты денежного обязательства в соответствии с порядком санкционирования оплаты денежных обязательств получателей средств бюджета ЗАТО Северск, установленном Финансовым управлением Администрации ЗАТО Северск (далее - порядок санкционирования), за исключением случаев, указанных в </w:t>
      </w:r>
      <w:hyperlink w:anchor="P241">
        <w:r>
          <w:t>абзацах третьем</w:t>
        </w:r>
      </w:hyperlink>
      <w:r>
        <w:t xml:space="preserve"> - </w:t>
      </w:r>
      <w:hyperlink w:anchor="P246">
        <w:r>
          <w:t>седьмом</w:t>
        </w:r>
      </w:hyperlink>
      <w:r>
        <w:t xml:space="preserve"> настоящего пункта.</w:t>
      </w:r>
    </w:p>
    <w:p>
      <w:pPr>
        <w:pStyle w:val="ConsPlusNormal"/>
        <w:ind w:firstLine="709"/>
        <w:jc w:val="both"/>
      </w:pPr>
      <w:r>
        <w:t xml:space="preserve">Сведения о денежных обязательствах по принятым бюджетным обязательствам </w:t>
      </w:r>
      <w:r>
        <w:br/>
        <w:t>формируются получателем средств бюджета ЗАТО Северск не позднее рабочего дня, следующего за днем возникновения денежного обязательства, в случае:</w:t>
      </w:r>
    </w:p>
    <w:p>
      <w:pPr>
        <w:pStyle w:val="ConsPlusNormal"/>
        <w:ind w:firstLine="709"/>
        <w:jc w:val="both"/>
      </w:pPr>
      <w:bookmarkStart w:id="24" w:name="P241"/>
      <w:bookmarkEnd w:id="24"/>
      <w:r>
        <w:t>исполнения денежного обязательства неоднократно (в том числе с учетом ранее произведенных платежей, требующих подтверждения), за исключением случаев возникновения денежного обязательства на основании казначейского обеспечения обязательств;</w:t>
      </w:r>
    </w:p>
    <w:p>
      <w:pPr>
        <w:pStyle w:val="ConsPlusNormal"/>
        <w:ind w:firstLine="709"/>
        <w:jc w:val="both"/>
      </w:pPr>
      <w: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pPr>
        <w:pStyle w:val="ConsPlusNormal"/>
        <w:ind w:firstLine="709"/>
        <w:jc w:val="both"/>
      </w:pPr>
      <w: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w:t>
      </w:r>
      <w:r>
        <w:br/>
        <w:t>на основании документа о приемке по соответствующему муниципальному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pPr>
        <w:pStyle w:val="ConsPlusNormal"/>
        <w:ind w:firstLine="709"/>
        <w:jc w:val="both"/>
      </w:pPr>
      <w: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pPr>
        <w:pStyle w:val="ConsPlusNormal"/>
        <w:ind w:firstLine="709"/>
        <w:jc w:val="both"/>
      </w:pPr>
      <w:bookmarkStart w:id="25" w:name="P246"/>
      <w:bookmarkEnd w:id="25"/>
      <w:r>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в рамках полностью оплаченного в отчетном финансовом году бюджетного обязательства, возникшего </w:t>
      </w:r>
      <w:r>
        <w:br/>
        <w:t xml:space="preserve">в соответствии с </w:t>
      </w:r>
      <w:hyperlink w:anchor="P689">
        <w:r>
          <w:t>пунктами 4</w:t>
        </w:r>
      </w:hyperlink>
      <w:r>
        <w:t xml:space="preserve"> и </w:t>
      </w:r>
      <w:hyperlink w:anchor="P698">
        <w:r>
          <w:t>5 графы 2</w:t>
        </w:r>
      </w:hyperlink>
      <w:r>
        <w:t xml:space="preserve"> Перечня.</w:t>
      </w:r>
    </w:p>
    <w:p>
      <w:pPr>
        <w:pStyle w:val="ConsPlusNormal"/>
        <w:ind w:firstLine="709"/>
        <w:jc w:val="both"/>
      </w:pPr>
      <w:r>
        <w:t xml:space="preserve">23.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 «Да»), поставка товаров, выполнение работ, оказание услуг </w:t>
      </w:r>
      <w:r>
        <w:br/>
        <w:t>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pPr>
        <w:pStyle w:val="ConsPlusNormal"/>
        <w:ind w:firstLine="709"/>
        <w:jc w:val="both"/>
      </w:pPr>
      <w:r>
        <w:t>24. УФК по ТО не позднее следующего рабочего дня со дня представления получателем средств бюджета ЗАТО Северск Сведений о денежном обязательстве осуществляет их проверку на соответствие информации, указанной в Сведениях о денежном обязательстве:</w:t>
      </w:r>
    </w:p>
    <w:p>
      <w:pPr>
        <w:pStyle w:val="ConsPlusNormal"/>
        <w:ind w:firstLine="709"/>
        <w:jc w:val="both"/>
      </w:pPr>
      <w:r>
        <w:t xml:space="preserve">информации по соответствующему бюджетному обязательству, учтенному </w:t>
      </w:r>
      <w:r>
        <w:br/>
        <w:t>на соответствующем лицевом счете получателя бюджетных средств;</w:t>
      </w:r>
    </w:p>
    <w:p>
      <w:pPr>
        <w:pStyle w:val="ConsPlusNormal"/>
        <w:ind w:firstLine="709"/>
        <w:jc w:val="both"/>
      </w:pPr>
      <w:r>
        <w:t xml:space="preserve">информации, подлежащей включению в Сведения о денежном обязательстве </w:t>
      </w:r>
      <w:r>
        <w:br/>
        <w:t xml:space="preserve">в соответствии с </w:t>
      </w:r>
      <w:hyperlink w:anchor="P536">
        <w:r>
          <w:t>приложением № 2</w:t>
        </w:r>
      </w:hyperlink>
      <w:r>
        <w:t xml:space="preserve"> к настоящему Порядку, а также отсутствие </w:t>
      </w:r>
      <w:r>
        <w:br/>
        <w:t>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pPr>
        <w:pStyle w:val="ConsPlusNormal"/>
        <w:ind w:firstLine="709"/>
        <w:jc w:val="both"/>
      </w:pPr>
      <w:bookmarkStart w:id="26" w:name="P254"/>
      <w:bookmarkEnd w:id="26"/>
      <w:proofErr w:type="gramStart"/>
      <w:r>
        <w:t>информации</w:t>
      </w:r>
      <w:proofErr w:type="gramEnd"/>
      <w:r>
        <w:t xml:space="preserve">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ЗАТО Северск в УФК по ТО для постановки на учет денежных обязательств в соответствии с настоящим Порядком.</w:t>
      </w:r>
    </w:p>
    <w:p>
      <w:pPr>
        <w:pStyle w:val="ConsPlusNormal"/>
        <w:ind w:firstLine="709"/>
        <w:jc w:val="both"/>
      </w:pPr>
      <w:r>
        <w:t>В случае исполнения бюджетного обязательства, содержащего более одного кода классификации расходов бюджета ЗАТО Северск, УФК по ТО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p>
    <w:p>
      <w:pPr>
        <w:pStyle w:val="ConsPlusNormal"/>
        <w:ind w:firstLine="709"/>
        <w:jc w:val="both"/>
      </w:pPr>
      <w: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w:t>
      </w:r>
      <w:hyperlink w:anchor="P690">
        <w:r>
          <w:t>пунктом 4 графы 2</w:t>
        </w:r>
      </w:hyperlink>
      <w:r>
        <w:t xml:space="preserve"> Перечня, сформированного и подписанного без использования единой информационной системы, проверка, предусмотренная </w:t>
      </w:r>
      <w:hyperlink w:anchor="P254">
        <w:r>
          <w:t>абзацем четвертым</w:t>
        </w:r>
      </w:hyperlink>
      <w:r>
        <w:t xml:space="preserve"> настоящего пункта, осуществляется одновременно с проверкой соответствия информации, включаемой </w:t>
      </w:r>
      <w:r>
        <w:br/>
        <w:t>в Сведения о денежном обязательстве, аналогичной информации в реестре контрактов.</w:t>
      </w:r>
    </w:p>
    <w:p>
      <w:pPr>
        <w:autoSpaceDE w:val="0"/>
        <w:autoSpaceDN w:val="0"/>
        <w:adjustRightInd w:val="0"/>
        <w:ind w:firstLine="709"/>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pPr>
        <w:autoSpaceDE w:val="0"/>
        <w:autoSpaceDN w:val="0"/>
        <w:adjustRightInd w:val="0"/>
        <w:ind w:firstLine="709"/>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информационную систему для автоматической постановки на учет денежного обязательства (внесения в него изменений).</w:t>
      </w:r>
    </w:p>
    <w:p>
      <w:pPr>
        <w:pStyle w:val="ConsPlusNormal"/>
        <w:ind w:firstLine="709"/>
        <w:jc w:val="both"/>
      </w:pPr>
      <w:r>
        <w:t xml:space="preserve">25. В случае положительного результата проверки Сведений о денежном обязательстве УФК по ТО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 ЗАТО Северск извещение </w:t>
      </w:r>
      <w:r>
        <w:br/>
        <w:t xml:space="preserve">о постановке на учет (изменении) денежного обязательства в УФК по ТО, реквизиты которого установлены </w:t>
      </w:r>
      <w:hyperlink w:anchor="P1568">
        <w:r>
          <w:t>приложением № 13</w:t>
        </w:r>
      </w:hyperlink>
      <w:r>
        <w:t xml:space="preserve"> (далее – Извещение о денежном обязательстве).</w:t>
      </w:r>
    </w:p>
    <w:p>
      <w:pPr>
        <w:pStyle w:val="ConsPlusNormal"/>
        <w:ind w:firstLine="709"/>
        <w:jc w:val="both"/>
      </w:pPr>
      <w:r>
        <w:t>Извещение о денежном обязательстве направляется получателю средств бюджета ЗАТО Северск:</w:t>
      </w:r>
    </w:p>
    <w:p>
      <w:pPr>
        <w:pStyle w:val="ConsPlusNormal"/>
        <w:ind w:firstLine="709"/>
        <w:jc w:val="both"/>
      </w:pPr>
      <w:r>
        <w:t xml:space="preserve">в форме электронного документа, подписанного электронной подписью уполномоченного лица УФК по ТО, - в отношении Сведений </w:t>
      </w:r>
      <w:r>
        <w:br/>
        <w:t>о денежном обязательстве, представленных в форме электронного документа;</w:t>
      </w:r>
    </w:p>
    <w:p>
      <w:pPr>
        <w:pStyle w:val="ConsPlusNormal"/>
        <w:ind w:firstLine="709"/>
        <w:jc w:val="both"/>
      </w:pPr>
      <w:r>
        <w:t xml:space="preserve">на бумажном носителе, подписанного уполномоченным лицом УФК по ТО, - в отношении Сведений о денежном обязательстве, представленных </w:t>
      </w:r>
      <w:r>
        <w:br/>
        <w:t>на бумажном носителе.</w:t>
      </w:r>
    </w:p>
    <w:p>
      <w:pPr>
        <w:pStyle w:val="ConsPlusNormal"/>
        <w:ind w:firstLine="709"/>
        <w:jc w:val="both"/>
      </w:pPr>
      <w:r>
        <w:t xml:space="preserve">Извещение о денежном обязательстве, сформированное на бумажном носителе, подписывается лицом, имеющим право действовать от имени УФК по ТО. </w:t>
      </w:r>
    </w:p>
    <w:p>
      <w:pPr>
        <w:pStyle w:val="ConsPlusNormal"/>
        <w:ind w:firstLine="709"/>
        <w:jc w:val="both"/>
      </w:pPr>
      <w: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pPr>
        <w:pStyle w:val="ConsPlusNormal"/>
        <w:ind w:firstLine="709"/>
        <w:jc w:val="both"/>
      </w:pPr>
      <w:r>
        <w:t xml:space="preserve">Учетный номер денежного обязательства имеет следующую структуру, состоящую </w:t>
      </w:r>
      <w:r>
        <w:br/>
        <w:t>из двадцати пяти разрядов:</w:t>
      </w:r>
    </w:p>
    <w:p>
      <w:pPr>
        <w:pStyle w:val="ConsPlusNormal"/>
        <w:ind w:firstLine="709"/>
        <w:jc w:val="both"/>
      </w:pPr>
      <w:r>
        <w:t>с 1 по 19 разряд - учетный номер соответствующего бюджетного обязательства;</w:t>
      </w:r>
    </w:p>
    <w:p>
      <w:pPr>
        <w:pStyle w:val="ConsPlusNormal"/>
        <w:ind w:firstLine="709"/>
        <w:jc w:val="both"/>
      </w:pPr>
      <w:r>
        <w:t>с 20 по 25 разряд - порядковый номер денежного обязательства.</w:t>
      </w:r>
    </w:p>
    <w:p>
      <w:pPr>
        <w:pStyle w:val="ConsPlusNormal"/>
        <w:ind w:firstLine="709"/>
        <w:jc w:val="both"/>
      </w:pPr>
      <w:r>
        <w:t>26. В случае отрицательного результата проверки Сведений о денежном обязательстве УФК по ТО в день осуществления проверки:</w:t>
      </w:r>
    </w:p>
    <w:p>
      <w:pPr>
        <w:pStyle w:val="ConsPlusNormal"/>
        <w:ind w:firstLine="709"/>
        <w:jc w:val="both"/>
      </w:pPr>
      <w:proofErr w:type="gramStart"/>
      <w:r>
        <w:t>в</w:t>
      </w:r>
      <w:proofErr w:type="gramEnd"/>
      <w:r>
        <w:t xml:space="preserve"> отношении Сведений о денежных обязательствах, сформированных УФК по ТО, направляет получателю средств бюджета ЗАТО Северск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pPr>
        <w:pStyle w:val="ConsPlusNormal"/>
        <w:ind w:firstLine="709"/>
        <w:jc w:val="both"/>
      </w:pPr>
      <w:proofErr w:type="gramStart"/>
      <w:r>
        <w:t>в</w:t>
      </w:r>
      <w:proofErr w:type="gramEnd"/>
      <w:r>
        <w:t xml:space="preserve"> отношении Сведений о денежных обязательствах, сформированных получателем средств бюджета ЗАТО Северск, возвращает получателю средств бюджета ЗАТО Северск копию представленных на бумажном носителе Сведений о денежном обязательстве с проставлением даты отказа, должности сотрудника УФК по ТО, его подписи, расшифровки подписи с указанием инициалов и фамилии, причины отказа;</w:t>
      </w:r>
    </w:p>
    <w:p>
      <w:pPr>
        <w:pStyle w:val="ConsPlusNormal"/>
        <w:ind w:firstLine="709"/>
        <w:jc w:val="both"/>
      </w:pPr>
      <w:proofErr w:type="gramStart"/>
      <w:r>
        <w:t>направляет</w:t>
      </w:r>
      <w:proofErr w:type="gramEnd"/>
      <w:r>
        <w:t xml:space="preserve"> получателю средств бюджета ЗАТО Северск уведомление в электронном виде, если Сведения о денежном обязательстве представлялись в форме электронного документа.</w:t>
      </w:r>
    </w:p>
    <w:p>
      <w:pPr>
        <w:autoSpaceDE w:val="0"/>
        <w:autoSpaceDN w:val="0"/>
        <w:adjustRightInd w:val="0"/>
        <w:ind w:firstLine="709"/>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В отношении Сведений о денежном обязательстве, сформированных с использованием единой информационной системы, уведомление направляется с использованием единой информационной системы.</w:t>
      </w:r>
    </w:p>
    <w:p>
      <w:pPr>
        <w:pStyle w:val="ConsPlusNormal"/>
        <w:ind w:firstLine="709"/>
        <w:jc w:val="both"/>
      </w:pPr>
      <w:r>
        <w:t xml:space="preserve">27. Неисполненная часть денежного обязательства, в том числе денежного обязательства, поставка товаров, выполнение работ, оказание услуг по которому </w:t>
      </w:r>
      <w:r>
        <w:br/>
        <w:t xml:space="preserve">не подтверждены, принятого на учет в отчетном финансовом году в соответствии </w:t>
      </w:r>
      <w:r>
        <w:br/>
        <w:t xml:space="preserve">с бюджетным обязательством, указанным в </w:t>
      </w:r>
      <w:hyperlink w:anchor="P207">
        <w:r>
          <w:t>пункте 18</w:t>
        </w:r>
      </w:hyperlink>
      <w:r>
        <w:t xml:space="preserve"> настоящего Порядка, подлежит учету </w:t>
      </w:r>
      <w:r>
        <w:br/>
        <w:t>в текущем финансовом году на основании Сведений о денежном обязательстве, сформированных УФК по ТО.</w:t>
      </w:r>
    </w:p>
    <w:p>
      <w:pPr>
        <w:pStyle w:val="ConsPlusNormal"/>
        <w:ind w:firstLine="709"/>
        <w:jc w:val="both"/>
      </w:pPr>
      <w:r>
        <w:t xml:space="preserve">28. В случае если коды бюджетной классификации Российской Федерации, по которым УФК по ТО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ЗАТО Северск уточняет указанные коды бюджетной классификации Российской Федерации в порядке и в срок, предусмотренные </w:t>
      </w:r>
      <w:hyperlink w:anchor="P207">
        <w:r>
          <w:t>пунктом 18</w:t>
        </w:r>
      </w:hyperlink>
      <w:r>
        <w:t xml:space="preserve"> настоящего Порядка.</w:t>
      </w:r>
    </w:p>
    <w:p>
      <w:pPr>
        <w:pStyle w:val="ConsPlusNormal"/>
        <w:ind w:firstLine="709"/>
        <w:jc w:val="both"/>
      </w:pPr>
    </w:p>
    <w:p>
      <w:pPr>
        <w:pStyle w:val="ConsPlusNormal"/>
        <w:jc w:val="center"/>
        <w:outlineLvl w:val="1"/>
      </w:pPr>
      <w:r>
        <w:t>V. Представление информации о бюджетных и денежных</w:t>
      </w:r>
    </w:p>
    <w:p>
      <w:pPr>
        <w:pStyle w:val="ConsPlusTitle"/>
        <w:jc w:val="center"/>
        <w:rPr>
          <w:b w:val="0"/>
        </w:rPr>
      </w:pPr>
      <w:r>
        <w:rPr>
          <w:b w:val="0"/>
        </w:rPr>
        <w:t>обязательствах, учтенных в УФК по ТО</w:t>
      </w:r>
    </w:p>
    <w:p>
      <w:pPr>
        <w:pStyle w:val="ConsPlusTitle"/>
        <w:ind w:firstLine="709"/>
        <w:jc w:val="center"/>
      </w:pPr>
    </w:p>
    <w:p>
      <w:pPr>
        <w:pStyle w:val="ConsPlusNormal"/>
        <w:ind w:firstLine="709"/>
        <w:jc w:val="both"/>
      </w:pPr>
      <w:r>
        <w:t>29. Информация о бюджетных и денежных обязательствах предоставляется:</w:t>
      </w:r>
    </w:p>
    <w:p>
      <w:pPr>
        <w:pStyle w:val="ConsPlusNormal"/>
        <w:ind w:firstLine="709"/>
        <w:jc w:val="both"/>
      </w:pPr>
      <w:r>
        <w:t xml:space="preserve"> УФК по ТО посредством предоставления информации о поставленных на учет бюджетных и денежных обязательствах (внесении в них изменений) и их исполнении (в том числе в форме электронного документа, а также посредством обеспечения возможности формирования в соответствующей информационной системе отчетности, предусмотренной </w:t>
      </w:r>
      <w:hyperlink w:anchor="P298">
        <w:r>
          <w:t>пунктом 3</w:t>
        </w:r>
      </w:hyperlink>
      <w:r>
        <w:t>1 настоящего Порядка);</w:t>
      </w:r>
    </w:p>
    <w:p>
      <w:pPr>
        <w:autoSpaceDE w:val="0"/>
        <w:autoSpaceDN w:val="0"/>
        <w:adjustRightInd w:val="0"/>
        <w:ind w:firstLine="709"/>
        <w:jc w:val="both"/>
        <w:rPr>
          <w:rFonts w:ascii="Times New Roman" w:eastAsiaTheme="minorHAnsi" w:hAnsi="Times New Roman"/>
          <w:sz w:val="24"/>
          <w:szCs w:val="24"/>
          <w:lang w:eastAsia="en-US"/>
        </w:rPr>
      </w:pPr>
      <w:r>
        <w:rPr>
          <w:sz w:val="24"/>
          <w:szCs w:val="24"/>
        </w:rPr>
        <w:t>УФК по ТО</w:t>
      </w:r>
      <w:r>
        <w:t xml:space="preserve"> </w:t>
      </w:r>
      <w:r>
        <w:rPr>
          <w:rFonts w:ascii="Times New Roman" w:eastAsiaTheme="minorHAnsi" w:hAnsi="Times New Roman"/>
          <w:sz w:val="24"/>
          <w:szCs w:val="24"/>
          <w:lang w:eastAsia="en-US"/>
        </w:rPr>
        <w:t xml:space="preserve">в виде документов, определенных </w:t>
      </w:r>
      <w:hyperlink r:id="rId42" w:history="1">
        <w:r>
          <w:rPr>
            <w:rFonts w:ascii="Times New Roman" w:eastAsiaTheme="minorHAnsi" w:hAnsi="Times New Roman"/>
            <w:sz w:val="24"/>
            <w:szCs w:val="24"/>
            <w:lang w:eastAsia="en-US"/>
          </w:rPr>
          <w:t>пунктом 3</w:t>
        </w:r>
      </w:hyperlink>
      <w:r>
        <w:rPr>
          <w:rFonts w:ascii="Times New Roman" w:eastAsiaTheme="minorHAnsi" w:hAnsi="Times New Roman"/>
          <w:sz w:val="24"/>
          <w:szCs w:val="24"/>
          <w:lang w:eastAsia="en-US"/>
        </w:rPr>
        <w:t xml:space="preserve">1 настоящего Порядка, по запросам органов местного самоуправления, главных распорядителей средств бюджета </w:t>
      </w:r>
      <w:r>
        <w:rPr>
          <w:rFonts w:ascii="Times New Roman" w:hAnsi="Times New Roman"/>
          <w:sz w:val="24"/>
          <w:szCs w:val="24"/>
        </w:rPr>
        <w:t>ЗАТО Северск</w:t>
      </w:r>
      <w:r>
        <w:rPr>
          <w:rFonts w:ascii="Times New Roman" w:eastAsiaTheme="minorHAnsi" w:hAnsi="Times New Roman"/>
          <w:sz w:val="24"/>
          <w:szCs w:val="24"/>
          <w:lang w:eastAsia="en-US"/>
        </w:rPr>
        <w:t xml:space="preserve">, получателей средств бюджета </w:t>
      </w:r>
      <w:r>
        <w:rPr>
          <w:sz w:val="24"/>
          <w:szCs w:val="24"/>
        </w:rPr>
        <w:t>ЗАТО Северск</w:t>
      </w:r>
      <w:r>
        <w:t xml:space="preserve"> </w:t>
      </w:r>
      <w:r>
        <w:rPr>
          <w:rFonts w:ascii="Times New Roman" w:eastAsiaTheme="minorHAnsi" w:hAnsi="Times New Roman"/>
          <w:sz w:val="24"/>
          <w:szCs w:val="24"/>
          <w:lang w:eastAsia="en-US"/>
        </w:rPr>
        <w:t xml:space="preserve">с учетом положений </w:t>
      </w:r>
      <w:hyperlink r:id="rId43" w:history="1">
        <w:r>
          <w:rPr>
            <w:rFonts w:ascii="Times New Roman" w:eastAsiaTheme="minorHAnsi" w:hAnsi="Times New Roman"/>
            <w:sz w:val="24"/>
            <w:szCs w:val="24"/>
            <w:lang w:eastAsia="en-US"/>
          </w:rPr>
          <w:t>пунктом 30</w:t>
        </w:r>
      </w:hyperlink>
      <w:r>
        <w:rPr>
          <w:rFonts w:ascii="Times New Roman" w:eastAsiaTheme="minorHAnsi" w:hAnsi="Times New Roman"/>
          <w:sz w:val="24"/>
          <w:szCs w:val="24"/>
          <w:lang w:eastAsia="en-US"/>
        </w:rPr>
        <w:t xml:space="preserve"> настоящего Порядка.</w:t>
      </w:r>
    </w:p>
    <w:p>
      <w:pPr>
        <w:pStyle w:val="ConsPlusNormal"/>
        <w:ind w:firstLine="709"/>
        <w:jc w:val="both"/>
      </w:pPr>
      <w:bookmarkStart w:id="27" w:name="P291"/>
      <w:bookmarkEnd w:id="27"/>
      <w:r>
        <w:t>30. Информация о бюджетных и денежных обязательствах предоставляется:</w:t>
      </w:r>
    </w:p>
    <w:p>
      <w:pPr>
        <w:pStyle w:val="ConsPlusNormal"/>
        <w:ind w:firstLine="709"/>
        <w:jc w:val="both"/>
      </w:pPr>
      <w:proofErr w:type="gramStart"/>
      <w:r>
        <w:t>главным</w:t>
      </w:r>
      <w:proofErr w:type="gramEnd"/>
      <w:r>
        <w:t xml:space="preserve"> распорядителям средств бюджета ЗАТО Северск - в части бюджетных и денежных обязательств подведомственных им получателей средств бюджета ЗАТО Северск;</w:t>
      </w:r>
    </w:p>
    <w:p>
      <w:pPr>
        <w:pStyle w:val="ConsPlusNormal"/>
        <w:ind w:firstLine="709"/>
        <w:jc w:val="both"/>
      </w:pPr>
      <w:proofErr w:type="gramStart"/>
      <w:r>
        <w:t>получателям</w:t>
      </w:r>
      <w:proofErr w:type="gramEnd"/>
      <w:r>
        <w:t xml:space="preserve"> средств бюджета ЗАТО Северск - в части бюджетных и денежных обязательств соответствующего получателя средств бюджета ЗАТО Северск;</w:t>
      </w:r>
    </w:p>
    <w:p>
      <w:pPr>
        <w:pStyle w:val="ConsPlusNormal"/>
        <w:ind w:firstLine="709"/>
        <w:jc w:val="both"/>
      </w:pPr>
      <w:r>
        <w:rPr>
          <w:rFonts w:eastAsiaTheme="minorHAnsi"/>
          <w:szCs w:val="24"/>
          <w:lang w:eastAsia="en-US"/>
        </w:rPr>
        <w:t>органам местного самоуправления</w:t>
      </w:r>
      <w:r>
        <w:t xml:space="preserve"> - в рамках их полномочий, установленных законодательством Российской Федерации.</w:t>
      </w:r>
    </w:p>
    <w:p>
      <w:pPr>
        <w:pStyle w:val="ConsPlusNormal"/>
        <w:ind w:firstLine="709"/>
        <w:jc w:val="both"/>
      </w:pPr>
      <w:bookmarkStart w:id="28" w:name="P297"/>
      <w:bookmarkEnd w:id="28"/>
      <w:r>
        <w:t xml:space="preserve">31. </w:t>
      </w:r>
      <w:bookmarkStart w:id="29" w:name="P298"/>
      <w:bookmarkEnd w:id="29"/>
      <w:r>
        <w:t xml:space="preserve">Информация о бюджетных и денежных обязательствах предоставляется </w:t>
      </w:r>
      <w:r>
        <w:br/>
        <w:t>в соответствии со следующими положениями:</w:t>
      </w:r>
    </w:p>
    <w:p>
      <w:pPr>
        <w:pStyle w:val="ConsPlusNormal"/>
        <w:ind w:firstLine="709"/>
        <w:jc w:val="both"/>
      </w:pPr>
      <w:r>
        <w:t xml:space="preserve">1) по запросу </w:t>
      </w:r>
      <w:r>
        <w:rPr>
          <w:rFonts w:eastAsiaTheme="minorHAnsi"/>
          <w:szCs w:val="24"/>
          <w:lang w:eastAsia="en-US"/>
        </w:rPr>
        <w:t>органов местного самоуправления</w:t>
      </w:r>
      <w:r>
        <w:t xml:space="preserve">, уполномоченного в соответствии </w:t>
      </w:r>
      <w:r>
        <w:br/>
        <w:t>с законодательством Российской Федерации на получение такой информации, УФК по ТО представляет с указанными в запросе детализацией и группировкой показателей:</w:t>
      </w:r>
    </w:p>
    <w:p>
      <w:pPr>
        <w:pStyle w:val="ConsPlusNormal"/>
        <w:ind w:firstLine="709"/>
        <w:jc w:val="both"/>
      </w:pPr>
      <w:proofErr w:type="gramStart"/>
      <w:r>
        <w:t>а</w:t>
      </w:r>
      <w:proofErr w:type="gramEnd"/>
      <w:r>
        <w:t>) информацию о принятых на учет _____________________ обязательствах,</w:t>
      </w:r>
      <w:r>
        <w:br/>
        <w:t xml:space="preserve">                                                                                             (бюджетных, денежных)</w:t>
      </w:r>
    </w:p>
    <w:p>
      <w:pPr>
        <w:pStyle w:val="ConsPlusNormal"/>
        <w:ind w:firstLine="709"/>
        <w:jc w:val="both"/>
      </w:pPr>
      <w:r>
        <w:t xml:space="preserve">реквизиты которой установлены </w:t>
      </w:r>
      <w:hyperlink w:anchor="P1081">
        <w:r>
          <w:t>приложением № 6</w:t>
        </w:r>
      </w:hyperlink>
      <w:r>
        <w:t xml:space="preserve"> к настоящему Порядку (далее -</w:t>
      </w:r>
    </w:p>
    <w:p>
      <w:pPr>
        <w:pStyle w:val="ConsPlusNormal"/>
        <w:ind w:firstLine="709"/>
        <w:jc w:val="both"/>
      </w:pPr>
      <w:proofErr w:type="gramStart"/>
      <w:r>
        <w:t>Информация  о</w:t>
      </w:r>
      <w:proofErr w:type="gramEnd"/>
      <w:r>
        <w:t xml:space="preserve"> принятых на учет обязательствах), сформированную по состоянию</w:t>
      </w:r>
    </w:p>
    <w:p>
      <w:pPr>
        <w:pStyle w:val="ConsPlusNormal"/>
        <w:ind w:firstLine="709"/>
        <w:jc w:val="both"/>
      </w:pPr>
      <w:r>
        <w:t>на соответствующую дату;</w:t>
      </w:r>
    </w:p>
    <w:p>
      <w:pPr>
        <w:pStyle w:val="ConsPlusNormal"/>
        <w:ind w:firstLine="709"/>
        <w:jc w:val="both"/>
      </w:pPr>
      <w:r>
        <w:t>б) информацию об исполнении ___________________________________________</w:t>
      </w:r>
    </w:p>
    <w:p>
      <w:pPr>
        <w:pStyle w:val="ConsPlusNormal"/>
        <w:ind w:firstLine="709"/>
        <w:jc w:val="both"/>
      </w:pPr>
      <w:r>
        <w:t xml:space="preserve">                                                                                         (бюджетных, денежных)</w:t>
      </w:r>
    </w:p>
    <w:p>
      <w:pPr>
        <w:pStyle w:val="ConsPlusNormal"/>
        <w:ind w:firstLine="709"/>
        <w:jc w:val="both"/>
      </w:pPr>
      <w:proofErr w:type="gramStart"/>
      <w:r>
        <w:t>обязательств,  реквизиты</w:t>
      </w:r>
      <w:proofErr w:type="gramEnd"/>
      <w:r>
        <w:t xml:space="preserve">  которой  установлены </w:t>
      </w:r>
      <w:hyperlink w:anchor="P1162">
        <w:r>
          <w:t>приложением № 7</w:t>
        </w:r>
      </w:hyperlink>
      <w:r>
        <w:t xml:space="preserve"> к настоящему</w:t>
      </w:r>
    </w:p>
    <w:p>
      <w:pPr>
        <w:pStyle w:val="ConsPlusNormal"/>
        <w:ind w:firstLine="709"/>
        <w:jc w:val="both"/>
      </w:pPr>
      <w:proofErr w:type="gramStart"/>
      <w:r>
        <w:t>Порядку  (</w:t>
      </w:r>
      <w:proofErr w:type="gramEnd"/>
      <w:r>
        <w:t>далее - Информация об исполнении обязательств), сформированную на</w:t>
      </w:r>
    </w:p>
    <w:p>
      <w:pPr>
        <w:pStyle w:val="ConsPlusNormal"/>
        <w:ind w:firstLine="709"/>
        <w:jc w:val="both"/>
      </w:pPr>
      <w:r>
        <w:t>дату, указанную в запросе;</w:t>
      </w:r>
    </w:p>
    <w:p>
      <w:pPr>
        <w:pStyle w:val="ConsPlusNormal"/>
        <w:ind w:firstLine="709"/>
        <w:jc w:val="both"/>
      </w:pPr>
      <w:r>
        <w:t>в) информацию об исполнении _________________________________________</w:t>
      </w:r>
    </w:p>
    <w:p>
      <w:pPr>
        <w:pStyle w:val="ConsPlusNormal"/>
        <w:ind w:firstLine="709"/>
        <w:jc w:val="both"/>
      </w:pPr>
      <w:r>
        <w:t xml:space="preserve">                                                                       (бюджетных, денежных)</w:t>
      </w:r>
    </w:p>
    <w:p>
      <w:pPr>
        <w:pStyle w:val="ConsPlusNormal"/>
        <w:ind w:firstLine="709"/>
        <w:jc w:val="both"/>
      </w:pPr>
      <w:proofErr w:type="gramStart"/>
      <w:r>
        <w:t>обязательств</w:t>
      </w:r>
      <w:proofErr w:type="gramEnd"/>
      <w:r>
        <w:t xml:space="preserve">, принятых   в   целях   осуществления  капитальных  вложений (реализации  мероприятий  по информатизации), реквизиты которой установлены </w:t>
      </w:r>
      <w:hyperlink w:anchor="P1240">
        <w:r>
          <w:t>приложением  №  8</w:t>
        </w:r>
      </w:hyperlink>
      <w:r>
        <w:t xml:space="preserve">  </w:t>
      </w:r>
      <w:r>
        <w:br/>
        <w:t xml:space="preserve">к  настоящему  Порядку (далее - Информация об исполнении обязательств,   принятых   </w:t>
      </w:r>
      <w:r>
        <w:br/>
        <w:t xml:space="preserve">в  целях   осуществления  капитальных  вложений (реализации   мероприятий   </w:t>
      </w:r>
      <w:r>
        <w:br/>
        <w:t>по  информатизации),  сформированную  на  дату, указанную в запросе;</w:t>
      </w:r>
    </w:p>
    <w:p>
      <w:pPr>
        <w:pStyle w:val="ConsPlusNormal"/>
        <w:ind w:firstLine="709"/>
        <w:jc w:val="both"/>
      </w:pPr>
      <w:r>
        <w:t>2) по запросу главного распорядителя средств бюджета ЗАТО Северск УФК по ТО представляет с указанными в запросе детализацией и группировкой показателей:</w:t>
      </w:r>
    </w:p>
    <w:p>
      <w:pPr>
        <w:pStyle w:val="ConsPlusNormal"/>
        <w:ind w:firstLine="709"/>
        <w:jc w:val="both"/>
      </w:pPr>
      <w:proofErr w:type="gramStart"/>
      <w:r>
        <w:t>а</w:t>
      </w:r>
      <w:proofErr w:type="gramEnd"/>
      <w:r>
        <w:t>) информацию о принятых на учет обязательствах по находящимся в ведении главного распорядителя средств бюджета ЗАТО Северск получателям средств бюджета ЗАТО Северск, сформированную нарастающим итогом с начала текущего финансового года по состоянию на соответствующую дату;</w:t>
      </w:r>
    </w:p>
    <w:p>
      <w:pPr>
        <w:pStyle w:val="ConsPlusNormal"/>
        <w:ind w:firstLine="709"/>
        <w:jc w:val="both"/>
      </w:pPr>
      <w:proofErr w:type="gramStart"/>
      <w:r>
        <w:t>б</w:t>
      </w:r>
      <w:proofErr w:type="gramEnd"/>
      <w:r>
        <w:t>) информацию об исполнении обязательств по капитальным вложениям (мероприятиям по информатизации) по находящимся в ведении главного распорядителя средств бюджета ЗАТО Северск получателям средств бюджета ЗАТО Северск;</w:t>
      </w:r>
    </w:p>
    <w:p>
      <w:pPr>
        <w:pStyle w:val="ConsPlusNormal"/>
        <w:ind w:firstLine="709"/>
        <w:jc w:val="both"/>
      </w:pPr>
      <w:r>
        <w:t xml:space="preserve">3)   по   запросу   получателя   средств   бюджета УФК по ТО предоставляет справку об исполнении принятых на учет ___________________________________ обязательствах (далее - Справка об (бюджетных, денежных) исполнении обязательств), реквизиты которой установлены </w:t>
      </w:r>
      <w:hyperlink w:anchor="P991">
        <w:r>
          <w:t>приложением № 5</w:t>
        </w:r>
      </w:hyperlink>
      <w:r>
        <w:t xml:space="preserve"> к настоящему Порядку.</w:t>
      </w:r>
    </w:p>
    <w:p>
      <w:pPr>
        <w:pStyle w:val="ConsPlusNormal"/>
        <w:ind w:firstLine="709"/>
        <w:jc w:val="both"/>
      </w:pPr>
      <w: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ЗАТО Северск, нарастающим итогом с 1 января текущего финансового года и содержит информацию об исполнении бюджетных обязательств, поставленных на учет в УФК по ТО на основании Сведений о бюджетном обязательстве;</w:t>
      </w:r>
    </w:p>
    <w:p>
      <w:pPr>
        <w:pStyle w:val="ConsPlusNormal"/>
        <w:ind w:firstLine="709"/>
        <w:jc w:val="both"/>
      </w:pPr>
      <w:bookmarkStart w:id="30" w:name="P328"/>
      <w:bookmarkEnd w:id="30"/>
      <w:r>
        <w:t xml:space="preserve">4) по запросу получателя средств бюджета ЗАТО Северск УФК по ТО по месту обслуживания получателя средств бюджета ЗАТО Северск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установлены </w:t>
      </w:r>
      <w:hyperlink w:anchor="P1316">
        <w:r>
          <w:t>приложением № 9</w:t>
        </w:r>
      </w:hyperlink>
      <w:r>
        <w:t xml:space="preserve"> к настоящему Порядку (далее - Справка о неисполненных бюджетных обязательствах).</w:t>
      </w:r>
    </w:p>
    <w:p>
      <w:pPr>
        <w:pStyle w:val="ConsPlusNormal"/>
        <w:ind w:firstLine="709"/>
        <w:jc w:val="both"/>
      </w:pPr>
      <w:r>
        <w:t xml:space="preserve">Справка о неисполненных бюджетных обязательствах формируется по состоянию </w:t>
      </w:r>
      <w:r>
        <w:br/>
        <w:t>на 1 января текущего финансового года в разрезе кодов бюджетной классификации Российской Федерации, уникальных кодов объектов капитального строительства или объектов недвижимого имущества (мероприятий по информатизации)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УФК по ТО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pPr>
        <w:pStyle w:val="ConsPlusNormal"/>
        <w:ind w:firstLine="709"/>
        <w:jc w:val="both"/>
      </w:pPr>
      <w:r>
        <w:t xml:space="preserve">По запросу главного распорядителя средств бюджета УФК по ТО формирует сводную Справку о неисполненных бюджетных обязательствах получателей средств бюджета ЗАТО Северск, находящихся в ведении главного распорядителя средств бюджета ЗАТО Северск, сформированную. </w:t>
      </w:r>
    </w:p>
    <w:p>
      <w:pPr>
        <w:pStyle w:val="ConsPlusNormal"/>
        <w:ind w:firstLine="709"/>
        <w:jc w:val="both"/>
      </w:pPr>
      <w:r>
        <w:t xml:space="preserve">Главные распорядители средств бюджета ЗАТО Северск не позднее пятого рабочего дня февраля текущего финансового года представляют в УФК по ТО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установлены </w:t>
      </w:r>
      <w:hyperlink w:anchor="P1391">
        <w:r>
          <w:t>приложением № 10</w:t>
        </w:r>
      </w:hyperlink>
      <w:r>
        <w:t xml:space="preserve"> к настоящему Порядку (далее - Информация об объеме лимитов бюджетных обязательств).</w:t>
      </w:r>
    </w:p>
    <w:p>
      <w:pPr>
        <w:autoSpaceDE w:val="0"/>
        <w:autoSpaceDN w:val="0"/>
        <w:adjustRightInd w:val="0"/>
        <w:ind w:firstLine="709"/>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Информация об объеме лимитов бюджетных обязательств представляется в форме электронного документа в информационной системе </w:t>
      </w:r>
      <w:r>
        <w:rPr>
          <w:sz w:val="24"/>
          <w:szCs w:val="24"/>
        </w:rPr>
        <w:t>Федерального казначейства</w:t>
      </w:r>
      <w:r>
        <w:rPr>
          <w:rFonts w:ascii="Times New Roman" w:eastAsiaTheme="minorHAnsi" w:hAnsi="Times New Roman"/>
          <w:sz w:val="24"/>
          <w:szCs w:val="24"/>
          <w:lang w:eastAsia="en-US"/>
        </w:rPr>
        <w:t xml:space="preserve"> и подписывается электронной подписью лица, имеющего право действовать от имени главного распорядителя средств бюджета ЗАТО Северск.</w:t>
      </w:r>
    </w:p>
    <w:p>
      <w:pPr>
        <w:pStyle w:val="ConsPlusNormal"/>
        <w:ind w:firstLine="709"/>
        <w:jc w:val="both"/>
      </w:pPr>
      <w:r>
        <w:t xml:space="preserve">УФК по ТО в течение двух рабочих дней после дня предоставления главным распорядителем средств бюджета ЗАТО Северск Информации об объеме лимитов бюджетных обязательств проверяет указанную информацию на </w:t>
      </w:r>
      <w:proofErr w:type="spellStart"/>
      <w:r>
        <w:t>непревышение</w:t>
      </w:r>
      <w:proofErr w:type="spellEnd"/>
      <w:r>
        <w:t xml:space="preserve"> суммы, на которую в текущем финансовом году могут быть увеличены бюджетные ассигнования главному распорядителю средств бюджета ЗАТО Северск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сформированной УФК по ТО по указанному главному распорядителю средств бюджета ЗАТО Северск.</w:t>
      </w:r>
    </w:p>
    <w:p>
      <w:pPr>
        <w:pStyle w:val="ConsPlusNormal"/>
        <w:ind w:firstLine="709"/>
        <w:jc w:val="both"/>
      </w:pPr>
      <w:r>
        <w:t>При положительном результате проверки УФК по ТО подтверждает Информацию об объеме лимитов бюджетных обязательств путем ее подписания электронной подписью лица, имеющего право действовать от имени УФК по ТО.</w:t>
      </w:r>
    </w:p>
    <w:p>
      <w:pPr>
        <w:pStyle w:val="ConsPlusNormal"/>
        <w:ind w:firstLine="709"/>
        <w:jc w:val="both"/>
      </w:pPr>
      <w:r>
        <w:t xml:space="preserve">Если Информация об объеме лимитов бюджетных обязательств не соответствует требованиям </w:t>
      </w:r>
      <w:hyperlink w:anchor="P328">
        <w:r>
          <w:t>подпункта 4 пункта 3</w:t>
        </w:r>
      </w:hyperlink>
      <w:r>
        <w:t>1 настоящего Порядка, УФК по ТО не позднее двух рабочих дней после дня представления Информации об объеме лимитов бюджетных обязательств главным распорядителем средств бюджета УФК по ТО направляет главному распорядителю средств бюджета УФК по ТО уведомление, в котором указывается причина возврата Информации о неисполненных бюджетных обязательствах.</w:t>
      </w:r>
    </w:p>
    <w:p>
      <w:pPr>
        <w:pStyle w:val="ConsPlusNormal"/>
        <w:ind w:firstLine="709"/>
        <w:jc w:val="both"/>
      </w:pPr>
      <w:r>
        <w:t xml:space="preserve">Порядок формирования Справки о неисполненных бюджетных обязательствах </w:t>
      </w:r>
      <w:r>
        <w:br/>
        <w:t xml:space="preserve">по капитальным вложениям аналогичен порядку формирования Справки о неисполненных бюджетных обязательствах, указанному в </w:t>
      </w:r>
      <w:hyperlink w:anchor="P328">
        <w:r>
          <w:t>подпункте 4 пункта 3</w:t>
        </w:r>
      </w:hyperlink>
      <w:r>
        <w:t>1 настоящего Порядка.</w:t>
      </w:r>
    </w:p>
    <w:p>
      <w:pPr>
        <w:pStyle w:val="ConsPlusNormal"/>
        <w:ind w:firstLine="709"/>
        <w:jc w:val="both"/>
      </w:pPr>
    </w:p>
    <w:p>
      <w:pPr>
        <w:pStyle w:val="ConsPlusNormal"/>
        <w:jc w:val="right"/>
        <w:outlineLvl w:val="1"/>
        <w:sectPr>
          <w:headerReference w:type="default" r:id="rId44"/>
          <w:headerReference w:type="first" r:id="rId45"/>
          <w:pgSz w:w="11906" w:h="16838"/>
          <w:pgMar w:top="993" w:right="567" w:bottom="851" w:left="1701" w:header="567" w:footer="454" w:gutter="0"/>
          <w:pgNumType w:start="1"/>
          <w:cols w:space="708"/>
          <w:titlePg/>
          <w:docGrid w:linePitch="360"/>
        </w:sectPr>
      </w:pPr>
    </w:p>
    <w:p>
      <w:pPr>
        <w:pStyle w:val="ConsPlusNormal"/>
        <w:ind w:firstLine="5245"/>
        <w:outlineLvl w:val="1"/>
      </w:pPr>
      <w:r>
        <w:t>Приложение № 1</w:t>
      </w:r>
    </w:p>
    <w:p>
      <w:pPr>
        <w:pStyle w:val="ConsPlusNormal"/>
        <w:ind w:firstLine="5245"/>
      </w:pPr>
      <w:r>
        <w:t>к Порядку учета бюджетных и денежных</w:t>
      </w:r>
    </w:p>
    <w:p>
      <w:pPr>
        <w:pStyle w:val="ConsPlusNormal"/>
        <w:ind w:firstLine="5245"/>
      </w:pPr>
      <w:r>
        <w:t>обязательств получателей средств</w:t>
      </w:r>
    </w:p>
    <w:p>
      <w:pPr>
        <w:autoSpaceDE w:val="0"/>
        <w:autoSpaceDN w:val="0"/>
        <w:adjustRightInd w:val="0"/>
        <w:ind w:firstLine="5245"/>
        <w:rPr>
          <w:rFonts w:ascii="Times New Roman" w:hAnsi="Times New Roman"/>
          <w:bCs/>
          <w:sz w:val="24"/>
          <w:szCs w:val="24"/>
        </w:rPr>
      </w:pPr>
      <w:r>
        <w:rPr>
          <w:rFonts w:ascii="Times New Roman" w:hAnsi="Times New Roman"/>
          <w:sz w:val="24"/>
          <w:szCs w:val="24"/>
        </w:rPr>
        <w:t xml:space="preserve">бюджета </w:t>
      </w:r>
      <w:r>
        <w:rPr>
          <w:rFonts w:ascii="Times New Roman" w:hAnsi="Times New Roman"/>
          <w:bCs/>
          <w:sz w:val="24"/>
          <w:szCs w:val="24"/>
        </w:rPr>
        <w:t>городского округа закрытого</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административно-территориального</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образования Северск Томской области</w:t>
      </w:r>
    </w:p>
    <w:p>
      <w:pPr>
        <w:pStyle w:val="ConsPlusNormal"/>
        <w:ind w:firstLine="5245"/>
        <w:rPr>
          <w:rFonts w:eastAsiaTheme="minorHAnsi"/>
          <w:szCs w:val="24"/>
          <w:lang w:eastAsia="en-US"/>
        </w:rPr>
      </w:pPr>
      <w:r>
        <w:rPr>
          <w:rFonts w:eastAsiaTheme="minorHAnsi"/>
          <w:szCs w:val="24"/>
          <w:lang w:eastAsia="en-US"/>
        </w:rPr>
        <w:t xml:space="preserve">Управлением Федерального казначейства </w:t>
      </w:r>
    </w:p>
    <w:p>
      <w:pPr>
        <w:pStyle w:val="ConsPlusNormal"/>
        <w:ind w:firstLine="5245"/>
      </w:pPr>
      <w:r>
        <w:rPr>
          <w:rFonts w:eastAsiaTheme="minorHAnsi"/>
          <w:szCs w:val="24"/>
          <w:lang w:eastAsia="en-US"/>
        </w:rPr>
        <w:t xml:space="preserve">по </w:t>
      </w:r>
      <w:r>
        <w:rPr>
          <w:bCs/>
          <w:szCs w:val="24"/>
        </w:rPr>
        <w:t>Томской области</w:t>
      </w:r>
    </w:p>
    <w:p>
      <w:pPr>
        <w:pStyle w:val="ConsPlusNormal"/>
        <w:jc w:val="both"/>
      </w:pPr>
    </w:p>
    <w:p>
      <w:pPr>
        <w:pStyle w:val="ConsPlusNormal"/>
        <w:jc w:val="center"/>
      </w:pPr>
      <w:bookmarkStart w:id="31" w:name="P358"/>
      <w:bookmarkEnd w:id="31"/>
      <w:r>
        <w:t>Реквизиты</w:t>
      </w:r>
    </w:p>
    <w:p>
      <w:pPr>
        <w:pStyle w:val="ConsPlusNormal"/>
        <w:jc w:val="center"/>
      </w:pPr>
      <w:r>
        <w:t>Сведений о бюджетном обязательстве</w:t>
      </w:r>
    </w:p>
    <w:tbl>
      <w:tblPr>
        <w:tblW w:w="9629" w:type="dxa"/>
        <w:tblBorders>
          <w:left w:val="nil"/>
          <w:bottom w:val="single" w:sz="4" w:space="0" w:color="auto"/>
          <w:right w:val="nil"/>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3686"/>
        <w:gridCol w:w="5943"/>
      </w:tblGrid>
      <w:tr>
        <w:trPr>
          <w:trHeight w:val="510"/>
        </w:trPr>
        <w:tc>
          <w:tcPr>
            <w:tcW w:w="9629" w:type="dxa"/>
            <w:gridSpan w:val="2"/>
            <w:tcBorders>
              <w:top w:val="nil"/>
              <w:left w:val="nil"/>
              <w:bottom w:val="single" w:sz="4" w:space="0" w:color="auto"/>
              <w:right w:val="nil"/>
            </w:tcBorders>
          </w:tcPr>
          <w:p>
            <w:pPr>
              <w:pStyle w:val="ConsPlusNormal"/>
              <w:jc w:val="both"/>
            </w:pPr>
            <w:r>
              <w:t>Единица измерения: руб.</w:t>
            </w:r>
          </w:p>
          <w:p>
            <w:pPr>
              <w:pStyle w:val="ConsPlusNormal"/>
              <w:jc w:val="both"/>
            </w:pPr>
            <w:r>
              <w:t>(с точностью до второго десятичного знака)</w:t>
            </w:r>
          </w:p>
        </w:tc>
      </w:tr>
      <w:tr>
        <w:tblPrEx>
          <w:tblBorders>
            <w:left w:val="single" w:sz="4" w:space="0" w:color="auto"/>
            <w:right w:val="single" w:sz="4" w:space="0" w:color="auto"/>
          </w:tblBorders>
        </w:tblPrEx>
        <w:tc>
          <w:tcPr>
            <w:tcW w:w="3686" w:type="dxa"/>
            <w:tcBorders>
              <w:top w:val="single" w:sz="4" w:space="0" w:color="auto"/>
              <w:left w:val="single" w:sz="4" w:space="0" w:color="auto"/>
              <w:bottom w:val="nil"/>
              <w:right w:val="nil"/>
            </w:tcBorders>
          </w:tcPr>
          <w:p>
            <w:pPr>
              <w:pStyle w:val="ConsPlusNormal"/>
              <w:jc w:val="center"/>
            </w:pPr>
            <w:r>
              <w:t>Наименование реквизита</w:t>
            </w:r>
          </w:p>
        </w:tc>
        <w:tc>
          <w:tcPr>
            <w:tcW w:w="5943" w:type="dxa"/>
            <w:tcBorders>
              <w:top w:val="single" w:sz="4" w:space="0" w:color="auto"/>
              <w:left w:val="nil"/>
              <w:bottom w:val="nil"/>
              <w:right w:val="single" w:sz="4" w:space="0" w:color="auto"/>
            </w:tcBorders>
          </w:tcPr>
          <w:p>
            <w:pPr>
              <w:pStyle w:val="ConsPlusNormal"/>
              <w:jc w:val="center"/>
            </w:pPr>
            <w:r>
              <w:t>Правила формирования (заполнения) реквизита</w:t>
            </w:r>
          </w:p>
        </w:tc>
      </w:tr>
    </w:tbl>
    <w:p>
      <w:pPr>
        <w:rPr>
          <w:sz w:val="2"/>
          <w:szCs w:val="2"/>
        </w:rPr>
      </w:pPr>
    </w:p>
    <w:tbl>
      <w:tblPr>
        <w:tblW w:w="9619"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676"/>
        <w:gridCol w:w="5943"/>
      </w:tblGrid>
      <w:tr>
        <w:trPr>
          <w:trHeight w:val="20"/>
          <w:tblHeader/>
        </w:trPr>
        <w:tc>
          <w:tcPr>
            <w:tcW w:w="3676" w:type="dxa"/>
            <w:tcBorders>
              <w:top w:val="single" w:sz="4" w:space="0" w:color="auto"/>
              <w:left w:val="single" w:sz="4" w:space="0" w:color="auto"/>
              <w:bottom w:val="single" w:sz="4" w:space="0" w:color="auto"/>
              <w:right w:val="single" w:sz="4" w:space="0" w:color="auto"/>
            </w:tcBorders>
          </w:tcPr>
          <w:p>
            <w:pPr>
              <w:pStyle w:val="ConsPlusNormal"/>
              <w:jc w:val="center"/>
            </w:pPr>
            <w:r>
              <w:t>1</w:t>
            </w:r>
          </w:p>
        </w:tc>
        <w:tc>
          <w:tcPr>
            <w:tcW w:w="5943" w:type="dxa"/>
            <w:tcBorders>
              <w:top w:val="single" w:sz="4" w:space="0" w:color="auto"/>
              <w:left w:val="single" w:sz="4" w:space="0" w:color="auto"/>
              <w:bottom w:val="single" w:sz="4" w:space="0" w:color="auto"/>
              <w:right w:val="single" w:sz="4" w:space="0" w:color="auto"/>
            </w:tcBorders>
          </w:tcPr>
          <w:p>
            <w:pPr>
              <w:pStyle w:val="ConsPlusNormal"/>
              <w:jc w:val="center"/>
            </w:pPr>
            <w:r>
              <w:t>2</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1. Номер сведений о бюджетном обязательстве получателя средств бюджета (далее - соответственно Сведения о бюджетном обязательстве, бюджетное обязательство)</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4"/>
              <w:jc w:val="both"/>
            </w:pPr>
            <w:r>
              <w:t>Указывается порядковый номер Сведений о бюджетном обязательстве.</w:t>
            </w:r>
          </w:p>
          <w:p>
            <w:pPr>
              <w:pStyle w:val="ConsPlusNormal"/>
              <w:ind w:firstLine="284"/>
              <w:jc w:val="both"/>
            </w:pPr>
            <w:r>
              <w:t>При представлении Сведений о бюджетном обязательстве в форме электронного документа в информационных системах УФК по ТО (далее - информационные системы) номер Сведений о бюджетном обязательстве присваивается автоматически в информационных системах.</w:t>
            </w:r>
          </w:p>
        </w:tc>
      </w:tr>
      <w:tr>
        <w:trPr>
          <w:trHeight w:val="3145"/>
        </w:trPr>
        <w:tc>
          <w:tcPr>
            <w:tcW w:w="3676" w:type="dxa"/>
            <w:tcBorders>
              <w:top w:val="single" w:sz="4" w:space="0" w:color="auto"/>
              <w:left w:val="single" w:sz="4" w:space="0" w:color="auto"/>
              <w:bottom w:val="single" w:sz="4" w:space="0" w:color="auto"/>
              <w:right w:val="single" w:sz="4" w:space="0" w:color="auto"/>
            </w:tcBorders>
          </w:tcPr>
          <w:p>
            <w:pPr>
              <w:pStyle w:val="ConsPlusNormal"/>
            </w:pPr>
            <w:r>
              <w:t>2. Учетный номер бюджетного обязательства</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4"/>
              <w:jc w:val="both"/>
            </w:pPr>
            <w:r>
              <w:t>Указывается при внесении изменений в поставленное на учет бюджетное обязательство.</w:t>
            </w:r>
          </w:p>
          <w:p>
            <w:pPr>
              <w:pStyle w:val="ConsPlusNormal"/>
              <w:ind w:firstLine="284"/>
              <w:jc w:val="both"/>
            </w:pPr>
            <w:r>
              <w:t>Указывается учетный номер бюджетного обязательства, в которое вносятся изменения, присвоенный ему при постановке на учет.</w:t>
            </w:r>
          </w:p>
          <w:p>
            <w:pPr>
              <w:pStyle w:val="ConsPlusNormal"/>
              <w:ind w:firstLine="284"/>
              <w:jc w:val="both"/>
            </w:pPr>
            <w:r>
              <w:t>При представлении Сведений о бюджетном обязательстве в форме электронного документа в информационных системах учетный номер бюджетного обязательства заполняется путем выбора соответствующего значения из полного перечня учетных номеров бюджетных обязательств.</w:t>
            </w:r>
          </w:p>
        </w:tc>
      </w:tr>
      <w:tr>
        <w:trPr>
          <w:trHeight w:val="2259"/>
        </w:trPr>
        <w:tc>
          <w:tcPr>
            <w:tcW w:w="3676" w:type="dxa"/>
            <w:tcBorders>
              <w:top w:val="single" w:sz="4" w:space="0" w:color="auto"/>
              <w:left w:val="single" w:sz="4" w:space="0" w:color="auto"/>
              <w:bottom w:val="single" w:sz="4" w:space="0" w:color="auto"/>
              <w:right w:val="single" w:sz="4" w:space="0" w:color="auto"/>
            </w:tcBorders>
          </w:tcPr>
          <w:p>
            <w:pPr>
              <w:pStyle w:val="ConsPlusNormal"/>
            </w:pPr>
            <w:r>
              <w:t>3. Дата формирования Сведений о бюджетном обязательстве</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4"/>
              <w:jc w:val="both"/>
            </w:pPr>
            <w:r>
              <w:t>Указывается дата подписания Сведений о бюджетном обязательстве получателем бюджетных средств.</w:t>
            </w:r>
          </w:p>
          <w:p>
            <w:pPr>
              <w:pStyle w:val="ConsPlusNormal"/>
              <w:ind w:firstLine="284"/>
              <w:jc w:val="both"/>
            </w:pPr>
            <w:r>
              <w:t>При формировании Сведений о бюджетном обязательстве в форме электронного документа в информационных системах дата Сведений о бюджетном обязательстве формируется автоматически после подписания документа электронной подписью.</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4. Тип бюджетного обязательства</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4"/>
              <w:jc w:val="both"/>
            </w:pPr>
            <w:r>
              <w:t>Указывается код типа бюджетного обязательства, исходя из следующего:</w:t>
            </w:r>
          </w:p>
          <w:p>
            <w:pPr>
              <w:pStyle w:val="ConsPlusNormal"/>
              <w:ind w:firstLine="284"/>
              <w:jc w:val="both"/>
            </w:pPr>
            <w:r>
              <w:t>1 - закупка, если бюджетное обязательство связано с закупкой товаров, работ, услуг в текущем финансовом году;</w:t>
            </w:r>
          </w:p>
          <w:p>
            <w:pPr>
              <w:pStyle w:val="ConsPlusNormal"/>
              <w:ind w:firstLine="284"/>
              <w:jc w:val="both"/>
            </w:pPr>
            <w:r>
              <w:t>2 - прочее, если бюджетное обязательство не связано с закупкой товаров, работ, услуг или если бюджетное обязательство возникло в связи с закупкой товаров, работ, услуг прошлых лет.</w:t>
            </w:r>
          </w:p>
        </w:tc>
      </w:tr>
      <w:tr>
        <w:trPr>
          <w:trHeight w:val="457"/>
        </w:trPr>
        <w:tc>
          <w:tcPr>
            <w:tcW w:w="3676" w:type="dxa"/>
            <w:tcBorders>
              <w:top w:val="single" w:sz="4" w:space="0" w:color="auto"/>
              <w:left w:val="single" w:sz="4" w:space="0" w:color="auto"/>
              <w:bottom w:val="single" w:sz="4" w:space="0" w:color="auto"/>
              <w:right w:val="single" w:sz="4" w:space="0" w:color="auto"/>
            </w:tcBorders>
          </w:tcPr>
          <w:p>
            <w:pPr>
              <w:pStyle w:val="ConsPlusNormal"/>
            </w:pPr>
            <w:r>
              <w:t>5. Информация о получателе бюджетных средств</w:t>
            </w:r>
          </w:p>
        </w:tc>
        <w:tc>
          <w:tcPr>
            <w:tcW w:w="5943" w:type="dxa"/>
            <w:tcBorders>
              <w:top w:val="single" w:sz="4" w:space="0" w:color="auto"/>
              <w:left w:val="single" w:sz="4" w:space="0" w:color="auto"/>
              <w:bottom w:val="single" w:sz="4" w:space="0" w:color="auto"/>
              <w:right w:val="single" w:sz="4" w:space="0" w:color="auto"/>
            </w:tcBorders>
          </w:tcPr>
          <w:p>
            <w:pPr>
              <w:pStyle w:val="ConsPlusNormal"/>
              <w:jc w:val="both"/>
            </w:pPr>
          </w:p>
        </w:tc>
      </w:tr>
      <w:tr>
        <w:trPr>
          <w:trHeight w:val="2823"/>
        </w:trPr>
        <w:tc>
          <w:tcPr>
            <w:tcW w:w="3676" w:type="dxa"/>
            <w:tcBorders>
              <w:top w:val="single" w:sz="4" w:space="0" w:color="auto"/>
              <w:left w:val="single" w:sz="4" w:space="0" w:color="auto"/>
              <w:bottom w:val="single" w:sz="4" w:space="0" w:color="auto"/>
              <w:right w:val="single" w:sz="4" w:space="0" w:color="auto"/>
            </w:tcBorders>
          </w:tcPr>
          <w:p>
            <w:pPr>
              <w:pStyle w:val="ConsPlusNormal"/>
            </w:pPr>
            <w:r>
              <w:t>5.1. Получатель бюджетных средств</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получателя средств бюджета ЗАТО Северск,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pPr>
              <w:pStyle w:val="ConsPlusNormal"/>
              <w:ind w:firstLine="283"/>
              <w:jc w:val="both"/>
            </w:pPr>
            <w:r>
              <w:t>При представлении Сведений о бюджетном обязательстве в форме электронного документа в информационных системах заполняется автоматически после авторизации и идентификации получателя средств бюджета ЗАТО Северск в информационной системе.</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5.2. Наименование бюджета</w:t>
            </w:r>
          </w:p>
        </w:tc>
        <w:tc>
          <w:tcPr>
            <w:tcW w:w="5943"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both"/>
            </w:pPr>
            <w:r>
              <w:rPr>
                <w:rFonts w:ascii="Times New Roman" w:hAnsi="Times New Roman"/>
                <w:sz w:val="24"/>
              </w:rPr>
              <w:t>Указывается наименование бюджета – «бюджет городского округа закрытого административно-территориального образования Северск Томской области»</w:t>
            </w:r>
            <w:r>
              <w:t>.</w:t>
            </w:r>
          </w:p>
          <w:p>
            <w:pPr>
              <w:pStyle w:val="ConsPlusNormal"/>
              <w:ind w:firstLine="283"/>
              <w:jc w:val="both"/>
            </w:pPr>
            <w:r>
              <w:t>При представлении Сведений о бюджетном обязательстве в форме электронного документа в информационных системах заполняется автоматически.</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 xml:space="preserve">5.3. Код по </w:t>
            </w:r>
            <w:hyperlink r:id="rId46">
              <w:r>
                <w:t>ОКТМО</w:t>
              </w:r>
            </w:hyperlink>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Указывается код по Общероссийскому </w:t>
            </w:r>
            <w:hyperlink r:id="rId47">
              <w:r>
                <w:t>классификатору</w:t>
              </w:r>
            </w:hyperlink>
            <w:r>
              <w:t xml:space="preserve"> территорий муниципальных образований территориального органа Федерального казначейства</w:t>
            </w:r>
          </w:p>
        </w:tc>
      </w:tr>
      <w:tr>
        <w:trPr>
          <w:trHeight w:val="900"/>
        </w:trPr>
        <w:tc>
          <w:tcPr>
            <w:tcW w:w="3676" w:type="dxa"/>
            <w:tcBorders>
              <w:top w:val="single" w:sz="4" w:space="0" w:color="auto"/>
              <w:left w:val="single" w:sz="4" w:space="0" w:color="auto"/>
              <w:bottom w:val="single" w:sz="4" w:space="0" w:color="auto"/>
              <w:right w:val="single" w:sz="4" w:space="0" w:color="auto"/>
            </w:tcBorders>
          </w:tcPr>
          <w:p>
            <w:pPr>
              <w:pStyle w:val="ConsPlusNormal"/>
            </w:pPr>
            <w:r>
              <w:t>5.4. Финансовый орган</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финансовый орган – «Финансовое управление Администрации ЗАТО Северск».</w:t>
            </w:r>
          </w:p>
          <w:p>
            <w:pPr>
              <w:pStyle w:val="ConsPlusNormal"/>
              <w:ind w:firstLine="283"/>
              <w:jc w:val="both"/>
            </w:pPr>
            <w:r>
              <w:t>При представлении Сведений о бюджетном обязательстве в форме электронного документа в информационных системах заполняется автоматически.</w:t>
            </w:r>
          </w:p>
        </w:tc>
      </w:tr>
      <w:tr>
        <w:trPr>
          <w:trHeight w:val="998"/>
        </w:trPr>
        <w:tc>
          <w:tcPr>
            <w:tcW w:w="3676" w:type="dxa"/>
            <w:tcBorders>
              <w:top w:val="single" w:sz="4" w:space="0" w:color="auto"/>
              <w:left w:val="single" w:sz="4" w:space="0" w:color="auto"/>
              <w:bottom w:val="single" w:sz="4" w:space="0" w:color="auto"/>
              <w:right w:val="single" w:sz="4" w:space="0" w:color="auto"/>
            </w:tcBorders>
          </w:tcPr>
          <w:p>
            <w:pPr>
              <w:pStyle w:val="ConsPlusNormal"/>
            </w:pPr>
            <w:r>
              <w:t>5.5. Код по ОКПО</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финансового органа по Общероссийскому классификатору предприятий и организаций.</w:t>
            </w:r>
          </w:p>
        </w:tc>
      </w:tr>
      <w:tr>
        <w:trPr>
          <w:trHeight w:val="867"/>
        </w:trPr>
        <w:tc>
          <w:tcPr>
            <w:tcW w:w="3676" w:type="dxa"/>
            <w:tcBorders>
              <w:top w:val="single" w:sz="4" w:space="0" w:color="auto"/>
              <w:left w:val="single" w:sz="4" w:space="0" w:color="auto"/>
              <w:bottom w:val="single" w:sz="4" w:space="0" w:color="auto"/>
              <w:right w:val="single" w:sz="4" w:space="0" w:color="auto"/>
            </w:tcBorders>
          </w:tcPr>
          <w:p>
            <w:pPr>
              <w:pStyle w:val="ConsPlusNormal"/>
            </w:pPr>
            <w:r>
              <w:t>5.6. Код получателя бюджетных средств по Сводному реестру</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уникальный код организации по Сводному реестру получателя средств бюджета ЗАТО Северск в соответствии со Сводным реестром.</w:t>
            </w:r>
          </w:p>
        </w:tc>
      </w:tr>
      <w:tr>
        <w:trPr>
          <w:trHeight w:val="880"/>
        </w:trPr>
        <w:tc>
          <w:tcPr>
            <w:tcW w:w="3676" w:type="dxa"/>
            <w:tcBorders>
              <w:top w:val="single" w:sz="4" w:space="0" w:color="auto"/>
              <w:left w:val="single" w:sz="4" w:space="0" w:color="auto"/>
              <w:bottom w:val="single" w:sz="4" w:space="0" w:color="auto"/>
              <w:right w:val="single" w:sz="4" w:space="0" w:color="auto"/>
            </w:tcBorders>
          </w:tcPr>
          <w:p>
            <w:pPr>
              <w:pStyle w:val="ConsPlusNormal"/>
            </w:pPr>
            <w:bookmarkStart w:id="32" w:name="P396"/>
            <w:bookmarkEnd w:id="32"/>
            <w:r>
              <w:t>5.7. Наименование главного распорядителя бюджетных средств</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главного распорядителя средств бюджета ЗАТО Северск в соответствии со Сводным реестром.</w:t>
            </w:r>
          </w:p>
        </w:tc>
      </w:tr>
      <w:tr>
        <w:trPr>
          <w:trHeight w:val="622"/>
        </w:trPr>
        <w:tc>
          <w:tcPr>
            <w:tcW w:w="3676" w:type="dxa"/>
            <w:tcBorders>
              <w:top w:val="single" w:sz="4" w:space="0" w:color="auto"/>
              <w:left w:val="single" w:sz="4" w:space="0" w:color="auto"/>
              <w:bottom w:val="single" w:sz="4" w:space="0" w:color="auto"/>
              <w:right w:val="single" w:sz="4" w:space="0" w:color="auto"/>
            </w:tcBorders>
          </w:tcPr>
          <w:p>
            <w:pPr>
              <w:pStyle w:val="ConsPlusNormal"/>
            </w:pPr>
            <w:bookmarkStart w:id="33" w:name="P398"/>
            <w:bookmarkEnd w:id="33"/>
            <w:r>
              <w:t>5.8. Глава по БК</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главы главного распорядителя средств бюджета ЗАТО Северск</w:t>
            </w:r>
          </w:p>
        </w:tc>
      </w:tr>
      <w:tr>
        <w:trPr>
          <w:trHeight w:val="3167"/>
        </w:trPr>
        <w:tc>
          <w:tcPr>
            <w:tcW w:w="3676" w:type="dxa"/>
            <w:tcBorders>
              <w:top w:val="single" w:sz="4" w:space="0" w:color="auto"/>
              <w:left w:val="single" w:sz="4" w:space="0" w:color="auto"/>
              <w:bottom w:val="single" w:sz="4" w:space="0" w:color="auto"/>
              <w:right w:val="single" w:sz="4" w:space="0" w:color="auto"/>
            </w:tcBorders>
          </w:tcPr>
          <w:p>
            <w:pPr>
              <w:pStyle w:val="ConsPlusNormal"/>
            </w:pPr>
            <w:r>
              <w:t>5.9. Наименование органа Федерального казначейства</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органа Федерального казначейства – «Управление Федерального казначейства по Томской области», в котором получателю средств бюджета ЗАТО Северск открыт лицевой счет получателя бюджетных средств ЗАТО Северск (лицевой счет для учета операций по переданным полномочиям получателя бюджетных средств ЗАТО Северск), на котором подлежат отражению операции по учету и исполнению соответствующего бюджетного обязательства (далее - соответствующий лицевой счет получателя бюджетных средств ЗАТО Северск).</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5.10. Код органа Федерального казначейства (КОФК)</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УФК по ТО, в котором открыт соответствующий лицевой счет получателя бюджетных средств ЗАТО Северск.</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5.11. Номер лицевого счета получателя бюджетных средств</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номер соответствующего лицевого счета получателя бюджетных средств ЗАТО Северск.</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6. Реквизиты документа, являющегося основанием для принятия на учет бюджетного обязательства (далее - документ-основание)</w:t>
            </w:r>
          </w:p>
        </w:tc>
        <w:tc>
          <w:tcPr>
            <w:tcW w:w="5943" w:type="dxa"/>
            <w:tcBorders>
              <w:top w:val="single" w:sz="4" w:space="0" w:color="auto"/>
              <w:left w:val="single" w:sz="4" w:space="0" w:color="auto"/>
              <w:bottom w:val="single" w:sz="4" w:space="0" w:color="auto"/>
              <w:right w:val="single" w:sz="4" w:space="0" w:color="auto"/>
            </w:tcBorders>
          </w:tcPr>
          <w:p>
            <w:pPr>
              <w:pStyle w:val="ConsPlusNormal"/>
              <w:jc w:val="both"/>
            </w:pP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bookmarkStart w:id="34" w:name="P408"/>
            <w:bookmarkEnd w:id="34"/>
            <w:r>
              <w:t>6.1. Вид документа-основания</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один из следующих видов документов: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поставщика (подрядчика, исполнителя)», «проект контракта», «иное основание».</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6.2. Наименование нормативного правового акта</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При заполнении в </w:t>
            </w:r>
            <w:hyperlink w:anchor="P408">
              <w:r>
                <w:t>пункте 6.1</w:t>
              </w:r>
            </w:hyperlink>
            <w:r>
              <w:t xml:space="preserve"> настоящей информации вида документа «нормативный правовой акт» указывается наименование нормативного правового акта.</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6.3. Номер документа-основания</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номер документа-основания (при наличии).</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bookmarkStart w:id="35" w:name="P414"/>
            <w:bookmarkEnd w:id="35"/>
            <w:r>
              <w:t>6.4. Дата документа-основания</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заключения (принятия) документа-основания, дата выдачи исполнительного документа, решения налогового органа.</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bookmarkStart w:id="36" w:name="P416"/>
            <w:bookmarkEnd w:id="36"/>
            <w:r>
              <w:t>6.5. Срок исполнения</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завершения исполнения обязательств по документу-основанию (при наличии в документе-основании) (кроме обязательств, возникших из извещения об осуществлении закупки, приглашения принять участие в определении поставщика (подрядчика, исполнителя) или проекта контракта, исполнительного документа и решения налогового органа).</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6.6. Предмет по документу-основанию</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предмет по документу-основанию.</w:t>
            </w:r>
          </w:p>
          <w:p>
            <w:pPr>
              <w:pStyle w:val="ConsPlusNormal"/>
              <w:ind w:firstLine="283"/>
              <w:jc w:val="both"/>
            </w:pPr>
            <w:r>
              <w:t xml:space="preserve">При заполнении в </w:t>
            </w:r>
            <w:hyperlink w:anchor="P408">
              <w:r>
                <w:t>пункте 6.1</w:t>
              </w:r>
            </w:hyperlink>
            <w:r>
              <w:t xml:space="preserve"> настоящей информации вида документа «контракт2, «договор», «извещение об осуществлении закупки», «приглашение принять участие в определении поставщика (подрядчика, исполнителя)», «проект контракта» указывается наименование(я) объекта закупки (поставляемых товаров, выполняемых работ, оказываемых услуг), указанное(</w:t>
            </w:r>
            <w:proofErr w:type="spellStart"/>
            <w:r>
              <w:t>ые</w:t>
            </w:r>
            <w:proofErr w:type="spellEnd"/>
            <w:r>
              <w:t>) в контракте (договоре), «извещении об осуществлении закупки», «приглашении принять участие в определении поставщика (подрядчика, исполнителя)», «проекте контракта».</w:t>
            </w:r>
          </w:p>
          <w:p>
            <w:pPr>
              <w:pStyle w:val="ConsPlusNormal"/>
              <w:ind w:firstLine="283"/>
              <w:jc w:val="both"/>
            </w:pPr>
            <w:r>
              <w:t xml:space="preserve">При заполнении в </w:t>
            </w:r>
            <w:hyperlink w:anchor="P408">
              <w:r>
                <w:t>пункте 6.1</w:t>
              </w:r>
            </w:hyperlink>
            <w:r>
              <w:t xml:space="preserve"> настоящей информации вида документа «соглашение» или «нормативный правовой акт» указывается наименование(я) цели(ей) предоставления, целевого направления, направления(</w:t>
            </w:r>
            <w:proofErr w:type="spellStart"/>
            <w:r>
              <w:t>ий</w:t>
            </w:r>
            <w:proofErr w:type="spellEnd"/>
            <w:r>
              <w:t>) расходования субсидии, бюджетных инвестиций, межбюджетного трансферта или средств.</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bookmarkStart w:id="37" w:name="P422"/>
            <w:bookmarkEnd w:id="37"/>
            <w:r>
              <w:t>6.7. Признак казначейского сопровождения</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признак казначейского сопровождения «Да» - в случае осуществления УФК по ТО в соответствии с законодательством Российской Федерации казначейского сопровождения средств, предоставляемых в соответствии с документом-основанием.</w:t>
            </w:r>
          </w:p>
          <w:p>
            <w:pPr>
              <w:pStyle w:val="ConsPlusNormal"/>
              <w:ind w:firstLine="283"/>
              <w:jc w:val="both"/>
            </w:pPr>
            <w:r>
              <w:t>В остальных случаях не заполняется.</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6.8. Идентификатор</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Указывается идентификатор документа-основания при заполнении «Да» в </w:t>
            </w:r>
            <w:hyperlink w:anchor="P422">
              <w:r>
                <w:t>пункте 6.7</w:t>
              </w:r>
            </w:hyperlink>
            <w:r>
              <w:t xml:space="preserve"> (при наличии).</w:t>
            </w:r>
          </w:p>
          <w:p>
            <w:pPr>
              <w:pStyle w:val="ConsPlusNormal"/>
              <w:ind w:firstLine="283"/>
              <w:jc w:val="both"/>
            </w:pPr>
            <w:r>
              <w:t xml:space="preserve">При </w:t>
            </w:r>
            <w:proofErr w:type="spellStart"/>
            <w:r>
              <w:t>незаполнении</w:t>
            </w:r>
            <w:proofErr w:type="spellEnd"/>
            <w:r>
              <w:t xml:space="preserve"> </w:t>
            </w:r>
            <w:hyperlink w:anchor="P422">
              <w:r>
                <w:t>пункта 6.7</w:t>
              </w:r>
            </w:hyperlink>
            <w:r>
              <w:t xml:space="preserve"> идентификатор указывается при наличии.</w:t>
            </w:r>
          </w:p>
          <w:p>
            <w:pPr>
              <w:pStyle w:val="ConsPlusNormal"/>
              <w:ind w:firstLine="283"/>
              <w:jc w:val="both"/>
            </w:pPr>
            <w:r>
              <w:t>Идентификатор документа-основания указывается автоматически в случае если в соответствии с законодательством Российской Федерации такой идентификатор автоматически формируется в информационной системе Федерального казначейства.</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6.9. Уникальный номер реестровой записи в реестре контрактов/реестре соглашений</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(далее – реестр </w:t>
            </w:r>
            <w:proofErr w:type="gramStart"/>
            <w:r>
              <w:t>контрактов)/</w:t>
            </w:r>
            <w:proofErr w:type="gramEnd"/>
            <w:r>
              <w:t>реестре соглашений (договоров) о предоставлении субсидий бюджетных инвестиций межбюджетных трансфертов (далее - реестр соглашений).</w:t>
            </w:r>
          </w:p>
          <w:p>
            <w:pPr>
              <w:pStyle w:val="ConsPlusNormal"/>
              <w:ind w:firstLine="283"/>
              <w:jc w:val="both"/>
            </w:pPr>
            <w:r>
              <w:t>Не заполняется при постановке на учет бюджетного обязательства, сведения о котором направляются в УФК по ТО ранее либо одновременно с информацией о муниципальном контракте, соглашении для ее первичного включения в реестр контрактов/реестр соглашений.</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bookmarkStart w:id="38" w:name="P432"/>
            <w:bookmarkEnd w:id="38"/>
            <w:r>
              <w:t>6.10. Сумма в валюте обязательства</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p>
            <w:pPr>
              <w:pStyle w:val="ConsPlusNormal"/>
              <w:ind w:firstLine="283"/>
              <w:jc w:val="both"/>
            </w:pPr>
            <w:r>
              <w:t>В случае, если документом-основанием сумма не определена, указывается сумма, рассчитанная получателем средств бюджета ЗАТО Северск, с приложением соответствующего расчета.</w:t>
            </w:r>
          </w:p>
          <w:p>
            <w:pPr>
              <w:pStyle w:val="ConsPlusNormal"/>
              <w:ind w:firstLine="283"/>
              <w:jc w:val="both"/>
            </w:pPr>
            <w:r>
              <w:t>В случае, если документ-основание предусматривает возникновение обязательства перед несколькими контрагентами, то 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 причитающаяся всем контрагентам, указанным в разделе 2 Сведений о бюджетном обязательстве.</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bookmarkStart w:id="39" w:name="P436"/>
            <w:bookmarkEnd w:id="39"/>
            <w:r>
              <w:t xml:space="preserve">6.11. Код валюты по </w:t>
            </w:r>
            <w:hyperlink r:id="rId48">
              <w:r>
                <w:t>ОКВ</w:t>
              </w:r>
            </w:hyperlink>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Указывается код валюты, в которой принято бюджетное обязательство, в соответствии с Общероссийским </w:t>
            </w:r>
            <w:hyperlink r:id="rId49">
              <w:r>
                <w:t>классификатором</w:t>
              </w:r>
            </w:hyperlink>
            <w:r>
              <w:t xml:space="preserve"> валют. Формируется автоматически после указания наименования валюты в соответствии с Общероссийским </w:t>
            </w:r>
            <w:hyperlink r:id="rId50">
              <w:r>
                <w:t>классификатором</w:t>
              </w:r>
            </w:hyperlink>
            <w:r>
              <w:t xml:space="preserve"> валют.</w:t>
            </w:r>
          </w:p>
          <w:p>
            <w:pPr>
              <w:pStyle w:val="ConsPlusNormal"/>
              <w:ind w:firstLine="283"/>
              <w:jc w:val="both"/>
            </w:pPr>
            <w:r>
              <w:t>В случае заключения муниципального контракта (договора) указывается код валюты, в которой указывается цена контракта.</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6.12. Сумма в валюте Российской Федерации всего</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бюджетного обязательства в валюте Российской Федерации.</w:t>
            </w:r>
          </w:p>
          <w:p>
            <w:pPr>
              <w:pStyle w:val="ConsPlusNormal"/>
              <w:ind w:firstLine="283"/>
              <w:jc w:val="both"/>
            </w:pPr>
            <w: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432">
              <w:r>
                <w:t>пунктам 6.10</w:t>
              </w:r>
            </w:hyperlink>
            <w:r>
              <w:t xml:space="preserve"> и </w:t>
            </w:r>
            <w:hyperlink w:anchor="P436">
              <w:r>
                <w:t>6.11</w:t>
              </w:r>
            </w:hyperlink>
            <w:r>
              <w:t xml:space="preserve"> настоящей информации.</w:t>
            </w:r>
          </w:p>
          <w:p>
            <w:pPr>
              <w:pStyle w:val="ConsPlusNormal"/>
              <w:ind w:firstLine="283"/>
              <w:jc w:val="both"/>
            </w:pPr>
            <w:r>
              <w:t>Сумма в валюте Российской Федерации включает в себя сумму исполненного и неисполненного обязательства прошлых лет, а также сумму обязательства на текущий год и последующие годы.</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6.13. В том числе сумма казначейского обеспечения обязательств в валюте Российской Федерации</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казначейского обеспечения обязательств (далее - казначейское обеспечение) в соответствии с документом-основанием (при наличии).</w:t>
            </w:r>
          </w:p>
          <w:p>
            <w:pPr>
              <w:pStyle w:val="ConsPlusNormal"/>
              <w:ind w:firstLine="283"/>
              <w:jc w:val="both"/>
            </w:pPr>
            <w:r>
              <w:t xml:space="preserve">Не заполняется при постановке на учет бюджетного обязательства при заполнении в </w:t>
            </w:r>
            <w:hyperlink w:anchor="P408">
              <w:r>
                <w:t>пункте 6.1</w:t>
              </w:r>
            </w:hyperlink>
            <w:r>
              <w:t xml:space="preserve"> настоящей информации вида документа «извещение об осуществлении закупки», «приглашение принять участие в определении поставщика (подрядчика, исполнителя)».</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6.14. Процент платежа, требующего подтверждения, от общей суммы бюджетного обязательства</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процент платежа, требующего подтверждения, установленный документом-основанием или исчисленный от общей суммы бюджетного обязательства и (или) от размера казначейского обеспечения, предоставляемого для осуществления расчетов, связанных с предварительной оплатой (авансом) по документу-основанию, установленный документом-основанием.</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6.15. Сумма платежа, требующего подтверждения</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платежа, требующего подтверждения, в валюте Российской Федерации, установленная документом-основанием или исчисленная от общей суммы бюджетного обязательства.</w:t>
            </w:r>
          </w:p>
          <w:p>
            <w:pPr>
              <w:pStyle w:val="ConsPlusNormal"/>
              <w:ind w:firstLine="283"/>
              <w:jc w:val="both"/>
            </w:pPr>
            <w:r>
              <w:t>Если условиями документа-основания предусмотрено применение казначейского обеспечения, то указывается сумма казначейского обеспечения, предоставляемого для осуществления расчетов, связанных с предварительной оплатой, установленная документом-основанием.</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6.16. Номер уведомления о поступлении исполнительного документа/решения налогового органа</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При заполнении в </w:t>
            </w:r>
            <w:hyperlink w:anchor="P408">
              <w:r>
                <w:t>пункте 6.1</w:t>
              </w:r>
            </w:hyperlink>
            <w:r>
              <w:t xml:space="preserve"> настоящей информации вида документа «исполнительный документ» или «решение налогового органа» указывается номер уведомления УФК по ТО о поступлении исполнительного документа (решения налогового органа), направленного должнику.</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6.17. Дата уведомления о поступлении исполнительного документа/решения налогового органа</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При заполнении в </w:t>
            </w:r>
            <w:hyperlink w:anchor="P408">
              <w:r>
                <w:t>пункте 6.1</w:t>
              </w:r>
            </w:hyperlink>
            <w:r>
              <w:t xml:space="preserve"> настоящей информации вида документа «исполнительный документ» или «решение налогового органа» указывается номер уведомления УФК по ТО о поступлении исполнительного документа (решения налогового органа), направленного должнику.</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 xml:space="preserve">6.18. Основание </w:t>
            </w:r>
            <w:proofErr w:type="spellStart"/>
            <w:r>
              <w:t>невключения</w:t>
            </w:r>
            <w:proofErr w:type="spellEnd"/>
            <w:r>
              <w:t xml:space="preserve"> договора (муниципального контракта) в реестр контрактов</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При заполнении в </w:t>
            </w:r>
            <w:hyperlink w:anchor="P408">
              <w:r>
                <w:t>пункте 6.1</w:t>
              </w:r>
            </w:hyperlink>
            <w:r>
              <w:t xml:space="preserve"> настоящей информации вида документа «договор» указываются положения законодательства Российской Федерации о контрактной системе в сфере закупок товаров, работ, услуг для государственных и муниципальных нужд, являющиеся основанием для </w:t>
            </w:r>
            <w:proofErr w:type="spellStart"/>
            <w:r>
              <w:t>невключения</w:t>
            </w:r>
            <w:proofErr w:type="spellEnd"/>
            <w:r>
              <w:t xml:space="preserve"> договора (контракта) в реестр контрактов.</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7. Реквизиты контрагента/взыскателя по исполнительному документу/решению налогового органа</w:t>
            </w:r>
          </w:p>
        </w:tc>
        <w:tc>
          <w:tcPr>
            <w:tcW w:w="5943" w:type="dxa"/>
            <w:tcBorders>
              <w:top w:val="single" w:sz="4" w:space="0" w:color="auto"/>
              <w:left w:val="single" w:sz="4" w:space="0" w:color="auto"/>
              <w:bottom w:val="single" w:sz="4" w:space="0" w:color="auto"/>
              <w:right w:val="single" w:sz="4" w:space="0" w:color="auto"/>
            </w:tcBorders>
          </w:tcPr>
          <w:p>
            <w:pPr>
              <w:pStyle w:val="ConsPlusNormal"/>
              <w:jc w:val="both"/>
            </w:pPr>
          </w:p>
        </w:tc>
      </w:tr>
      <w:tr>
        <w:trPr>
          <w:trHeight w:val="3309"/>
        </w:trPr>
        <w:tc>
          <w:tcPr>
            <w:tcW w:w="3676" w:type="dxa"/>
            <w:tcBorders>
              <w:top w:val="single" w:sz="4" w:space="0" w:color="auto"/>
              <w:left w:val="single" w:sz="4" w:space="0" w:color="auto"/>
              <w:bottom w:val="single" w:sz="4" w:space="0" w:color="auto"/>
              <w:right w:val="single" w:sz="4" w:space="0" w:color="auto"/>
            </w:tcBorders>
          </w:tcPr>
          <w:p>
            <w:pPr>
              <w:pStyle w:val="ConsPlusNormal"/>
            </w:pPr>
            <w:r>
              <w:t>7.1. Наименование юридического лица/фамилия, имя, отчество физического лица</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муниципального реестра юридических лиц (далее - ЕГРЮЛ) на основании документа-основания, фамилия, имя, отчество физического лица на основании документа-основания.</w:t>
            </w:r>
          </w:p>
          <w:p>
            <w:pPr>
              <w:pStyle w:val="ConsPlusNormal"/>
              <w:ind w:firstLine="283"/>
              <w:jc w:val="both"/>
            </w:pPr>
            <w: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bookmarkStart w:id="40" w:name="P465"/>
            <w:bookmarkEnd w:id="40"/>
            <w:r>
              <w:t>7.2. Идентификационный номер налогоплательщика (ИНН)</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ИНН контрагента в соответствии со сведениями ЕГРЮЛ.</w:t>
            </w:r>
          </w:p>
          <w:p>
            <w:pPr>
              <w:pStyle w:val="ConsPlusNormal"/>
              <w:ind w:firstLine="283"/>
              <w:jc w:val="both"/>
            </w:pPr>
            <w: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bookmarkStart w:id="41" w:name="P468"/>
            <w:bookmarkEnd w:id="41"/>
            <w:r>
              <w:t>7.3. Код причины постановки на учет в налоговом органе (КПП)</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КПП контрагента в соответствии со сведениями ЕГРЮЛ и КПП по месту регистрации в качестве крупнейшего налогоплательщика в соответствии со сведениями Единого муниципального реестра налогоплательщиков (при наличии).</w:t>
            </w:r>
          </w:p>
          <w:p>
            <w:pPr>
              <w:pStyle w:val="ConsPlusNormal"/>
              <w:ind w:firstLine="283"/>
              <w:jc w:val="both"/>
            </w:pPr>
            <w: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7.4. Код по Сводному реестру</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Код по Сводному реестру контрагента указывается автоматически в случае наличия информации о нем в Сводном реестре в соответствии с ИНН и КПП контрагента, указанным в </w:t>
            </w:r>
            <w:hyperlink w:anchor="P465">
              <w:r>
                <w:t>пунктах 7.2</w:t>
              </w:r>
            </w:hyperlink>
            <w:r>
              <w:t xml:space="preserve"> и </w:t>
            </w:r>
            <w:hyperlink w:anchor="P468">
              <w:r>
                <w:t>7.3</w:t>
              </w:r>
            </w:hyperlink>
            <w:r>
              <w:t xml:space="preserve"> настоящей информации.</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bookmarkStart w:id="42" w:name="P473"/>
            <w:bookmarkEnd w:id="42"/>
            <w:r>
              <w:t>7.5. Номер лицевого счета (раздела на лицевом счете)</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В случае если операции по исполнению бюджетного обязательства подлежат отражению на лицевом счете, открытом контрагенту в УФК по ТО, указывается номер лицевого счета контрагента в соответствии с документом-основанием.</w:t>
            </w:r>
          </w:p>
          <w:p>
            <w:pPr>
              <w:pStyle w:val="ConsPlusNormal"/>
              <w:ind w:firstLine="283"/>
              <w:jc w:val="both"/>
            </w:pPr>
            <w:r>
              <w:t>Аналитический номер раздела на лицевом счете указывается в случае, если операции по исполнению бюджетного обязательства подлежат отражению на лицевом счете, открытом контрагенту в УФК по ТО, для отражения средств, подлежащих в соответствии с законодательством Российской Федерации казначейскому сопровождению, предоставляемых в соответствии с документом-основанием (при наличии).</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7.6. Номер банковского (казначейского) счета</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номер банковского (казначейского) счета контрагента (при наличии в документе-основании).</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7.7. Наименование банка (иной организации), в котором(-ой) открыт счет контрагенту</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банка контрагента или УФК по ТО (при наличии в документе-основании).</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7.8. БИК банка</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БИК банка контрагента (при наличии в документе-основании).</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7.9. Корреспондентский счет банка</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корреспондентский счет банка контрагента (при наличии в документе-основании).</w:t>
            </w:r>
          </w:p>
        </w:tc>
      </w:tr>
      <w:tr>
        <w:trPr>
          <w:trHeight w:val="526"/>
        </w:trPr>
        <w:tc>
          <w:tcPr>
            <w:tcW w:w="3676" w:type="dxa"/>
            <w:tcBorders>
              <w:top w:val="single" w:sz="4" w:space="0" w:color="auto"/>
              <w:left w:val="single" w:sz="4" w:space="0" w:color="auto"/>
              <w:bottom w:val="single" w:sz="4" w:space="0" w:color="auto"/>
              <w:right w:val="single" w:sz="4" w:space="0" w:color="auto"/>
            </w:tcBorders>
          </w:tcPr>
          <w:p>
            <w:pPr>
              <w:pStyle w:val="ConsPlusNormal"/>
            </w:pPr>
            <w:r>
              <w:t>8. Расшифровка обязательства</w:t>
            </w:r>
          </w:p>
        </w:tc>
        <w:tc>
          <w:tcPr>
            <w:tcW w:w="5943" w:type="dxa"/>
            <w:tcBorders>
              <w:top w:val="single" w:sz="4" w:space="0" w:color="auto"/>
              <w:left w:val="single" w:sz="4" w:space="0" w:color="auto"/>
              <w:bottom w:val="single" w:sz="4" w:space="0" w:color="auto"/>
              <w:right w:val="single" w:sz="4" w:space="0" w:color="auto"/>
            </w:tcBorders>
          </w:tcPr>
          <w:p>
            <w:pPr>
              <w:pStyle w:val="ConsPlusNormal"/>
              <w:jc w:val="both"/>
            </w:pP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 xml:space="preserve">8.1. Наименование объекта капитального строительства или объекта недвижимого имущества </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Указывается наименование объекта капитального строительства, объекта недвижимого имущества из документа-основания, заключенного (принятого) в целях осуществления капитальных вложений в объекты капитального строительства или объекты недвижимого имущества. </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 xml:space="preserve">8.2. Уникальный код объекта капитального строительства или объекта недвижимого имущества </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уникальный код объекта капитального строительства или объекта недвижимого имущества.</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8.3 Наименование вида средств</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вида средств, за счет которых должна быть произведена кассовая выплата: средства бюджета ЗАТО Северск.</w:t>
            </w:r>
          </w:p>
          <w:p>
            <w:pPr>
              <w:pStyle w:val="ConsPlusNormal"/>
              <w:ind w:firstLine="283"/>
              <w:jc w:val="both"/>
            </w:pPr>
            <w: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8.4. Код по БК</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классификации расходов бюджета ЗАТО Северск в соответствии с предметом документа-основания.</w:t>
            </w:r>
          </w:p>
          <w:p>
            <w:pPr>
              <w:pStyle w:val="ConsPlusNormal"/>
              <w:ind w:firstLine="283"/>
              <w:jc w:val="both"/>
            </w:pPr>
            <w: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 на основании информации, представленной должником.</w:t>
            </w:r>
          </w:p>
        </w:tc>
      </w:tr>
      <w:tr>
        <w:trPr>
          <w:trHeight w:val="4515"/>
        </w:trPr>
        <w:tc>
          <w:tcPr>
            <w:tcW w:w="3676" w:type="dxa"/>
            <w:tcBorders>
              <w:top w:val="single" w:sz="4" w:space="0" w:color="auto"/>
              <w:left w:val="single" w:sz="4" w:space="0" w:color="auto"/>
              <w:bottom w:val="single" w:sz="4" w:space="0" w:color="auto"/>
              <w:right w:val="single" w:sz="4" w:space="0" w:color="auto"/>
            </w:tcBorders>
          </w:tcPr>
          <w:p>
            <w:pPr>
              <w:pStyle w:val="ConsPlusNormal"/>
            </w:pPr>
            <w:r>
              <w:t>8.5. Признак безусловности обязательства</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платежа, требующего подтверждения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pPr>
              <w:pStyle w:val="ConsPlusNormal"/>
              <w:ind w:firstLine="283"/>
              <w:jc w:val="both"/>
            </w:pPr>
            <w: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trPr>
          <w:trHeight w:val="1350"/>
        </w:trPr>
        <w:tc>
          <w:tcPr>
            <w:tcW w:w="3676" w:type="dxa"/>
            <w:tcBorders>
              <w:top w:val="single" w:sz="4" w:space="0" w:color="auto"/>
              <w:left w:val="single" w:sz="4" w:space="0" w:color="auto"/>
              <w:bottom w:val="single" w:sz="4" w:space="0" w:color="auto"/>
              <w:right w:val="single" w:sz="4" w:space="0" w:color="auto"/>
            </w:tcBorders>
          </w:tcPr>
          <w:p>
            <w:pPr>
              <w:pStyle w:val="ConsPlusNormal"/>
            </w:pPr>
            <w:r>
              <w:t>8.6. Сумма исполненного обязательства прошлых лет в валюте Российской Федерации</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исполненная сумма бюджетного обязательства прошлых лет с точностью до второго знака после запятой.</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8.7. Сумма неисполненного обязательства прошлых лет в валюте Российской Федерации</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При внесении изменения в бюджетное обязательство, поставленное на учет до начала текущего финансового года, исполнение которого осуществляется в текущем финансовом году, указывается сумма бюджетного обязательства прошлых лет с точностью до второго знака после запятой.</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8.8. Сумма на 20__ текущий финансовый год в валюте Российской Федерации с помесячной разбивкой</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с помесячной разбивкой текущего года исполнения контракта.</w:t>
            </w:r>
          </w:p>
          <w:p>
            <w:pPr>
              <w:pStyle w:val="ConsPlusNormal"/>
              <w:ind w:firstLine="283"/>
              <w:jc w:val="both"/>
            </w:pPr>
            <w: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8.9. Сумма в валюте Российской Федерации на плановый период и за пределами планового периода</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по муниципальному контракту (договору) в валюте Российской Федерации с годовой периодичностью.</w:t>
            </w:r>
          </w:p>
          <w:p>
            <w:pPr>
              <w:pStyle w:val="ConsPlusNormal"/>
              <w:ind w:firstLine="283"/>
              <w:jc w:val="both"/>
            </w:pPr>
            <w:r>
              <w:t>Сумма указывается отдельно на текущий финансовый год, первый, второй год планового периода, и на третий год после текущего финансового года, а также общей суммой на последующие года.</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8.10. Дата выплаты по исполнительному документу</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ежемесячной выплаты по исполнению исполнительного документа, если выплаты имеют периодический характер.</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8.11. Аналитический код</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при необходимости аналитический код, присваиваемый УФК по ТО субсидиям, субвенциям и иным межбюджетным трансфертам, имеющим целевое значение, предоставляемым из бюджета субъекта Российской Федерации бюджетам муниципальных образований или код, присваиваемый УФК по ТО для завершения расчетов по обязательствам, неисполненным на начало текущего финансового года.</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8.12. Примечание</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Иная информация, необходимая для постановки бюджетного обязательства на учет.</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8.13. Руководитель (уполномоченное лицо)</w:t>
            </w:r>
          </w:p>
        </w:tc>
        <w:tc>
          <w:tcPr>
            <w:tcW w:w="594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должность, подпись, расшифровка подписи руководителя (уполномоченного лица), подписавшего Сведения о бюджетном обязательстве.</w:t>
            </w:r>
          </w:p>
        </w:tc>
      </w:tr>
    </w:tbl>
    <w:p>
      <w:pPr>
        <w:pStyle w:val="ConsPlusNormal"/>
        <w:jc w:val="both"/>
        <w:sectPr>
          <w:headerReference w:type="default" r:id="rId51"/>
          <w:headerReference w:type="first" r:id="rId52"/>
          <w:pgSz w:w="11906" w:h="16838"/>
          <w:pgMar w:top="993" w:right="567" w:bottom="851" w:left="1701" w:header="567" w:footer="454" w:gutter="0"/>
          <w:pgNumType w:start="1"/>
          <w:cols w:space="708"/>
          <w:titlePg/>
          <w:docGrid w:linePitch="360"/>
        </w:sectPr>
      </w:pPr>
    </w:p>
    <w:p>
      <w:pPr>
        <w:pStyle w:val="ConsPlusNormal"/>
        <w:ind w:firstLine="5245"/>
        <w:outlineLvl w:val="1"/>
      </w:pPr>
      <w:r>
        <w:t>Приложение № 2</w:t>
      </w:r>
    </w:p>
    <w:p>
      <w:pPr>
        <w:pStyle w:val="ConsPlusNormal"/>
        <w:ind w:firstLine="5245"/>
      </w:pPr>
      <w:r>
        <w:t>к Порядку учета бюджетных и денежных</w:t>
      </w:r>
    </w:p>
    <w:p>
      <w:pPr>
        <w:pStyle w:val="ConsPlusNormal"/>
        <w:ind w:firstLine="5245"/>
      </w:pPr>
      <w:r>
        <w:t>обязательств получателей средств</w:t>
      </w:r>
    </w:p>
    <w:p>
      <w:pPr>
        <w:pStyle w:val="ConsPlusNormal"/>
        <w:ind w:firstLine="5245"/>
        <w:rPr>
          <w:bCs/>
        </w:rPr>
      </w:pPr>
      <w:r>
        <w:t xml:space="preserve">бюджета </w:t>
      </w:r>
      <w:r>
        <w:rPr>
          <w:bCs/>
        </w:rPr>
        <w:t xml:space="preserve">городского округа закрытого </w:t>
      </w:r>
    </w:p>
    <w:p>
      <w:pPr>
        <w:pStyle w:val="ConsPlusNormal"/>
        <w:ind w:firstLine="5245"/>
        <w:rPr>
          <w:bCs/>
        </w:rPr>
      </w:pPr>
      <w:r>
        <w:rPr>
          <w:bCs/>
        </w:rPr>
        <w:t>административно-территориального</w:t>
      </w:r>
    </w:p>
    <w:p>
      <w:pPr>
        <w:pStyle w:val="ConsPlusNormal"/>
        <w:ind w:firstLine="5245"/>
        <w:rPr>
          <w:bCs/>
        </w:rPr>
      </w:pPr>
      <w:r>
        <w:rPr>
          <w:bCs/>
        </w:rPr>
        <w:t>образования Северск Томской области</w:t>
      </w:r>
    </w:p>
    <w:p>
      <w:pPr>
        <w:pStyle w:val="ConsPlusNormal"/>
        <w:ind w:firstLine="5245"/>
        <w:rPr>
          <w:rFonts w:eastAsiaTheme="minorHAnsi"/>
          <w:szCs w:val="24"/>
          <w:lang w:eastAsia="en-US"/>
        </w:rPr>
      </w:pPr>
      <w:r>
        <w:rPr>
          <w:rFonts w:eastAsiaTheme="minorHAnsi"/>
          <w:szCs w:val="24"/>
          <w:lang w:eastAsia="en-US"/>
        </w:rPr>
        <w:t>Управлением Федерального казначейства</w:t>
      </w:r>
    </w:p>
    <w:p>
      <w:pPr>
        <w:pStyle w:val="ConsPlusNormal"/>
        <w:ind w:firstLine="5245"/>
      </w:pPr>
      <w:r>
        <w:rPr>
          <w:rFonts w:eastAsiaTheme="minorHAnsi"/>
          <w:szCs w:val="24"/>
          <w:lang w:eastAsia="en-US"/>
        </w:rPr>
        <w:t xml:space="preserve">по </w:t>
      </w:r>
      <w:r>
        <w:rPr>
          <w:bCs/>
          <w:szCs w:val="24"/>
        </w:rPr>
        <w:t>Томской области</w:t>
      </w:r>
    </w:p>
    <w:p>
      <w:pPr>
        <w:pStyle w:val="ConsPlusNormal"/>
        <w:jc w:val="center"/>
      </w:pPr>
      <w:bookmarkStart w:id="43" w:name="P536"/>
      <w:bookmarkEnd w:id="43"/>
    </w:p>
    <w:p>
      <w:pPr>
        <w:pStyle w:val="ConsPlusNormal"/>
        <w:jc w:val="center"/>
      </w:pPr>
      <w:r>
        <w:t>Реквизиты</w:t>
      </w:r>
    </w:p>
    <w:p>
      <w:pPr>
        <w:pStyle w:val="ConsPlusNormal"/>
        <w:jc w:val="center"/>
      </w:pPr>
      <w:r>
        <w:t>Сведений о денежном обязательстве</w:t>
      </w:r>
    </w:p>
    <w:p>
      <w:pPr>
        <w:pStyle w:val="ConsPlusNormal"/>
        <w:jc w:val="both"/>
      </w:pPr>
    </w:p>
    <w:tbl>
      <w:tblPr>
        <w:tblW w:w="9634" w:type="dxa"/>
        <w:tblInd w:w="15" w:type="dxa"/>
        <w:tblBorders>
          <w:left w:val="nil"/>
          <w:bottom w:val="single" w:sz="4" w:space="0" w:color="auto"/>
          <w:right w:val="nil"/>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534"/>
        <w:gridCol w:w="6100"/>
      </w:tblGrid>
      <w:tr>
        <w:tc>
          <w:tcPr>
            <w:tcW w:w="9634" w:type="dxa"/>
            <w:gridSpan w:val="2"/>
            <w:tcBorders>
              <w:top w:val="nil"/>
              <w:left w:val="nil"/>
              <w:bottom w:val="single" w:sz="4" w:space="0" w:color="auto"/>
              <w:right w:val="nil"/>
            </w:tcBorders>
          </w:tcPr>
          <w:p>
            <w:pPr>
              <w:pStyle w:val="ConsPlusNormal"/>
            </w:pPr>
            <w:r>
              <w:t>Единица измерения: руб.</w:t>
            </w:r>
          </w:p>
          <w:p>
            <w:pPr>
              <w:pStyle w:val="ConsPlusNormal"/>
            </w:pPr>
            <w:r>
              <w:t>(с точностью до второго десятичного знака)</w:t>
            </w:r>
          </w:p>
        </w:tc>
      </w:tr>
      <w:tr>
        <w:tblPrEx>
          <w:tblBorders>
            <w:left w:val="single" w:sz="4" w:space="0" w:color="auto"/>
            <w:right w:val="single" w:sz="4" w:space="0" w:color="auto"/>
          </w:tblBorders>
        </w:tblPrEx>
        <w:tc>
          <w:tcPr>
            <w:tcW w:w="3534" w:type="dxa"/>
            <w:tcBorders>
              <w:top w:val="single" w:sz="4" w:space="0" w:color="auto"/>
              <w:left w:val="single" w:sz="4" w:space="0" w:color="auto"/>
              <w:bottom w:val="nil"/>
              <w:right w:val="single" w:sz="4" w:space="0" w:color="auto"/>
            </w:tcBorders>
          </w:tcPr>
          <w:p>
            <w:pPr>
              <w:pStyle w:val="ConsPlusNormal"/>
              <w:jc w:val="center"/>
            </w:pPr>
            <w:r>
              <w:t>Наименование реквизита</w:t>
            </w:r>
          </w:p>
        </w:tc>
        <w:tc>
          <w:tcPr>
            <w:tcW w:w="6100" w:type="dxa"/>
            <w:tcBorders>
              <w:top w:val="single" w:sz="4" w:space="0" w:color="auto"/>
              <w:left w:val="single" w:sz="4" w:space="0" w:color="auto"/>
              <w:bottom w:val="nil"/>
              <w:right w:val="single" w:sz="4" w:space="0" w:color="auto"/>
            </w:tcBorders>
          </w:tcPr>
          <w:p>
            <w:pPr>
              <w:pStyle w:val="ConsPlusNormal"/>
              <w:jc w:val="center"/>
            </w:pPr>
            <w:r>
              <w:t xml:space="preserve">Правила формирования информации </w:t>
            </w:r>
          </w:p>
          <w:p>
            <w:pPr>
              <w:pStyle w:val="ConsPlusNormal"/>
              <w:jc w:val="center"/>
            </w:pPr>
            <w:r>
              <w:t>(реквизита, показателя)</w:t>
            </w:r>
          </w:p>
        </w:tc>
      </w:tr>
    </w:tbl>
    <w:p>
      <w:pPr>
        <w:rPr>
          <w:sz w:val="2"/>
          <w:szCs w:val="2"/>
        </w:rPr>
      </w:pPr>
    </w:p>
    <w:tbl>
      <w:tblPr>
        <w:tblW w:w="9634" w:type="dxa"/>
        <w:tblInd w:w="10"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534"/>
        <w:gridCol w:w="6100"/>
      </w:tblGrid>
      <w:tr>
        <w:trPr>
          <w:tblHeader/>
        </w:trPr>
        <w:tc>
          <w:tcPr>
            <w:tcW w:w="3534" w:type="dxa"/>
            <w:tcBorders>
              <w:top w:val="single" w:sz="4" w:space="0" w:color="auto"/>
              <w:left w:val="single" w:sz="4" w:space="0" w:color="auto"/>
              <w:bottom w:val="single" w:sz="4" w:space="0" w:color="auto"/>
              <w:right w:val="single" w:sz="4" w:space="0" w:color="auto"/>
            </w:tcBorders>
          </w:tcPr>
          <w:p>
            <w:pPr>
              <w:pStyle w:val="ConsPlusNormal"/>
              <w:jc w:val="center"/>
            </w:pPr>
            <w:r>
              <w:t>1</w:t>
            </w:r>
          </w:p>
        </w:tc>
        <w:tc>
          <w:tcPr>
            <w:tcW w:w="6100" w:type="dxa"/>
            <w:tcBorders>
              <w:top w:val="single" w:sz="4" w:space="0" w:color="auto"/>
              <w:left w:val="single" w:sz="4" w:space="0" w:color="auto"/>
              <w:bottom w:val="single" w:sz="4" w:space="0" w:color="auto"/>
              <w:right w:val="single" w:sz="4" w:space="0" w:color="auto"/>
            </w:tcBorders>
          </w:tcPr>
          <w:p>
            <w:pPr>
              <w:pStyle w:val="ConsPlusNormal"/>
              <w:jc w:val="center"/>
            </w:pPr>
            <w:r>
              <w:t>2</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1. Номер сведений о денежном обязательстве получателя средств бюджета (далее - соответственно Сведения о денежном обязательстве, денежное обязательство)</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порядковый номер Сведений о денежном обязательстве.</w:t>
            </w:r>
          </w:p>
          <w:p>
            <w:pPr>
              <w:pStyle w:val="ConsPlusNormal"/>
              <w:ind w:firstLine="283"/>
              <w:jc w:val="both"/>
            </w:pPr>
            <w:r>
              <w:t>При представлении Сведений о денежном обязательстве в форме электронного документа в информационных системах Федерального казначейства (далее - информационные системы) номер Сведений о денежном обязательстве присваивается автоматически в информационных системах.</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2. Дата Сведений о денежном обязательстве</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подписания Сведений о денежном обязательстве получателем бюджетных средств.</w:t>
            </w:r>
          </w:p>
          <w:p>
            <w:pPr>
              <w:pStyle w:val="ConsPlusNormal"/>
              <w:ind w:firstLine="283"/>
              <w:jc w:val="both"/>
            </w:pPr>
            <w:r>
              <w:t>При формировании Сведений о денежном обязательстве в форме электронного документа в информационных системах дата Сведений о денежном обязательстве проставляется автоматически.</w:t>
            </w:r>
          </w:p>
        </w:tc>
      </w:tr>
      <w:tr>
        <w:trPr>
          <w:trHeight w:val="3146"/>
        </w:trPr>
        <w:tc>
          <w:tcPr>
            <w:tcW w:w="3534" w:type="dxa"/>
            <w:tcBorders>
              <w:top w:val="single" w:sz="4" w:space="0" w:color="auto"/>
              <w:left w:val="single" w:sz="4" w:space="0" w:color="auto"/>
              <w:bottom w:val="single" w:sz="4" w:space="0" w:color="auto"/>
              <w:right w:val="single" w:sz="4" w:space="0" w:color="auto"/>
            </w:tcBorders>
          </w:tcPr>
          <w:p>
            <w:pPr>
              <w:pStyle w:val="ConsPlusNormal"/>
            </w:pPr>
            <w:r>
              <w:t>3. Учетный номер денежного обязательства</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при внесении изменений в поставленное на учет денежное обязательство.</w:t>
            </w:r>
          </w:p>
          <w:p>
            <w:pPr>
              <w:pStyle w:val="ConsPlusNormal"/>
              <w:ind w:firstLine="283"/>
              <w:jc w:val="both"/>
            </w:pPr>
            <w:r>
              <w:t>Указывается учетный номер денежного обязательства, в которое вносятся изменения, присвоенный ему при постановке на учет.</w:t>
            </w:r>
          </w:p>
          <w:p>
            <w:pPr>
              <w:pStyle w:val="ConsPlusNormal"/>
              <w:ind w:firstLine="283"/>
              <w:jc w:val="both"/>
            </w:pPr>
            <w:r>
              <w:t>При формировании Сведений о денежном обязательстве в форме электронного документа в информационной системе учетный номер денежного обязательства заполняется путем выбора соответствующего значения из полного перечня учетных номеров денежных обязательств.</w:t>
            </w:r>
          </w:p>
        </w:tc>
      </w:tr>
      <w:tr>
        <w:trPr>
          <w:trHeight w:val="2965"/>
        </w:trPr>
        <w:tc>
          <w:tcPr>
            <w:tcW w:w="3534" w:type="dxa"/>
            <w:tcBorders>
              <w:top w:val="single" w:sz="4" w:space="0" w:color="auto"/>
              <w:left w:val="single" w:sz="4" w:space="0" w:color="auto"/>
              <w:bottom w:val="single" w:sz="4" w:space="0" w:color="auto"/>
              <w:right w:val="single" w:sz="4" w:space="0" w:color="auto"/>
            </w:tcBorders>
          </w:tcPr>
          <w:p>
            <w:pPr>
              <w:pStyle w:val="ConsPlusNormal"/>
            </w:pPr>
            <w:r>
              <w:t>4. Учетный номер бюджетного обязательства</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p>
            <w:pPr>
              <w:pStyle w:val="ConsPlusNormal"/>
              <w:ind w:firstLine="283"/>
              <w:jc w:val="both"/>
            </w:pPr>
            <w:r>
              <w:t>При формировании Сведений о денежном обязательстве, предусматривающих внесение изменений в поставленное на учет денежное обязательство, в форме электронного документа в информационных системах заполняется автоматически при указании учетного номера денежного обязательства, в которое вносятся изменения.</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 xml:space="preserve">5. Уникальный код объекта капитального строительства или объекта недвижимого имущества </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Указывается уникальный код объекта капитального строительства или объекта недвижимого имущества </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6. Информация о получателе бюджетных средств</w:t>
            </w:r>
          </w:p>
        </w:tc>
        <w:tc>
          <w:tcPr>
            <w:tcW w:w="6100" w:type="dxa"/>
            <w:tcBorders>
              <w:top w:val="single" w:sz="4" w:space="0" w:color="auto"/>
              <w:left w:val="single" w:sz="4" w:space="0" w:color="auto"/>
              <w:bottom w:val="single" w:sz="4" w:space="0" w:color="auto"/>
              <w:right w:val="single" w:sz="4" w:space="0" w:color="auto"/>
            </w:tcBorders>
          </w:tcPr>
          <w:p>
            <w:pPr>
              <w:pStyle w:val="ConsPlusNormal"/>
              <w:jc w:val="both"/>
            </w:pP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6.1. Получатель бюджетных средств</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получателя средств бюджета ЗАТО Северск,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6.2. Код получателя бюджетных средств по Сводному реестру</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получателя средств бюджета ЗАТО Северск.</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6.3. Номер лицевого счета</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номер соответствующего лицевого счета получателя средств бюджета ЗАТО Северск.</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6.4. Главный распорядитель бюджетных средств</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главного распорядителя средств бюджета ЗАТО Северск, соответствующее реестровой записи Сводного реестра.</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6.5. Глава по БК</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глава главного распорядителя средств бюджета ЗАТО Северск по бюджетной классификации Российской Федерации.</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6.6. Наименование бюджета</w:t>
            </w:r>
          </w:p>
        </w:tc>
        <w:tc>
          <w:tcPr>
            <w:tcW w:w="610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both"/>
            </w:pPr>
            <w:r>
              <w:rPr>
                <w:rFonts w:ascii="Times New Roman" w:hAnsi="Times New Roman"/>
                <w:sz w:val="24"/>
              </w:rPr>
              <w:t xml:space="preserve">Указывается наименование бюджета - </w:t>
            </w:r>
            <w:r>
              <w:rPr>
                <w:rFonts w:ascii="Times New Roman" w:hAnsi="Times New Roman"/>
                <w:sz w:val="24"/>
              </w:rPr>
              <w:br/>
              <w:t>«бюджет городского округа закрытого административно-территориального образования Северск Томской области»</w:t>
            </w:r>
            <w:r>
              <w:t>.</w:t>
            </w:r>
          </w:p>
          <w:p>
            <w:pPr>
              <w:pStyle w:val="ConsPlusNormal"/>
              <w:ind w:firstLine="283"/>
              <w:jc w:val="both"/>
            </w:pPr>
            <w:r>
              <w:t>При формировании Сведений о денежном обязательстве в форме электронного документа в информационных системах заполняется автоматически.</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 xml:space="preserve">6.7. Код по </w:t>
            </w:r>
            <w:hyperlink r:id="rId53">
              <w:r>
                <w:t>ОКТМО</w:t>
              </w:r>
            </w:hyperlink>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Указывается код по Общероссийскому </w:t>
            </w:r>
            <w:hyperlink r:id="rId54">
              <w:r>
                <w:t>классификатору</w:t>
              </w:r>
            </w:hyperlink>
            <w:r>
              <w:t xml:space="preserve"> УФК по ТО, финансового органа муниципального образования</w:t>
            </w:r>
          </w:p>
        </w:tc>
      </w:tr>
      <w:tr>
        <w:trPr>
          <w:trHeight w:val="1832"/>
        </w:trPr>
        <w:tc>
          <w:tcPr>
            <w:tcW w:w="3534" w:type="dxa"/>
            <w:tcBorders>
              <w:top w:val="single" w:sz="4" w:space="0" w:color="auto"/>
              <w:left w:val="single" w:sz="4" w:space="0" w:color="auto"/>
              <w:bottom w:val="single" w:sz="4" w:space="0" w:color="auto"/>
              <w:right w:val="single" w:sz="4" w:space="0" w:color="auto"/>
            </w:tcBorders>
          </w:tcPr>
          <w:p>
            <w:pPr>
              <w:pStyle w:val="ConsPlusNormal"/>
            </w:pPr>
            <w:r>
              <w:t>6.8. Финансовый орган</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финансового органа – «Финансовое управление Администрации ЗАТО Северск».</w:t>
            </w:r>
          </w:p>
          <w:p>
            <w:pPr>
              <w:pStyle w:val="ConsPlusNormal"/>
              <w:ind w:firstLine="283"/>
              <w:jc w:val="both"/>
            </w:pPr>
            <w:r>
              <w:t>При представлении Сведений о денежном обязательстве в форме электронного документа в информационных системах заполняется автоматически.</w:t>
            </w:r>
          </w:p>
        </w:tc>
      </w:tr>
      <w:tr>
        <w:trPr>
          <w:trHeight w:val="877"/>
        </w:trPr>
        <w:tc>
          <w:tcPr>
            <w:tcW w:w="3534" w:type="dxa"/>
            <w:tcBorders>
              <w:top w:val="single" w:sz="4" w:space="0" w:color="auto"/>
              <w:left w:val="single" w:sz="4" w:space="0" w:color="auto"/>
              <w:bottom w:val="single" w:sz="4" w:space="0" w:color="auto"/>
              <w:right w:val="single" w:sz="4" w:space="0" w:color="auto"/>
            </w:tcBorders>
          </w:tcPr>
          <w:p>
            <w:pPr>
              <w:pStyle w:val="ConsPlusNormal"/>
            </w:pPr>
            <w:r>
              <w:t>6.9. Код по ОКПО</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финансового органа по Общероссийскому классификатору предприятий и организаций.</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6.10. Территориальный УФК по ТО</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органа Федерального казначейства – «Управление Федерального казначейства по Томской области», в котором получателю средств бюджета ЗАТО Северск открыт лицевой счет получателя бюджетных средств ЗАТО Северск (лицевой счет для учета операций по переданным полномочиям получателя бюджетных средств ЗАТО Северск), на котором подлежат отражению операции по учету и исполнению соответствующего денежного обязательства (далее - код соответствующего лицевого счета получателя бюджетных средств).</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6.11. Код органа Федерального казначейства (КОФК)</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УФК по ТО, в котором получателю средств бюджета ЗАТО Северск открыт соответствующий лицевой счет получателя бюджетных средств ЗАТО Северск.</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6.12. Признак платежа, требующего подтверждения</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признак платежа, требующего подтверждения. По платежам, требующим подтверждения, указывается «Да», если платеж не требует подтверждения, указывается «Нет».</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7. Реквизиты документа, подтверждающего возникновение денежного обязательства</w:t>
            </w:r>
          </w:p>
        </w:tc>
        <w:tc>
          <w:tcPr>
            <w:tcW w:w="6100" w:type="dxa"/>
            <w:tcBorders>
              <w:top w:val="single" w:sz="4" w:space="0" w:color="auto"/>
              <w:left w:val="single" w:sz="4" w:space="0" w:color="auto"/>
              <w:bottom w:val="single" w:sz="4" w:space="0" w:color="auto"/>
              <w:right w:val="single" w:sz="4" w:space="0" w:color="auto"/>
            </w:tcBorders>
          </w:tcPr>
          <w:p>
            <w:pPr>
              <w:pStyle w:val="ConsPlusNormal"/>
              <w:jc w:val="both"/>
            </w:pP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7.1. Вид</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документа, являющегося основанием для возникновения денежного обязательства.</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7.2. Номер</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номер документа, подтверждающего возникновение денежного обязательства.</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bookmarkStart w:id="44" w:name="P592"/>
            <w:bookmarkEnd w:id="44"/>
            <w:r>
              <w:t>7.3. Дата</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документа, подтверждающего возникновение денежного обязательства.</w:t>
            </w:r>
          </w:p>
          <w:p>
            <w:pPr>
              <w:pStyle w:val="ConsPlusNormal"/>
              <w:ind w:firstLine="283"/>
              <w:jc w:val="both"/>
            </w:pPr>
            <w:r>
              <w:t>В случае постановки на учет денежного обязательства, возникшего на основании документа о приемке выполненной работы (ее результатов, в том числе этапа), оказанной услуги, указывается дата подписания получателем средств бюджета ЗАТО Северск такого документа.</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7.4. Сумма документа, подтверждающего возникновение денежного обязательства</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документа, подтверждающего возникновение денежного обязательства в валюте выплаты.</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7.5. Предмет</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товаров (работ, услуг) в соответствии с документом, подтверждающим возникновение денежного обязательства.</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7.6. Наименование вида средств</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вида средств, за счет которых должна быть произведена кассовая выплата: средства бюджета.</w:t>
            </w:r>
          </w:p>
          <w:p>
            <w:pPr>
              <w:pStyle w:val="ConsPlusNormal"/>
              <w:ind w:firstLine="283"/>
              <w:jc w:val="both"/>
            </w:pPr>
            <w: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7.7. Код по бюджетной классификации (далее - Код по БК)</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классификации расходов бюджета ЗАТО Северск в соответствии с предметом документа-основания.</w:t>
            </w:r>
          </w:p>
          <w:p>
            <w:pPr>
              <w:pStyle w:val="ConsPlusNormal"/>
              <w:ind w:firstLine="283"/>
              <w:jc w:val="both"/>
            </w:pPr>
            <w:r>
              <w:t>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бюджета на основании информации, представленной должником.</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7.8. Аналитический код</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при необходимости в дополнение к коду по бюджетной классификации плательщика аналитический код, используемый УФК по ТО в целях санкционирования операций с целевыми расходами (аналитический код, используемый УФК по ТО для учета операций со средствами юридических лиц, не являющихся участниками бюджетного процесса).</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7.9. Сумма в рублевом эквиваленте всего</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денежного обязательства в валюте Российской Федерации.</w:t>
            </w:r>
          </w:p>
          <w:p>
            <w:pPr>
              <w:pStyle w:val="ConsPlusNormal"/>
              <w:ind w:firstLine="283"/>
              <w:jc w:val="both"/>
            </w:pPr>
            <w:r>
              <w:t>При представлении Сведений о денежном обязательстве для подтверждения кассовой выплаты отчетного финансового года указывается сумма платежа, перечисленного и не подтвержденного в отчетном финансовом году.</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7.10. Код валюты</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Указывается код валюты, в которой принято денежное обязательство, в соответствии с Общероссийским </w:t>
            </w:r>
            <w:hyperlink r:id="rId55">
              <w:r>
                <w:t>классификатором</w:t>
              </w:r>
            </w:hyperlink>
            <w:r>
              <w:t xml:space="preserve"> валют.</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7.11. в том числе перечислено средств, требующих подтверждения</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ранее произведенного в рамках соответствующего бюджетного обязательства платежа, требующего подтверждения, по которому не подтверждена поставка товара (выполнение работ, оказание услуг). Не заполняется, в случае если в кодовой зоне «Признак платежа, требующего подтверждения» указано «Да».</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7.12. Срок исполнения</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планируемый срок осуществления кассовой выплаты по денежному обязательству.</w:t>
            </w:r>
          </w:p>
        </w:tc>
      </w:tr>
      <w:tr>
        <w:tc>
          <w:tcPr>
            <w:tcW w:w="3534" w:type="dxa"/>
            <w:tcBorders>
              <w:top w:val="single" w:sz="4" w:space="0" w:color="auto"/>
              <w:left w:val="single" w:sz="4" w:space="0" w:color="auto"/>
              <w:bottom w:val="single" w:sz="4" w:space="0" w:color="auto"/>
              <w:right w:val="single" w:sz="4" w:space="0" w:color="auto"/>
            </w:tcBorders>
          </w:tcPr>
          <w:p>
            <w:pPr>
              <w:pStyle w:val="ConsPlusNormal"/>
            </w:pPr>
            <w:r>
              <w:t>7.13. Руководитель (уполномоченное лицо)</w:t>
            </w:r>
          </w:p>
        </w:tc>
        <w:tc>
          <w:tcPr>
            <w:tcW w:w="610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должность, подпись, расшифровка подписи руководителя (уполномоченного лица), подписавшего Сведения о денежном обязательстве.</w:t>
            </w:r>
          </w:p>
        </w:tc>
      </w:tr>
    </w:tbl>
    <w:p>
      <w:pPr>
        <w:pStyle w:val="ConsPlusNormal"/>
        <w:jc w:val="both"/>
        <w:sectPr>
          <w:headerReference w:type="first" r:id="rId56"/>
          <w:pgSz w:w="11906" w:h="16838"/>
          <w:pgMar w:top="993" w:right="567" w:bottom="851" w:left="1701" w:header="567" w:footer="454" w:gutter="0"/>
          <w:pgNumType w:start="1"/>
          <w:cols w:space="708"/>
          <w:titlePg/>
          <w:docGrid w:linePitch="360"/>
        </w:sectPr>
      </w:pPr>
    </w:p>
    <w:p>
      <w:pPr>
        <w:pStyle w:val="ConsPlusNormal"/>
        <w:ind w:firstLine="5245"/>
        <w:outlineLvl w:val="1"/>
      </w:pPr>
      <w:r>
        <w:t>Приложение № 3</w:t>
      </w:r>
    </w:p>
    <w:p>
      <w:pPr>
        <w:pStyle w:val="ConsPlusNormal"/>
        <w:ind w:firstLine="5245"/>
      </w:pPr>
      <w:r>
        <w:t>к Порядку учета бюджетных и денежных</w:t>
      </w:r>
    </w:p>
    <w:p>
      <w:pPr>
        <w:pStyle w:val="ConsPlusNormal"/>
        <w:ind w:firstLine="5245"/>
      </w:pPr>
      <w:r>
        <w:t>обязательств получателей средств</w:t>
      </w:r>
    </w:p>
    <w:p>
      <w:pPr>
        <w:autoSpaceDE w:val="0"/>
        <w:autoSpaceDN w:val="0"/>
        <w:adjustRightInd w:val="0"/>
        <w:ind w:firstLine="5245"/>
        <w:rPr>
          <w:rFonts w:ascii="Times New Roman" w:hAnsi="Times New Roman"/>
          <w:bCs/>
          <w:sz w:val="24"/>
          <w:szCs w:val="24"/>
        </w:rPr>
      </w:pPr>
      <w:r>
        <w:rPr>
          <w:rFonts w:ascii="Times New Roman" w:hAnsi="Times New Roman"/>
          <w:sz w:val="24"/>
          <w:szCs w:val="24"/>
        </w:rPr>
        <w:t xml:space="preserve">бюджета </w:t>
      </w:r>
      <w:r>
        <w:rPr>
          <w:rFonts w:ascii="Times New Roman" w:hAnsi="Times New Roman"/>
          <w:bCs/>
          <w:sz w:val="24"/>
          <w:szCs w:val="24"/>
        </w:rPr>
        <w:t>городского округа закрытого</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 xml:space="preserve"> административно-территориального</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образования Северск Томской области</w:t>
      </w:r>
    </w:p>
    <w:p>
      <w:pPr>
        <w:ind w:firstLine="5245"/>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Управлением Федерального казначейства </w:t>
      </w:r>
    </w:p>
    <w:p>
      <w:pPr>
        <w:ind w:firstLine="5245"/>
        <w:rPr>
          <w:rFonts w:ascii="Times New Roman" w:hAnsi="Times New Roman"/>
          <w:sz w:val="24"/>
          <w:szCs w:val="24"/>
        </w:rPr>
      </w:pPr>
      <w:r>
        <w:rPr>
          <w:rFonts w:ascii="Times New Roman" w:eastAsiaTheme="minorHAnsi" w:hAnsi="Times New Roman"/>
          <w:sz w:val="24"/>
          <w:szCs w:val="24"/>
          <w:lang w:eastAsia="en-US"/>
        </w:rPr>
        <w:t xml:space="preserve">по </w:t>
      </w:r>
      <w:r>
        <w:rPr>
          <w:rFonts w:ascii="Times New Roman" w:hAnsi="Times New Roman"/>
          <w:bCs/>
          <w:sz w:val="24"/>
          <w:szCs w:val="24"/>
        </w:rPr>
        <w:t>Томской области</w:t>
      </w:r>
    </w:p>
    <w:p>
      <w:pPr>
        <w:pStyle w:val="ConsPlusNormal"/>
        <w:jc w:val="both"/>
      </w:pPr>
    </w:p>
    <w:p>
      <w:pPr>
        <w:pStyle w:val="ConsPlusTitle"/>
        <w:jc w:val="center"/>
        <w:rPr>
          <w:b w:val="0"/>
        </w:rPr>
      </w:pPr>
      <w:bookmarkStart w:id="45" w:name="P634"/>
      <w:bookmarkEnd w:id="45"/>
      <w:r>
        <w:rPr>
          <w:b w:val="0"/>
        </w:rPr>
        <w:t>Перечень</w:t>
      </w:r>
    </w:p>
    <w:p>
      <w:pPr>
        <w:pStyle w:val="ConsPlusTitle"/>
        <w:jc w:val="center"/>
        <w:rPr>
          <w:b w:val="0"/>
        </w:rPr>
      </w:pPr>
      <w:proofErr w:type="gramStart"/>
      <w:r>
        <w:rPr>
          <w:b w:val="0"/>
        </w:rPr>
        <w:t>документов</w:t>
      </w:r>
      <w:proofErr w:type="gramEnd"/>
      <w:r>
        <w:rPr>
          <w:b w:val="0"/>
        </w:rPr>
        <w:t>, на основании которых возникают бюджетные обязательства получателей средств бюджета ЗАТО Северск, и документов, подтверждающих возникновение денежных обязательств получателей средств бюджета ЗАТО Северск</w:t>
      </w:r>
    </w:p>
    <w:p>
      <w:pPr>
        <w:pStyle w:val="ConsPlusNormal"/>
        <w:jc w:val="both"/>
      </w:pPr>
    </w:p>
    <w:tbl>
      <w:tblPr>
        <w:tblW w:w="9634"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562"/>
        <w:gridCol w:w="3828"/>
        <w:gridCol w:w="5244"/>
      </w:tblGrid>
      <w:tr>
        <w:tc>
          <w:tcPr>
            <w:tcW w:w="562" w:type="dxa"/>
          </w:tcPr>
          <w:p>
            <w:pPr>
              <w:pStyle w:val="ConsPlusNormal"/>
              <w:jc w:val="center"/>
            </w:pPr>
            <w:r>
              <w:t>№ п/п</w:t>
            </w:r>
          </w:p>
        </w:tc>
        <w:tc>
          <w:tcPr>
            <w:tcW w:w="3828" w:type="dxa"/>
          </w:tcPr>
          <w:p>
            <w:pPr>
              <w:pStyle w:val="ConsPlusNormal"/>
              <w:jc w:val="center"/>
            </w:pPr>
            <w:r>
              <w:t>Документ, на основании которого возникает бюджетное обязательство получателя средств бюджета ЗАТО Северск</w:t>
            </w:r>
          </w:p>
        </w:tc>
        <w:tc>
          <w:tcPr>
            <w:tcW w:w="5244" w:type="dxa"/>
          </w:tcPr>
          <w:p>
            <w:pPr>
              <w:pStyle w:val="ConsPlusNormal"/>
              <w:jc w:val="center"/>
            </w:pPr>
            <w:r>
              <w:t>Документ, подтверждающий возникновение денежного обязательства получателя средств бюджета ЗАТО Северск</w:t>
            </w:r>
          </w:p>
        </w:tc>
      </w:tr>
    </w:tbl>
    <w:p>
      <w:pPr>
        <w:rPr>
          <w:sz w:val="2"/>
          <w:szCs w:val="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562"/>
        <w:gridCol w:w="3828"/>
        <w:gridCol w:w="5244"/>
      </w:tblGrid>
      <w:tr>
        <w:trPr>
          <w:cantSplit/>
          <w:trHeight w:val="89"/>
          <w:tblHeader/>
        </w:trPr>
        <w:tc>
          <w:tcPr>
            <w:tcW w:w="562" w:type="dxa"/>
            <w:vAlign w:val="center"/>
          </w:tcPr>
          <w:p>
            <w:pPr>
              <w:pStyle w:val="ConsPlusNormal"/>
              <w:jc w:val="center"/>
            </w:pPr>
            <w:r>
              <w:t>1</w:t>
            </w:r>
          </w:p>
        </w:tc>
        <w:tc>
          <w:tcPr>
            <w:tcW w:w="3828" w:type="dxa"/>
            <w:vAlign w:val="center"/>
          </w:tcPr>
          <w:p>
            <w:pPr>
              <w:pStyle w:val="ConsPlusNormal"/>
              <w:jc w:val="center"/>
            </w:pPr>
            <w:bookmarkStart w:id="46" w:name="P647"/>
            <w:bookmarkEnd w:id="46"/>
            <w:r>
              <w:t>2</w:t>
            </w:r>
          </w:p>
        </w:tc>
        <w:tc>
          <w:tcPr>
            <w:tcW w:w="5244" w:type="dxa"/>
            <w:vAlign w:val="center"/>
          </w:tcPr>
          <w:p>
            <w:pPr>
              <w:pStyle w:val="ConsPlusNormal"/>
              <w:jc w:val="center"/>
            </w:pPr>
            <w:bookmarkStart w:id="47" w:name="P648"/>
            <w:bookmarkEnd w:id="47"/>
            <w:r>
              <w:t>3</w:t>
            </w:r>
          </w:p>
        </w:tc>
      </w:tr>
      <w:tr>
        <w:tc>
          <w:tcPr>
            <w:tcW w:w="562" w:type="dxa"/>
          </w:tcPr>
          <w:p>
            <w:pPr>
              <w:pStyle w:val="ConsPlusNormal"/>
              <w:jc w:val="center"/>
            </w:pPr>
            <w:bookmarkStart w:id="48" w:name="P649"/>
            <w:bookmarkEnd w:id="48"/>
            <w:r>
              <w:t>1.</w:t>
            </w:r>
          </w:p>
        </w:tc>
        <w:tc>
          <w:tcPr>
            <w:tcW w:w="3828" w:type="dxa"/>
          </w:tcPr>
          <w:p>
            <w:pPr>
              <w:pStyle w:val="ConsPlusNormal"/>
            </w:pPr>
            <w:bookmarkStart w:id="49" w:name="P650"/>
            <w:bookmarkEnd w:id="49"/>
            <w:r>
              <w:t>Извещение об осуществлении закупки</w:t>
            </w:r>
          </w:p>
        </w:tc>
        <w:tc>
          <w:tcPr>
            <w:tcW w:w="5244" w:type="dxa"/>
          </w:tcPr>
          <w:p>
            <w:pPr>
              <w:pStyle w:val="ConsPlusNormal"/>
              <w:jc w:val="both"/>
            </w:pPr>
            <w:r>
              <w:t>Формирование денежного обязательства не предусматривается</w:t>
            </w:r>
          </w:p>
        </w:tc>
      </w:tr>
      <w:tr>
        <w:tc>
          <w:tcPr>
            <w:tcW w:w="562" w:type="dxa"/>
          </w:tcPr>
          <w:p>
            <w:pPr>
              <w:pStyle w:val="ConsPlusNormal"/>
              <w:jc w:val="center"/>
            </w:pPr>
            <w:bookmarkStart w:id="50" w:name="P652"/>
            <w:bookmarkEnd w:id="50"/>
            <w:r>
              <w:t>2.</w:t>
            </w:r>
          </w:p>
        </w:tc>
        <w:tc>
          <w:tcPr>
            <w:tcW w:w="3828" w:type="dxa"/>
          </w:tcPr>
          <w:p>
            <w:pPr>
              <w:pStyle w:val="ConsPlusNormal"/>
            </w:pPr>
            <w:bookmarkStart w:id="51" w:name="P653"/>
            <w:bookmarkEnd w:id="51"/>
            <w:r>
              <w:t>Приглашение принять участие в определении поставщика (подрядчика, исполнителя)</w:t>
            </w:r>
          </w:p>
        </w:tc>
        <w:tc>
          <w:tcPr>
            <w:tcW w:w="5244" w:type="dxa"/>
          </w:tcPr>
          <w:p>
            <w:pPr>
              <w:pStyle w:val="ConsPlusNormal"/>
              <w:jc w:val="both"/>
            </w:pPr>
            <w:r>
              <w:t>Формирование денежного обязательства не предусматривается</w:t>
            </w:r>
          </w:p>
        </w:tc>
      </w:tr>
      <w:tr>
        <w:tc>
          <w:tcPr>
            <w:tcW w:w="562" w:type="dxa"/>
          </w:tcPr>
          <w:p>
            <w:pPr>
              <w:pStyle w:val="ConsPlusNormal"/>
              <w:jc w:val="center"/>
            </w:pPr>
            <w:bookmarkStart w:id="52" w:name="P661"/>
            <w:bookmarkEnd w:id="52"/>
            <w:r>
              <w:t>3</w:t>
            </w:r>
          </w:p>
        </w:tc>
        <w:tc>
          <w:tcPr>
            <w:tcW w:w="3828" w:type="dxa"/>
          </w:tcPr>
          <w:p>
            <w:pPr>
              <w:pStyle w:val="ConsPlusNormal"/>
            </w:pPr>
            <w:bookmarkStart w:id="53" w:name="P662"/>
            <w:bookmarkEnd w:id="53"/>
            <w:r>
              <w:t xml:space="preserve">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 </w:t>
            </w:r>
          </w:p>
          <w:p>
            <w:pPr>
              <w:pStyle w:val="ConsPlusNormal"/>
            </w:pPr>
            <w:r>
              <w:rPr>
                <w:szCs w:val="24"/>
              </w:rPr>
              <w:t>(</w:t>
            </w:r>
            <w:hyperlink r:id="rId57">
              <w:r>
                <w:rPr>
                  <w:szCs w:val="24"/>
                </w:rPr>
                <w:t>применяется</w:t>
              </w:r>
            </w:hyperlink>
            <w:r>
              <w:rPr>
                <w:szCs w:val="24"/>
              </w:rPr>
              <w:t xml:space="preserve"> с 01.07.2024</w:t>
            </w:r>
            <w:r>
              <w:t>)</w:t>
            </w:r>
          </w:p>
        </w:tc>
        <w:tc>
          <w:tcPr>
            <w:tcW w:w="5244" w:type="dxa"/>
          </w:tcPr>
          <w:p>
            <w:pPr>
              <w:pStyle w:val="ConsPlusNormal"/>
              <w:jc w:val="both"/>
            </w:pPr>
            <w:r>
              <w:t>Формирование денежного обязательства не предусматривается</w:t>
            </w:r>
          </w:p>
        </w:tc>
      </w:tr>
      <w:tr>
        <w:tc>
          <w:tcPr>
            <w:tcW w:w="562" w:type="dxa"/>
          </w:tcPr>
          <w:p>
            <w:pPr>
              <w:pStyle w:val="ConsPlusNormal"/>
              <w:jc w:val="center"/>
            </w:pPr>
            <w:bookmarkStart w:id="54" w:name="P667"/>
            <w:bookmarkEnd w:id="54"/>
            <w:r>
              <w:t>3.1</w:t>
            </w:r>
          </w:p>
          <w:p/>
          <w:p/>
          <w:p/>
          <w:p/>
          <w:p/>
          <w:p/>
          <w:p/>
          <w:p/>
          <w:p/>
          <w:p/>
          <w:p/>
          <w:p>
            <w:pPr>
              <w:pStyle w:val="ConsPlusNormal"/>
              <w:jc w:val="center"/>
            </w:pPr>
            <w:r>
              <w:t>3.2</w:t>
            </w:r>
          </w:p>
        </w:tc>
        <w:tc>
          <w:tcPr>
            <w:tcW w:w="3828" w:type="dxa"/>
          </w:tcPr>
          <w:p>
            <w:pPr>
              <w:pStyle w:val="ConsPlusNormal"/>
            </w:pPr>
            <w:bookmarkStart w:id="55" w:name="P668"/>
            <w:bookmarkEnd w:id="55"/>
            <w: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 (</w:t>
            </w:r>
            <w:hyperlink r:id="rId58">
              <w:r>
                <w:t>применяется</w:t>
              </w:r>
            </w:hyperlink>
            <w:r>
              <w:t xml:space="preserve"> с 01.07.2024)</w:t>
            </w:r>
          </w:p>
          <w:p>
            <w:pPr>
              <w:pStyle w:val="ConsPlusNormal"/>
            </w:pPr>
          </w:p>
          <w:p>
            <w:pPr>
              <w:pStyle w:val="ConsPlusNormal"/>
            </w:pPr>
            <w:r>
              <w:rPr>
                <w:rFonts w:eastAsiaTheme="minorHAnsi"/>
                <w:szCs w:val="24"/>
                <w:lang w:eastAsia="en-US"/>
              </w:rPr>
              <w:t xml:space="preserve">Проект договора (соглашения)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w:t>
            </w:r>
            <w:r>
              <w:t>(</w:t>
            </w:r>
            <w:hyperlink r:id="rId59">
              <w:r>
                <w:t>применяется</w:t>
              </w:r>
            </w:hyperlink>
            <w:r>
              <w:t xml:space="preserve"> при исполнении бюджета, начиная с бюджета на 2026 г.)</w:t>
            </w:r>
          </w:p>
        </w:tc>
        <w:tc>
          <w:tcPr>
            <w:tcW w:w="5244" w:type="dxa"/>
          </w:tcPr>
          <w:p>
            <w:pPr>
              <w:pStyle w:val="ConsPlusNormal"/>
              <w:jc w:val="both"/>
            </w:pPr>
            <w:r>
              <w:t>Формирование денежного обязательства не предусматривается</w:t>
            </w:r>
          </w:p>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both"/>
            </w:pPr>
            <w:r>
              <w:rPr>
                <w:rFonts w:eastAsiaTheme="minorHAnsi"/>
                <w:szCs w:val="24"/>
                <w:lang w:eastAsia="en-US"/>
              </w:rPr>
              <w:t>Формирование денежного обязательства не предусматривается</w:t>
            </w:r>
          </w:p>
        </w:tc>
      </w:tr>
      <w:tr>
        <w:tc>
          <w:tcPr>
            <w:tcW w:w="562" w:type="dxa"/>
          </w:tcPr>
          <w:p>
            <w:pPr>
              <w:pStyle w:val="ConsPlusNormal"/>
              <w:jc w:val="center"/>
            </w:pPr>
            <w:r>
              <w:t>3.3</w:t>
            </w:r>
          </w:p>
        </w:tc>
        <w:tc>
          <w:tcPr>
            <w:tcW w:w="3828" w:type="dxa"/>
          </w:tcPr>
          <w:p>
            <w:pPr>
              <w:autoSpaceDE w:val="0"/>
              <w:autoSpaceDN w:val="0"/>
              <w:adjustRightInd w:val="0"/>
            </w:pPr>
            <w:r>
              <w:rPr>
                <w:rFonts w:ascii="Times New Roman" w:eastAsiaTheme="minorHAnsi" w:hAnsi="Times New Roman"/>
                <w:sz w:val="24"/>
                <w:szCs w:val="24"/>
                <w:lang w:eastAsia="en-US"/>
              </w:rPr>
              <w:t xml:space="preserve">Проект договора (соглашения) о предоставлении субсидии муниципальному бюджетному или автономному учреждению </w:t>
            </w:r>
          </w:p>
        </w:tc>
        <w:tc>
          <w:tcPr>
            <w:tcW w:w="5244" w:type="dxa"/>
          </w:tcPr>
          <w:p>
            <w:pPr>
              <w:pStyle w:val="ConsPlusNormal"/>
              <w:jc w:val="both"/>
            </w:pPr>
            <w:r>
              <w:rPr>
                <w:rFonts w:eastAsiaTheme="minorHAnsi"/>
                <w:szCs w:val="24"/>
                <w:lang w:eastAsia="en-US"/>
              </w:rPr>
              <w:t>Формирование денежного обязательства не предусматривается</w:t>
            </w:r>
          </w:p>
        </w:tc>
      </w:tr>
      <w:tr>
        <w:tc>
          <w:tcPr>
            <w:tcW w:w="562" w:type="dxa"/>
          </w:tcPr>
          <w:p>
            <w:pPr>
              <w:pStyle w:val="ConsPlusNormal"/>
              <w:jc w:val="center"/>
            </w:pPr>
            <w:r>
              <w:t>3.4</w:t>
            </w:r>
          </w:p>
        </w:tc>
        <w:tc>
          <w:tcPr>
            <w:tcW w:w="3828" w:type="dxa"/>
          </w:tcPr>
          <w:p>
            <w:pPr>
              <w:autoSpaceDE w:val="0"/>
              <w:autoSpaceDN w:val="0"/>
              <w:adjustRightInd w:val="0"/>
              <w:rPr>
                <w:rFonts w:ascii="Times New Roman" w:eastAsiaTheme="minorHAnsi" w:hAnsi="Times New Roman"/>
                <w:sz w:val="24"/>
                <w:szCs w:val="24"/>
                <w:lang w:eastAsia="en-US"/>
              </w:rPr>
            </w:pPr>
            <w:r>
              <w:rPr>
                <w:rFonts w:ascii="Times New Roman" w:eastAsiaTheme="minorHAnsi" w:hAnsi="Times New Roman"/>
                <w:sz w:val="24"/>
                <w:szCs w:val="24"/>
                <w:lang w:eastAsia="en-US"/>
              </w:rPr>
              <w:t>Проект договора (соглашения)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w:t>
            </w:r>
          </w:p>
        </w:tc>
        <w:tc>
          <w:tcPr>
            <w:tcW w:w="5244" w:type="dxa"/>
          </w:tcPr>
          <w:p>
            <w:pPr>
              <w:pStyle w:val="ConsPlusNormal"/>
              <w:jc w:val="both"/>
              <w:rPr>
                <w:rFonts w:eastAsiaTheme="minorHAnsi"/>
                <w:szCs w:val="24"/>
                <w:lang w:eastAsia="en-US"/>
              </w:rPr>
            </w:pPr>
            <w:r>
              <w:rPr>
                <w:rFonts w:eastAsiaTheme="minorHAnsi"/>
                <w:szCs w:val="24"/>
                <w:lang w:eastAsia="en-US"/>
              </w:rPr>
              <w:t>Формирование денежного обязательства не предусматривается</w:t>
            </w:r>
          </w:p>
        </w:tc>
      </w:tr>
      <w:tr>
        <w:tc>
          <w:tcPr>
            <w:tcW w:w="562" w:type="dxa"/>
            <w:vMerge w:val="restart"/>
          </w:tcPr>
          <w:p>
            <w:pPr>
              <w:pStyle w:val="ConsPlusNormal"/>
              <w:jc w:val="center"/>
            </w:pPr>
            <w:bookmarkStart w:id="56" w:name="P689"/>
            <w:bookmarkEnd w:id="56"/>
            <w:r>
              <w:t>4.</w:t>
            </w:r>
          </w:p>
        </w:tc>
        <w:tc>
          <w:tcPr>
            <w:tcW w:w="3828" w:type="dxa"/>
            <w:vMerge w:val="restart"/>
          </w:tcPr>
          <w:p>
            <w:pPr>
              <w:pStyle w:val="ConsPlusNormal"/>
            </w:pPr>
            <w:bookmarkStart w:id="57" w:name="P690"/>
            <w:bookmarkEnd w:id="57"/>
            <w:r>
              <w:t>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реестр контрактов</w:t>
            </w:r>
          </w:p>
        </w:tc>
        <w:tc>
          <w:tcPr>
            <w:tcW w:w="5244" w:type="dxa"/>
          </w:tcPr>
          <w:p>
            <w:pPr>
              <w:pStyle w:val="ConsPlusNormal"/>
              <w:jc w:val="both"/>
            </w:pPr>
            <w: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(договора)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Документ о приемке поставленных товаров, выполненных работ (их результатов, в том числе этапов), оказанных услуг</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Счет</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Счет-фактура</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Иной документ, подтверждающий возникновение денежного обязательства получателя средств бюджета ЗАТО Северск (далее - иной документ, подтверждающий возникновение денежного обязательства) по бюджетному обязательству получателя средств бюджета ЗАТО Северск, возникшему на основании муниципального контракта.</w:t>
            </w:r>
          </w:p>
        </w:tc>
      </w:tr>
      <w:tr>
        <w:tc>
          <w:tcPr>
            <w:tcW w:w="562" w:type="dxa"/>
            <w:vMerge w:val="restart"/>
          </w:tcPr>
          <w:p>
            <w:pPr>
              <w:pStyle w:val="ConsPlusNormal"/>
              <w:jc w:val="center"/>
            </w:pPr>
            <w:r>
              <w:t>5.</w:t>
            </w:r>
          </w:p>
        </w:tc>
        <w:tc>
          <w:tcPr>
            <w:tcW w:w="3828" w:type="dxa"/>
            <w:vMerge w:val="restart"/>
          </w:tcPr>
          <w:p>
            <w:pPr>
              <w:pStyle w:val="ConsPlusNormal"/>
            </w:pPr>
            <w:bookmarkStart w:id="58" w:name="P698"/>
            <w:bookmarkEnd w:id="58"/>
            <w: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(далее - договор), за исключением договоров, указанных в </w:t>
            </w:r>
            <w:hyperlink w:anchor="P800">
              <w:r>
                <w:t>12 пункте</w:t>
              </w:r>
            </w:hyperlink>
            <w:r>
              <w:t xml:space="preserve"> настоящего перечня</w:t>
            </w:r>
          </w:p>
        </w:tc>
        <w:tc>
          <w:tcPr>
            <w:tcW w:w="5244" w:type="dxa"/>
          </w:tcPr>
          <w:p>
            <w:pPr>
              <w:pStyle w:val="ConsPlusNormal"/>
              <w:jc w:val="both"/>
            </w:pPr>
            <w:r>
              <w:t>Акт выполненных работ</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Акт об оказании услуг</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Акт приема-передачи</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Договор (в случае осуществления авансовых платежей в соответствии с условиями договора, внесения арендной платы по договору)</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Справка-расчет или иной документ, являющийся основанием для оплаты неустойки</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Счет</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Счет-фактура</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 xml:space="preserve">Товарная накладная (унифицированная </w:t>
            </w:r>
            <w:hyperlink r:id="rId60">
              <w:r>
                <w:t>форма № ТОРГ-12</w:t>
              </w:r>
            </w:hyperlink>
            <w:r>
              <w:t>) (ф. 0330212)</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Универсальный передаточный документ</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Чек</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Иной документ, подтверждающий возникновение денежного обязательства по бюджетному обязательству получателя средств бюджета ЗАТО Северск, возникшему на основании договора</w:t>
            </w:r>
          </w:p>
        </w:tc>
      </w:tr>
      <w:tr>
        <w:tc>
          <w:tcPr>
            <w:tcW w:w="562" w:type="dxa"/>
            <w:vMerge w:val="restart"/>
          </w:tcPr>
          <w:p>
            <w:pPr>
              <w:pStyle w:val="ConsPlusNormal"/>
              <w:jc w:val="center"/>
            </w:pPr>
            <w:bookmarkStart w:id="59" w:name="P710"/>
            <w:bookmarkStart w:id="60" w:name="P730"/>
            <w:bookmarkEnd w:id="59"/>
            <w:bookmarkEnd w:id="60"/>
            <w:r>
              <w:t>6.</w:t>
            </w:r>
          </w:p>
        </w:tc>
        <w:tc>
          <w:tcPr>
            <w:tcW w:w="3828" w:type="dxa"/>
            <w:vMerge w:val="restart"/>
          </w:tcPr>
          <w:p>
            <w:pPr>
              <w:pStyle w:val="ConsPlusNormal"/>
            </w:pPr>
            <w:bookmarkStart w:id="61" w:name="P731"/>
            <w:bookmarkEnd w:id="61"/>
            <w:r>
              <w:t>Договор (соглашение) о предоставлении субсидии муниципальному бюджетному или автономному учреждению, сведения о котором подлежат либо не подлежат включению в реестр соглашений (далее - Соглашение о предоставлении субсидии муниципальному бюджетному или автономному учреждению)</w:t>
            </w:r>
          </w:p>
        </w:tc>
        <w:tc>
          <w:tcPr>
            <w:tcW w:w="5244" w:type="dxa"/>
          </w:tcPr>
          <w:p>
            <w:pPr>
              <w:pStyle w:val="ConsPlusNormal"/>
              <w:jc w:val="both"/>
            </w:pPr>
            <w:r>
              <w:t>График перечисления субсидии, предусмотренный договором (соглашением) о предоставлении субсидии муниципальному бюджетному или автономному учреждению</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 xml:space="preserve">Предварительный отчет о выполнении муниципального задания </w:t>
            </w:r>
            <w:hyperlink r:id="rId61">
              <w:r>
                <w:t>(ф. 0506501)</w:t>
              </w:r>
            </w:hyperlink>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 xml:space="preserve">Казначейское обеспечение обязательств (код </w:t>
            </w:r>
            <w:hyperlink r:id="rId62">
              <w:r>
                <w:t>формы</w:t>
              </w:r>
            </w:hyperlink>
            <w:r>
              <w:t xml:space="preserve"> по ОКУД 0506110)</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Иной документ, подтверждающий возникновение денежного обязательства по бюджетному обязательству получателя средств бюджета ЗАТО Северск, возникшему на основании договора (соглашения) о предоставлении субсидии муниципальному бюджетному или автономному учреждению</w:t>
            </w:r>
          </w:p>
        </w:tc>
      </w:tr>
      <w:tr>
        <w:tc>
          <w:tcPr>
            <w:tcW w:w="562" w:type="dxa"/>
          </w:tcPr>
          <w:p>
            <w:pPr>
              <w:pStyle w:val="ConsPlusNormal"/>
            </w:pPr>
            <w:r>
              <w:t>6.1</w:t>
            </w:r>
          </w:p>
        </w:tc>
        <w:tc>
          <w:tcPr>
            <w:tcW w:w="3828" w:type="dxa"/>
          </w:tcPr>
          <w:p>
            <w:pPr>
              <w:pStyle w:val="ConsPlusNormal"/>
            </w:pPr>
            <w:r>
              <w:t xml:space="preserve">Проект дополнительного соглашения к Соглашению о предоставлении субсидии </w:t>
            </w:r>
            <w:r>
              <w:rPr>
                <w:rFonts w:eastAsiaTheme="minorHAnsi"/>
                <w:szCs w:val="24"/>
                <w:lang w:eastAsia="en-US"/>
              </w:rPr>
              <w:t>муниципальному</w:t>
            </w:r>
            <w:r>
              <w:t xml:space="preserve"> бюджетному или автономному учреждению (</w:t>
            </w:r>
            <w:hyperlink r:id="rId63">
              <w:r>
                <w:t>применяется</w:t>
              </w:r>
            </w:hyperlink>
            <w:r>
              <w:t xml:space="preserve"> при </w:t>
            </w:r>
            <w:proofErr w:type="gramStart"/>
            <w:r>
              <w:t>исполнении  бюджета</w:t>
            </w:r>
            <w:proofErr w:type="gramEnd"/>
            <w:r>
              <w:t>, начиная с бюджета на 2026 г.)</w:t>
            </w:r>
          </w:p>
          <w:p>
            <w:pPr>
              <w:pStyle w:val="ConsPlusNormal"/>
            </w:pPr>
          </w:p>
        </w:tc>
        <w:tc>
          <w:tcPr>
            <w:tcW w:w="5244" w:type="dxa"/>
          </w:tcPr>
          <w:p>
            <w:pPr>
              <w:autoSpaceDE w:val="0"/>
              <w:autoSpaceDN w:val="0"/>
              <w:adjustRightInd w:val="0"/>
              <w:rPr>
                <w:rFonts w:ascii="Times New Roman" w:eastAsiaTheme="minorHAnsi" w:hAnsi="Times New Roman"/>
                <w:sz w:val="24"/>
                <w:szCs w:val="24"/>
                <w:lang w:eastAsia="en-US"/>
              </w:rPr>
            </w:pPr>
            <w:r>
              <w:rPr>
                <w:rFonts w:ascii="Times New Roman" w:eastAsiaTheme="minorHAnsi" w:hAnsi="Times New Roman"/>
                <w:sz w:val="24"/>
                <w:szCs w:val="24"/>
                <w:lang w:eastAsia="en-US"/>
              </w:rPr>
              <w:t>Формирование денежного обязательства не предусматривается</w:t>
            </w:r>
          </w:p>
          <w:p>
            <w:pPr>
              <w:pStyle w:val="ConsPlusNormal"/>
              <w:jc w:val="both"/>
            </w:pPr>
          </w:p>
        </w:tc>
      </w:tr>
      <w:tr>
        <w:tc>
          <w:tcPr>
            <w:tcW w:w="562" w:type="dxa"/>
            <w:vMerge w:val="restart"/>
          </w:tcPr>
          <w:p>
            <w:pPr>
              <w:pStyle w:val="ConsPlusNormal"/>
              <w:jc w:val="center"/>
            </w:pPr>
            <w:bookmarkStart w:id="62" w:name="P743"/>
            <w:bookmarkEnd w:id="62"/>
            <w:r>
              <w:t>7.</w:t>
            </w:r>
          </w:p>
        </w:tc>
        <w:tc>
          <w:tcPr>
            <w:tcW w:w="3828" w:type="dxa"/>
            <w:vMerge w:val="restart"/>
          </w:tcPr>
          <w:p>
            <w:pPr>
              <w:pStyle w:val="ConsPlusNormal"/>
            </w:pPr>
            <w:bookmarkStart w:id="63" w:name="P744"/>
            <w:bookmarkEnd w:id="63"/>
            <w: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(далее - Соглашение о предоставлении субсидии юридическому лицу)</w:t>
            </w:r>
          </w:p>
        </w:tc>
        <w:tc>
          <w:tcPr>
            <w:tcW w:w="5244" w:type="dxa"/>
          </w:tcPr>
          <w:p>
            <w:pPr>
              <w:pStyle w:val="ConsPlusNormal"/>
              <w:jc w:val="both"/>
            </w:pPr>
            <w:r>
              <w:t>Акт выполненных работ</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Акт об оказании услуг</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Акт приема-передачи</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Справка-расчет или иной документ, являющийся основанием для оплаты неустойки</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Счет</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Счет-фактура</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 xml:space="preserve">Товарная накладная (унифицированная </w:t>
            </w:r>
            <w:hyperlink r:id="rId64">
              <w:r>
                <w:t>форма № ТОРГ-12</w:t>
              </w:r>
            </w:hyperlink>
            <w:r>
              <w:t>) (ф. 0330212)</w:t>
            </w:r>
          </w:p>
        </w:tc>
      </w:tr>
      <w:tr>
        <w:trPr>
          <w:trHeight w:val="230"/>
        </w:trP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Чек</w:t>
            </w:r>
          </w:p>
        </w:tc>
      </w:tr>
      <w:tr>
        <w:trPr>
          <w:trHeight w:val="4986"/>
        </w:trP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В случае предоставления субсидии юридическому лицу на возмещение фактически произведенных расходов (недополученных доходов):</w:t>
            </w:r>
          </w:p>
          <w:p>
            <w:pPr>
              <w:pStyle w:val="ConsPlusNormal"/>
              <w:ind w:firstLine="283"/>
              <w:jc w:val="both"/>
            </w:pPr>
            <w: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pPr>
              <w:pStyle w:val="ConsPlusNormal"/>
              <w:ind w:firstLine="283"/>
              <w:jc w:val="both"/>
            </w:pPr>
            <w: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pPr>
              <w:pStyle w:val="ConsPlusNormal"/>
              <w:ind w:firstLine="283"/>
              <w:jc w:val="both"/>
            </w:pPr>
            <w: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 xml:space="preserve">Казначейское обеспечение обязательств (код </w:t>
            </w:r>
            <w:hyperlink r:id="rId65">
              <w:r>
                <w:t>формы</w:t>
              </w:r>
            </w:hyperlink>
            <w:r>
              <w:t xml:space="preserve"> по ОКУД 0506110)</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Иной документ, подтверждающий возникновение денежного обязательства по бюджетному обязательству получателя средств бюджета ЗАТО Северск, возникшему на основании договора (соглашения) о предоставлении субсидии и бюджетных инвестиций юридическому лицу</w:t>
            </w:r>
          </w:p>
        </w:tc>
      </w:tr>
      <w:tr>
        <w:tc>
          <w:tcPr>
            <w:tcW w:w="562" w:type="dxa"/>
          </w:tcPr>
          <w:p>
            <w:pPr>
              <w:pStyle w:val="ConsPlusNormal"/>
            </w:pPr>
            <w:r>
              <w:t>7.1</w:t>
            </w:r>
          </w:p>
        </w:tc>
        <w:tc>
          <w:tcPr>
            <w:tcW w:w="3828" w:type="dxa"/>
          </w:tcPr>
          <w:p>
            <w:pPr>
              <w:autoSpaceDE w:val="0"/>
              <w:autoSpaceDN w:val="0"/>
              <w:adjustRightInd w:val="0"/>
            </w:pPr>
            <w:r>
              <w:rPr>
                <w:rFonts w:ascii="Times New Roman" w:eastAsiaTheme="minorHAnsi" w:hAnsi="Times New Roman"/>
                <w:sz w:val="24"/>
                <w:szCs w:val="24"/>
                <w:lang w:eastAsia="en-US"/>
              </w:rPr>
              <w:t xml:space="preserve">Проект дополнительного соглашения к Соглашению о предоставлении субсидии юридическому лицу </w:t>
            </w:r>
            <w:r>
              <w:rPr>
                <w:sz w:val="24"/>
                <w:szCs w:val="24"/>
              </w:rPr>
              <w:t>(</w:t>
            </w:r>
            <w:hyperlink r:id="rId66">
              <w:r>
                <w:rPr>
                  <w:sz w:val="24"/>
                  <w:szCs w:val="24"/>
                </w:rPr>
                <w:t>применяется</w:t>
              </w:r>
            </w:hyperlink>
            <w:r>
              <w:rPr>
                <w:sz w:val="24"/>
                <w:szCs w:val="24"/>
              </w:rPr>
              <w:t xml:space="preserve"> при исполнении бюджета, начиная с бюджета на 2026 г.)</w:t>
            </w:r>
          </w:p>
        </w:tc>
        <w:tc>
          <w:tcPr>
            <w:tcW w:w="5244" w:type="dxa"/>
          </w:tcPr>
          <w:p>
            <w:pPr>
              <w:autoSpaceDE w:val="0"/>
              <w:autoSpaceDN w:val="0"/>
              <w:adjustRightInd w:val="0"/>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Формирование денежного обязательства не предусматривается</w:t>
            </w:r>
          </w:p>
          <w:p>
            <w:pPr>
              <w:pStyle w:val="ConsPlusNormal"/>
              <w:jc w:val="both"/>
            </w:pPr>
          </w:p>
        </w:tc>
      </w:tr>
      <w:tr>
        <w:tc>
          <w:tcPr>
            <w:tcW w:w="562" w:type="dxa"/>
            <w:vMerge w:val="restart"/>
          </w:tcPr>
          <w:p>
            <w:pPr>
              <w:pStyle w:val="ConsPlusNormal"/>
              <w:jc w:val="center"/>
            </w:pPr>
            <w:r>
              <w:t>8.</w:t>
            </w:r>
          </w:p>
        </w:tc>
        <w:tc>
          <w:tcPr>
            <w:tcW w:w="3828" w:type="dxa"/>
            <w:vMerge w:val="restart"/>
          </w:tcPr>
          <w:p>
            <w:pPr>
              <w:pStyle w:val="ConsPlusNormal"/>
            </w:pPr>
            <w:bookmarkStart w:id="64" w:name="P772"/>
            <w:bookmarkEnd w:id="64"/>
            <w:r>
              <w:t xml:space="preserve">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(правовой акт наиболее значимого учреждения образования, культуры указанного в ведомственной структуре расходов бюджета </w:t>
            </w:r>
            <w:hyperlink w:anchor="P831"/>
            <w:r>
              <w:t xml:space="preserve">, нормативный правовой акт и принимаемые в соответствии с ним решения органов муниципальной власти и иных организаций, осуществляющих в соответствии с Бюджетным </w:t>
            </w:r>
            <w:hyperlink r:id="rId67">
              <w:r>
                <w:t>кодексом</w:t>
              </w:r>
            </w:hyperlink>
            <w:r>
              <w:t xml:space="preserve"> Российской Федерации полномочия главного распорядителя средств бюджета (далее - нормативный правовой акт о предоставлении субсидии юридическому лицу), сведения о котором подлежат либо не подлежат включению в реестр соглашений</w:t>
            </w:r>
          </w:p>
        </w:tc>
        <w:tc>
          <w:tcPr>
            <w:tcW w:w="5244" w:type="dxa"/>
          </w:tcPr>
          <w:p>
            <w:pPr>
              <w:pStyle w:val="ConsPlusNormal"/>
              <w:jc w:val="both"/>
            </w:pPr>
            <w:r>
              <w:t>Распоряжение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В случае предоставления субсидии юридическому лицу на возмещение фактически произведенных расходов (недополученных доходов):</w:t>
            </w:r>
          </w:p>
          <w:p>
            <w:pPr>
              <w:pStyle w:val="ConsPlusNormal"/>
              <w:ind w:firstLine="283"/>
              <w:jc w:val="both"/>
            </w:pPr>
            <w: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pPr>
              <w:pStyle w:val="ConsPlusNormal"/>
              <w:ind w:firstLine="283"/>
              <w:jc w:val="both"/>
            </w:pPr>
            <w: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pPr>
              <w:pStyle w:val="ConsPlusNormal"/>
              <w:jc w:val="both"/>
            </w:pPr>
            <w:r>
              <w:t>Заявка на перечисление субсидии юридическому лицу (при наличии)</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 xml:space="preserve">Казначейское обеспечение обязательств (код </w:t>
            </w:r>
            <w:hyperlink r:id="rId68">
              <w:r>
                <w:t>формы</w:t>
              </w:r>
            </w:hyperlink>
            <w:r>
              <w:t xml:space="preserve"> по ОКУД 0506110)</w:t>
            </w:r>
          </w:p>
        </w:tc>
      </w:tr>
      <w:tr>
        <w:tc>
          <w:tcPr>
            <w:tcW w:w="562" w:type="dxa"/>
            <w:vMerge/>
            <w:tcBorders>
              <w:bottom w:val="single" w:sz="4" w:space="0" w:color="auto"/>
            </w:tcBorders>
          </w:tcPr>
          <w:p>
            <w:pPr>
              <w:pStyle w:val="ConsPlusNormal"/>
            </w:pPr>
          </w:p>
        </w:tc>
        <w:tc>
          <w:tcPr>
            <w:tcW w:w="3828" w:type="dxa"/>
            <w:vMerge/>
            <w:tcBorders>
              <w:bottom w:val="single" w:sz="4" w:space="0" w:color="auto"/>
            </w:tcBorders>
          </w:tcPr>
          <w:p>
            <w:pPr>
              <w:pStyle w:val="ConsPlusNormal"/>
            </w:pPr>
          </w:p>
        </w:tc>
        <w:tc>
          <w:tcPr>
            <w:tcW w:w="5244" w:type="dxa"/>
            <w:tcBorders>
              <w:bottom w:val="single" w:sz="4" w:space="0" w:color="auto"/>
            </w:tcBorders>
          </w:tcPr>
          <w:p>
            <w:pPr>
              <w:pStyle w:val="ConsPlusNormal"/>
              <w:jc w:val="both"/>
            </w:pPr>
            <w:r>
              <w:t>Иной документ, подтверждающий возникновение денежного обязательства по бюджетному обязательству получателя средств бюджета ЗАТО Северск, возникшему на основании нормативного правового акта о предоставлении субсидии юридическому лицу</w:t>
            </w:r>
          </w:p>
        </w:tc>
      </w:tr>
      <w:tr>
        <w:tc>
          <w:tcPr>
            <w:tcW w:w="562" w:type="dxa"/>
            <w:vMerge w:val="restart"/>
            <w:tcBorders>
              <w:top w:val="single" w:sz="4" w:space="0" w:color="auto"/>
              <w:left w:val="single" w:sz="4" w:space="0" w:color="auto"/>
              <w:bottom w:val="single" w:sz="4" w:space="0" w:color="auto"/>
              <w:right w:val="single" w:sz="4" w:space="0" w:color="auto"/>
            </w:tcBorders>
          </w:tcPr>
          <w:p>
            <w:pPr>
              <w:pStyle w:val="ConsPlusNormal"/>
              <w:jc w:val="center"/>
            </w:pPr>
            <w:r>
              <w:t>9.</w:t>
            </w:r>
          </w:p>
        </w:tc>
        <w:tc>
          <w:tcPr>
            <w:tcW w:w="3828" w:type="dxa"/>
            <w:vMerge w:val="restart"/>
            <w:tcBorders>
              <w:top w:val="single" w:sz="4" w:space="0" w:color="auto"/>
              <w:left w:val="single" w:sz="4" w:space="0" w:color="auto"/>
              <w:bottom w:val="single" w:sz="4" w:space="0" w:color="auto"/>
              <w:right w:val="single" w:sz="4" w:space="0" w:color="auto"/>
            </w:tcBorders>
          </w:tcPr>
          <w:p>
            <w:pPr>
              <w:pStyle w:val="ConsPlusNormal"/>
            </w:pPr>
            <w:bookmarkStart w:id="65" w:name="P782"/>
            <w:bookmarkEnd w:id="65"/>
            <w: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5244" w:type="dxa"/>
            <w:tcBorders>
              <w:top w:val="single" w:sz="4" w:space="0" w:color="auto"/>
              <w:left w:val="single" w:sz="4" w:space="0" w:color="auto"/>
              <w:bottom w:val="single" w:sz="4" w:space="0" w:color="auto"/>
              <w:right w:val="single" w:sz="4" w:space="0" w:color="auto"/>
            </w:tcBorders>
          </w:tcPr>
          <w:p>
            <w:pPr>
              <w:pStyle w:val="ConsPlusNormal"/>
              <w:jc w:val="both"/>
            </w:pPr>
            <w:r>
              <w:t xml:space="preserve">Записка-расчет об исчислении среднего заработка при предоставлении отпуска, увольнении и других случаях </w:t>
            </w:r>
            <w:hyperlink r:id="rId69">
              <w:r>
                <w:t>(ф. 0504425)</w:t>
              </w:r>
            </w:hyperlink>
          </w:p>
        </w:tc>
      </w:tr>
      <w:tr>
        <w:tc>
          <w:tcPr>
            <w:tcW w:w="562" w:type="dxa"/>
            <w:vMerge/>
            <w:tcBorders>
              <w:top w:val="single" w:sz="4" w:space="0" w:color="auto"/>
              <w:left w:val="single" w:sz="4" w:space="0" w:color="auto"/>
              <w:bottom w:val="single" w:sz="4" w:space="0" w:color="auto"/>
              <w:right w:val="single" w:sz="4" w:space="0" w:color="auto"/>
            </w:tcBorders>
          </w:tcPr>
          <w:p>
            <w:pPr>
              <w:pStyle w:val="ConsPlusNormal"/>
            </w:pPr>
          </w:p>
        </w:tc>
        <w:tc>
          <w:tcPr>
            <w:tcW w:w="3828" w:type="dxa"/>
            <w:vMerge/>
            <w:tcBorders>
              <w:top w:val="single" w:sz="4" w:space="0" w:color="auto"/>
              <w:left w:val="single" w:sz="4" w:space="0" w:color="auto"/>
              <w:bottom w:val="single" w:sz="4" w:space="0" w:color="auto"/>
              <w:right w:val="single" w:sz="4" w:space="0" w:color="auto"/>
            </w:tcBorders>
          </w:tcPr>
          <w:p>
            <w:pPr>
              <w:pStyle w:val="ConsPlusNormal"/>
            </w:pPr>
          </w:p>
        </w:tc>
        <w:tc>
          <w:tcPr>
            <w:tcW w:w="5244" w:type="dxa"/>
            <w:tcBorders>
              <w:top w:val="single" w:sz="4" w:space="0" w:color="auto"/>
              <w:left w:val="single" w:sz="4" w:space="0" w:color="auto"/>
              <w:bottom w:val="single" w:sz="4" w:space="0" w:color="auto"/>
              <w:right w:val="single" w:sz="4" w:space="0" w:color="auto"/>
            </w:tcBorders>
          </w:tcPr>
          <w:p>
            <w:pPr>
              <w:pStyle w:val="ConsPlusNormal"/>
              <w:jc w:val="both"/>
            </w:pPr>
            <w:r>
              <w:t xml:space="preserve">Расчетно-платежная ведомость </w:t>
            </w:r>
            <w:hyperlink r:id="rId70">
              <w:r>
                <w:t>(ф. 0504401)</w:t>
              </w:r>
            </w:hyperlink>
          </w:p>
        </w:tc>
      </w:tr>
      <w:tr>
        <w:tc>
          <w:tcPr>
            <w:tcW w:w="562" w:type="dxa"/>
            <w:vMerge/>
            <w:tcBorders>
              <w:top w:val="single" w:sz="4" w:space="0" w:color="auto"/>
              <w:left w:val="single" w:sz="4" w:space="0" w:color="auto"/>
              <w:bottom w:val="single" w:sz="4" w:space="0" w:color="auto"/>
              <w:right w:val="single" w:sz="4" w:space="0" w:color="auto"/>
            </w:tcBorders>
          </w:tcPr>
          <w:p>
            <w:pPr>
              <w:pStyle w:val="ConsPlusNormal"/>
            </w:pPr>
          </w:p>
        </w:tc>
        <w:tc>
          <w:tcPr>
            <w:tcW w:w="3828" w:type="dxa"/>
            <w:vMerge/>
            <w:tcBorders>
              <w:top w:val="single" w:sz="4" w:space="0" w:color="auto"/>
              <w:left w:val="single" w:sz="4" w:space="0" w:color="auto"/>
              <w:bottom w:val="single" w:sz="4" w:space="0" w:color="auto"/>
              <w:right w:val="single" w:sz="4" w:space="0" w:color="auto"/>
            </w:tcBorders>
          </w:tcPr>
          <w:p>
            <w:pPr>
              <w:pStyle w:val="ConsPlusNormal"/>
            </w:pPr>
          </w:p>
        </w:tc>
        <w:tc>
          <w:tcPr>
            <w:tcW w:w="5244" w:type="dxa"/>
            <w:tcBorders>
              <w:top w:val="single" w:sz="4" w:space="0" w:color="auto"/>
              <w:left w:val="single" w:sz="4" w:space="0" w:color="auto"/>
              <w:bottom w:val="single" w:sz="4" w:space="0" w:color="auto"/>
              <w:right w:val="single" w:sz="4" w:space="0" w:color="auto"/>
            </w:tcBorders>
          </w:tcPr>
          <w:p>
            <w:pPr>
              <w:pStyle w:val="ConsPlusNormal"/>
              <w:jc w:val="both"/>
            </w:pPr>
            <w:r>
              <w:t xml:space="preserve">Расчетная ведомость </w:t>
            </w:r>
            <w:hyperlink r:id="rId71">
              <w:r>
                <w:t>(ф. 0504402)</w:t>
              </w:r>
            </w:hyperlink>
          </w:p>
        </w:tc>
      </w:tr>
      <w:tr>
        <w:tc>
          <w:tcPr>
            <w:tcW w:w="562" w:type="dxa"/>
            <w:vMerge/>
            <w:tcBorders>
              <w:top w:val="single" w:sz="4" w:space="0" w:color="auto"/>
              <w:left w:val="single" w:sz="4" w:space="0" w:color="auto"/>
              <w:bottom w:val="single" w:sz="4" w:space="0" w:color="auto"/>
              <w:right w:val="single" w:sz="4" w:space="0" w:color="auto"/>
            </w:tcBorders>
          </w:tcPr>
          <w:p>
            <w:pPr>
              <w:pStyle w:val="ConsPlusNormal"/>
            </w:pPr>
          </w:p>
        </w:tc>
        <w:tc>
          <w:tcPr>
            <w:tcW w:w="3828" w:type="dxa"/>
            <w:vMerge/>
            <w:tcBorders>
              <w:top w:val="single" w:sz="4" w:space="0" w:color="auto"/>
              <w:left w:val="single" w:sz="4" w:space="0" w:color="auto"/>
              <w:bottom w:val="single" w:sz="4" w:space="0" w:color="auto"/>
              <w:right w:val="single" w:sz="4" w:space="0" w:color="auto"/>
            </w:tcBorders>
          </w:tcPr>
          <w:p>
            <w:pPr>
              <w:pStyle w:val="ConsPlusNormal"/>
            </w:pPr>
          </w:p>
        </w:tc>
        <w:tc>
          <w:tcPr>
            <w:tcW w:w="5244" w:type="dxa"/>
            <w:tcBorders>
              <w:top w:val="single" w:sz="4" w:space="0" w:color="auto"/>
              <w:left w:val="single" w:sz="4" w:space="0" w:color="auto"/>
              <w:bottom w:val="single" w:sz="4" w:space="0" w:color="auto"/>
              <w:right w:val="single" w:sz="4" w:space="0" w:color="auto"/>
            </w:tcBorders>
          </w:tcPr>
          <w:p>
            <w:pPr>
              <w:pStyle w:val="ConsPlusNormal"/>
              <w:jc w:val="both"/>
            </w:pPr>
            <w:r>
              <w:t>Иной документ, подтверждающий возникновение денежного обязательства по бюджетному обязательству получателя средств бюджета ЗАТО Северск,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Российской Федерации</w:t>
            </w:r>
          </w:p>
        </w:tc>
      </w:tr>
      <w:tr>
        <w:tc>
          <w:tcPr>
            <w:tcW w:w="562" w:type="dxa"/>
            <w:vMerge w:val="restart"/>
            <w:tcBorders>
              <w:top w:val="single" w:sz="4" w:space="0" w:color="auto"/>
            </w:tcBorders>
          </w:tcPr>
          <w:p>
            <w:pPr>
              <w:pStyle w:val="ConsPlusNormal"/>
              <w:jc w:val="center"/>
            </w:pPr>
            <w:r>
              <w:t>10.</w:t>
            </w:r>
          </w:p>
        </w:tc>
        <w:tc>
          <w:tcPr>
            <w:tcW w:w="3828" w:type="dxa"/>
            <w:vMerge w:val="restart"/>
            <w:tcBorders>
              <w:top w:val="single" w:sz="4" w:space="0" w:color="auto"/>
            </w:tcBorders>
          </w:tcPr>
          <w:p>
            <w:pPr>
              <w:pStyle w:val="ConsPlusNormal"/>
            </w:pPr>
            <w:bookmarkStart w:id="66" w:name="P788"/>
            <w:bookmarkEnd w:id="66"/>
            <w:r>
              <w:t>Исполнительный документ (исполнительный лист, судебный приказ) (далее - исполнительный документ)</w:t>
            </w:r>
          </w:p>
        </w:tc>
        <w:tc>
          <w:tcPr>
            <w:tcW w:w="5244" w:type="dxa"/>
            <w:tcBorders>
              <w:top w:val="single" w:sz="4" w:space="0" w:color="auto"/>
            </w:tcBorders>
          </w:tcPr>
          <w:p>
            <w:pPr>
              <w:pStyle w:val="ConsPlusNormal"/>
              <w:jc w:val="both"/>
            </w:pPr>
            <w:r>
              <w:t xml:space="preserve">Бухгалтерская справка </w:t>
            </w:r>
            <w:hyperlink r:id="rId72">
              <w:r>
                <w:t>(ф. 0504833)</w:t>
              </w:r>
            </w:hyperlink>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График выплат по исполнительному документу, предусматривающему выплаты периодического характера</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Исполнительный документ</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Справка-расчет</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Иной документ, подтверждающий возникновение денежного обязательства по бюджетному обязательству получателя средств бюджета ЗАТО Северск, возникшему на основании исполнительного документа</w:t>
            </w:r>
          </w:p>
        </w:tc>
      </w:tr>
      <w:tr>
        <w:tc>
          <w:tcPr>
            <w:tcW w:w="562" w:type="dxa"/>
            <w:vMerge w:val="restart"/>
          </w:tcPr>
          <w:p>
            <w:pPr>
              <w:pStyle w:val="ConsPlusNormal"/>
              <w:jc w:val="center"/>
            </w:pPr>
            <w:bookmarkStart w:id="67" w:name="P794"/>
            <w:bookmarkEnd w:id="67"/>
            <w:r>
              <w:t>11.</w:t>
            </w:r>
          </w:p>
        </w:tc>
        <w:tc>
          <w:tcPr>
            <w:tcW w:w="3828" w:type="dxa"/>
            <w:vMerge w:val="restart"/>
          </w:tcPr>
          <w:p>
            <w:pPr>
              <w:pStyle w:val="ConsPlusNormal"/>
            </w:pPr>
            <w:bookmarkStart w:id="68" w:name="P795"/>
            <w:bookmarkEnd w:id="68"/>
            <w:r>
              <w:t>Решение налогового органа о взыскании налога, сбора, пеней и штрафов (далее - решение налогового органа)</w:t>
            </w:r>
          </w:p>
        </w:tc>
        <w:tc>
          <w:tcPr>
            <w:tcW w:w="5244" w:type="dxa"/>
          </w:tcPr>
          <w:p>
            <w:pPr>
              <w:pStyle w:val="ConsPlusNormal"/>
              <w:jc w:val="both"/>
            </w:pPr>
            <w:r>
              <w:t xml:space="preserve">Бухгалтерская справка </w:t>
            </w:r>
            <w:hyperlink r:id="rId73">
              <w:r>
                <w:t>(ф. 0504833)</w:t>
              </w:r>
            </w:hyperlink>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Решение налогового органа</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Справка-расчет</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Иной документ, подтверждающий возникновение денежного обязательства по бюджетному обязательству получателя средств бюджета ЗАТО Северск, возникшему на основании решения налогового органа</w:t>
            </w:r>
          </w:p>
        </w:tc>
      </w:tr>
      <w:tr>
        <w:tc>
          <w:tcPr>
            <w:tcW w:w="562" w:type="dxa"/>
            <w:vMerge w:val="restart"/>
          </w:tcPr>
          <w:p>
            <w:pPr>
              <w:pStyle w:val="ConsPlusNormal"/>
              <w:jc w:val="center"/>
            </w:pPr>
            <w:bookmarkStart w:id="69" w:name="P800"/>
            <w:bookmarkEnd w:id="69"/>
            <w:r>
              <w:t>12.</w:t>
            </w:r>
          </w:p>
        </w:tc>
        <w:tc>
          <w:tcPr>
            <w:tcW w:w="3828" w:type="dxa"/>
            <w:vMerge w:val="restart"/>
          </w:tcPr>
          <w:p>
            <w:pPr>
              <w:pStyle w:val="ConsPlusNormal"/>
            </w:pPr>
            <w:bookmarkStart w:id="70" w:name="P801"/>
            <w:bookmarkEnd w:id="70"/>
            <w:r>
              <w:t xml:space="preserve">Документ, не определенный </w:t>
            </w:r>
            <w:hyperlink w:anchor="P689">
              <w:r>
                <w:t>пунктами 4</w:t>
              </w:r>
            </w:hyperlink>
            <w:r>
              <w:t xml:space="preserve"> - </w:t>
            </w:r>
            <w:hyperlink w:anchor="P794">
              <w:r>
                <w:t>1</w:t>
              </w:r>
            </w:hyperlink>
            <w:r>
              <w:t>1 настоящего перечня, в соответствии с которым возникает бюджетное обязательство получателя средств бюджета:</w:t>
            </w:r>
          </w:p>
          <w:p>
            <w:pPr>
              <w:pStyle w:val="ConsPlusNormal"/>
            </w:pPr>
            <w:r>
              <w:t>- закон, иной нормативный правовой акт, в соответствии с которыми возникают публичные нормативные обязательства (публичные обязательства), а также обязательства по уплате платежей в бюджет (не требующие заключения договора);</w:t>
            </w:r>
          </w:p>
          <w:p>
            <w:pPr>
              <w:pStyle w:val="ConsPlusNormal"/>
            </w:pPr>
            <w: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в орган Федерального казначейства</w:t>
            </w:r>
          </w:p>
          <w:p>
            <w:pPr>
              <w:pStyle w:val="ConsPlusNormal"/>
            </w:pPr>
            <w:r>
              <w:t xml:space="preserve"> не направлены информация и документы по указанному договору для их включения в реестр контрактов;</w:t>
            </w:r>
          </w:p>
        </w:tc>
        <w:tc>
          <w:tcPr>
            <w:tcW w:w="5244" w:type="dxa"/>
          </w:tcPr>
          <w:p>
            <w:pPr>
              <w:pStyle w:val="ConsPlusNormal"/>
              <w:jc w:val="both"/>
            </w:pPr>
            <w:r>
              <w:t xml:space="preserve">Авансовый отчет </w:t>
            </w:r>
            <w:hyperlink r:id="rId74">
              <w:r>
                <w:t>(ф. 0504505)</w:t>
              </w:r>
            </w:hyperlink>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Акт выполненных работ</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Акт приема-передачи</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Акт сверки взаимных расчетов</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Договор на оказание услуг, выполнение работ, заключенный получателем средств бюджета ЗАТО Северск с физическим лицом, не являющимся индивидуальным предпринимателем</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Заявление на выдачу денежных средств под отчет</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Заявление физического лица</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Решение суда о расторжении муниципального контракта (договора)</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Квитанция</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Приказ о направлении в командировку, с прилагаемым расчетом командировочных сумм</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Служебная записка</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Справка-расчет</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Счет</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Счет-фактура</w:t>
            </w:r>
          </w:p>
        </w:tc>
      </w:tr>
      <w:tr>
        <w:tc>
          <w:tcPr>
            <w:tcW w:w="562" w:type="dxa"/>
            <w:vMerge w:val="restart"/>
          </w:tcPr>
          <w:p>
            <w:pPr>
              <w:pStyle w:val="ConsPlusNormal"/>
            </w:pPr>
          </w:p>
        </w:tc>
        <w:tc>
          <w:tcPr>
            <w:tcW w:w="3828" w:type="dxa"/>
            <w:vMerge w:val="restart"/>
          </w:tcPr>
          <w:p>
            <w:pPr>
              <w:pStyle w:val="ConsPlusNormal"/>
            </w:pPr>
            <w:r>
              <w:t>- 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p>
            <w:pPr>
              <w:pStyle w:val="ConsPlusNormal"/>
            </w:pPr>
            <w:r>
              <w:t>- акт сверки взаимных расчетов;</w:t>
            </w:r>
          </w:p>
          <w:p>
            <w:pPr>
              <w:pStyle w:val="ConsPlusNormal"/>
            </w:pPr>
            <w:r>
              <w:t>- решение суда о расторжении муниципального контракта (договора);</w:t>
            </w:r>
          </w:p>
          <w:p>
            <w:pPr>
              <w:pStyle w:val="ConsPlusNormal"/>
            </w:pPr>
            <w:r>
              <w:t xml:space="preserve">- 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Иной документ, в соответствии с которым возникает бюджетное обязательство получателя средств бюджета </w:t>
            </w:r>
          </w:p>
        </w:tc>
        <w:tc>
          <w:tcPr>
            <w:tcW w:w="5244" w:type="dxa"/>
          </w:tcPr>
          <w:p>
            <w:pPr>
              <w:pStyle w:val="ConsPlusNormal"/>
              <w:jc w:val="both"/>
            </w:pPr>
            <w:r>
              <w:t xml:space="preserve">Товарная накладная (унифицированная </w:t>
            </w:r>
            <w:hyperlink r:id="rId75">
              <w:r>
                <w:t>форма № ТОРГ-12</w:t>
              </w:r>
            </w:hyperlink>
            <w:r>
              <w:t>) (ф. 0330212)</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Универсальный передаточный документ</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Чек</w:t>
            </w:r>
          </w:p>
        </w:tc>
      </w:tr>
      <w:tr>
        <w:tc>
          <w:tcPr>
            <w:tcW w:w="562" w:type="dxa"/>
            <w:vMerge/>
          </w:tcPr>
          <w:p>
            <w:pPr>
              <w:pStyle w:val="ConsPlusNormal"/>
            </w:pPr>
          </w:p>
        </w:tc>
        <w:tc>
          <w:tcPr>
            <w:tcW w:w="3828" w:type="dxa"/>
            <w:vMerge/>
          </w:tcPr>
          <w:p>
            <w:pPr>
              <w:pStyle w:val="ConsPlusNormal"/>
            </w:pPr>
          </w:p>
        </w:tc>
        <w:tc>
          <w:tcPr>
            <w:tcW w:w="5244" w:type="dxa"/>
          </w:tcPr>
          <w:p>
            <w:pPr>
              <w:pStyle w:val="ConsPlusNormal"/>
              <w:jc w:val="both"/>
            </w:pPr>
            <w:r>
              <w:t>Иной документ, подтверждающий возникновение денежного обязательства по бюджетному обязательству получателя средств бюджета ЗАТО Северск</w:t>
            </w:r>
          </w:p>
        </w:tc>
      </w:tr>
    </w:tbl>
    <w:p>
      <w:pPr>
        <w:pStyle w:val="ConsPlusNormal"/>
        <w:jc w:val="both"/>
        <w:sectPr>
          <w:headerReference w:type="first" r:id="rId76"/>
          <w:pgSz w:w="11906" w:h="16838"/>
          <w:pgMar w:top="993" w:right="567" w:bottom="851" w:left="1701" w:header="567" w:footer="454" w:gutter="0"/>
          <w:pgNumType w:start="1"/>
          <w:cols w:space="708"/>
          <w:titlePg/>
          <w:docGrid w:linePitch="360"/>
        </w:sectPr>
      </w:pPr>
    </w:p>
    <w:p>
      <w:pPr>
        <w:pStyle w:val="ConsPlusNormal"/>
        <w:ind w:firstLine="5245"/>
        <w:outlineLvl w:val="1"/>
      </w:pPr>
      <w:r>
        <w:t>Приложение № 4</w:t>
      </w:r>
    </w:p>
    <w:p>
      <w:pPr>
        <w:pStyle w:val="ConsPlusNormal"/>
        <w:ind w:firstLine="5245"/>
      </w:pPr>
      <w:r>
        <w:t>к Порядку учета бюджетных и денежных</w:t>
      </w:r>
    </w:p>
    <w:p>
      <w:pPr>
        <w:pStyle w:val="ConsPlusNormal"/>
        <w:ind w:firstLine="5245"/>
      </w:pPr>
      <w:r>
        <w:t>обязательств получателей средств</w:t>
      </w:r>
    </w:p>
    <w:p>
      <w:pPr>
        <w:autoSpaceDE w:val="0"/>
        <w:autoSpaceDN w:val="0"/>
        <w:adjustRightInd w:val="0"/>
        <w:ind w:firstLine="5245"/>
        <w:rPr>
          <w:rFonts w:ascii="Times New Roman" w:hAnsi="Times New Roman"/>
          <w:bCs/>
          <w:sz w:val="24"/>
          <w:szCs w:val="24"/>
        </w:rPr>
      </w:pPr>
      <w:r>
        <w:rPr>
          <w:rFonts w:ascii="Times New Roman" w:hAnsi="Times New Roman"/>
          <w:sz w:val="24"/>
          <w:szCs w:val="24"/>
        </w:rPr>
        <w:t xml:space="preserve">бюджета </w:t>
      </w:r>
      <w:r>
        <w:rPr>
          <w:rFonts w:ascii="Times New Roman" w:hAnsi="Times New Roman"/>
          <w:bCs/>
          <w:sz w:val="24"/>
          <w:szCs w:val="24"/>
        </w:rPr>
        <w:t>городского округа закрытого</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 xml:space="preserve"> административно-территориального</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образования Северск Томской области</w:t>
      </w:r>
    </w:p>
    <w:p>
      <w:pPr>
        <w:pStyle w:val="ConsPlusNormal"/>
        <w:spacing w:after="1"/>
        <w:ind w:firstLine="5245"/>
        <w:rPr>
          <w:rFonts w:eastAsiaTheme="minorHAnsi"/>
          <w:szCs w:val="24"/>
          <w:lang w:eastAsia="en-US"/>
        </w:rPr>
      </w:pPr>
      <w:r>
        <w:rPr>
          <w:rFonts w:eastAsiaTheme="minorHAnsi"/>
          <w:szCs w:val="24"/>
          <w:lang w:eastAsia="en-US"/>
        </w:rPr>
        <w:t xml:space="preserve">Управлением Федерального казначейства </w:t>
      </w:r>
    </w:p>
    <w:p>
      <w:pPr>
        <w:pStyle w:val="ConsPlusNormal"/>
        <w:spacing w:after="1"/>
        <w:ind w:firstLine="5245"/>
      </w:pPr>
      <w:r>
        <w:rPr>
          <w:rFonts w:eastAsiaTheme="minorHAnsi"/>
          <w:szCs w:val="24"/>
          <w:lang w:eastAsia="en-US"/>
        </w:rPr>
        <w:t xml:space="preserve">по </w:t>
      </w:r>
      <w:r>
        <w:rPr>
          <w:bCs/>
          <w:szCs w:val="24"/>
        </w:rPr>
        <w:t>Томской области</w:t>
      </w:r>
    </w:p>
    <w:p>
      <w:pPr>
        <w:pStyle w:val="ConsPlusNormal"/>
        <w:jc w:val="both"/>
      </w:pPr>
    </w:p>
    <w:p>
      <w:pPr>
        <w:pStyle w:val="ConsPlusNormal"/>
        <w:jc w:val="center"/>
      </w:pPr>
      <w:bookmarkStart w:id="71" w:name="P851"/>
      <w:bookmarkEnd w:id="71"/>
      <w:r>
        <w:t>Реквизиты</w:t>
      </w:r>
    </w:p>
    <w:p>
      <w:pPr>
        <w:pStyle w:val="ConsPlusNormal"/>
        <w:jc w:val="center"/>
      </w:pPr>
    </w:p>
    <w:p>
      <w:pPr>
        <w:pStyle w:val="ConsPlusNormal"/>
        <w:jc w:val="center"/>
      </w:pPr>
      <w:r>
        <w:t>Уведомления о превышении принятым бюджетным обязательством</w:t>
      </w:r>
    </w:p>
    <w:p>
      <w:pPr>
        <w:pStyle w:val="ConsPlusNormal"/>
        <w:jc w:val="center"/>
      </w:pPr>
      <w:r>
        <w:t>неиспользованных лимитов бюджетных обязательств</w:t>
      </w:r>
    </w:p>
    <w:p>
      <w:pPr>
        <w:pStyle w:val="ConsPlusNormal"/>
        <w:jc w:val="both"/>
      </w:pPr>
    </w:p>
    <w:tbl>
      <w:tblPr>
        <w:tblW w:w="963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965"/>
        <w:gridCol w:w="5669"/>
      </w:tblGrid>
      <w:tr>
        <w:tc>
          <w:tcPr>
            <w:tcW w:w="9634" w:type="dxa"/>
            <w:gridSpan w:val="2"/>
            <w:tcBorders>
              <w:top w:val="nil"/>
              <w:left w:val="nil"/>
              <w:bottom w:val="single" w:sz="4" w:space="0" w:color="auto"/>
              <w:right w:val="nil"/>
            </w:tcBorders>
          </w:tcPr>
          <w:p>
            <w:pPr>
              <w:pStyle w:val="ConsPlusNormal"/>
            </w:pPr>
            <w:r>
              <w:t>Единица измерения: руб.</w:t>
            </w:r>
          </w:p>
          <w:p>
            <w:pPr>
              <w:pStyle w:val="ConsPlusNormal"/>
            </w:pPr>
            <w:r>
              <w:t>с точностью до второго десятичного знака)</w:t>
            </w:r>
          </w:p>
        </w:tc>
      </w:tr>
      <w:tr>
        <w:tc>
          <w:tcPr>
            <w:tcW w:w="3965" w:type="dxa"/>
            <w:tcBorders>
              <w:bottom w:val="nil"/>
            </w:tcBorders>
          </w:tcPr>
          <w:p>
            <w:pPr>
              <w:pStyle w:val="ConsPlusNormal"/>
              <w:jc w:val="center"/>
            </w:pPr>
            <w:r>
              <w:t>Наименование реквизита</w:t>
            </w:r>
          </w:p>
        </w:tc>
        <w:tc>
          <w:tcPr>
            <w:tcW w:w="5669" w:type="dxa"/>
            <w:tcBorders>
              <w:bottom w:val="nil"/>
            </w:tcBorders>
          </w:tcPr>
          <w:p>
            <w:pPr>
              <w:pStyle w:val="ConsPlusNormal"/>
              <w:jc w:val="center"/>
            </w:pPr>
            <w:r>
              <w:t>Правила формирования (заполнения) реквизита</w:t>
            </w:r>
          </w:p>
        </w:tc>
      </w:tr>
    </w:tbl>
    <w:p>
      <w:pPr>
        <w:rPr>
          <w:sz w:val="2"/>
          <w:szCs w:val="2"/>
        </w:rPr>
      </w:pPr>
    </w:p>
    <w:tbl>
      <w:tblPr>
        <w:tblW w:w="9634"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965"/>
        <w:gridCol w:w="5669"/>
      </w:tblGrid>
      <w:tr>
        <w:trPr>
          <w:tblHeader/>
        </w:trPr>
        <w:tc>
          <w:tcPr>
            <w:tcW w:w="3965" w:type="dxa"/>
          </w:tcPr>
          <w:p>
            <w:pPr>
              <w:pStyle w:val="ConsPlusNormal"/>
              <w:jc w:val="center"/>
            </w:pPr>
            <w:r>
              <w:t>1</w:t>
            </w:r>
          </w:p>
        </w:tc>
        <w:tc>
          <w:tcPr>
            <w:tcW w:w="5669" w:type="dxa"/>
          </w:tcPr>
          <w:p>
            <w:pPr>
              <w:pStyle w:val="ConsPlusNormal"/>
              <w:jc w:val="center"/>
            </w:pPr>
            <w:r>
              <w:t>2</w:t>
            </w:r>
          </w:p>
        </w:tc>
      </w:tr>
      <w:tr>
        <w:tc>
          <w:tcPr>
            <w:tcW w:w="3965" w:type="dxa"/>
          </w:tcPr>
          <w:p>
            <w:pPr>
              <w:pStyle w:val="ConsPlusNormal"/>
            </w:pPr>
            <w:r>
              <w:t>1. Номер</w:t>
            </w:r>
          </w:p>
        </w:tc>
        <w:tc>
          <w:tcPr>
            <w:tcW w:w="5669" w:type="dxa"/>
          </w:tcPr>
          <w:p>
            <w:pPr>
              <w:pStyle w:val="ConsPlusNormal"/>
              <w:jc w:val="both"/>
            </w:pPr>
            <w:r>
              <w:t>Указывается порядковый номер Уведомления о превышении принятым бюджетным обязательством неиспользованных лимитов бюджетных обязательств (далее - Уведомление о превышении). При формировании Уведомления о превышении в информационных системах Министерства финансов Российской Федерации и Федерального казначейства (далее - информационные системы) номер Уведомления о превышении присваивается автоматически в информационных системах.</w:t>
            </w:r>
          </w:p>
        </w:tc>
      </w:tr>
      <w:tr>
        <w:tc>
          <w:tcPr>
            <w:tcW w:w="3965" w:type="dxa"/>
          </w:tcPr>
          <w:p>
            <w:pPr>
              <w:pStyle w:val="ConsPlusNormal"/>
            </w:pPr>
            <w:r>
              <w:t>2. Дата</w:t>
            </w:r>
          </w:p>
        </w:tc>
        <w:tc>
          <w:tcPr>
            <w:tcW w:w="5669" w:type="dxa"/>
          </w:tcPr>
          <w:p>
            <w:pPr>
              <w:pStyle w:val="ConsPlusNormal"/>
              <w:jc w:val="both"/>
            </w:pPr>
            <w:r>
              <w:t>Указывается дата Уведомления о превышении.</w:t>
            </w:r>
          </w:p>
        </w:tc>
      </w:tr>
      <w:tr>
        <w:tc>
          <w:tcPr>
            <w:tcW w:w="3965" w:type="dxa"/>
          </w:tcPr>
          <w:p>
            <w:pPr>
              <w:pStyle w:val="ConsPlusNormal"/>
            </w:pPr>
            <w:r>
              <w:t>3. Наименование органа Федерального казначейства</w:t>
            </w:r>
          </w:p>
        </w:tc>
        <w:tc>
          <w:tcPr>
            <w:tcW w:w="5669" w:type="dxa"/>
          </w:tcPr>
          <w:p>
            <w:pPr>
              <w:pStyle w:val="ConsPlusNormal"/>
              <w:jc w:val="both"/>
            </w:pPr>
            <w:r>
              <w:t xml:space="preserve">Указывается наименование УФК по ТО, в котором получателю средств бюджета ЗАТО Северск открыт лицевой счет получателя бюджетных средств ЗАТО Северск (лицевой счет для учета операций по переданным полномочиям получателя бюджетных </w:t>
            </w:r>
            <w:proofErr w:type="gramStart"/>
            <w:r>
              <w:t>средств  ЗАТО</w:t>
            </w:r>
            <w:proofErr w:type="gramEnd"/>
            <w:r>
              <w:t xml:space="preserve"> Северск), на котором подлежат отражению операции по учету и исполнению соответствующего бюджетного обязательства (далее - соответствующий лицевой счет получателя бюджетных средств ЗАТО Северск).</w:t>
            </w:r>
          </w:p>
        </w:tc>
      </w:tr>
      <w:tr>
        <w:tc>
          <w:tcPr>
            <w:tcW w:w="3965" w:type="dxa"/>
          </w:tcPr>
          <w:p>
            <w:pPr>
              <w:pStyle w:val="ConsPlusNormal"/>
            </w:pPr>
            <w:r>
              <w:t>3.1. Код органа Федерального казначейства (КОФК)</w:t>
            </w:r>
          </w:p>
        </w:tc>
        <w:tc>
          <w:tcPr>
            <w:tcW w:w="5669" w:type="dxa"/>
          </w:tcPr>
          <w:p>
            <w:pPr>
              <w:pStyle w:val="ConsPlusNormal"/>
              <w:ind w:firstLine="283"/>
              <w:jc w:val="both"/>
            </w:pPr>
            <w:r>
              <w:t>Указывается код УФК по ТО, присвоенный Федеральным казначейством.</w:t>
            </w:r>
          </w:p>
        </w:tc>
      </w:tr>
      <w:tr>
        <w:trPr>
          <w:trHeight w:val="1265"/>
        </w:trPr>
        <w:tc>
          <w:tcPr>
            <w:tcW w:w="3965" w:type="dxa"/>
          </w:tcPr>
          <w:p>
            <w:pPr>
              <w:pStyle w:val="ConsPlusNormal"/>
            </w:pPr>
            <w:r>
              <w:t>4. Главный распорядитель (распорядитель) бюджетных средств</w:t>
            </w:r>
          </w:p>
        </w:tc>
        <w:tc>
          <w:tcPr>
            <w:tcW w:w="5669" w:type="dxa"/>
          </w:tcPr>
          <w:p>
            <w:pPr>
              <w:pStyle w:val="ConsPlusNormal"/>
              <w:jc w:val="both"/>
            </w:pPr>
            <w:r>
              <w:t>Указывается наименование главного распорядителя бюджетных средств ЗАТО Северск по находящемуся в ведении главного распорядителя средств бюджета ЗАТО Северск получателя средств бюджета ЗАТО Северск.</w:t>
            </w:r>
          </w:p>
        </w:tc>
      </w:tr>
      <w:tr>
        <w:tc>
          <w:tcPr>
            <w:tcW w:w="3965" w:type="dxa"/>
          </w:tcPr>
          <w:p>
            <w:pPr>
              <w:pStyle w:val="ConsPlusNormal"/>
            </w:pPr>
            <w:r>
              <w:t>4.1. Глава по БК</w:t>
            </w:r>
          </w:p>
        </w:tc>
        <w:tc>
          <w:tcPr>
            <w:tcW w:w="5669" w:type="dxa"/>
          </w:tcPr>
          <w:p>
            <w:pPr>
              <w:pStyle w:val="ConsPlusNormal"/>
              <w:jc w:val="both"/>
            </w:pPr>
            <w:r>
              <w:t>Указывается глава по бюджетной классификации главного распорядителя бюджетных средств ЗАТО Северск.</w:t>
            </w:r>
          </w:p>
        </w:tc>
      </w:tr>
      <w:tr>
        <w:tc>
          <w:tcPr>
            <w:tcW w:w="3965" w:type="dxa"/>
          </w:tcPr>
          <w:p>
            <w:pPr>
              <w:pStyle w:val="ConsPlusNormal"/>
            </w:pPr>
            <w:r>
              <w:t>4.2. Код по Сводному реестру</w:t>
            </w:r>
          </w:p>
        </w:tc>
        <w:tc>
          <w:tcPr>
            <w:tcW w:w="5669" w:type="dxa"/>
          </w:tcPr>
          <w:p>
            <w:pPr>
              <w:pStyle w:val="ConsPlusNormal"/>
              <w:jc w:val="both"/>
            </w:pPr>
            <w:r>
              <w:t>Указывается код соответствующей реестровой записи реестра участников бюджетного процесса, а также юридических лиц, не являющихся участниками бюджетного процесса (далее - Сводный реестр) главного распорядителя бюджетных средств ЗАТО Северск.</w:t>
            </w:r>
          </w:p>
        </w:tc>
      </w:tr>
      <w:tr>
        <w:tc>
          <w:tcPr>
            <w:tcW w:w="3965" w:type="dxa"/>
          </w:tcPr>
          <w:p>
            <w:pPr>
              <w:pStyle w:val="ConsPlusNormal"/>
            </w:pPr>
            <w:r>
              <w:t>5. Получатель бюджетных средств</w:t>
            </w:r>
          </w:p>
        </w:tc>
        <w:tc>
          <w:tcPr>
            <w:tcW w:w="5669" w:type="dxa"/>
          </w:tcPr>
          <w:p>
            <w:pPr>
              <w:pStyle w:val="ConsPlusNormal"/>
              <w:jc w:val="both"/>
            </w:pPr>
            <w:r>
              <w:t>Указывается наименование получателя средств бюджета ЗАТО Северск.</w:t>
            </w:r>
          </w:p>
        </w:tc>
      </w:tr>
      <w:tr>
        <w:tc>
          <w:tcPr>
            <w:tcW w:w="3965" w:type="dxa"/>
          </w:tcPr>
          <w:p>
            <w:pPr>
              <w:pStyle w:val="ConsPlusNormal"/>
            </w:pPr>
            <w:r>
              <w:t>5.2. Код по Сводному реестру</w:t>
            </w:r>
          </w:p>
        </w:tc>
        <w:tc>
          <w:tcPr>
            <w:tcW w:w="5669" w:type="dxa"/>
          </w:tcPr>
          <w:p>
            <w:pPr>
              <w:pStyle w:val="ConsPlusNormal"/>
              <w:jc w:val="both"/>
            </w:pPr>
            <w:r>
              <w:t>Указывается код по Сводному реестру получателя средств бюджета ЗАТО Северск.</w:t>
            </w:r>
          </w:p>
        </w:tc>
      </w:tr>
      <w:tr>
        <w:tc>
          <w:tcPr>
            <w:tcW w:w="3965" w:type="dxa"/>
          </w:tcPr>
          <w:p>
            <w:pPr>
              <w:pStyle w:val="ConsPlusNormal"/>
            </w:pPr>
            <w:r>
              <w:t>5.3. Номер соответствующего лицевого счета получателя бюджетных средств</w:t>
            </w:r>
          </w:p>
        </w:tc>
        <w:tc>
          <w:tcPr>
            <w:tcW w:w="5669" w:type="dxa"/>
          </w:tcPr>
          <w:p>
            <w:pPr>
              <w:pStyle w:val="ConsPlusNormal"/>
              <w:jc w:val="both"/>
            </w:pPr>
            <w:r>
              <w:t>Указывается номер соответствующего лицевого счета получателя бюджетных средств ЗАТО Северск.</w:t>
            </w:r>
          </w:p>
        </w:tc>
      </w:tr>
      <w:tr>
        <w:tc>
          <w:tcPr>
            <w:tcW w:w="3965" w:type="dxa"/>
          </w:tcPr>
          <w:p>
            <w:pPr>
              <w:pStyle w:val="ConsPlusNormal"/>
            </w:pPr>
            <w:r>
              <w:t>6. Наименование бюджета</w:t>
            </w:r>
          </w:p>
        </w:tc>
        <w:tc>
          <w:tcPr>
            <w:tcW w:w="5669" w:type="dxa"/>
          </w:tcPr>
          <w:p>
            <w:pPr>
              <w:autoSpaceDE w:val="0"/>
              <w:autoSpaceDN w:val="0"/>
              <w:adjustRightInd w:val="0"/>
            </w:pPr>
            <w:r>
              <w:rPr>
                <w:rFonts w:ascii="Times New Roman" w:hAnsi="Times New Roman"/>
                <w:sz w:val="24"/>
              </w:rPr>
              <w:t>Указывается наименование бюджета – «бюджет городского округа закрытого административно-территориального образования Северск Томской области»</w:t>
            </w:r>
            <w:r>
              <w:t>.</w:t>
            </w:r>
          </w:p>
        </w:tc>
      </w:tr>
      <w:tr>
        <w:tc>
          <w:tcPr>
            <w:tcW w:w="3965" w:type="dxa"/>
          </w:tcPr>
          <w:p>
            <w:pPr>
              <w:pStyle w:val="ConsPlusNormal"/>
            </w:pPr>
            <w:r>
              <w:t xml:space="preserve">7. Код по </w:t>
            </w:r>
            <w:hyperlink r:id="rId77">
              <w:r>
                <w:t>ОКТМО</w:t>
              </w:r>
            </w:hyperlink>
          </w:p>
        </w:tc>
        <w:tc>
          <w:tcPr>
            <w:tcW w:w="5669" w:type="dxa"/>
          </w:tcPr>
          <w:p>
            <w:pPr>
              <w:pStyle w:val="ConsPlusNormal"/>
              <w:jc w:val="both"/>
            </w:pPr>
            <w:r>
              <w:t xml:space="preserve">Указывается код по Общероссийскому </w:t>
            </w:r>
            <w:hyperlink r:id="rId78">
              <w:r>
                <w:t>классификатору</w:t>
              </w:r>
            </w:hyperlink>
            <w:r>
              <w:t xml:space="preserve"> муниципальных образований органа Федерального казначейства, финансового органа муниципального образования</w:t>
            </w:r>
          </w:p>
        </w:tc>
      </w:tr>
      <w:tr>
        <w:tc>
          <w:tcPr>
            <w:tcW w:w="3965" w:type="dxa"/>
          </w:tcPr>
          <w:p>
            <w:pPr>
              <w:pStyle w:val="ConsPlusNormal"/>
            </w:pPr>
            <w:r>
              <w:t>8. Финансовый орган</w:t>
            </w:r>
          </w:p>
        </w:tc>
        <w:tc>
          <w:tcPr>
            <w:tcW w:w="5669" w:type="dxa"/>
          </w:tcPr>
          <w:p>
            <w:pPr>
              <w:pStyle w:val="ConsPlusNormal"/>
              <w:jc w:val="both"/>
            </w:pPr>
            <w:r>
              <w:t>Указывается наименование финансового органа – «Финансовое управление Администрации ЗАТО Северск».</w:t>
            </w:r>
          </w:p>
        </w:tc>
      </w:tr>
      <w:tr>
        <w:tc>
          <w:tcPr>
            <w:tcW w:w="3965" w:type="dxa"/>
          </w:tcPr>
          <w:p>
            <w:pPr>
              <w:pStyle w:val="ConsPlusNormal"/>
            </w:pPr>
            <w:r>
              <w:t>8.1. Код по ОКПО</w:t>
            </w:r>
          </w:p>
        </w:tc>
        <w:tc>
          <w:tcPr>
            <w:tcW w:w="5669" w:type="dxa"/>
          </w:tcPr>
          <w:p>
            <w:pPr>
              <w:pStyle w:val="ConsPlusNormal"/>
              <w:jc w:val="both"/>
            </w:pPr>
            <w:r>
              <w:t>Указывается код финансового органа по Общероссийскому классификатору предприятий и организаций.</w:t>
            </w:r>
          </w:p>
        </w:tc>
      </w:tr>
      <w:tr>
        <w:tc>
          <w:tcPr>
            <w:tcW w:w="3965" w:type="dxa"/>
          </w:tcPr>
          <w:p>
            <w:pPr>
              <w:pStyle w:val="ConsPlusNormal"/>
            </w:pPr>
            <w:r>
              <w:t>9. Дата постановки на учет бюджетного обязательства</w:t>
            </w:r>
          </w:p>
        </w:tc>
        <w:tc>
          <w:tcPr>
            <w:tcW w:w="5669" w:type="dxa"/>
          </w:tcPr>
          <w:p>
            <w:pPr>
              <w:pStyle w:val="ConsPlusNormal"/>
              <w:jc w:val="both"/>
            </w:pPr>
            <w:r>
              <w:t>Указывается дата постановки на учет бюджетного обязательства в органе Федерального казначейства.</w:t>
            </w:r>
          </w:p>
        </w:tc>
      </w:tr>
      <w:tr>
        <w:tc>
          <w:tcPr>
            <w:tcW w:w="3965" w:type="dxa"/>
          </w:tcPr>
          <w:p>
            <w:pPr>
              <w:pStyle w:val="ConsPlusNormal"/>
            </w:pPr>
            <w:r>
              <w:t>9.1. Срок устранения превышения</w:t>
            </w:r>
          </w:p>
        </w:tc>
        <w:tc>
          <w:tcPr>
            <w:tcW w:w="5669" w:type="dxa"/>
          </w:tcPr>
          <w:p>
            <w:pPr>
              <w:pStyle w:val="ConsPlusNormal"/>
              <w:ind w:firstLine="283"/>
              <w:jc w:val="both"/>
            </w:pPr>
            <w:r>
              <w:t>Указывается срок, в который должно быть устранено превышение суммы по документу-основанию над объемом доведенных лимитов бюджетных обязательств.</w:t>
            </w:r>
          </w:p>
          <w:p>
            <w:pPr>
              <w:pStyle w:val="ConsPlusNormal"/>
              <w:ind w:firstLine="283"/>
              <w:jc w:val="both"/>
            </w:pPr>
            <w:r>
              <w:t xml:space="preserve">Заполняется в случаях, предусмотренных </w:t>
            </w:r>
            <w:hyperlink w:anchor="P191">
              <w:r>
                <w:t>пунктом 17</w:t>
              </w:r>
            </w:hyperlink>
            <w:r>
              <w:t xml:space="preserve"> настоящего Порядка.</w:t>
            </w:r>
          </w:p>
        </w:tc>
      </w:tr>
      <w:tr>
        <w:tc>
          <w:tcPr>
            <w:tcW w:w="3965" w:type="dxa"/>
          </w:tcPr>
          <w:p>
            <w:pPr>
              <w:pStyle w:val="ConsPlusNormal"/>
            </w:pPr>
            <w:bookmarkStart w:id="72" w:name="P896"/>
            <w:bookmarkEnd w:id="72"/>
            <w:r>
              <w:t>10. Реквизиты документа, являющегося основанием для постановки на учет бюджетного обязательства (внесения в него изменений) (далее - документ-основание)</w:t>
            </w:r>
          </w:p>
        </w:tc>
        <w:tc>
          <w:tcPr>
            <w:tcW w:w="5669" w:type="dxa"/>
          </w:tcPr>
          <w:p>
            <w:pPr>
              <w:pStyle w:val="ConsPlusNormal"/>
              <w:jc w:val="both"/>
            </w:pPr>
          </w:p>
        </w:tc>
      </w:tr>
      <w:tr>
        <w:tc>
          <w:tcPr>
            <w:tcW w:w="3965" w:type="dxa"/>
          </w:tcPr>
          <w:p>
            <w:pPr>
              <w:pStyle w:val="ConsPlusNormal"/>
            </w:pPr>
            <w:bookmarkStart w:id="73" w:name="P898"/>
            <w:bookmarkEnd w:id="73"/>
            <w:r>
              <w:t>10.1. Вид документа-основания</w:t>
            </w:r>
          </w:p>
        </w:tc>
        <w:tc>
          <w:tcPr>
            <w:tcW w:w="5669" w:type="dxa"/>
          </w:tcPr>
          <w:p>
            <w:pPr>
              <w:pStyle w:val="ConsPlusNormal"/>
              <w:ind w:firstLine="283"/>
              <w:jc w:val="both"/>
            </w:pPr>
            <w:r>
              <w:t>Указывается один из следующих видов документов:</w:t>
            </w:r>
          </w:p>
          <w:p>
            <w:pPr>
              <w:pStyle w:val="ConsPlusNormal"/>
              <w:ind w:firstLine="283"/>
              <w:jc w:val="both"/>
            </w:pPr>
            <w:r>
              <w:t>«контракт», «договор», «соглашение», «нормативный правовой акт», «исполнительный документ», «решение налогового органа», «иное основание».</w:t>
            </w:r>
          </w:p>
        </w:tc>
      </w:tr>
      <w:tr>
        <w:tc>
          <w:tcPr>
            <w:tcW w:w="3965" w:type="dxa"/>
          </w:tcPr>
          <w:p>
            <w:pPr>
              <w:pStyle w:val="ConsPlusNormal"/>
            </w:pPr>
            <w:r>
              <w:t>10.2. Наименование нормативного правового акта</w:t>
            </w:r>
          </w:p>
        </w:tc>
        <w:tc>
          <w:tcPr>
            <w:tcW w:w="5669" w:type="dxa"/>
          </w:tcPr>
          <w:p>
            <w:pPr>
              <w:pStyle w:val="ConsPlusNormal"/>
              <w:ind w:firstLine="283"/>
              <w:jc w:val="both"/>
            </w:pPr>
            <w:r>
              <w:t xml:space="preserve">При заполнении в </w:t>
            </w:r>
            <w:hyperlink w:anchor="P898">
              <w:r>
                <w:t>пункте 10.1</w:t>
              </w:r>
            </w:hyperlink>
            <w:r>
              <w:t xml:space="preserve"> настоящей информации вида документа «нормативный правовой акт» указывается наименование нормативного правового акта.</w:t>
            </w:r>
          </w:p>
        </w:tc>
      </w:tr>
      <w:tr>
        <w:tc>
          <w:tcPr>
            <w:tcW w:w="3965" w:type="dxa"/>
          </w:tcPr>
          <w:p>
            <w:pPr>
              <w:pStyle w:val="ConsPlusNormal"/>
            </w:pPr>
            <w:r>
              <w:t>10.3. Номер документа-основания</w:t>
            </w:r>
          </w:p>
        </w:tc>
        <w:tc>
          <w:tcPr>
            <w:tcW w:w="5669" w:type="dxa"/>
          </w:tcPr>
          <w:p>
            <w:pPr>
              <w:pStyle w:val="ConsPlusNormal"/>
              <w:jc w:val="both"/>
            </w:pPr>
            <w:r>
              <w:t>Указывается номер документа-основания (при наличии).</w:t>
            </w:r>
          </w:p>
        </w:tc>
      </w:tr>
      <w:tr>
        <w:tc>
          <w:tcPr>
            <w:tcW w:w="3965" w:type="dxa"/>
          </w:tcPr>
          <w:p>
            <w:pPr>
              <w:pStyle w:val="ConsPlusNormal"/>
            </w:pPr>
            <w:bookmarkStart w:id="74" w:name="P906"/>
            <w:bookmarkEnd w:id="74"/>
            <w:r>
              <w:t>10.4. Дата документа-основания</w:t>
            </w:r>
          </w:p>
        </w:tc>
        <w:tc>
          <w:tcPr>
            <w:tcW w:w="5669" w:type="dxa"/>
          </w:tcPr>
          <w:p>
            <w:pPr>
              <w:pStyle w:val="ConsPlusNormal"/>
              <w:jc w:val="both"/>
            </w:pPr>
            <w:r>
              <w:t>Указывается дата заключения (принятия) документа-основания (внесения в него изменений), дата выдачи исполнительного документа, решения налогового органа.</w:t>
            </w:r>
          </w:p>
        </w:tc>
      </w:tr>
      <w:tr>
        <w:tc>
          <w:tcPr>
            <w:tcW w:w="3965" w:type="dxa"/>
          </w:tcPr>
          <w:p>
            <w:pPr>
              <w:pStyle w:val="ConsPlusNormal"/>
            </w:pPr>
            <w:r>
              <w:t>10.5. Идентификатор</w:t>
            </w:r>
          </w:p>
        </w:tc>
        <w:tc>
          <w:tcPr>
            <w:tcW w:w="5669" w:type="dxa"/>
          </w:tcPr>
          <w:p>
            <w:pPr>
              <w:pStyle w:val="ConsPlusNormal"/>
              <w:jc w:val="both"/>
            </w:pPr>
            <w:r>
              <w:t>Указывается идентификатор документа-основания (при наличии).</w:t>
            </w:r>
          </w:p>
        </w:tc>
      </w:tr>
      <w:tr>
        <w:tc>
          <w:tcPr>
            <w:tcW w:w="3965" w:type="dxa"/>
          </w:tcPr>
          <w:p>
            <w:pPr>
              <w:pStyle w:val="ConsPlusNormal"/>
            </w:pPr>
            <w:r>
              <w:t>10.6. Предмет по документу-основанию</w:t>
            </w:r>
          </w:p>
        </w:tc>
        <w:tc>
          <w:tcPr>
            <w:tcW w:w="5669" w:type="dxa"/>
          </w:tcPr>
          <w:p>
            <w:pPr>
              <w:pStyle w:val="ConsPlusNormal"/>
              <w:ind w:firstLine="283"/>
              <w:jc w:val="both"/>
            </w:pPr>
            <w:r>
              <w:t>Указывается предмет по документу-основанию.</w:t>
            </w:r>
          </w:p>
          <w:p>
            <w:pPr>
              <w:pStyle w:val="ConsPlusNormal"/>
              <w:ind w:firstLine="283"/>
              <w:jc w:val="both"/>
            </w:pPr>
            <w:r>
              <w:t xml:space="preserve">При заполнении в </w:t>
            </w:r>
            <w:hyperlink w:anchor="P898">
              <w:r>
                <w:t>пункте 10.1</w:t>
              </w:r>
            </w:hyperlink>
            <w:r>
              <w:t xml:space="preserve"> настоящей информации вида документа «контракт», «договор», указывается наименование(я) объекта закупки (поставляемых товаров, выполняемых работ, оказываемых услуг), указанное(</w:t>
            </w:r>
            <w:proofErr w:type="spellStart"/>
            <w:r>
              <w:t>ые</w:t>
            </w:r>
            <w:proofErr w:type="spellEnd"/>
            <w:r>
              <w:t>) в контракте (договоре).</w:t>
            </w:r>
          </w:p>
          <w:p>
            <w:pPr>
              <w:pStyle w:val="ConsPlusNormal"/>
              <w:ind w:firstLine="283"/>
              <w:jc w:val="both"/>
            </w:pPr>
            <w:r>
              <w:t xml:space="preserve">При заполнении в </w:t>
            </w:r>
            <w:hyperlink w:anchor="P898">
              <w:r>
                <w:t>пункте 10.1</w:t>
              </w:r>
            </w:hyperlink>
            <w:r>
              <w:t xml:space="preserve"> настоящей информации вида документа «соглашение» или «нормативный правовой акт» указывается наименование(я) цели(ей) предоставления, целевого направления, направления(</w:t>
            </w:r>
            <w:proofErr w:type="spellStart"/>
            <w:r>
              <w:t>ий</w:t>
            </w:r>
            <w:proofErr w:type="spellEnd"/>
            <w:r>
              <w:t>) расходования субсидии, бюджетных инвестиций, межбюджетного трансферта.</w:t>
            </w:r>
          </w:p>
        </w:tc>
      </w:tr>
      <w:tr>
        <w:tc>
          <w:tcPr>
            <w:tcW w:w="3965" w:type="dxa"/>
          </w:tcPr>
          <w:p>
            <w:pPr>
              <w:pStyle w:val="ConsPlusNormal"/>
            </w:pPr>
            <w:r>
              <w:t>10.7. Учетный номер бюджетного обязательства</w:t>
            </w:r>
          </w:p>
        </w:tc>
        <w:tc>
          <w:tcPr>
            <w:tcW w:w="5669" w:type="dxa"/>
          </w:tcPr>
          <w:p>
            <w:pPr>
              <w:pStyle w:val="ConsPlusNormal"/>
              <w:jc w:val="both"/>
            </w:pPr>
            <w:r>
              <w:t>Указывается учетный номер обязательства, присвоенный ему при постановке на учет.</w:t>
            </w:r>
          </w:p>
        </w:tc>
      </w:tr>
      <w:tr>
        <w:tc>
          <w:tcPr>
            <w:tcW w:w="3965" w:type="dxa"/>
          </w:tcPr>
          <w:p>
            <w:pPr>
              <w:pStyle w:val="ConsPlusNormal"/>
            </w:pPr>
            <w:r>
              <w:t>10.8. Уникальный номер реестровой записи в реестре контрактов/реестре соглашений</w:t>
            </w:r>
          </w:p>
        </w:tc>
        <w:tc>
          <w:tcPr>
            <w:tcW w:w="5669" w:type="dxa"/>
          </w:tcPr>
          <w:p>
            <w:pPr>
              <w:pStyle w:val="ConsPlusNormal"/>
              <w:jc w:val="both"/>
            </w:pPr>
            <w:r>
              <w:t xml:space="preserve">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(далее - реестр </w:t>
            </w:r>
            <w:proofErr w:type="gramStart"/>
            <w:r>
              <w:t>контрактов)/</w:t>
            </w:r>
            <w:proofErr w:type="gramEnd"/>
            <w:r>
              <w:t>реестре соглашений (договоров) о предоставлении субсидий бюджетных инвестиций межбюджетных трансфертов (далее - реестр соглашений). Не заполняется при постановке на учет бюджетного обязательства, сведения о котором направляются в УФК по ТО одновременно с информацией о муниципальном контракте, соглашении для ее первичного включения в реестр контрактов/реестр соглашений.</w:t>
            </w:r>
          </w:p>
        </w:tc>
      </w:tr>
      <w:tr>
        <w:tc>
          <w:tcPr>
            <w:tcW w:w="3965" w:type="dxa"/>
          </w:tcPr>
          <w:p>
            <w:pPr>
              <w:pStyle w:val="ConsPlusNormal"/>
            </w:pPr>
            <w:r>
              <w:t>10.9. Сумма в валюте обязательства</w:t>
            </w:r>
          </w:p>
        </w:tc>
        <w:tc>
          <w:tcPr>
            <w:tcW w:w="5669" w:type="dxa"/>
          </w:tcPr>
          <w:p>
            <w:pPr>
              <w:pStyle w:val="ConsPlusNormal"/>
              <w:jc w:val="both"/>
            </w:pPr>
            <w: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tc>
          <w:tcPr>
            <w:tcW w:w="3965" w:type="dxa"/>
          </w:tcPr>
          <w:p>
            <w:pPr>
              <w:pStyle w:val="ConsPlusNormal"/>
            </w:pPr>
            <w:r>
              <w:t xml:space="preserve">10.10. Код валюты по </w:t>
            </w:r>
            <w:hyperlink r:id="rId79">
              <w:r>
                <w:t>ОКВ</w:t>
              </w:r>
            </w:hyperlink>
          </w:p>
        </w:tc>
        <w:tc>
          <w:tcPr>
            <w:tcW w:w="5669" w:type="dxa"/>
          </w:tcPr>
          <w:p>
            <w:pPr>
              <w:pStyle w:val="ConsPlusNormal"/>
              <w:jc w:val="both"/>
            </w:pPr>
            <w:r>
              <w:t xml:space="preserve">Указывается код валюты, в которой принято бюджетное обязательство, в соответствии с Общероссийским </w:t>
            </w:r>
            <w:hyperlink r:id="rId80">
              <w:r>
                <w:t>классификатором</w:t>
              </w:r>
            </w:hyperlink>
            <w:r>
              <w:t xml:space="preserve"> валют. Формируется автоматически после указания наименования валюты в соответствии с Общероссийским </w:t>
            </w:r>
            <w:hyperlink r:id="rId81">
              <w:r>
                <w:t>классификатором</w:t>
              </w:r>
            </w:hyperlink>
            <w:r>
              <w:t xml:space="preserve"> валют.</w:t>
            </w:r>
          </w:p>
        </w:tc>
      </w:tr>
      <w:tr>
        <w:tc>
          <w:tcPr>
            <w:tcW w:w="3965" w:type="dxa"/>
          </w:tcPr>
          <w:p>
            <w:pPr>
              <w:pStyle w:val="ConsPlusNormal"/>
            </w:pPr>
            <w:r>
              <w:t>10.11. Сумма в валюте Российской Федерации</w:t>
            </w:r>
          </w:p>
        </w:tc>
        <w:tc>
          <w:tcPr>
            <w:tcW w:w="5669" w:type="dxa"/>
          </w:tcPr>
          <w:p>
            <w:pPr>
              <w:pStyle w:val="ConsPlusNormal"/>
              <w:jc w:val="both"/>
            </w:pPr>
            <w:r>
              <w:t>Указывается сумма бюджетного обязательства в валюте Российской Федерации.</w:t>
            </w:r>
          </w:p>
        </w:tc>
      </w:tr>
      <w:tr>
        <w:tc>
          <w:tcPr>
            <w:tcW w:w="3965" w:type="dxa"/>
          </w:tcPr>
          <w:p>
            <w:pPr>
              <w:pStyle w:val="ConsPlusNormal"/>
            </w:pPr>
            <w:r>
              <w:t>10.12. Уведомление о поступлении исполнительного документа/решения налогового органа</w:t>
            </w:r>
          </w:p>
        </w:tc>
        <w:tc>
          <w:tcPr>
            <w:tcW w:w="5669" w:type="dxa"/>
          </w:tcPr>
          <w:p>
            <w:pPr>
              <w:pStyle w:val="ConsPlusNormal"/>
              <w:ind w:firstLine="283"/>
              <w:jc w:val="both"/>
            </w:pPr>
            <w:r>
              <w:t xml:space="preserve">При заполнении в </w:t>
            </w:r>
            <w:hyperlink w:anchor="P898">
              <w:r>
                <w:t>пункте 10.1</w:t>
              </w:r>
            </w:hyperlink>
            <w:r>
              <w:t xml:space="preserve"> настоящей информации вида документа «исполнительный документ» или «решение налогового органа» указывается номер и дата уведомления УФК по ТО о поступлении исполнительного документа (решения налогового органа), направленного должнику.</w:t>
            </w:r>
          </w:p>
        </w:tc>
      </w:tr>
      <w:tr>
        <w:tc>
          <w:tcPr>
            <w:tcW w:w="3965" w:type="dxa"/>
          </w:tcPr>
          <w:p>
            <w:pPr>
              <w:pStyle w:val="ConsPlusNormal"/>
            </w:pPr>
            <w:r>
              <w:t xml:space="preserve">10.13. Основание </w:t>
            </w:r>
            <w:proofErr w:type="spellStart"/>
            <w:r>
              <w:t>невключения</w:t>
            </w:r>
            <w:proofErr w:type="spellEnd"/>
            <w:r>
              <w:t xml:space="preserve"> договора (муниципального контракта) в реестр контрактов</w:t>
            </w:r>
          </w:p>
        </w:tc>
        <w:tc>
          <w:tcPr>
            <w:tcW w:w="5669" w:type="dxa"/>
          </w:tcPr>
          <w:p>
            <w:pPr>
              <w:pStyle w:val="ConsPlusNormal"/>
              <w:ind w:firstLine="283"/>
              <w:jc w:val="both"/>
            </w:pPr>
            <w:r>
              <w:t xml:space="preserve">При заполнении в </w:t>
            </w:r>
            <w:hyperlink w:anchor="P898">
              <w:r>
                <w:t>пункте 10.1</w:t>
              </w:r>
            </w:hyperlink>
            <w:r>
              <w:t xml:space="preserve"> настоящей информации вида документа «договор» указываются положения законодательства Российской Федерации о контрактной системе в сфере закупок товаров, работ, услуг для государственных и муниципальных нужд, являющиеся основанием для </w:t>
            </w:r>
            <w:proofErr w:type="spellStart"/>
            <w:r>
              <w:t>невключения</w:t>
            </w:r>
            <w:proofErr w:type="spellEnd"/>
            <w:r>
              <w:t xml:space="preserve"> договора (контракта) в реестр контрактов.</w:t>
            </w:r>
          </w:p>
        </w:tc>
      </w:tr>
      <w:tr>
        <w:tc>
          <w:tcPr>
            <w:tcW w:w="3965" w:type="dxa"/>
          </w:tcPr>
          <w:p>
            <w:pPr>
              <w:pStyle w:val="ConsPlusNormal"/>
            </w:pPr>
            <w:bookmarkStart w:id="75" w:name="P929"/>
            <w:bookmarkEnd w:id="75"/>
            <w:r>
              <w:t>11. Реквизиты контрагента/взыскателя по исполнительному документу/решению налогового органа</w:t>
            </w:r>
          </w:p>
        </w:tc>
        <w:tc>
          <w:tcPr>
            <w:tcW w:w="5669" w:type="dxa"/>
          </w:tcPr>
          <w:p>
            <w:pPr>
              <w:pStyle w:val="ConsPlusNormal"/>
              <w:jc w:val="both"/>
            </w:pPr>
          </w:p>
        </w:tc>
      </w:tr>
      <w:tr>
        <w:tc>
          <w:tcPr>
            <w:tcW w:w="3965" w:type="dxa"/>
          </w:tcPr>
          <w:p>
            <w:pPr>
              <w:pStyle w:val="ConsPlusNormal"/>
            </w:pPr>
            <w:r>
              <w:t>11.1. Наименование юридического лица/фамилия, имя, отчество физического лица</w:t>
            </w:r>
          </w:p>
        </w:tc>
        <w:tc>
          <w:tcPr>
            <w:tcW w:w="5669" w:type="dxa"/>
          </w:tcPr>
          <w:p>
            <w:pPr>
              <w:pStyle w:val="ConsPlusNormal"/>
              <w:jc w:val="both"/>
            </w:pPr>
            <w:r>
              <w:t>Указывается наименование поставщика (подрядчика, исполнителя, получателя денежных средств ЗАТО Северск), фамилия, имя, отчество физического лица по документу-основанию (далее - контрагент), в соответствии со сведениями Единого муниципального реестра юридических лиц (далее - ЕГРЮЛ) на основании документа-основания.</w:t>
            </w:r>
          </w:p>
        </w:tc>
      </w:tr>
      <w:tr>
        <w:tc>
          <w:tcPr>
            <w:tcW w:w="3965" w:type="dxa"/>
          </w:tcPr>
          <w:p>
            <w:pPr>
              <w:pStyle w:val="ConsPlusNormal"/>
            </w:pPr>
            <w:r>
              <w:t>11.2. Идентификационный номер налогоплательщика (ИНН)</w:t>
            </w:r>
          </w:p>
        </w:tc>
        <w:tc>
          <w:tcPr>
            <w:tcW w:w="5669" w:type="dxa"/>
          </w:tcPr>
          <w:p>
            <w:pPr>
              <w:pStyle w:val="ConsPlusNormal"/>
              <w:jc w:val="both"/>
            </w:pPr>
            <w:r>
              <w:t>Указывается идентификационный номер налогоплательщика контрагента в соответствии со сведениями ЕГРЮЛ.</w:t>
            </w:r>
          </w:p>
        </w:tc>
      </w:tr>
      <w:tr>
        <w:tc>
          <w:tcPr>
            <w:tcW w:w="3965" w:type="dxa"/>
          </w:tcPr>
          <w:p>
            <w:pPr>
              <w:pStyle w:val="ConsPlusNormal"/>
            </w:pPr>
            <w:r>
              <w:t>11.3. Код причины постановки на учет в налоговом органе (КПП)</w:t>
            </w:r>
          </w:p>
        </w:tc>
        <w:tc>
          <w:tcPr>
            <w:tcW w:w="5669" w:type="dxa"/>
          </w:tcPr>
          <w:p>
            <w:pPr>
              <w:pStyle w:val="ConsPlusNormal"/>
              <w:jc w:val="both"/>
            </w:pPr>
            <w:r>
              <w:t>Указывается код причины постановки на учет контрагента в соответствии со сведениями ЕГРЮЛ.</w:t>
            </w:r>
          </w:p>
        </w:tc>
      </w:tr>
      <w:tr>
        <w:tc>
          <w:tcPr>
            <w:tcW w:w="3965" w:type="dxa"/>
          </w:tcPr>
          <w:p>
            <w:pPr>
              <w:pStyle w:val="ConsPlusNormal"/>
            </w:pPr>
            <w:r>
              <w:t>11.4. Код по Сводному реестру</w:t>
            </w:r>
          </w:p>
        </w:tc>
        <w:tc>
          <w:tcPr>
            <w:tcW w:w="5669" w:type="dxa"/>
          </w:tcPr>
          <w:p>
            <w:pPr>
              <w:pStyle w:val="ConsPlusNormal"/>
              <w:jc w:val="both"/>
            </w:pPr>
            <w:r>
              <w:t>Указывается код по Сводному реестру контрагента в случае если операции по исполнению бюджетного обязательства подлежат отражению на лицевом счете, открытом контрагенту в УФК по ТО.</w:t>
            </w:r>
          </w:p>
        </w:tc>
      </w:tr>
      <w:tr>
        <w:tc>
          <w:tcPr>
            <w:tcW w:w="3965" w:type="dxa"/>
          </w:tcPr>
          <w:p>
            <w:pPr>
              <w:pStyle w:val="ConsPlusNormal"/>
            </w:pPr>
            <w:r>
              <w:t>11.5. Номер лицевого счета (раздела на лицевом счете)</w:t>
            </w:r>
          </w:p>
        </w:tc>
        <w:tc>
          <w:tcPr>
            <w:tcW w:w="5669" w:type="dxa"/>
          </w:tcPr>
          <w:p>
            <w:pPr>
              <w:pStyle w:val="ConsPlusNormal"/>
              <w:ind w:firstLine="283"/>
              <w:jc w:val="both"/>
            </w:pPr>
            <w:r>
              <w:t>В случае если операции по исполнению бюджетного обязательства подлежат отражению на лицевом счете, открытом контрагенту в УФК по ТО, указывается номер лицевого счета контрагента в соответствии с документом-основанием.</w:t>
            </w:r>
          </w:p>
          <w:p>
            <w:pPr>
              <w:pStyle w:val="ConsPlusNormal"/>
              <w:ind w:firstLine="283"/>
              <w:jc w:val="both"/>
            </w:pPr>
            <w:r>
              <w:t>Аналитический номер раздела на лицевом счете указывается в случае, если операции по исполнению бюджетного обязательства подлежат отражению на лицевом счете, открытом контрагенту в УФК по ТО, для отражения средств, подлежащих в соответствии с законодательством Российской Федерации казначейскому сопровождению, предоставляемых в соответствии с документом-основанием (при наличии).</w:t>
            </w:r>
          </w:p>
        </w:tc>
      </w:tr>
      <w:tr>
        <w:tc>
          <w:tcPr>
            <w:tcW w:w="3965" w:type="dxa"/>
          </w:tcPr>
          <w:p>
            <w:pPr>
              <w:pStyle w:val="ConsPlusNormal"/>
            </w:pPr>
            <w:r>
              <w:t>11.6. Номер банковского (казначейского) счета</w:t>
            </w:r>
          </w:p>
        </w:tc>
        <w:tc>
          <w:tcPr>
            <w:tcW w:w="5669" w:type="dxa"/>
          </w:tcPr>
          <w:p>
            <w:pPr>
              <w:pStyle w:val="ConsPlusNormal"/>
              <w:jc w:val="both"/>
            </w:pPr>
            <w:r>
              <w:t>Указываются номер банковского (казначейского) счета контрагента (при наличии в документе-основании).</w:t>
            </w:r>
          </w:p>
        </w:tc>
      </w:tr>
      <w:tr>
        <w:tc>
          <w:tcPr>
            <w:tcW w:w="3965" w:type="dxa"/>
          </w:tcPr>
          <w:p>
            <w:pPr>
              <w:pStyle w:val="ConsPlusNormal"/>
            </w:pPr>
            <w:r>
              <w:t>11.7. Наименование банка (иной организации), в котором(-ой) открыт счет контрагенту</w:t>
            </w:r>
          </w:p>
        </w:tc>
        <w:tc>
          <w:tcPr>
            <w:tcW w:w="5669" w:type="dxa"/>
          </w:tcPr>
          <w:p>
            <w:pPr>
              <w:pStyle w:val="ConsPlusNormal"/>
              <w:jc w:val="both"/>
            </w:pPr>
            <w:r>
              <w:t>Указывается наименование банка контрагента или территориального органа Федерального казначейства (при наличии в документе-основании).</w:t>
            </w:r>
          </w:p>
        </w:tc>
      </w:tr>
      <w:tr>
        <w:tc>
          <w:tcPr>
            <w:tcW w:w="3965" w:type="dxa"/>
          </w:tcPr>
          <w:p>
            <w:pPr>
              <w:pStyle w:val="ConsPlusNormal"/>
            </w:pPr>
            <w:r>
              <w:t>11.8. БИК банка</w:t>
            </w:r>
          </w:p>
        </w:tc>
        <w:tc>
          <w:tcPr>
            <w:tcW w:w="5669" w:type="dxa"/>
          </w:tcPr>
          <w:p>
            <w:pPr>
              <w:pStyle w:val="ConsPlusNormal"/>
              <w:jc w:val="both"/>
            </w:pPr>
            <w:r>
              <w:t>Указывается БИК банка контрагента (при наличии в документе-основании).</w:t>
            </w:r>
          </w:p>
        </w:tc>
      </w:tr>
      <w:tr>
        <w:tc>
          <w:tcPr>
            <w:tcW w:w="3965" w:type="dxa"/>
          </w:tcPr>
          <w:p>
            <w:pPr>
              <w:pStyle w:val="ConsPlusNormal"/>
            </w:pPr>
            <w:r>
              <w:t>11.9. Корреспондентский счет банка</w:t>
            </w:r>
          </w:p>
        </w:tc>
        <w:tc>
          <w:tcPr>
            <w:tcW w:w="5669" w:type="dxa"/>
          </w:tcPr>
          <w:p>
            <w:pPr>
              <w:pStyle w:val="ConsPlusNormal"/>
              <w:jc w:val="both"/>
            </w:pPr>
            <w:r>
              <w:t>Указывается корреспондентский счет банка контрагента (при наличии в документе-основании).</w:t>
            </w:r>
          </w:p>
        </w:tc>
      </w:tr>
      <w:tr>
        <w:tc>
          <w:tcPr>
            <w:tcW w:w="3965" w:type="dxa"/>
          </w:tcPr>
          <w:p>
            <w:pPr>
              <w:pStyle w:val="ConsPlusNormal"/>
            </w:pPr>
            <w:r>
              <w:t>12. Расшифровка обязательства</w:t>
            </w:r>
          </w:p>
        </w:tc>
        <w:tc>
          <w:tcPr>
            <w:tcW w:w="5669" w:type="dxa"/>
          </w:tcPr>
          <w:p>
            <w:pPr>
              <w:pStyle w:val="ConsPlusNormal"/>
              <w:jc w:val="both"/>
            </w:pPr>
          </w:p>
        </w:tc>
      </w:tr>
      <w:tr>
        <w:tc>
          <w:tcPr>
            <w:tcW w:w="3965" w:type="dxa"/>
          </w:tcPr>
          <w:p>
            <w:pPr>
              <w:pStyle w:val="ConsPlusNormal"/>
            </w:pPr>
            <w:r>
              <w:t xml:space="preserve">12.1. Наименование объекта капитального строительства или объекта недвижимого имущества </w:t>
            </w:r>
          </w:p>
        </w:tc>
        <w:tc>
          <w:tcPr>
            <w:tcW w:w="5669" w:type="dxa"/>
          </w:tcPr>
          <w:p>
            <w:pPr>
              <w:pStyle w:val="ConsPlusNormal"/>
              <w:jc w:val="both"/>
            </w:pPr>
            <w:r>
              <w:t>Указывается наименование объекта капитального строительства или объекта недвижимого имущества.</w:t>
            </w:r>
          </w:p>
        </w:tc>
      </w:tr>
      <w:tr>
        <w:tc>
          <w:tcPr>
            <w:tcW w:w="3965" w:type="dxa"/>
          </w:tcPr>
          <w:p>
            <w:pPr>
              <w:pStyle w:val="ConsPlusNormal"/>
            </w:pPr>
            <w:r>
              <w:t xml:space="preserve">12.2. Уникальный код объекта капитального строительства или объекта недвижимого имущества </w:t>
            </w:r>
          </w:p>
        </w:tc>
        <w:tc>
          <w:tcPr>
            <w:tcW w:w="5669" w:type="dxa"/>
          </w:tcPr>
          <w:p>
            <w:pPr>
              <w:pStyle w:val="ConsPlusNormal"/>
              <w:jc w:val="both"/>
            </w:pPr>
            <w:r>
              <w:t>Указывается уникальный код объекта капитального строительства или объекта недвижимого имущества, код мероприятия по информатизации.</w:t>
            </w:r>
          </w:p>
        </w:tc>
      </w:tr>
      <w:tr>
        <w:tc>
          <w:tcPr>
            <w:tcW w:w="3965" w:type="dxa"/>
          </w:tcPr>
          <w:p>
            <w:pPr>
              <w:pStyle w:val="ConsPlusNormal"/>
            </w:pPr>
            <w:r>
              <w:t xml:space="preserve">12.3. Итого по уникальному коду объекта капитального строительства или объекта недвижимого имущества </w:t>
            </w:r>
          </w:p>
        </w:tc>
        <w:tc>
          <w:tcPr>
            <w:tcW w:w="5669" w:type="dxa"/>
          </w:tcPr>
          <w:p>
            <w:pPr>
              <w:pStyle w:val="ConsPlusNormal"/>
              <w:jc w:val="both"/>
            </w:pPr>
            <w:r>
              <w:t xml:space="preserve">Указываются </w:t>
            </w:r>
            <w:proofErr w:type="spellStart"/>
            <w:r>
              <w:t>группировочно</w:t>
            </w:r>
            <w:proofErr w:type="spellEnd"/>
            <w:r>
              <w:t xml:space="preserve"> итоговые суммы по уникальному коду объекта капитального строительства или объекта недвижимого имущества.</w:t>
            </w:r>
          </w:p>
        </w:tc>
      </w:tr>
      <w:tr>
        <w:tc>
          <w:tcPr>
            <w:tcW w:w="3965" w:type="dxa"/>
          </w:tcPr>
          <w:p>
            <w:pPr>
              <w:pStyle w:val="ConsPlusNormal"/>
            </w:pPr>
            <w:r>
              <w:t>12.4. Код по бюджетной классификации</w:t>
            </w:r>
          </w:p>
        </w:tc>
        <w:tc>
          <w:tcPr>
            <w:tcW w:w="5669" w:type="dxa"/>
          </w:tcPr>
          <w:p>
            <w:pPr>
              <w:pStyle w:val="ConsPlusNormal"/>
              <w:jc w:val="both"/>
            </w:pPr>
            <w:r>
              <w:t>Указывается код классификации расходов бюджета в соответствии с предметом документа-основания.</w:t>
            </w:r>
          </w:p>
          <w:p>
            <w:pPr>
              <w:pStyle w:val="ConsPlusNormal"/>
              <w:jc w:val="both"/>
            </w:pPr>
            <w: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 на основании информации, представленной должником.</w:t>
            </w:r>
          </w:p>
        </w:tc>
      </w:tr>
      <w:tr>
        <w:tc>
          <w:tcPr>
            <w:tcW w:w="3965" w:type="dxa"/>
          </w:tcPr>
          <w:p>
            <w:pPr>
              <w:pStyle w:val="ConsPlusNormal"/>
            </w:pPr>
            <w:r>
              <w:t>12.5. Сумма обязательства в разрезе на текущий финансовый год и первый и второй год планового периода</w:t>
            </w:r>
          </w:p>
        </w:tc>
        <w:tc>
          <w:tcPr>
            <w:tcW w:w="5669" w:type="dxa"/>
          </w:tcPr>
          <w:p>
            <w:pPr>
              <w:pStyle w:val="ConsPlusNormal"/>
              <w:jc w:val="both"/>
            </w:pPr>
            <w:r>
              <w:t>Отражаются суммы принятых бюджетных обязательств за счет средств бюджета в валюте Российской Федерации в разрезе на 20__ текущий финансовый год (первый и второй год планового периода).</w:t>
            </w:r>
          </w:p>
        </w:tc>
      </w:tr>
      <w:tr>
        <w:tc>
          <w:tcPr>
            <w:tcW w:w="3965" w:type="dxa"/>
          </w:tcPr>
          <w:p>
            <w:pPr>
              <w:pStyle w:val="ConsPlusNormal"/>
            </w:pPr>
            <w:r>
              <w:t>12.6. Объем права на принятие обязательств в разрезе сумм на текущий финансовый год, на первый и второй год планового периода</w:t>
            </w:r>
          </w:p>
        </w:tc>
        <w:tc>
          <w:tcPr>
            <w:tcW w:w="5669" w:type="dxa"/>
          </w:tcPr>
          <w:p>
            <w:pPr>
              <w:pStyle w:val="ConsPlusNormal"/>
              <w:jc w:val="both"/>
            </w:pPr>
            <w:r>
              <w:t>Указываются суммы доведенных лимитов бюджетных обязательств на текущий финансовый год, на первый и второй год планового периода.</w:t>
            </w:r>
          </w:p>
        </w:tc>
      </w:tr>
      <w:tr>
        <w:tc>
          <w:tcPr>
            <w:tcW w:w="3965" w:type="dxa"/>
          </w:tcPr>
          <w:p>
            <w:pPr>
              <w:pStyle w:val="ConsPlusNormal"/>
            </w:pPr>
            <w:r>
              <w:t>12.7. Сумма обязательства, превышающая допустимый объем на текущий финансовый год, на первый и второй год планового периода</w:t>
            </w:r>
          </w:p>
        </w:tc>
        <w:tc>
          <w:tcPr>
            <w:tcW w:w="5669" w:type="dxa"/>
          </w:tcPr>
          <w:p>
            <w:pPr>
              <w:pStyle w:val="ConsPlusNormal"/>
              <w:jc w:val="both"/>
            </w:pPr>
            <w:r>
              <w:t>Указывается сумма превышения принятого бюджетного обязательства над доведенными лимитами бюджетных обязательств в разрезе текущего финансового года, первого и второго года планового периода.</w:t>
            </w:r>
          </w:p>
        </w:tc>
      </w:tr>
      <w:tr>
        <w:tc>
          <w:tcPr>
            <w:tcW w:w="3965" w:type="dxa"/>
          </w:tcPr>
          <w:p>
            <w:pPr>
              <w:pStyle w:val="ConsPlusNormal"/>
            </w:pPr>
            <w:r>
              <w:t>12.8. Всего в разрезе сумм на текущий финансовый год, на первый и второй год планового периода</w:t>
            </w:r>
          </w:p>
        </w:tc>
        <w:tc>
          <w:tcPr>
            <w:tcW w:w="5669" w:type="dxa"/>
          </w:tcPr>
          <w:p>
            <w:pPr>
              <w:pStyle w:val="ConsPlusNormal"/>
              <w:jc w:val="both"/>
            </w:pPr>
            <w:r>
              <w:t xml:space="preserve">Указываются итоговые суммы </w:t>
            </w:r>
            <w:proofErr w:type="spellStart"/>
            <w:r>
              <w:t>группировочно</w:t>
            </w:r>
            <w:proofErr w:type="spellEnd"/>
            <w:r>
              <w:t xml:space="preserve"> по сумме обязательств, объему прав на принятие обязательств, сумме превышения на текущий год, первый и второй год планового периода.</w:t>
            </w:r>
          </w:p>
        </w:tc>
      </w:tr>
      <w:tr>
        <w:tc>
          <w:tcPr>
            <w:tcW w:w="3965" w:type="dxa"/>
          </w:tcPr>
          <w:p>
            <w:pPr>
              <w:pStyle w:val="ConsPlusNormal"/>
            </w:pPr>
            <w:r>
              <w:t>12.9. Примечание</w:t>
            </w:r>
          </w:p>
        </w:tc>
        <w:tc>
          <w:tcPr>
            <w:tcW w:w="5669" w:type="dxa"/>
          </w:tcPr>
          <w:p>
            <w:pPr>
              <w:pStyle w:val="ConsPlusNormal"/>
              <w:jc w:val="both"/>
            </w:pPr>
            <w:r>
              <w:t>Указывается иная информация, необходимая для формирования Уведомления о превышении.</w:t>
            </w:r>
          </w:p>
        </w:tc>
      </w:tr>
      <w:tr>
        <w:tc>
          <w:tcPr>
            <w:tcW w:w="3965" w:type="dxa"/>
          </w:tcPr>
          <w:p>
            <w:pPr>
              <w:pStyle w:val="ConsPlusNormal"/>
            </w:pPr>
            <w:r>
              <w:t>13. Руководитель (уполномоченное лицо)</w:t>
            </w:r>
          </w:p>
        </w:tc>
        <w:tc>
          <w:tcPr>
            <w:tcW w:w="5669" w:type="dxa"/>
          </w:tcPr>
          <w:p>
            <w:pPr>
              <w:pStyle w:val="ConsPlusNormal"/>
              <w:jc w:val="both"/>
            </w:pPr>
            <w:r>
              <w:t>Указываются должность, подпись, расшифровка подписи руководителя (уполномоченного лица), подписавшего Уведомление о превышении.</w:t>
            </w:r>
          </w:p>
        </w:tc>
      </w:tr>
      <w:tr>
        <w:tc>
          <w:tcPr>
            <w:tcW w:w="3965" w:type="dxa"/>
          </w:tcPr>
          <w:p>
            <w:pPr>
              <w:pStyle w:val="ConsPlusNormal"/>
            </w:pPr>
            <w:r>
              <w:t>14. Дата</w:t>
            </w:r>
          </w:p>
        </w:tc>
        <w:tc>
          <w:tcPr>
            <w:tcW w:w="5669" w:type="dxa"/>
          </w:tcPr>
          <w:p>
            <w:pPr>
              <w:pStyle w:val="ConsPlusNormal"/>
              <w:jc w:val="both"/>
            </w:pPr>
            <w:r>
              <w:t>Указывается дата подписания Уведомления о превышении.</w:t>
            </w:r>
          </w:p>
        </w:tc>
      </w:tr>
    </w:tbl>
    <w:p>
      <w:pPr>
        <w:pStyle w:val="ConsPlusNormal"/>
        <w:jc w:val="both"/>
        <w:sectPr>
          <w:headerReference w:type="first" r:id="rId82"/>
          <w:pgSz w:w="11906" w:h="16838"/>
          <w:pgMar w:top="993" w:right="567" w:bottom="851" w:left="1701" w:header="567" w:footer="454" w:gutter="0"/>
          <w:pgNumType w:start="1"/>
          <w:cols w:space="708"/>
          <w:titlePg/>
          <w:docGrid w:linePitch="360"/>
        </w:sectPr>
      </w:pPr>
    </w:p>
    <w:p>
      <w:pPr>
        <w:pStyle w:val="ConsPlusNormal"/>
        <w:ind w:firstLine="5245"/>
        <w:outlineLvl w:val="1"/>
      </w:pPr>
      <w:r>
        <w:t>Приложение № 5</w:t>
      </w:r>
    </w:p>
    <w:p>
      <w:pPr>
        <w:pStyle w:val="ConsPlusNormal"/>
        <w:ind w:firstLine="5245"/>
      </w:pPr>
      <w:r>
        <w:t>к Порядку учета бюджетных и денежных</w:t>
      </w:r>
    </w:p>
    <w:p>
      <w:pPr>
        <w:pStyle w:val="ConsPlusNormal"/>
        <w:ind w:firstLine="5245"/>
      </w:pPr>
      <w:r>
        <w:t>обязательств получателей средств</w:t>
      </w:r>
    </w:p>
    <w:p>
      <w:pPr>
        <w:autoSpaceDE w:val="0"/>
        <w:autoSpaceDN w:val="0"/>
        <w:adjustRightInd w:val="0"/>
        <w:ind w:firstLine="5245"/>
        <w:rPr>
          <w:rFonts w:ascii="Times New Roman" w:hAnsi="Times New Roman"/>
          <w:bCs/>
          <w:sz w:val="24"/>
          <w:szCs w:val="24"/>
        </w:rPr>
      </w:pPr>
      <w:r>
        <w:rPr>
          <w:rFonts w:ascii="Times New Roman" w:hAnsi="Times New Roman"/>
          <w:sz w:val="24"/>
          <w:szCs w:val="24"/>
        </w:rPr>
        <w:t xml:space="preserve">бюджета </w:t>
      </w:r>
      <w:r>
        <w:rPr>
          <w:rFonts w:ascii="Times New Roman" w:hAnsi="Times New Roman"/>
          <w:bCs/>
          <w:sz w:val="24"/>
          <w:szCs w:val="24"/>
        </w:rPr>
        <w:t xml:space="preserve">городского округа закрытого </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административно-территориального</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образования Северск Томской области</w:t>
      </w:r>
    </w:p>
    <w:p>
      <w:pPr>
        <w:pStyle w:val="ConsPlusNormal"/>
        <w:spacing w:after="1"/>
        <w:ind w:firstLine="5245"/>
        <w:rPr>
          <w:rFonts w:eastAsiaTheme="minorHAnsi"/>
          <w:szCs w:val="24"/>
          <w:lang w:eastAsia="en-US"/>
        </w:rPr>
      </w:pPr>
      <w:r>
        <w:rPr>
          <w:rFonts w:eastAsiaTheme="minorHAnsi"/>
          <w:szCs w:val="24"/>
          <w:lang w:eastAsia="en-US"/>
        </w:rPr>
        <w:t xml:space="preserve">Управлением Федерального казначейства </w:t>
      </w:r>
    </w:p>
    <w:p>
      <w:pPr>
        <w:pStyle w:val="ConsPlusNormal"/>
        <w:spacing w:after="1"/>
        <w:ind w:firstLine="5245"/>
      </w:pPr>
      <w:r>
        <w:rPr>
          <w:rFonts w:eastAsiaTheme="minorHAnsi"/>
          <w:szCs w:val="24"/>
          <w:lang w:eastAsia="en-US"/>
        </w:rPr>
        <w:t xml:space="preserve">по </w:t>
      </w:r>
      <w:r>
        <w:rPr>
          <w:bCs/>
          <w:szCs w:val="24"/>
        </w:rPr>
        <w:t>Томской области</w:t>
      </w:r>
    </w:p>
    <w:p>
      <w:pPr>
        <w:pStyle w:val="ConsPlusNormal"/>
        <w:spacing w:after="1"/>
        <w:jc w:val="right"/>
      </w:pPr>
    </w:p>
    <w:p>
      <w:pPr>
        <w:pStyle w:val="ConsPlusNonformat"/>
        <w:jc w:val="center"/>
        <w:rPr>
          <w:rFonts w:ascii="Times New Roman" w:eastAsia="Times New Roman" w:hAnsi="Times New Roman" w:cs="Times New Roman"/>
          <w:sz w:val="24"/>
          <w:szCs w:val="20"/>
        </w:rPr>
      </w:pPr>
      <w:bookmarkStart w:id="76" w:name="P991"/>
      <w:bookmarkEnd w:id="76"/>
      <w:r>
        <w:rPr>
          <w:rFonts w:ascii="Times New Roman" w:eastAsia="Times New Roman" w:hAnsi="Times New Roman" w:cs="Times New Roman"/>
          <w:sz w:val="24"/>
          <w:szCs w:val="20"/>
        </w:rPr>
        <w:t>Реквизиты</w:t>
      </w:r>
    </w:p>
    <w:p>
      <w:pPr>
        <w:pStyle w:val="ConsPlusNonformat"/>
        <w:jc w:val="center"/>
        <w:rPr>
          <w:rFonts w:ascii="Times New Roman" w:eastAsia="Times New Roman" w:hAnsi="Times New Roman" w:cs="Times New Roman"/>
          <w:sz w:val="24"/>
          <w:szCs w:val="20"/>
        </w:rPr>
      </w:pPr>
      <w:r>
        <w:rPr>
          <w:rFonts w:ascii="Times New Roman" w:eastAsia="Times New Roman" w:hAnsi="Times New Roman" w:cs="Times New Roman"/>
          <w:sz w:val="24"/>
          <w:szCs w:val="20"/>
        </w:rPr>
        <w:t>отчетного документа Справка об исполнении принятых на учет</w:t>
      </w:r>
    </w:p>
    <w:p>
      <w:pPr>
        <w:pStyle w:val="ConsPlusNonformat"/>
        <w:jc w:val="center"/>
        <w:rPr>
          <w:rFonts w:ascii="Times New Roman" w:eastAsia="Times New Roman" w:hAnsi="Times New Roman" w:cs="Times New Roman"/>
          <w:sz w:val="24"/>
          <w:szCs w:val="20"/>
        </w:rPr>
      </w:pPr>
      <w:r>
        <w:rPr>
          <w:rFonts w:ascii="Times New Roman" w:eastAsia="Times New Roman" w:hAnsi="Times New Roman" w:cs="Times New Roman"/>
          <w:sz w:val="24"/>
          <w:szCs w:val="20"/>
        </w:rPr>
        <w:t>_______________________________ обязательств</w:t>
      </w:r>
    </w:p>
    <w:p>
      <w:pPr>
        <w:pStyle w:val="ConsPlusNonformat"/>
        <w:jc w:val="center"/>
        <w:rPr>
          <w:rFonts w:ascii="Times New Roman" w:eastAsia="Times New Roman" w:hAnsi="Times New Roman" w:cs="Times New Roman"/>
          <w:sz w:val="24"/>
          <w:szCs w:val="20"/>
        </w:rPr>
      </w:pPr>
      <w:r>
        <w:rPr>
          <w:rFonts w:ascii="Times New Roman" w:eastAsia="Times New Roman" w:hAnsi="Times New Roman" w:cs="Times New Roman"/>
          <w:sz w:val="24"/>
          <w:szCs w:val="20"/>
        </w:rPr>
        <w:t>(бюджетных, денежных)</w:t>
      </w:r>
    </w:p>
    <w:p>
      <w:pPr>
        <w:pStyle w:val="ConsPlusNormal"/>
        <w:jc w:val="center"/>
      </w:pPr>
    </w:p>
    <w:tbl>
      <w:tblPr>
        <w:tblW w:w="9634"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909"/>
        <w:gridCol w:w="1817"/>
        <w:gridCol w:w="3908"/>
      </w:tblGrid>
      <w:tr>
        <w:trPr>
          <w:trHeight w:val="126"/>
        </w:trPr>
        <w:tc>
          <w:tcPr>
            <w:tcW w:w="5726" w:type="dxa"/>
            <w:gridSpan w:val="2"/>
            <w:tcBorders>
              <w:top w:val="nil"/>
              <w:left w:val="nil"/>
              <w:bottom w:val="single" w:sz="4" w:space="0" w:color="auto"/>
              <w:right w:val="nil"/>
            </w:tcBorders>
          </w:tcPr>
          <w:p>
            <w:pPr>
              <w:pStyle w:val="ConsPlusNormal"/>
            </w:pPr>
            <w:r>
              <w:t>Единица измерения: руб.</w:t>
            </w:r>
          </w:p>
          <w:p>
            <w:pPr>
              <w:pStyle w:val="ConsPlusNormal"/>
            </w:pPr>
            <w:r>
              <w:t>(с точностью до второго десятичного знака)</w:t>
            </w:r>
          </w:p>
        </w:tc>
        <w:tc>
          <w:tcPr>
            <w:tcW w:w="3908" w:type="dxa"/>
            <w:tcBorders>
              <w:top w:val="nil"/>
              <w:left w:val="nil"/>
              <w:bottom w:val="single" w:sz="4" w:space="0" w:color="auto"/>
              <w:right w:val="nil"/>
            </w:tcBorders>
            <w:vAlign w:val="bottom"/>
          </w:tcPr>
          <w:p>
            <w:pPr>
              <w:pStyle w:val="ConsPlusNormal"/>
              <w:jc w:val="right"/>
            </w:pPr>
            <w:r>
              <w:t>Периодичность: месячная</w:t>
            </w:r>
          </w:p>
        </w:tc>
      </w:tr>
      <w:tr>
        <w:trPr>
          <w:trHeight w:val="126"/>
        </w:trPr>
        <w:tc>
          <w:tcPr>
            <w:tcW w:w="3909" w:type="dxa"/>
            <w:tcBorders>
              <w:top w:val="single" w:sz="4" w:space="0" w:color="auto"/>
              <w:bottom w:val="nil"/>
            </w:tcBorders>
          </w:tcPr>
          <w:p>
            <w:pPr>
              <w:pStyle w:val="ConsPlusNormal"/>
              <w:jc w:val="center"/>
            </w:pPr>
            <w:r>
              <w:t>Наименование реквизита</w:t>
            </w:r>
          </w:p>
        </w:tc>
        <w:tc>
          <w:tcPr>
            <w:tcW w:w="5725" w:type="dxa"/>
            <w:gridSpan w:val="2"/>
            <w:tcBorders>
              <w:top w:val="single" w:sz="4" w:space="0" w:color="auto"/>
              <w:bottom w:val="nil"/>
            </w:tcBorders>
          </w:tcPr>
          <w:p>
            <w:pPr>
              <w:pStyle w:val="ConsPlusNormal"/>
              <w:jc w:val="center"/>
            </w:pPr>
            <w:r>
              <w:t>Правила формирования (заполнения) реквизита</w:t>
            </w:r>
          </w:p>
        </w:tc>
      </w:tr>
    </w:tbl>
    <w:p>
      <w:pPr>
        <w:rPr>
          <w:sz w:val="2"/>
          <w:szCs w:val="2"/>
        </w:rPr>
      </w:pPr>
    </w:p>
    <w:tbl>
      <w:tblPr>
        <w:tblW w:w="9634"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909"/>
        <w:gridCol w:w="5725"/>
      </w:tblGrid>
      <w:tr>
        <w:trPr>
          <w:trHeight w:val="126"/>
          <w:tblHeader/>
        </w:trPr>
        <w:tc>
          <w:tcPr>
            <w:tcW w:w="3909" w:type="dxa"/>
          </w:tcPr>
          <w:p>
            <w:pPr>
              <w:pStyle w:val="ConsPlusNormal"/>
              <w:jc w:val="center"/>
            </w:pPr>
            <w:r>
              <w:t>1</w:t>
            </w:r>
          </w:p>
        </w:tc>
        <w:tc>
          <w:tcPr>
            <w:tcW w:w="5725" w:type="dxa"/>
          </w:tcPr>
          <w:p>
            <w:pPr>
              <w:pStyle w:val="ConsPlusNormal"/>
              <w:jc w:val="center"/>
            </w:pPr>
            <w:r>
              <w:t>2</w:t>
            </w:r>
          </w:p>
        </w:tc>
      </w:tr>
      <w:tr>
        <w:trPr>
          <w:trHeight w:val="126"/>
        </w:trPr>
        <w:tc>
          <w:tcPr>
            <w:tcW w:w="3909" w:type="dxa"/>
          </w:tcPr>
          <w:p>
            <w:pPr>
              <w:pStyle w:val="ConsPlusNormal"/>
            </w:pPr>
            <w:r>
              <w:t>1. Дата</w:t>
            </w:r>
          </w:p>
        </w:tc>
        <w:tc>
          <w:tcPr>
            <w:tcW w:w="5725" w:type="dxa"/>
          </w:tcPr>
          <w:p>
            <w:pPr>
              <w:pStyle w:val="ConsPlusNormal"/>
              <w:jc w:val="both"/>
            </w:pPr>
            <w:r>
              <w:t>Указывается дата по состоянию на 1-е число каждого месяца и по состоянию на дату, указанную в запросе получателя средств бюджета ЗАТО Северск, нарастающим итогом с 1 января текущего финансового года и содержит информацию об исполнении бюджетных, денежных обязательств, поставленных на учет в УФК по ТО на основании Сведений об обязательстве.</w:t>
            </w:r>
          </w:p>
        </w:tc>
      </w:tr>
      <w:tr>
        <w:trPr>
          <w:trHeight w:val="126"/>
        </w:trPr>
        <w:tc>
          <w:tcPr>
            <w:tcW w:w="3909" w:type="dxa"/>
          </w:tcPr>
          <w:p>
            <w:pPr>
              <w:pStyle w:val="ConsPlusNormal"/>
            </w:pPr>
            <w:r>
              <w:t>2. Наименование органа Федерального казначейства</w:t>
            </w:r>
          </w:p>
        </w:tc>
        <w:tc>
          <w:tcPr>
            <w:tcW w:w="5725" w:type="dxa"/>
          </w:tcPr>
          <w:p>
            <w:pPr>
              <w:pStyle w:val="ConsPlusNormal"/>
              <w:jc w:val="both"/>
            </w:pPr>
            <w:r>
              <w:t>Указывается наименование территориального органа Федерального казначейства – «Управление Федерального казначейства по Томской области».</w:t>
            </w:r>
          </w:p>
        </w:tc>
      </w:tr>
      <w:tr>
        <w:trPr>
          <w:trHeight w:val="126"/>
        </w:trPr>
        <w:tc>
          <w:tcPr>
            <w:tcW w:w="3909" w:type="dxa"/>
          </w:tcPr>
          <w:p>
            <w:pPr>
              <w:pStyle w:val="ConsPlusNormal"/>
            </w:pPr>
            <w:r>
              <w:t>2.1. Код органа Федерального казначейства (КОФК)</w:t>
            </w:r>
          </w:p>
        </w:tc>
        <w:tc>
          <w:tcPr>
            <w:tcW w:w="5725" w:type="dxa"/>
          </w:tcPr>
          <w:p>
            <w:pPr>
              <w:pStyle w:val="ConsPlusNormal"/>
              <w:jc w:val="both"/>
            </w:pPr>
            <w:r>
              <w:t>Указывается код органа Федерального казначейства, присвоенный Федеральным казначейством.</w:t>
            </w:r>
          </w:p>
        </w:tc>
      </w:tr>
      <w:tr>
        <w:trPr>
          <w:trHeight w:val="126"/>
        </w:trPr>
        <w:tc>
          <w:tcPr>
            <w:tcW w:w="3909" w:type="dxa"/>
          </w:tcPr>
          <w:p>
            <w:pPr>
              <w:pStyle w:val="ConsPlusNormal"/>
            </w:pPr>
            <w:r>
              <w:t>3. Получатель бюджетных средств</w:t>
            </w:r>
          </w:p>
        </w:tc>
        <w:tc>
          <w:tcPr>
            <w:tcW w:w="5725" w:type="dxa"/>
          </w:tcPr>
          <w:p>
            <w:pPr>
              <w:pStyle w:val="ConsPlusNormal"/>
              <w:jc w:val="both"/>
            </w:pPr>
            <w:r>
              <w:t>Указывается наименование получателя средств бюджета ЗАТО Северск,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tc>
      </w:tr>
      <w:tr>
        <w:trPr>
          <w:trHeight w:val="126"/>
        </w:trPr>
        <w:tc>
          <w:tcPr>
            <w:tcW w:w="3909" w:type="dxa"/>
          </w:tcPr>
          <w:p>
            <w:pPr>
              <w:pStyle w:val="ConsPlusNormal"/>
            </w:pPr>
            <w:r>
              <w:t>3.1. Код по Сводному реестру</w:t>
            </w:r>
          </w:p>
        </w:tc>
        <w:tc>
          <w:tcPr>
            <w:tcW w:w="5725" w:type="dxa"/>
          </w:tcPr>
          <w:p>
            <w:pPr>
              <w:pStyle w:val="ConsPlusNormal"/>
              <w:jc w:val="both"/>
            </w:pPr>
            <w:r>
              <w:t>Указывается код получателя средств бюджета ЗАТО Северск по Сводному реестру.</w:t>
            </w:r>
          </w:p>
        </w:tc>
      </w:tr>
      <w:tr>
        <w:trPr>
          <w:trHeight w:val="126"/>
        </w:trPr>
        <w:tc>
          <w:tcPr>
            <w:tcW w:w="3909" w:type="dxa"/>
          </w:tcPr>
          <w:p>
            <w:pPr>
              <w:pStyle w:val="ConsPlusNormal"/>
            </w:pPr>
            <w:r>
              <w:t>4. Наименование бюджета</w:t>
            </w:r>
          </w:p>
        </w:tc>
        <w:tc>
          <w:tcPr>
            <w:tcW w:w="5725" w:type="dxa"/>
          </w:tcPr>
          <w:p>
            <w:pPr>
              <w:pStyle w:val="ConsPlusNormal"/>
              <w:jc w:val="both"/>
            </w:pPr>
            <w:r>
              <w:t>Указывается наименование бюджета.</w:t>
            </w:r>
          </w:p>
        </w:tc>
      </w:tr>
      <w:tr>
        <w:trPr>
          <w:trHeight w:val="172"/>
        </w:trPr>
        <w:tc>
          <w:tcPr>
            <w:tcW w:w="3909" w:type="dxa"/>
          </w:tcPr>
          <w:p>
            <w:pPr>
              <w:pStyle w:val="ConsPlusNormal"/>
            </w:pPr>
            <w:r>
              <w:t xml:space="preserve">5. Код по </w:t>
            </w:r>
            <w:hyperlink r:id="rId83">
              <w:r>
                <w:t>ОКТМО</w:t>
              </w:r>
            </w:hyperlink>
          </w:p>
        </w:tc>
        <w:tc>
          <w:tcPr>
            <w:tcW w:w="5725" w:type="dxa"/>
          </w:tcPr>
          <w:p>
            <w:pPr>
              <w:pStyle w:val="ConsPlusNormal"/>
              <w:jc w:val="both"/>
            </w:pPr>
            <w:r>
              <w:t xml:space="preserve">Указывается код по Общероссийскому </w:t>
            </w:r>
            <w:hyperlink r:id="rId84">
              <w:r>
                <w:t>классификатору</w:t>
              </w:r>
            </w:hyperlink>
            <w:r>
              <w:t xml:space="preserve"> территорий муниципальных образований территориального органа Федерального казначейства, финансового органа муниципального образования.</w:t>
            </w:r>
          </w:p>
        </w:tc>
      </w:tr>
      <w:tr>
        <w:trPr>
          <w:trHeight w:val="237"/>
        </w:trPr>
        <w:tc>
          <w:tcPr>
            <w:tcW w:w="3909" w:type="dxa"/>
          </w:tcPr>
          <w:p>
            <w:pPr>
              <w:pStyle w:val="ConsPlusNormal"/>
            </w:pPr>
            <w:r>
              <w:t>6. Финансовый орган</w:t>
            </w:r>
          </w:p>
        </w:tc>
        <w:tc>
          <w:tcPr>
            <w:tcW w:w="5725" w:type="dxa"/>
          </w:tcPr>
          <w:p>
            <w:pPr>
              <w:pStyle w:val="ConsPlusNormal"/>
              <w:jc w:val="both"/>
            </w:pPr>
            <w:r>
              <w:t xml:space="preserve">Указывается наименование Финансового органа </w:t>
            </w:r>
            <w:proofErr w:type="gramStart"/>
            <w:r>
              <w:t>–«</w:t>
            </w:r>
            <w:proofErr w:type="gramEnd"/>
            <w:r>
              <w:t>Финансовое управление Администрации ЗАТО Северск».</w:t>
            </w:r>
          </w:p>
        </w:tc>
      </w:tr>
      <w:tr>
        <w:trPr>
          <w:trHeight w:val="712"/>
        </w:trPr>
        <w:tc>
          <w:tcPr>
            <w:tcW w:w="3909" w:type="dxa"/>
          </w:tcPr>
          <w:p>
            <w:pPr>
              <w:pStyle w:val="ConsPlusNormal"/>
            </w:pPr>
            <w:r>
              <w:t>6.1. Код по ОКПО</w:t>
            </w:r>
          </w:p>
        </w:tc>
        <w:tc>
          <w:tcPr>
            <w:tcW w:w="5725" w:type="dxa"/>
          </w:tcPr>
          <w:p>
            <w:pPr>
              <w:pStyle w:val="ConsPlusNormal"/>
              <w:jc w:val="both"/>
            </w:pPr>
            <w:r>
              <w:t>Указывается код финансового органа по Общероссийскому классификатору предприятий и организаций.</w:t>
            </w:r>
          </w:p>
        </w:tc>
      </w:tr>
      <w:tr>
        <w:trPr>
          <w:trHeight w:val="1200"/>
        </w:trPr>
        <w:tc>
          <w:tcPr>
            <w:tcW w:w="3909" w:type="dxa"/>
          </w:tcPr>
          <w:p>
            <w:pPr>
              <w:pStyle w:val="ConsPlusNormal"/>
            </w:pPr>
            <w:r>
              <w:t>7. Код по бюджетной классификации</w:t>
            </w:r>
          </w:p>
        </w:tc>
        <w:tc>
          <w:tcPr>
            <w:tcW w:w="5725" w:type="dxa"/>
          </w:tcPr>
          <w:p>
            <w:pPr>
              <w:pStyle w:val="ConsPlusNormal"/>
              <w:jc w:val="both"/>
            </w:pPr>
            <w:r>
              <w:t>Указывается составная часть кода бюджетной классификации Российской Федерации, по которому в органе Федерального казначейства приняты на учет бюджетные или денежные обязательства (глава, раздел, подраздел, целевая статья, вид расходов).</w:t>
            </w:r>
          </w:p>
        </w:tc>
      </w:tr>
      <w:tr>
        <w:trPr>
          <w:trHeight w:val="962"/>
        </w:trPr>
        <w:tc>
          <w:tcPr>
            <w:tcW w:w="3909" w:type="dxa"/>
          </w:tcPr>
          <w:p>
            <w:pPr>
              <w:pStyle w:val="ConsPlusNormal"/>
            </w:pPr>
            <w:bookmarkStart w:id="77" w:name="P1023"/>
            <w:bookmarkEnd w:id="77"/>
            <w:r>
              <w:t>8. Распределенные на лицевой счет получателя бюджетных средств лимиты бюджетных обязательств на 20__ текущий финансовый год</w:t>
            </w:r>
          </w:p>
        </w:tc>
        <w:tc>
          <w:tcPr>
            <w:tcW w:w="5725" w:type="dxa"/>
          </w:tcPr>
          <w:p>
            <w:pPr>
              <w:pStyle w:val="ConsPlusNormal"/>
              <w:jc w:val="both"/>
            </w:pPr>
            <w:r>
              <w:t>Указывается сумма распределенных лимитов бюджетных обязательств на текущий финансовый год в разрезе кодов по бюджетной классификации.</w:t>
            </w:r>
          </w:p>
        </w:tc>
      </w:tr>
      <w:tr>
        <w:trPr>
          <w:trHeight w:val="962"/>
        </w:trPr>
        <w:tc>
          <w:tcPr>
            <w:tcW w:w="3909" w:type="dxa"/>
          </w:tcPr>
          <w:p>
            <w:pPr>
              <w:pStyle w:val="ConsPlusNormal"/>
            </w:pPr>
            <w:r>
              <w:t>8.1. Распределенные на лицевой счет получателя бюджетных средств лимиты бюджетных обязательств на плановый период в разрезе лет</w:t>
            </w:r>
          </w:p>
        </w:tc>
        <w:tc>
          <w:tcPr>
            <w:tcW w:w="5725" w:type="dxa"/>
          </w:tcPr>
          <w:p>
            <w:pPr>
              <w:pStyle w:val="ConsPlusNormal"/>
              <w:jc w:val="both"/>
            </w:pPr>
            <w:r>
              <w:t>Указывается сумма распределенных лимитов бюджетных обязательств на первый и второй год планового периода в разрезе кодов по бюджетной классификации.</w:t>
            </w:r>
          </w:p>
        </w:tc>
      </w:tr>
      <w:tr>
        <w:trPr>
          <w:trHeight w:val="474"/>
        </w:trPr>
        <w:tc>
          <w:tcPr>
            <w:tcW w:w="3909" w:type="dxa"/>
          </w:tcPr>
          <w:p>
            <w:pPr>
              <w:pStyle w:val="ConsPlusNormal"/>
            </w:pPr>
            <w:r>
              <w:t>9. Реквизиты принятых на учет обязательств</w:t>
            </w:r>
          </w:p>
        </w:tc>
        <w:tc>
          <w:tcPr>
            <w:tcW w:w="5725" w:type="dxa"/>
          </w:tcPr>
          <w:p>
            <w:pPr>
              <w:pStyle w:val="ConsPlusNormal"/>
              <w:jc w:val="both"/>
            </w:pPr>
          </w:p>
        </w:tc>
      </w:tr>
      <w:tr>
        <w:trPr>
          <w:trHeight w:val="962"/>
        </w:trPr>
        <w:tc>
          <w:tcPr>
            <w:tcW w:w="3909" w:type="dxa"/>
          </w:tcPr>
          <w:p>
            <w:pPr>
              <w:pStyle w:val="ConsPlusNormal"/>
            </w:pPr>
            <w:r>
              <w:t>9.1. Документ-основание/исполнительный документ (решение налогового органа)</w:t>
            </w:r>
          </w:p>
        </w:tc>
        <w:tc>
          <w:tcPr>
            <w:tcW w:w="5725" w:type="dxa"/>
          </w:tcPr>
          <w:p>
            <w:pPr>
              <w:pStyle w:val="ConsPlusNormal"/>
              <w:jc w:val="both"/>
            </w:pPr>
          </w:p>
        </w:tc>
      </w:tr>
      <w:tr>
        <w:trPr>
          <w:trHeight w:val="712"/>
        </w:trPr>
        <w:tc>
          <w:tcPr>
            <w:tcW w:w="3909" w:type="dxa"/>
          </w:tcPr>
          <w:p>
            <w:pPr>
              <w:pStyle w:val="ConsPlusNormal"/>
            </w:pPr>
            <w:r>
              <w:t>9.1.1. Номер документа-основания (исполнительного документа, решения налогового органа)</w:t>
            </w:r>
          </w:p>
        </w:tc>
        <w:tc>
          <w:tcPr>
            <w:tcW w:w="5725" w:type="dxa"/>
          </w:tcPr>
          <w:p>
            <w:pPr>
              <w:pStyle w:val="ConsPlusNormal"/>
              <w:jc w:val="both"/>
            </w:pPr>
            <w:r>
              <w:t>Указывается номер документа-основания (исполнительного документа, решения налогового органа) (при наличии).</w:t>
            </w:r>
          </w:p>
        </w:tc>
      </w:tr>
      <w:tr>
        <w:trPr>
          <w:trHeight w:val="725"/>
        </w:trPr>
        <w:tc>
          <w:tcPr>
            <w:tcW w:w="3909" w:type="dxa"/>
          </w:tcPr>
          <w:p>
            <w:pPr>
              <w:pStyle w:val="ConsPlusNormal"/>
            </w:pPr>
            <w:r>
              <w:t>9.1.2. Дата документа-основания (исполнительного документа, решения налогового органа)</w:t>
            </w:r>
          </w:p>
        </w:tc>
        <w:tc>
          <w:tcPr>
            <w:tcW w:w="5725" w:type="dxa"/>
          </w:tcPr>
          <w:p>
            <w:pPr>
              <w:pStyle w:val="ConsPlusNormal"/>
              <w:jc w:val="both"/>
            </w:pPr>
            <w:r>
              <w:t>Указывается дата документа-основания (исполнительного документа, решения налогового органа) (при наличии).</w:t>
            </w:r>
          </w:p>
        </w:tc>
      </w:tr>
      <w:tr>
        <w:trPr>
          <w:trHeight w:val="962"/>
        </w:trPr>
        <w:tc>
          <w:tcPr>
            <w:tcW w:w="3909" w:type="dxa"/>
          </w:tcPr>
          <w:p>
            <w:pPr>
              <w:pStyle w:val="ConsPlusNormal"/>
            </w:pPr>
            <w:r>
              <w:t>9.1.3. Идентификатор документа-основания (исполнительного документа, решения налогового органа)</w:t>
            </w:r>
          </w:p>
        </w:tc>
        <w:tc>
          <w:tcPr>
            <w:tcW w:w="5725" w:type="dxa"/>
          </w:tcPr>
          <w:p>
            <w:pPr>
              <w:pStyle w:val="ConsPlusNormal"/>
              <w:jc w:val="both"/>
            </w:pPr>
            <w:r>
              <w:t>Указывается идентификатор документа-основания (при наличии).</w:t>
            </w:r>
          </w:p>
        </w:tc>
      </w:tr>
      <w:tr>
        <w:trPr>
          <w:trHeight w:val="474"/>
        </w:trPr>
        <w:tc>
          <w:tcPr>
            <w:tcW w:w="3909" w:type="dxa"/>
          </w:tcPr>
          <w:p>
            <w:pPr>
              <w:pStyle w:val="ConsPlusNormal"/>
            </w:pPr>
            <w:r>
              <w:t>9.2. Учетный номер обязательства</w:t>
            </w:r>
          </w:p>
        </w:tc>
        <w:tc>
          <w:tcPr>
            <w:tcW w:w="5725" w:type="dxa"/>
          </w:tcPr>
          <w:p>
            <w:pPr>
              <w:pStyle w:val="ConsPlusNormal"/>
              <w:jc w:val="both"/>
            </w:pPr>
            <w:r>
              <w:t>Указывается учетный номер бюджетного или денежного обязательства.</w:t>
            </w:r>
          </w:p>
        </w:tc>
      </w:tr>
      <w:tr>
        <w:trPr>
          <w:trHeight w:val="314"/>
        </w:trPr>
        <w:tc>
          <w:tcPr>
            <w:tcW w:w="3909" w:type="dxa"/>
          </w:tcPr>
          <w:p>
            <w:pPr>
              <w:pStyle w:val="ConsPlusNormal"/>
            </w:pPr>
            <w:r>
              <w:t xml:space="preserve">9.3. Уникальный код объекта капитального строительства или объекта недвижимого имущества </w:t>
            </w:r>
          </w:p>
        </w:tc>
        <w:tc>
          <w:tcPr>
            <w:tcW w:w="5725" w:type="dxa"/>
          </w:tcPr>
          <w:p>
            <w:pPr>
              <w:pStyle w:val="ConsPlusNormal"/>
              <w:jc w:val="both"/>
            </w:pPr>
            <w:r>
              <w:t>Указывается уникальный код объекта капитального строительства или объекта недвижимого имущества.</w:t>
            </w:r>
          </w:p>
        </w:tc>
      </w:tr>
      <w:tr>
        <w:trPr>
          <w:trHeight w:val="1437"/>
        </w:trPr>
        <w:tc>
          <w:tcPr>
            <w:tcW w:w="3909" w:type="dxa"/>
          </w:tcPr>
          <w:p>
            <w:pPr>
              <w:pStyle w:val="ConsPlusNormal"/>
            </w:pPr>
            <w:bookmarkStart w:id="78" w:name="P1041"/>
            <w:bookmarkEnd w:id="78"/>
            <w:r>
              <w:t>9.4. Сумма принятых на учет обязательств на 20__ текущий финансовый год в валюте Российской Федерации</w:t>
            </w:r>
          </w:p>
        </w:tc>
        <w:tc>
          <w:tcPr>
            <w:tcW w:w="5725" w:type="dxa"/>
          </w:tcPr>
          <w:p>
            <w:pPr>
              <w:pStyle w:val="ConsPlusNormal"/>
              <w:jc w:val="both"/>
            </w:pPr>
            <w:r>
              <w:t>Указываются суммы принятых на учет в УФК по ТО бюджетных или денежных обязательств на текущий финансовый год (с учетом неисполненных бюджетных или денежных обязательств прошлых лет) в разрезе кодов по бюджетной классификации.</w:t>
            </w:r>
          </w:p>
        </w:tc>
      </w:tr>
      <w:tr>
        <w:trPr>
          <w:trHeight w:val="1213"/>
        </w:trPr>
        <w:tc>
          <w:tcPr>
            <w:tcW w:w="3909" w:type="dxa"/>
          </w:tcPr>
          <w:p>
            <w:pPr>
              <w:pStyle w:val="ConsPlusNormal"/>
            </w:pPr>
            <w:r>
              <w:t>9.5.1. Сумма принятых на учет обязательств на плановый период в валюте Российской Федерации в разрезе первого и второго года</w:t>
            </w:r>
          </w:p>
        </w:tc>
        <w:tc>
          <w:tcPr>
            <w:tcW w:w="5725" w:type="dxa"/>
          </w:tcPr>
          <w:p>
            <w:pPr>
              <w:pStyle w:val="ConsPlusNormal"/>
              <w:jc w:val="both"/>
            </w:pPr>
            <w:r>
              <w:t>Указываются суммы принятых на учет в УФК по ТО бюджетных или денежных обязательств на первый и на второй года планового периода в разрезе кодов по бюджетной классификации.</w:t>
            </w:r>
          </w:p>
        </w:tc>
      </w:tr>
      <w:tr>
        <w:trPr>
          <w:trHeight w:val="949"/>
        </w:trPr>
        <w:tc>
          <w:tcPr>
            <w:tcW w:w="3909" w:type="dxa"/>
          </w:tcPr>
          <w:p>
            <w:pPr>
              <w:pStyle w:val="ConsPlusNormal"/>
            </w:pPr>
            <w:bookmarkStart w:id="79" w:name="P1047"/>
            <w:bookmarkEnd w:id="79"/>
            <w:r>
              <w:t>9.6. Сумма исполненных обязательств текущего финансового года в валюте Российской Федерации</w:t>
            </w:r>
          </w:p>
        </w:tc>
        <w:tc>
          <w:tcPr>
            <w:tcW w:w="5725" w:type="dxa"/>
          </w:tcPr>
          <w:p>
            <w:pPr>
              <w:pStyle w:val="ConsPlusNormal"/>
              <w:jc w:val="both"/>
            </w:pPr>
            <w:r>
              <w:t>Указываются суммы исполненных бюджетных или денежных обязательств текущего финансового года в разрезе кодов бюджетной классификации Российской Федерации.</w:t>
            </w:r>
          </w:p>
        </w:tc>
      </w:tr>
      <w:tr>
        <w:trPr>
          <w:trHeight w:val="962"/>
        </w:trPr>
        <w:tc>
          <w:tcPr>
            <w:tcW w:w="3909" w:type="dxa"/>
          </w:tcPr>
          <w:p>
            <w:pPr>
              <w:pStyle w:val="ConsPlusNormal"/>
            </w:pPr>
            <w:r>
              <w:t>9.6.1. Процент исполнения бюджетных или денежных обязательств текущего финансового года</w:t>
            </w:r>
          </w:p>
        </w:tc>
        <w:tc>
          <w:tcPr>
            <w:tcW w:w="5725" w:type="dxa"/>
          </w:tcPr>
          <w:p>
            <w:pPr>
              <w:pStyle w:val="ConsPlusNormal"/>
              <w:jc w:val="both"/>
            </w:pPr>
            <w:r>
              <w:t>Указывается процент исполненных бюджетных или денежных обязательств текущего финансового года в разрезе кодов бюджетной классификации Российской Федерации.</w:t>
            </w:r>
          </w:p>
        </w:tc>
      </w:tr>
      <w:tr>
        <w:trPr>
          <w:trHeight w:val="1213"/>
        </w:trPr>
        <w:tc>
          <w:tcPr>
            <w:tcW w:w="3909" w:type="dxa"/>
          </w:tcPr>
          <w:p>
            <w:pPr>
              <w:pStyle w:val="ConsPlusNormal"/>
            </w:pPr>
            <w:r>
              <w:t>9.7. Неисполненные обязательства текущего финансового года в валюте Российской Федерации</w:t>
            </w:r>
          </w:p>
        </w:tc>
        <w:tc>
          <w:tcPr>
            <w:tcW w:w="5725" w:type="dxa"/>
          </w:tcPr>
          <w:p>
            <w:pPr>
              <w:pStyle w:val="ConsPlusNormal"/>
              <w:jc w:val="both"/>
            </w:pPr>
            <w:r>
              <w:t xml:space="preserve">Указываются суммы неисполненных бюджетных или денежных обязательств текущего финансового года в разрезе кодов бюджетной классификации Российской Федерации (показатель </w:t>
            </w:r>
            <w:hyperlink w:anchor="P1041">
              <w:r>
                <w:t>пункта 9.4</w:t>
              </w:r>
            </w:hyperlink>
            <w:r>
              <w:t xml:space="preserve"> минус показатель </w:t>
            </w:r>
            <w:hyperlink w:anchor="P1047">
              <w:r>
                <w:t>пункта 9.6</w:t>
              </w:r>
            </w:hyperlink>
            <w:r>
              <w:t>).</w:t>
            </w:r>
          </w:p>
        </w:tc>
      </w:tr>
      <w:tr>
        <w:trPr>
          <w:trHeight w:val="1200"/>
        </w:trPr>
        <w:tc>
          <w:tcPr>
            <w:tcW w:w="3909" w:type="dxa"/>
          </w:tcPr>
          <w:p>
            <w:pPr>
              <w:pStyle w:val="ConsPlusNormal"/>
            </w:pPr>
            <w:r>
              <w:t>9.8. Сумма неиспользованного остатка лимитов бюджетных обязательств текущего финансового года</w:t>
            </w:r>
          </w:p>
        </w:tc>
        <w:tc>
          <w:tcPr>
            <w:tcW w:w="5725" w:type="dxa"/>
          </w:tcPr>
          <w:p>
            <w:pPr>
              <w:pStyle w:val="ConsPlusNormal"/>
              <w:jc w:val="both"/>
            </w:pPr>
            <w:r>
              <w:t xml:space="preserve">Указываются суммы неиспользованного остатка лимитов бюджетных обязательств текущего финансового года в разрезе кодов по бюджетной классификации (показатель </w:t>
            </w:r>
            <w:hyperlink w:anchor="P1023">
              <w:r>
                <w:t>пункта 8</w:t>
              </w:r>
            </w:hyperlink>
            <w:r>
              <w:t xml:space="preserve"> минус показатель </w:t>
            </w:r>
            <w:hyperlink w:anchor="P1047">
              <w:r>
                <w:t>пункта 9.6</w:t>
              </w:r>
            </w:hyperlink>
            <w:r>
              <w:t>).</w:t>
            </w:r>
          </w:p>
        </w:tc>
      </w:tr>
      <w:tr>
        <w:trPr>
          <w:trHeight w:val="1437"/>
        </w:trPr>
        <w:tc>
          <w:tcPr>
            <w:tcW w:w="3909" w:type="dxa"/>
          </w:tcPr>
          <w:p>
            <w:pPr>
              <w:pStyle w:val="ConsPlusNormal"/>
            </w:pPr>
            <w:r>
              <w:t>9.8.1. Неиспользованный остаток лимитов бюджетных обязательств текущего финансового года в процентах от доведенного объема лимитов бюджетных обязательств текущего финансового года</w:t>
            </w:r>
          </w:p>
        </w:tc>
        <w:tc>
          <w:tcPr>
            <w:tcW w:w="5725" w:type="dxa"/>
          </w:tcPr>
          <w:p>
            <w:pPr>
              <w:pStyle w:val="ConsPlusNormal"/>
              <w:jc w:val="both"/>
            </w:pPr>
            <w:r>
              <w:t>Указывается процент неиспользованного остатка лимитов бюджетных обязательств текущего финансового года в разрезе кодов по бюджетной классификации.</w:t>
            </w:r>
          </w:p>
        </w:tc>
      </w:tr>
      <w:tr>
        <w:trPr>
          <w:trHeight w:val="962"/>
        </w:trPr>
        <w:tc>
          <w:tcPr>
            <w:tcW w:w="3909" w:type="dxa"/>
          </w:tcPr>
          <w:p>
            <w:pPr>
              <w:pStyle w:val="ConsPlusNormal"/>
            </w:pPr>
            <w:r>
              <w:t>10. Итого по коду бюджетной классификации</w:t>
            </w:r>
          </w:p>
        </w:tc>
        <w:tc>
          <w:tcPr>
            <w:tcW w:w="5725" w:type="dxa"/>
          </w:tcPr>
          <w:p>
            <w:pPr>
              <w:pStyle w:val="ConsPlusNormal"/>
              <w:jc w:val="both"/>
            </w:pPr>
            <w:r>
              <w:t xml:space="preserve">Указывается итоговая сумма бюджетных или денежных обязательств </w:t>
            </w:r>
            <w:proofErr w:type="spellStart"/>
            <w:r>
              <w:t>группировочно</w:t>
            </w:r>
            <w:proofErr w:type="spellEnd"/>
            <w:r>
              <w:t xml:space="preserve"> по всем кодам бюджетной классификации Российской Федерации, указанным в отчете.</w:t>
            </w:r>
          </w:p>
        </w:tc>
      </w:tr>
      <w:tr>
        <w:trPr>
          <w:trHeight w:val="474"/>
        </w:trPr>
        <w:tc>
          <w:tcPr>
            <w:tcW w:w="3909" w:type="dxa"/>
          </w:tcPr>
          <w:p>
            <w:pPr>
              <w:pStyle w:val="ConsPlusNormal"/>
            </w:pPr>
            <w:r>
              <w:t>11. Всего</w:t>
            </w:r>
          </w:p>
        </w:tc>
        <w:tc>
          <w:tcPr>
            <w:tcW w:w="5725" w:type="dxa"/>
          </w:tcPr>
          <w:p>
            <w:pPr>
              <w:pStyle w:val="ConsPlusNormal"/>
              <w:jc w:val="both"/>
            </w:pPr>
            <w:r>
              <w:t>Указываются итоговые суммы бюджетных или денежных обязательств.</w:t>
            </w:r>
          </w:p>
        </w:tc>
      </w:tr>
      <w:tr>
        <w:trPr>
          <w:trHeight w:val="738"/>
        </w:trPr>
        <w:tc>
          <w:tcPr>
            <w:tcW w:w="3909" w:type="dxa"/>
          </w:tcPr>
          <w:p>
            <w:pPr>
              <w:pStyle w:val="ConsPlusNormal"/>
            </w:pPr>
            <w:r>
              <w:t>12. Ответственный исполнитель</w:t>
            </w:r>
          </w:p>
        </w:tc>
        <w:tc>
          <w:tcPr>
            <w:tcW w:w="5725" w:type="dxa"/>
          </w:tcPr>
          <w:p>
            <w:pPr>
              <w:pStyle w:val="ConsPlusNormal"/>
              <w:jc w:val="both"/>
            </w:pPr>
            <w:r>
              <w:t>Указываются должность, подпись, расшифровка подписи, телефон ответственного исполнителя, сформировавшего отчет.</w:t>
            </w:r>
          </w:p>
        </w:tc>
      </w:tr>
      <w:tr>
        <w:trPr>
          <w:trHeight w:val="224"/>
        </w:trPr>
        <w:tc>
          <w:tcPr>
            <w:tcW w:w="3909" w:type="dxa"/>
          </w:tcPr>
          <w:p>
            <w:pPr>
              <w:pStyle w:val="ConsPlusNormal"/>
            </w:pPr>
            <w:r>
              <w:t>13. Дата</w:t>
            </w:r>
          </w:p>
        </w:tc>
        <w:tc>
          <w:tcPr>
            <w:tcW w:w="5725" w:type="dxa"/>
          </w:tcPr>
          <w:p>
            <w:pPr>
              <w:pStyle w:val="ConsPlusNormal"/>
              <w:jc w:val="both"/>
            </w:pPr>
            <w:r>
              <w:t>Указывается дата подписания отчета.</w:t>
            </w:r>
          </w:p>
        </w:tc>
      </w:tr>
    </w:tbl>
    <w:p>
      <w:pPr>
        <w:pStyle w:val="ConsPlusNormal"/>
        <w:jc w:val="both"/>
        <w:sectPr>
          <w:pgSz w:w="11906" w:h="16838"/>
          <w:pgMar w:top="993" w:right="567" w:bottom="709" w:left="1701" w:header="567" w:footer="454" w:gutter="0"/>
          <w:pgNumType w:start="1"/>
          <w:cols w:space="708"/>
          <w:titlePg/>
          <w:docGrid w:linePitch="360"/>
        </w:sectPr>
      </w:pPr>
    </w:p>
    <w:p>
      <w:pPr>
        <w:pStyle w:val="ConsPlusNormal"/>
        <w:ind w:firstLine="5245"/>
        <w:outlineLvl w:val="1"/>
      </w:pPr>
      <w:r>
        <w:t>Приложение № 6</w:t>
      </w:r>
    </w:p>
    <w:p>
      <w:pPr>
        <w:pStyle w:val="ConsPlusNormal"/>
        <w:ind w:firstLine="5245"/>
      </w:pPr>
      <w:r>
        <w:t>к Порядку учета бюджетных и денежных</w:t>
      </w:r>
    </w:p>
    <w:p>
      <w:pPr>
        <w:pStyle w:val="ConsPlusNormal"/>
        <w:ind w:firstLine="5245"/>
      </w:pPr>
      <w:r>
        <w:t>обязательств получателей средств</w:t>
      </w:r>
    </w:p>
    <w:p>
      <w:pPr>
        <w:autoSpaceDE w:val="0"/>
        <w:autoSpaceDN w:val="0"/>
        <w:adjustRightInd w:val="0"/>
        <w:ind w:firstLine="5245"/>
        <w:rPr>
          <w:rFonts w:ascii="Times New Roman" w:hAnsi="Times New Roman"/>
          <w:bCs/>
          <w:sz w:val="24"/>
          <w:szCs w:val="24"/>
        </w:rPr>
      </w:pPr>
      <w:r>
        <w:rPr>
          <w:rFonts w:ascii="Times New Roman" w:hAnsi="Times New Roman"/>
          <w:sz w:val="24"/>
          <w:szCs w:val="24"/>
        </w:rPr>
        <w:t xml:space="preserve">бюджета </w:t>
      </w:r>
      <w:r>
        <w:rPr>
          <w:rFonts w:ascii="Times New Roman" w:hAnsi="Times New Roman"/>
          <w:bCs/>
          <w:sz w:val="24"/>
          <w:szCs w:val="24"/>
        </w:rPr>
        <w:t xml:space="preserve">городского округа закрытого </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административно-территориального</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образования Северск Томской области</w:t>
      </w:r>
    </w:p>
    <w:p>
      <w:pPr>
        <w:pStyle w:val="ConsPlusNormal"/>
        <w:spacing w:after="1"/>
        <w:ind w:firstLine="5245"/>
        <w:rPr>
          <w:rFonts w:eastAsiaTheme="minorHAnsi"/>
          <w:szCs w:val="24"/>
          <w:lang w:eastAsia="en-US"/>
        </w:rPr>
      </w:pPr>
      <w:r>
        <w:rPr>
          <w:rFonts w:eastAsiaTheme="minorHAnsi"/>
          <w:szCs w:val="24"/>
          <w:lang w:eastAsia="en-US"/>
        </w:rPr>
        <w:t xml:space="preserve">Управлением Федерального казначейства </w:t>
      </w:r>
    </w:p>
    <w:p>
      <w:pPr>
        <w:pStyle w:val="ConsPlusNormal"/>
        <w:spacing w:after="1"/>
        <w:ind w:firstLine="5245"/>
      </w:pPr>
      <w:r>
        <w:rPr>
          <w:rFonts w:eastAsiaTheme="minorHAnsi"/>
          <w:szCs w:val="24"/>
          <w:lang w:eastAsia="en-US"/>
        </w:rPr>
        <w:t xml:space="preserve">по </w:t>
      </w:r>
      <w:r>
        <w:rPr>
          <w:bCs/>
          <w:szCs w:val="24"/>
        </w:rPr>
        <w:t>Томской области</w:t>
      </w:r>
    </w:p>
    <w:p>
      <w:pPr>
        <w:pStyle w:val="ConsPlusNormal"/>
        <w:jc w:val="center"/>
        <w:rPr>
          <w:szCs w:val="24"/>
        </w:rPr>
      </w:pPr>
    </w:p>
    <w:p>
      <w:pPr>
        <w:pStyle w:val="ConsPlusNonformat"/>
        <w:jc w:val="center"/>
        <w:rPr>
          <w:rFonts w:ascii="Times New Roman" w:hAnsi="Times New Roman" w:cs="Times New Roman"/>
          <w:sz w:val="24"/>
          <w:szCs w:val="24"/>
        </w:rPr>
      </w:pPr>
      <w:bookmarkStart w:id="80" w:name="P1081"/>
      <w:bookmarkEnd w:id="80"/>
      <w:r>
        <w:rPr>
          <w:rFonts w:ascii="Times New Roman" w:hAnsi="Times New Roman" w:cs="Times New Roman"/>
          <w:sz w:val="24"/>
          <w:szCs w:val="24"/>
        </w:rPr>
        <w:t>Реквизиты</w:t>
      </w:r>
    </w:p>
    <w:p>
      <w:pPr>
        <w:pStyle w:val="ConsPlusNonformat"/>
        <w:jc w:val="center"/>
        <w:rPr>
          <w:rFonts w:ascii="Times New Roman" w:hAnsi="Times New Roman" w:cs="Times New Roman"/>
          <w:sz w:val="24"/>
          <w:szCs w:val="24"/>
        </w:rPr>
      </w:pPr>
      <w:r>
        <w:rPr>
          <w:rFonts w:ascii="Times New Roman" w:hAnsi="Times New Roman" w:cs="Times New Roman"/>
          <w:sz w:val="24"/>
          <w:szCs w:val="24"/>
        </w:rPr>
        <w:t>отчетного документа Информация о принятых на учет</w:t>
      </w:r>
    </w:p>
    <w:p>
      <w:pPr>
        <w:pStyle w:val="ConsPlusNonformat"/>
        <w:jc w:val="center"/>
        <w:rPr>
          <w:rFonts w:ascii="Times New Roman" w:hAnsi="Times New Roman" w:cs="Times New Roman"/>
          <w:sz w:val="24"/>
          <w:szCs w:val="24"/>
        </w:rPr>
      </w:pPr>
      <w:r>
        <w:rPr>
          <w:rFonts w:ascii="Times New Roman" w:hAnsi="Times New Roman" w:cs="Times New Roman"/>
          <w:sz w:val="24"/>
          <w:szCs w:val="24"/>
        </w:rPr>
        <w:t>_________________________ обязательствах</w:t>
      </w:r>
    </w:p>
    <w:p>
      <w:pPr>
        <w:pStyle w:val="ConsPlusNonformat"/>
        <w:jc w:val="center"/>
        <w:rPr>
          <w:rFonts w:ascii="Times New Roman" w:hAnsi="Times New Roman" w:cs="Times New Roman"/>
          <w:sz w:val="24"/>
          <w:szCs w:val="24"/>
        </w:rPr>
      </w:pPr>
      <w:r>
        <w:rPr>
          <w:rFonts w:ascii="Times New Roman" w:hAnsi="Times New Roman" w:cs="Times New Roman"/>
          <w:sz w:val="24"/>
          <w:szCs w:val="24"/>
        </w:rPr>
        <w:t>(бюджетных, денежных)</w:t>
      </w:r>
    </w:p>
    <w:p>
      <w:pPr>
        <w:pStyle w:val="ConsPlusNormal"/>
        <w:jc w:val="both"/>
      </w:pPr>
    </w:p>
    <w:tbl>
      <w:tblPr>
        <w:tblW w:w="9771" w:type="dxa"/>
        <w:tblInd w:w="20" w:type="dxa"/>
        <w:tblBorders>
          <w:left w:val="nil"/>
          <w:bottom w:val="single" w:sz="4" w:space="0" w:color="auto"/>
          <w:right w:val="nil"/>
          <w:insideH w:val="single" w:sz="4" w:space="0" w:color="auto"/>
          <w:insideV w:val="nil"/>
        </w:tblBorders>
        <w:tblLayout w:type="fixed"/>
        <w:tblCellMar>
          <w:left w:w="62" w:type="dxa"/>
          <w:right w:w="62" w:type="dxa"/>
        </w:tblCellMar>
        <w:tblLook w:val="0000" w:firstRow="0" w:lastRow="0" w:firstColumn="0" w:lastColumn="0" w:noHBand="0" w:noVBand="0"/>
      </w:tblPr>
      <w:tblGrid>
        <w:gridCol w:w="3246"/>
        <w:gridCol w:w="1970"/>
        <w:gridCol w:w="4555"/>
      </w:tblGrid>
      <w:tr>
        <w:tc>
          <w:tcPr>
            <w:tcW w:w="5216" w:type="dxa"/>
            <w:gridSpan w:val="2"/>
            <w:tcBorders>
              <w:top w:val="nil"/>
              <w:bottom w:val="single" w:sz="4" w:space="0" w:color="auto"/>
            </w:tcBorders>
          </w:tcPr>
          <w:p>
            <w:pPr>
              <w:pStyle w:val="ConsPlusNormal"/>
              <w:jc w:val="both"/>
            </w:pPr>
            <w:r>
              <w:t>Единица измерения: руб.</w:t>
            </w:r>
          </w:p>
          <w:p>
            <w:pPr>
              <w:pStyle w:val="ConsPlusNormal"/>
              <w:jc w:val="both"/>
            </w:pPr>
            <w:r>
              <w:t>(с точностью до второго десятичного знака)</w:t>
            </w:r>
          </w:p>
        </w:tc>
        <w:tc>
          <w:tcPr>
            <w:tcW w:w="4555" w:type="dxa"/>
            <w:tcBorders>
              <w:top w:val="nil"/>
              <w:bottom w:val="single" w:sz="4" w:space="0" w:color="auto"/>
            </w:tcBorders>
            <w:vAlign w:val="bottom"/>
          </w:tcPr>
          <w:p>
            <w:pPr>
              <w:pStyle w:val="ConsPlusNormal"/>
              <w:jc w:val="right"/>
            </w:pPr>
            <w:r>
              <w:t>Периодичность: месячная</w:t>
            </w:r>
          </w:p>
        </w:tc>
      </w:tr>
      <w:tr>
        <w:tblPrEx>
          <w:tblBorders>
            <w:left w:val="single" w:sz="4" w:space="0" w:color="auto"/>
            <w:right w:val="single" w:sz="4" w:space="0" w:color="auto"/>
            <w:insideV w:val="single" w:sz="4" w:space="0" w:color="auto"/>
          </w:tblBorders>
        </w:tblPrEx>
        <w:tc>
          <w:tcPr>
            <w:tcW w:w="3246" w:type="dxa"/>
            <w:tcBorders>
              <w:top w:val="single" w:sz="4" w:space="0" w:color="auto"/>
              <w:left w:val="single" w:sz="4" w:space="0" w:color="auto"/>
              <w:bottom w:val="nil"/>
              <w:right w:val="single" w:sz="4" w:space="0" w:color="auto"/>
            </w:tcBorders>
          </w:tcPr>
          <w:p>
            <w:pPr>
              <w:pStyle w:val="ConsPlusNormal"/>
              <w:jc w:val="center"/>
            </w:pPr>
            <w:r>
              <w:t>Наименование реквизита</w:t>
            </w:r>
          </w:p>
        </w:tc>
        <w:tc>
          <w:tcPr>
            <w:tcW w:w="6525" w:type="dxa"/>
            <w:gridSpan w:val="2"/>
            <w:tcBorders>
              <w:top w:val="single" w:sz="4" w:space="0" w:color="auto"/>
              <w:left w:val="single" w:sz="4" w:space="0" w:color="auto"/>
              <w:bottom w:val="nil"/>
            </w:tcBorders>
          </w:tcPr>
          <w:p>
            <w:pPr>
              <w:pStyle w:val="ConsPlusNormal"/>
              <w:jc w:val="center"/>
            </w:pPr>
            <w:r>
              <w:t>Правила формирования, заполнения реквизита</w:t>
            </w:r>
          </w:p>
        </w:tc>
      </w:tr>
    </w:tbl>
    <w:p>
      <w:pPr>
        <w:rPr>
          <w:sz w:val="2"/>
          <w:szCs w:val="2"/>
        </w:rPr>
      </w:pPr>
    </w:p>
    <w:tbl>
      <w:tblPr>
        <w:tblW w:w="9771" w:type="dxa"/>
        <w:tblInd w:w="15"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246"/>
        <w:gridCol w:w="6525"/>
      </w:tblGrid>
      <w:tr>
        <w:trPr>
          <w:tblHeader/>
        </w:trPr>
        <w:tc>
          <w:tcPr>
            <w:tcW w:w="3246" w:type="dxa"/>
            <w:tcBorders>
              <w:top w:val="single" w:sz="4" w:space="0" w:color="auto"/>
              <w:left w:val="single" w:sz="4" w:space="0" w:color="auto"/>
              <w:bottom w:val="single" w:sz="4" w:space="0" w:color="auto"/>
              <w:right w:val="single" w:sz="4" w:space="0" w:color="auto"/>
            </w:tcBorders>
          </w:tcPr>
          <w:p>
            <w:pPr>
              <w:pStyle w:val="ConsPlusNormal"/>
              <w:jc w:val="center"/>
            </w:pPr>
            <w:r>
              <w:t>1</w:t>
            </w:r>
          </w:p>
        </w:tc>
        <w:tc>
          <w:tcPr>
            <w:tcW w:w="6525" w:type="dxa"/>
            <w:tcBorders>
              <w:top w:val="single" w:sz="4" w:space="0" w:color="auto"/>
              <w:left w:val="single" w:sz="4" w:space="0" w:color="auto"/>
            </w:tcBorders>
          </w:tcPr>
          <w:p>
            <w:pPr>
              <w:pStyle w:val="ConsPlusNormal"/>
              <w:jc w:val="center"/>
            </w:pPr>
            <w:r>
              <w:t>2</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1. Дата</w:t>
            </w:r>
          </w:p>
        </w:tc>
        <w:tc>
          <w:tcPr>
            <w:tcW w:w="6525" w:type="dxa"/>
            <w:tcBorders>
              <w:left w:val="single" w:sz="4" w:space="0" w:color="auto"/>
            </w:tcBorders>
          </w:tcPr>
          <w:p>
            <w:pPr>
              <w:pStyle w:val="ConsPlusNormal"/>
              <w:jc w:val="both"/>
            </w:pPr>
            <w:r>
              <w:t>Указывается дата исходя из периода формирования отчета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 с указанными в запросе детализацией и группировкой показателей.</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2. Наименование органа Федерального казначейства</w:t>
            </w:r>
          </w:p>
        </w:tc>
        <w:tc>
          <w:tcPr>
            <w:tcW w:w="6525" w:type="dxa"/>
            <w:tcBorders>
              <w:left w:val="single" w:sz="4" w:space="0" w:color="auto"/>
            </w:tcBorders>
          </w:tcPr>
          <w:p>
            <w:pPr>
              <w:pStyle w:val="ConsPlusNormal"/>
              <w:jc w:val="both"/>
            </w:pPr>
            <w:r>
              <w:t xml:space="preserve">Указывается наименование органа Федерального казначейства </w:t>
            </w:r>
            <w:proofErr w:type="gramStart"/>
            <w:r>
              <w:t>–«</w:t>
            </w:r>
            <w:proofErr w:type="gramEnd"/>
            <w:r>
              <w:t>Управление Федерального казначейства по Томской области».</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3. Код органа Федерального казначейства (КОФК)</w:t>
            </w:r>
          </w:p>
        </w:tc>
        <w:tc>
          <w:tcPr>
            <w:tcW w:w="6525" w:type="dxa"/>
            <w:tcBorders>
              <w:left w:val="single" w:sz="4" w:space="0" w:color="auto"/>
            </w:tcBorders>
          </w:tcPr>
          <w:p>
            <w:pPr>
              <w:pStyle w:val="ConsPlusNormal"/>
              <w:jc w:val="both"/>
            </w:pPr>
            <w:r>
              <w:t>Указывается код органа Федерального казначейства, присвоенный Федеральным казначейством.</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4. Вид отчета</w:t>
            </w:r>
          </w:p>
        </w:tc>
        <w:tc>
          <w:tcPr>
            <w:tcW w:w="6525" w:type="dxa"/>
            <w:tcBorders>
              <w:left w:val="single" w:sz="4" w:space="0" w:color="auto"/>
            </w:tcBorders>
          </w:tcPr>
          <w:p>
            <w:pPr>
              <w:pStyle w:val="ConsPlusNormal"/>
              <w:jc w:val="both"/>
            </w:pPr>
            <w:r>
              <w:t>Указывается простой, сводный.</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5. Главный распорядитель бюджетных средств</w:t>
            </w:r>
          </w:p>
        </w:tc>
        <w:tc>
          <w:tcPr>
            <w:tcW w:w="6525" w:type="dxa"/>
            <w:tcBorders>
              <w:left w:val="single" w:sz="4" w:space="0" w:color="auto"/>
            </w:tcBorders>
          </w:tcPr>
          <w:p>
            <w:pPr>
              <w:pStyle w:val="ConsPlusNormal"/>
              <w:jc w:val="both"/>
            </w:pPr>
            <w:r>
              <w:t xml:space="preserve">Указывается наименование получателя бюджетных средств ЗАТО Северск по находящимся в ведении главного распорядителя средств бюджета ЗАТО Северск. </w:t>
            </w:r>
          </w:p>
          <w:p>
            <w:pPr>
              <w:pStyle w:val="ConsPlusNormal"/>
              <w:jc w:val="both"/>
            </w:pPr>
            <w:r>
              <w:t>При формировании Информации о принятых на учет обязательствах в целом по всем получателям средств бюджета ЗАТО Северск реквизит «Главный распорядитель (распорядитель) бюджетных средств» не заполняется.</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5.1. Глава по бюджетной классификации</w:t>
            </w:r>
          </w:p>
        </w:tc>
        <w:tc>
          <w:tcPr>
            <w:tcW w:w="6525" w:type="dxa"/>
            <w:tcBorders>
              <w:left w:val="single" w:sz="4" w:space="0" w:color="auto"/>
            </w:tcBorders>
          </w:tcPr>
          <w:p>
            <w:pPr>
              <w:pStyle w:val="ConsPlusNormal"/>
              <w:jc w:val="both"/>
            </w:pPr>
            <w:r>
              <w:t>Указывается глава по бюджетной классификации главного распорядителя бюджетных средств ЗАТО Северск по находящимся в ведении получателям средств бюджета ЗАТО Северск.</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5.2. Код по Сводному реестру</w:t>
            </w:r>
          </w:p>
        </w:tc>
        <w:tc>
          <w:tcPr>
            <w:tcW w:w="6525" w:type="dxa"/>
            <w:tcBorders>
              <w:left w:val="single" w:sz="4" w:space="0" w:color="auto"/>
            </w:tcBorders>
          </w:tcPr>
          <w:p>
            <w:pPr>
              <w:pStyle w:val="ConsPlusNormal"/>
              <w:jc w:val="both"/>
            </w:pPr>
            <w:r>
              <w:t>Указывается код по реестру участников бюджетного процесса, а также юридических лиц, не являющихся участниками бюджетного процесса (далее - Сводный реестр) главного распорядителя бюджетных средств ЗАТО Северск.</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6. Наименование бюджета</w:t>
            </w:r>
          </w:p>
        </w:tc>
        <w:tc>
          <w:tcPr>
            <w:tcW w:w="6525" w:type="dxa"/>
            <w:tcBorders>
              <w:left w:val="single" w:sz="4" w:space="0" w:color="auto"/>
              <w:bottom w:val="single" w:sz="4" w:space="0" w:color="auto"/>
            </w:tcBorders>
          </w:tcPr>
          <w:p>
            <w:pPr>
              <w:autoSpaceDE w:val="0"/>
              <w:autoSpaceDN w:val="0"/>
              <w:adjustRightInd w:val="0"/>
              <w:rPr>
                <w:rFonts w:ascii="Times New Roman" w:hAnsi="Times New Roman"/>
                <w:sz w:val="24"/>
              </w:rPr>
            </w:pPr>
            <w:r>
              <w:rPr>
                <w:rFonts w:ascii="Times New Roman" w:hAnsi="Times New Roman"/>
                <w:sz w:val="24"/>
              </w:rPr>
              <w:t>Указывается наименование бюджета – «бюджет городского округа закрытого административно-территориального</w:t>
            </w:r>
          </w:p>
          <w:p>
            <w:pPr>
              <w:autoSpaceDE w:val="0"/>
              <w:autoSpaceDN w:val="0"/>
              <w:adjustRightInd w:val="0"/>
            </w:pPr>
            <w:r>
              <w:rPr>
                <w:rFonts w:ascii="Times New Roman" w:hAnsi="Times New Roman"/>
                <w:sz w:val="24"/>
              </w:rPr>
              <w:t>образования Северск Томской области»</w:t>
            </w:r>
            <w:r>
              <w:t>.</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 xml:space="preserve">7. Код по </w:t>
            </w:r>
            <w:hyperlink r:id="rId85">
              <w:r>
                <w:t>ОКТМО</w:t>
              </w:r>
            </w:hyperlink>
          </w:p>
        </w:tc>
        <w:tc>
          <w:tcPr>
            <w:tcW w:w="6525" w:type="dxa"/>
            <w:tcBorders>
              <w:top w:val="single" w:sz="4" w:space="0" w:color="auto"/>
              <w:left w:val="single" w:sz="4" w:space="0" w:color="auto"/>
              <w:bottom w:val="single" w:sz="4" w:space="0" w:color="auto"/>
              <w:right w:val="single" w:sz="4" w:space="0" w:color="auto"/>
            </w:tcBorders>
          </w:tcPr>
          <w:p>
            <w:pPr>
              <w:pStyle w:val="ConsPlusNormal"/>
              <w:jc w:val="both"/>
            </w:pPr>
            <w:r>
              <w:t xml:space="preserve">Указывается код по Общероссийскому </w:t>
            </w:r>
            <w:hyperlink r:id="rId86">
              <w:r>
                <w:t>классификатору</w:t>
              </w:r>
            </w:hyperlink>
            <w:r>
              <w:t xml:space="preserve"> территорий муниципальных образований органа Федерального казначейства, финансового органа муниципального образования</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8. Финансовый орган</w:t>
            </w:r>
          </w:p>
        </w:tc>
        <w:tc>
          <w:tcPr>
            <w:tcW w:w="6525" w:type="dxa"/>
            <w:tcBorders>
              <w:top w:val="single" w:sz="4" w:space="0" w:color="auto"/>
              <w:left w:val="single" w:sz="4" w:space="0" w:color="auto"/>
            </w:tcBorders>
          </w:tcPr>
          <w:p>
            <w:pPr>
              <w:pStyle w:val="ConsPlusNormal"/>
              <w:jc w:val="both"/>
            </w:pPr>
            <w:r>
              <w:t>Указывается наименование финансового органа - «Финансовое управление Администрации ЗАТО Северск».</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8.1. Код по ОКПО</w:t>
            </w:r>
          </w:p>
        </w:tc>
        <w:tc>
          <w:tcPr>
            <w:tcW w:w="6525" w:type="dxa"/>
            <w:tcBorders>
              <w:left w:val="single" w:sz="4" w:space="0" w:color="auto"/>
            </w:tcBorders>
          </w:tcPr>
          <w:p>
            <w:pPr>
              <w:pStyle w:val="ConsPlusNormal"/>
              <w:jc w:val="both"/>
            </w:pPr>
            <w:r>
              <w:t>Указывается код финансового органа по Общероссийскому классификатору предприятий и организаций.</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9. Наименование участника бюджетного процесса</w:t>
            </w:r>
          </w:p>
        </w:tc>
        <w:tc>
          <w:tcPr>
            <w:tcW w:w="6525" w:type="dxa"/>
            <w:tcBorders>
              <w:left w:val="single" w:sz="4" w:space="0" w:color="auto"/>
            </w:tcBorders>
          </w:tcPr>
          <w:p>
            <w:pPr>
              <w:pStyle w:val="ConsPlusNormal"/>
              <w:jc w:val="both"/>
            </w:pPr>
            <w:r>
              <w:t>Указывается наименование участника бюджетного процесса (получателя средств бюджета ЗАТО Северск).</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9.1. Код по Сводному реестру</w:t>
            </w:r>
          </w:p>
        </w:tc>
        <w:tc>
          <w:tcPr>
            <w:tcW w:w="6525" w:type="dxa"/>
            <w:tcBorders>
              <w:left w:val="single" w:sz="4" w:space="0" w:color="auto"/>
            </w:tcBorders>
          </w:tcPr>
          <w:p>
            <w:pPr>
              <w:pStyle w:val="ConsPlusNormal"/>
              <w:jc w:val="both"/>
            </w:pPr>
            <w:r>
              <w:t>Указывается код участника бюджетного процесса (получателя средств бюджета ЗАТО Северск) по Сводному реестру.</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10. Код по бюджетной классификации</w:t>
            </w:r>
          </w:p>
        </w:tc>
        <w:tc>
          <w:tcPr>
            <w:tcW w:w="6525" w:type="dxa"/>
            <w:tcBorders>
              <w:left w:val="single" w:sz="4" w:space="0" w:color="auto"/>
            </w:tcBorders>
          </w:tcPr>
          <w:p>
            <w:pPr>
              <w:pStyle w:val="ConsPlusNormal"/>
              <w:jc w:val="both"/>
            </w:pPr>
            <w:r>
              <w:t>Указывается составная часть кода бюджетной классификации Российской Федерации, по которому в УФК по ТО учтено бюджетное или денежное обязательство (глава, раздел, подраздел, целевая статья, вид расходов). Степень детализации кодов бюджетной классификации Российской Федерации или перечень кодов бюджетной классификации Российской Федерации, в разрезе которых в информации приводятся сведения о принятых получателями средств бюджета ЗАТО Северск бюджетных или денежных обязательствах, главными распорядителями средств бюджета ЗАТО Северск, по запросу которых формируется Информация о принятых на учет обязательствах.</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 xml:space="preserve">11. Код валюты по </w:t>
            </w:r>
            <w:hyperlink r:id="rId87">
              <w:r>
                <w:t>ОКВ</w:t>
              </w:r>
            </w:hyperlink>
          </w:p>
        </w:tc>
        <w:tc>
          <w:tcPr>
            <w:tcW w:w="6525" w:type="dxa"/>
            <w:tcBorders>
              <w:left w:val="single" w:sz="4" w:space="0" w:color="auto"/>
            </w:tcBorders>
          </w:tcPr>
          <w:p>
            <w:pPr>
              <w:pStyle w:val="ConsPlusNormal"/>
              <w:jc w:val="both"/>
            </w:pPr>
            <w:r>
              <w:t xml:space="preserve">Указывается код валюты, в которой принято бюджетное или денежное обязательство, в соответствии с Общероссийским </w:t>
            </w:r>
            <w:hyperlink r:id="rId88">
              <w:r>
                <w:t>классификатором</w:t>
              </w:r>
            </w:hyperlink>
            <w:r>
              <w:t xml:space="preserve"> валют.</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 xml:space="preserve">12. Уникальный код объекта капитального строительства или объекта недвижимого имущества </w:t>
            </w:r>
          </w:p>
        </w:tc>
        <w:tc>
          <w:tcPr>
            <w:tcW w:w="6525" w:type="dxa"/>
            <w:tcBorders>
              <w:left w:val="single" w:sz="4" w:space="0" w:color="auto"/>
            </w:tcBorders>
          </w:tcPr>
          <w:p>
            <w:pPr>
              <w:pStyle w:val="ConsPlusNormal"/>
              <w:jc w:val="both"/>
            </w:pPr>
            <w:r>
              <w:t>Указывается уникальный код объекта капитального строительства или объекта недвижимого имущества.</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13. Сумма неисполненного обязательства прошлых лет</w:t>
            </w:r>
          </w:p>
        </w:tc>
        <w:tc>
          <w:tcPr>
            <w:tcW w:w="6525" w:type="dxa"/>
            <w:tcBorders>
              <w:left w:val="single" w:sz="4" w:space="0" w:color="auto"/>
              <w:bottom w:val="single" w:sz="4" w:space="0" w:color="auto"/>
            </w:tcBorders>
          </w:tcPr>
          <w:p>
            <w:pPr>
              <w:pStyle w:val="ConsPlusNormal"/>
              <w:jc w:val="both"/>
            </w:pPr>
            <w:r>
              <w:t>Отражаются суммы неисполненных обязательств прошлых лет в разрезе кодов по бюджетной классификации, уникальных кодов объектов капитального строительства или объектов недвижимого имущества и кодов мероприятий информатизации (при наличии).</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14. Сумма на 20__ текущий финансовый год с помесячной разбивкой</w:t>
            </w:r>
          </w:p>
        </w:tc>
        <w:tc>
          <w:tcPr>
            <w:tcW w:w="6525" w:type="dxa"/>
            <w:tcBorders>
              <w:top w:val="single" w:sz="4" w:space="0" w:color="auto"/>
              <w:left w:val="single" w:sz="4" w:space="0" w:color="auto"/>
              <w:bottom w:val="single" w:sz="4" w:space="0" w:color="auto"/>
              <w:right w:val="single" w:sz="4" w:space="0" w:color="auto"/>
            </w:tcBorders>
          </w:tcPr>
          <w:p>
            <w:pPr>
              <w:pStyle w:val="ConsPlusNormal"/>
              <w:jc w:val="both"/>
            </w:pPr>
            <w:r>
              <w:t xml:space="preserve">Отражаются суммы принятых бюджетных или денежных обязательств за счет средств бюджета ЗАТО Северск в валюте Российской Федерации разрезе кодов по бюджетной классификации, уникальных кодов объектов капитального строительства или объектов недвижимого имущества. </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15. Сумма на плановый период с разбивкой по годам</w:t>
            </w:r>
          </w:p>
        </w:tc>
        <w:tc>
          <w:tcPr>
            <w:tcW w:w="6525" w:type="dxa"/>
            <w:tcBorders>
              <w:top w:val="single" w:sz="4" w:space="0" w:color="auto"/>
              <w:left w:val="single" w:sz="4" w:space="0" w:color="auto"/>
              <w:bottom w:val="single" w:sz="4" w:space="0" w:color="auto"/>
              <w:right w:val="single" w:sz="4" w:space="0" w:color="auto"/>
            </w:tcBorders>
          </w:tcPr>
          <w:p>
            <w:pPr>
              <w:pStyle w:val="ConsPlusNormal"/>
              <w:jc w:val="both"/>
            </w:pPr>
            <w:r>
              <w:t>Указываются суммы бюджетных или денежных обязательств, принятые на первый и второй год планового периода разрезе кодов по бюджетной классификации, уникальных кодов объектов капитального строительства или объектов недвижимого имущества.</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16. Сумма на период после текущего финансового года на третий год после текущего финансового года</w:t>
            </w:r>
          </w:p>
        </w:tc>
        <w:tc>
          <w:tcPr>
            <w:tcW w:w="6525" w:type="dxa"/>
            <w:tcBorders>
              <w:top w:val="single" w:sz="4" w:space="0" w:color="auto"/>
              <w:left w:val="single" w:sz="4" w:space="0" w:color="auto"/>
            </w:tcBorders>
          </w:tcPr>
          <w:p>
            <w:pPr>
              <w:pStyle w:val="ConsPlusNormal"/>
              <w:jc w:val="both"/>
            </w:pPr>
            <w:r>
              <w:t>Указываются суммы бюджетных или денежных обязательств, принятые на третий год после текущего финансового года разрезе кодов по бюджетной классификации, уникальных кодов объектов капитального строительства или объектов недвижимого имущества.</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16.1. Сумма на последующие периоды после третьего года после текущего финансового года</w:t>
            </w:r>
          </w:p>
        </w:tc>
        <w:tc>
          <w:tcPr>
            <w:tcW w:w="6525" w:type="dxa"/>
            <w:tcBorders>
              <w:left w:val="single" w:sz="4" w:space="0" w:color="auto"/>
            </w:tcBorders>
          </w:tcPr>
          <w:p>
            <w:pPr>
              <w:pStyle w:val="ConsPlusNormal"/>
              <w:jc w:val="both"/>
            </w:pPr>
            <w:r>
              <w:t>Указываются суммы бюджетных или денежных обязательств, принятые на последующие годы после третьего года после текущего финансового года разрезе кодов по бюджетной классификации, уникальных кодов объектов капитального строительства или объектов недвижимого имущества.</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17. Итого по коду бюджетной классификации</w:t>
            </w:r>
          </w:p>
        </w:tc>
        <w:tc>
          <w:tcPr>
            <w:tcW w:w="6525" w:type="dxa"/>
            <w:tcBorders>
              <w:left w:val="single" w:sz="4" w:space="0" w:color="auto"/>
            </w:tcBorders>
          </w:tcPr>
          <w:p>
            <w:pPr>
              <w:pStyle w:val="ConsPlusNormal"/>
              <w:jc w:val="both"/>
            </w:pPr>
            <w:r>
              <w:t xml:space="preserve">Указывается итоговая сумма бюджетных или денежных обязательств </w:t>
            </w:r>
            <w:proofErr w:type="spellStart"/>
            <w:r>
              <w:t>группировочно</w:t>
            </w:r>
            <w:proofErr w:type="spellEnd"/>
            <w:r>
              <w:t xml:space="preserve"> по всем кодам бюджетной классификации Российской Федерации, указанным в отчете.</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18. Итого по участнику бюджетного процесса</w:t>
            </w:r>
          </w:p>
        </w:tc>
        <w:tc>
          <w:tcPr>
            <w:tcW w:w="6525" w:type="dxa"/>
            <w:tcBorders>
              <w:left w:val="single" w:sz="4" w:space="0" w:color="auto"/>
            </w:tcBorders>
          </w:tcPr>
          <w:p>
            <w:pPr>
              <w:pStyle w:val="ConsPlusNormal"/>
              <w:jc w:val="both"/>
            </w:pPr>
            <w:r>
              <w:t>Указываются итоговые суммы бюджетных или денежных обязательств в целом по главному распорядителю средств бюджета ЗАТО Северск по всем или по отдельным распорядителям средств бюджета либо по отдельным получателям средств бюджета ЗАТО Северск, как определено в запросе главного распорядителя средств бюджета ЗАТО Северск соответственно. В случае формирования Информации о принятых на учет обязательствах в целом по получателям средств бюджета строка «Итого по участнику бюджетного процесса» не заполняется.</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19. Всего</w:t>
            </w:r>
          </w:p>
        </w:tc>
        <w:tc>
          <w:tcPr>
            <w:tcW w:w="6525" w:type="dxa"/>
            <w:tcBorders>
              <w:left w:val="single" w:sz="4" w:space="0" w:color="auto"/>
            </w:tcBorders>
          </w:tcPr>
          <w:p>
            <w:pPr>
              <w:pStyle w:val="ConsPlusNormal"/>
              <w:jc w:val="both"/>
            </w:pPr>
            <w:r>
              <w:t>Указываются итоговые суммы бюджетных или денежных обязательств.</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20. Ответственный исполнитель</w:t>
            </w:r>
          </w:p>
        </w:tc>
        <w:tc>
          <w:tcPr>
            <w:tcW w:w="6525" w:type="dxa"/>
            <w:tcBorders>
              <w:left w:val="single" w:sz="4" w:space="0" w:color="auto"/>
            </w:tcBorders>
          </w:tcPr>
          <w:p>
            <w:pPr>
              <w:pStyle w:val="ConsPlusNormal"/>
              <w:jc w:val="both"/>
            </w:pPr>
            <w:r>
              <w:t>Указываются должность, подпись, расшифровка подписи, телефон ответственного исполнителя, сформировавшего отчет.</w:t>
            </w:r>
          </w:p>
        </w:tc>
      </w:tr>
      <w:tr>
        <w:tc>
          <w:tcPr>
            <w:tcW w:w="3246" w:type="dxa"/>
            <w:tcBorders>
              <w:top w:val="single" w:sz="4" w:space="0" w:color="auto"/>
              <w:left w:val="single" w:sz="4" w:space="0" w:color="auto"/>
              <w:bottom w:val="single" w:sz="4" w:space="0" w:color="auto"/>
              <w:right w:val="single" w:sz="4" w:space="0" w:color="auto"/>
            </w:tcBorders>
          </w:tcPr>
          <w:p>
            <w:pPr>
              <w:pStyle w:val="ConsPlusNormal"/>
            </w:pPr>
            <w:r>
              <w:t>21. Дата</w:t>
            </w:r>
          </w:p>
        </w:tc>
        <w:tc>
          <w:tcPr>
            <w:tcW w:w="6525" w:type="dxa"/>
            <w:tcBorders>
              <w:left w:val="single" w:sz="4" w:space="0" w:color="auto"/>
            </w:tcBorders>
          </w:tcPr>
          <w:p>
            <w:pPr>
              <w:pStyle w:val="ConsPlusNormal"/>
              <w:jc w:val="both"/>
            </w:pPr>
            <w:r>
              <w:t>Указывается дата подписания отчета.</w:t>
            </w:r>
          </w:p>
        </w:tc>
      </w:tr>
    </w:tbl>
    <w:p>
      <w:pPr>
        <w:pStyle w:val="ConsPlusNormal"/>
        <w:jc w:val="both"/>
        <w:sectPr>
          <w:headerReference w:type="first" r:id="rId89"/>
          <w:pgSz w:w="11906" w:h="16838"/>
          <w:pgMar w:top="993" w:right="567" w:bottom="851" w:left="1701" w:header="567" w:footer="454" w:gutter="0"/>
          <w:pgNumType w:start="1"/>
          <w:cols w:space="708"/>
          <w:titlePg/>
          <w:docGrid w:linePitch="360"/>
        </w:sectPr>
      </w:pPr>
    </w:p>
    <w:p>
      <w:pPr>
        <w:pStyle w:val="ConsPlusNormal"/>
        <w:ind w:firstLine="5245"/>
        <w:outlineLvl w:val="1"/>
      </w:pPr>
      <w:r>
        <w:t>Приложение № 7</w:t>
      </w:r>
    </w:p>
    <w:p>
      <w:pPr>
        <w:pStyle w:val="ConsPlusNormal"/>
        <w:ind w:firstLine="5245"/>
      </w:pPr>
      <w:r>
        <w:t>к Порядку учета бюджетных и денежных</w:t>
      </w:r>
    </w:p>
    <w:p>
      <w:pPr>
        <w:pStyle w:val="ConsPlusNormal"/>
        <w:ind w:firstLine="5245"/>
      </w:pPr>
      <w:r>
        <w:t>обязательств получателей средств</w:t>
      </w:r>
    </w:p>
    <w:p>
      <w:pPr>
        <w:pStyle w:val="ConsPlusNormal"/>
        <w:ind w:firstLine="5245"/>
      </w:pPr>
      <w:r>
        <w:t>бюджета городского округа закрытого</w:t>
      </w:r>
    </w:p>
    <w:p>
      <w:pPr>
        <w:pStyle w:val="ConsPlusNormal"/>
        <w:ind w:firstLine="5245"/>
      </w:pPr>
      <w:r>
        <w:t>административно-территориального</w:t>
      </w:r>
    </w:p>
    <w:p>
      <w:pPr>
        <w:pStyle w:val="ConsPlusNormal"/>
        <w:ind w:firstLine="5245"/>
      </w:pPr>
      <w:r>
        <w:t>образования Северск Томской области</w:t>
      </w:r>
    </w:p>
    <w:p>
      <w:pPr>
        <w:pStyle w:val="ConsPlusNormal"/>
        <w:ind w:firstLine="5245"/>
      </w:pPr>
      <w:r>
        <w:t xml:space="preserve">Управлением Федерального казначейства </w:t>
      </w:r>
    </w:p>
    <w:p>
      <w:pPr>
        <w:pStyle w:val="ConsPlusNormal"/>
        <w:ind w:firstLine="5245"/>
      </w:pPr>
      <w:r>
        <w:t>по Томской области</w:t>
      </w:r>
    </w:p>
    <w:p>
      <w:pPr>
        <w:pStyle w:val="ConsPlusNormal"/>
        <w:jc w:val="center"/>
        <w:rPr>
          <w:szCs w:val="24"/>
        </w:rPr>
      </w:pPr>
    </w:p>
    <w:p>
      <w:pPr>
        <w:pStyle w:val="ConsPlusNonformat"/>
        <w:jc w:val="center"/>
        <w:rPr>
          <w:rFonts w:ascii="Times New Roman" w:hAnsi="Times New Roman" w:cs="Times New Roman"/>
          <w:sz w:val="24"/>
          <w:szCs w:val="24"/>
        </w:rPr>
      </w:pPr>
      <w:bookmarkStart w:id="81" w:name="P1162"/>
      <w:bookmarkEnd w:id="81"/>
      <w:r>
        <w:rPr>
          <w:rFonts w:ascii="Times New Roman" w:hAnsi="Times New Roman" w:cs="Times New Roman"/>
          <w:sz w:val="24"/>
          <w:szCs w:val="24"/>
        </w:rPr>
        <w:t>Реквизиты</w:t>
      </w:r>
    </w:p>
    <w:p>
      <w:pPr>
        <w:pStyle w:val="ConsPlusNonformat"/>
        <w:jc w:val="center"/>
        <w:rPr>
          <w:rFonts w:ascii="Times New Roman" w:hAnsi="Times New Roman" w:cs="Times New Roman"/>
          <w:sz w:val="24"/>
          <w:szCs w:val="24"/>
        </w:rPr>
      </w:pPr>
      <w:r>
        <w:rPr>
          <w:rFonts w:ascii="Times New Roman" w:hAnsi="Times New Roman" w:cs="Times New Roman"/>
          <w:sz w:val="24"/>
          <w:szCs w:val="24"/>
        </w:rPr>
        <w:t>отчетного документа Информация об исполнении</w:t>
      </w:r>
    </w:p>
    <w:p>
      <w:pPr>
        <w:pStyle w:val="ConsPlusNonformat"/>
        <w:jc w:val="center"/>
        <w:rPr>
          <w:rFonts w:ascii="Times New Roman" w:hAnsi="Times New Roman" w:cs="Times New Roman"/>
          <w:sz w:val="24"/>
          <w:szCs w:val="24"/>
        </w:rPr>
      </w:pPr>
      <w:r>
        <w:rPr>
          <w:rFonts w:ascii="Times New Roman" w:hAnsi="Times New Roman" w:cs="Times New Roman"/>
          <w:sz w:val="24"/>
          <w:szCs w:val="24"/>
        </w:rPr>
        <w:t>_________________________ обязательств</w:t>
      </w:r>
    </w:p>
    <w:p>
      <w:pPr>
        <w:pStyle w:val="ConsPlusNonformat"/>
        <w:jc w:val="center"/>
        <w:rPr>
          <w:rFonts w:ascii="Times New Roman" w:hAnsi="Times New Roman" w:cs="Times New Roman"/>
          <w:sz w:val="24"/>
          <w:szCs w:val="24"/>
        </w:rPr>
      </w:pPr>
      <w:r>
        <w:rPr>
          <w:rFonts w:ascii="Times New Roman" w:hAnsi="Times New Roman" w:cs="Times New Roman"/>
          <w:sz w:val="24"/>
          <w:szCs w:val="24"/>
        </w:rPr>
        <w:t>(бюджетных, денежных)</w:t>
      </w:r>
    </w:p>
    <w:p>
      <w:pPr>
        <w:pStyle w:val="ConsPlusNormal"/>
        <w:jc w:val="both"/>
      </w:pPr>
    </w:p>
    <w:tbl>
      <w:tblPr>
        <w:tblW w:w="9760" w:type="dxa"/>
        <w:tblInd w:w="20" w:type="dxa"/>
        <w:tblBorders>
          <w:left w:val="nil"/>
          <w:bottom w:val="single" w:sz="4" w:space="0" w:color="auto"/>
          <w:right w:val="nil"/>
          <w:insideH w:val="single" w:sz="4" w:space="0" w:color="auto"/>
          <w:insideV w:val="nil"/>
        </w:tblBorders>
        <w:tblLayout w:type="fixed"/>
        <w:tblCellMar>
          <w:left w:w="62" w:type="dxa"/>
          <w:right w:w="62" w:type="dxa"/>
        </w:tblCellMar>
        <w:tblLook w:val="0000" w:firstRow="0" w:lastRow="0" w:firstColumn="0" w:lastColumn="0" w:noHBand="0" w:noVBand="0"/>
      </w:tblPr>
      <w:tblGrid>
        <w:gridCol w:w="3954"/>
        <w:gridCol w:w="2024"/>
        <w:gridCol w:w="3782"/>
      </w:tblGrid>
      <w:tr>
        <w:trPr>
          <w:trHeight w:val="419"/>
        </w:trPr>
        <w:tc>
          <w:tcPr>
            <w:tcW w:w="5978" w:type="dxa"/>
            <w:gridSpan w:val="2"/>
            <w:tcBorders>
              <w:top w:val="nil"/>
              <w:bottom w:val="single" w:sz="4" w:space="0" w:color="auto"/>
            </w:tcBorders>
          </w:tcPr>
          <w:p>
            <w:pPr>
              <w:pStyle w:val="ConsPlusNormal"/>
              <w:jc w:val="both"/>
            </w:pPr>
            <w:r>
              <w:t>Единица измерения: руб.</w:t>
            </w:r>
          </w:p>
          <w:p>
            <w:pPr>
              <w:pStyle w:val="ConsPlusNormal"/>
              <w:jc w:val="both"/>
            </w:pPr>
            <w:r>
              <w:t>(с точностью до второго десятичного знака)</w:t>
            </w:r>
          </w:p>
        </w:tc>
        <w:tc>
          <w:tcPr>
            <w:tcW w:w="3782" w:type="dxa"/>
            <w:tcBorders>
              <w:top w:val="nil"/>
              <w:bottom w:val="single" w:sz="4" w:space="0" w:color="auto"/>
            </w:tcBorders>
            <w:vAlign w:val="bottom"/>
          </w:tcPr>
          <w:p>
            <w:pPr>
              <w:pStyle w:val="ConsPlusNormal"/>
              <w:jc w:val="right"/>
            </w:pPr>
            <w:r>
              <w:t>Периодичность: месячная</w:t>
            </w:r>
          </w:p>
        </w:tc>
      </w:tr>
      <w:tr>
        <w:tblPrEx>
          <w:tblBorders>
            <w:left w:val="single" w:sz="4" w:space="0" w:color="auto"/>
            <w:right w:val="single" w:sz="4" w:space="0" w:color="auto"/>
            <w:insideV w:val="single" w:sz="4" w:space="0" w:color="auto"/>
          </w:tblBorders>
        </w:tblPrEx>
        <w:trPr>
          <w:trHeight w:val="209"/>
        </w:trPr>
        <w:tc>
          <w:tcPr>
            <w:tcW w:w="3954" w:type="dxa"/>
            <w:tcBorders>
              <w:top w:val="single" w:sz="4" w:space="0" w:color="auto"/>
              <w:left w:val="single" w:sz="4" w:space="0" w:color="auto"/>
              <w:bottom w:val="nil"/>
              <w:right w:val="single" w:sz="4" w:space="0" w:color="auto"/>
            </w:tcBorders>
          </w:tcPr>
          <w:p>
            <w:pPr>
              <w:pStyle w:val="ConsPlusNormal"/>
              <w:jc w:val="center"/>
            </w:pPr>
            <w:r>
              <w:t>Наименование реквизита</w:t>
            </w:r>
          </w:p>
        </w:tc>
        <w:tc>
          <w:tcPr>
            <w:tcW w:w="5806" w:type="dxa"/>
            <w:gridSpan w:val="2"/>
            <w:tcBorders>
              <w:top w:val="single" w:sz="4" w:space="0" w:color="auto"/>
              <w:left w:val="single" w:sz="4" w:space="0" w:color="auto"/>
              <w:bottom w:val="nil"/>
              <w:right w:val="single" w:sz="4" w:space="0" w:color="auto"/>
            </w:tcBorders>
          </w:tcPr>
          <w:p>
            <w:pPr>
              <w:pStyle w:val="ConsPlusNormal"/>
              <w:jc w:val="center"/>
            </w:pPr>
            <w:r>
              <w:t>Правила формирования (заполнения) реквизита</w:t>
            </w:r>
          </w:p>
        </w:tc>
      </w:tr>
    </w:tbl>
    <w:p>
      <w:pPr>
        <w:rPr>
          <w:sz w:val="2"/>
          <w:szCs w:val="2"/>
        </w:rPr>
      </w:pPr>
    </w:p>
    <w:tbl>
      <w:tblPr>
        <w:tblW w:w="9760" w:type="dxa"/>
        <w:tblInd w:w="15"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954"/>
        <w:gridCol w:w="5806"/>
      </w:tblGrid>
      <w:tr>
        <w:trPr>
          <w:trHeight w:val="209"/>
          <w:tblHeader/>
        </w:trPr>
        <w:tc>
          <w:tcPr>
            <w:tcW w:w="3954" w:type="dxa"/>
            <w:tcBorders>
              <w:top w:val="single" w:sz="4" w:space="0" w:color="auto"/>
              <w:left w:val="single" w:sz="4" w:space="0" w:color="auto"/>
              <w:bottom w:val="single" w:sz="4" w:space="0" w:color="auto"/>
              <w:right w:val="single" w:sz="4" w:space="0" w:color="auto"/>
            </w:tcBorders>
          </w:tcPr>
          <w:p>
            <w:pPr>
              <w:pStyle w:val="ConsPlusNormal"/>
              <w:jc w:val="center"/>
            </w:pPr>
            <w:r>
              <w:t>1</w:t>
            </w:r>
          </w:p>
        </w:tc>
        <w:tc>
          <w:tcPr>
            <w:tcW w:w="5806" w:type="dxa"/>
            <w:tcBorders>
              <w:top w:val="single" w:sz="4" w:space="0" w:color="auto"/>
              <w:left w:val="single" w:sz="4" w:space="0" w:color="auto"/>
              <w:bottom w:val="single" w:sz="4" w:space="0" w:color="auto"/>
              <w:right w:val="single" w:sz="4" w:space="0" w:color="auto"/>
            </w:tcBorders>
          </w:tcPr>
          <w:p>
            <w:pPr>
              <w:pStyle w:val="ConsPlusNormal"/>
              <w:jc w:val="center"/>
            </w:pPr>
            <w:r>
              <w:t>2</w:t>
            </w:r>
          </w:p>
        </w:tc>
      </w:tr>
      <w:tr>
        <w:trPr>
          <w:trHeight w:val="1269"/>
        </w:trPr>
        <w:tc>
          <w:tcPr>
            <w:tcW w:w="3954" w:type="dxa"/>
            <w:tcBorders>
              <w:top w:val="single" w:sz="4" w:space="0" w:color="auto"/>
              <w:left w:val="single" w:sz="4" w:space="0" w:color="auto"/>
              <w:bottom w:val="single" w:sz="4" w:space="0" w:color="auto"/>
              <w:right w:val="single" w:sz="4" w:space="0" w:color="auto"/>
            </w:tcBorders>
          </w:tcPr>
          <w:p>
            <w:pPr>
              <w:pStyle w:val="ConsPlusNormal"/>
            </w:pPr>
            <w:r>
              <w:t>1. Дата</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указанная в запросе Министерства финансов Российской Федерации либо иного органа муниципальной власти, уполномоченного в соответствии с законодательством Российской Федерации на получение такой информации.</w:t>
            </w:r>
          </w:p>
        </w:tc>
      </w:tr>
      <w:tr>
        <w:trPr>
          <w:trHeight w:val="419"/>
        </w:trPr>
        <w:tc>
          <w:tcPr>
            <w:tcW w:w="3954" w:type="dxa"/>
            <w:tcBorders>
              <w:top w:val="single" w:sz="4" w:space="0" w:color="auto"/>
              <w:left w:val="single" w:sz="4" w:space="0" w:color="auto"/>
              <w:bottom w:val="single" w:sz="4" w:space="0" w:color="auto"/>
              <w:right w:val="single" w:sz="4" w:space="0" w:color="auto"/>
            </w:tcBorders>
          </w:tcPr>
          <w:p>
            <w:pPr>
              <w:pStyle w:val="ConsPlusNormal"/>
            </w:pPr>
            <w:r>
              <w:t>2. Наименование органа Федерального казначейства</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органа Федерального казначейства – «Управление Федерального казначейства по Томской области».</w:t>
            </w:r>
          </w:p>
        </w:tc>
      </w:tr>
      <w:tr>
        <w:trPr>
          <w:trHeight w:val="640"/>
        </w:trPr>
        <w:tc>
          <w:tcPr>
            <w:tcW w:w="3954" w:type="dxa"/>
            <w:tcBorders>
              <w:top w:val="single" w:sz="4" w:space="0" w:color="auto"/>
              <w:left w:val="single" w:sz="4" w:space="0" w:color="auto"/>
              <w:bottom w:val="single" w:sz="4" w:space="0" w:color="auto"/>
              <w:right w:val="single" w:sz="4" w:space="0" w:color="auto"/>
            </w:tcBorders>
          </w:tcPr>
          <w:p>
            <w:pPr>
              <w:pStyle w:val="ConsPlusNormal"/>
            </w:pPr>
            <w:r>
              <w:t>3. Код органа Федерального казначейства (КОФК)</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органа Федерального казначейства, присвоенный Федеральным казначейством.</w:t>
            </w:r>
          </w:p>
        </w:tc>
      </w:tr>
      <w:tr>
        <w:trPr>
          <w:trHeight w:val="209"/>
        </w:trPr>
        <w:tc>
          <w:tcPr>
            <w:tcW w:w="3954" w:type="dxa"/>
            <w:tcBorders>
              <w:top w:val="single" w:sz="4" w:space="0" w:color="auto"/>
              <w:left w:val="single" w:sz="4" w:space="0" w:color="auto"/>
              <w:bottom w:val="single" w:sz="4" w:space="0" w:color="auto"/>
              <w:right w:val="single" w:sz="4" w:space="0" w:color="auto"/>
            </w:tcBorders>
          </w:tcPr>
          <w:p>
            <w:pPr>
              <w:pStyle w:val="ConsPlusNormal"/>
            </w:pPr>
            <w:r>
              <w:t>4. Наименование бюджета</w:t>
            </w:r>
          </w:p>
        </w:tc>
        <w:tc>
          <w:tcPr>
            <w:tcW w:w="5806" w:type="dxa"/>
            <w:tcBorders>
              <w:top w:val="single" w:sz="4" w:space="0" w:color="auto"/>
              <w:left w:val="single" w:sz="4" w:space="0" w:color="auto"/>
              <w:bottom w:val="single" w:sz="4" w:space="0" w:color="auto"/>
              <w:right w:val="single" w:sz="4" w:space="0" w:color="auto"/>
            </w:tcBorders>
          </w:tcPr>
          <w:p>
            <w:pPr>
              <w:autoSpaceDE w:val="0"/>
              <w:autoSpaceDN w:val="0"/>
              <w:adjustRightInd w:val="0"/>
            </w:pPr>
            <w:r>
              <w:rPr>
                <w:rFonts w:ascii="Times New Roman" w:hAnsi="Times New Roman"/>
                <w:sz w:val="24"/>
              </w:rPr>
              <w:t xml:space="preserve">     Указывается наименование бюджет – «бюджета городского округа закрытого административно-территориального образования Северск Томской области»</w:t>
            </w:r>
            <w:r>
              <w:t>.</w:t>
            </w:r>
          </w:p>
        </w:tc>
      </w:tr>
      <w:tr>
        <w:trPr>
          <w:trHeight w:val="1059"/>
        </w:trPr>
        <w:tc>
          <w:tcPr>
            <w:tcW w:w="3954" w:type="dxa"/>
            <w:tcBorders>
              <w:top w:val="single" w:sz="4" w:space="0" w:color="auto"/>
              <w:left w:val="single" w:sz="4" w:space="0" w:color="auto"/>
              <w:bottom w:val="single" w:sz="4" w:space="0" w:color="auto"/>
              <w:right w:val="single" w:sz="4" w:space="0" w:color="auto"/>
            </w:tcBorders>
          </w:tcPr>
          <w:p>
            <w:pPr>
              <w:pStyle w:val="ConsPlusNormal"/>
              <w:jc w:val="both"/>
            </w:pPr>
            <w:r>
              <w:t xml:space="preserve">5. Код по </w:t>
            </w:r>
            <w:hyperlink r:id="rId90">
              <w:r>
                <w:t>ОКТМО</w:t>
              </w:r>
            </w:hyperlink>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Указывается код по Общероссийскому </w:t>
            </w:r>
            <w:hyperlink r:id="rId91">
              <w:r>
                <w:t>классификатору</w:t>
              </w:r>
            </w:hyperlink>
            <w:r>
              <w:t xml:space="preserve"> территорий муниципальных образований органа Федерального казначейства, финансового органа муниципального образования.</w:t>
            </w:r>
          </w:p>
        </w:tc>
      </w:tr>
      <w:tr>
        <w:trPr>
          <w:trHeight w:val="419"/>
        </w:trPr>
        <w:tc>
          <w:tcPr>
            <w:tcW w:w="3954" w:type="dxa"/>
            <w:tcBorders>
              <w:top w:val="single" w:sz="4" w:space="0" w:color="auto"/>
              <w:left w:val="single" w:sz="4" w:space="0" w:color="auto"/>
              <w:bottom w:val="single" w:sz="4" w:space="0" w:color="auto"/>
              <w:right w:val="single" w:sz="4" w:space="0" w:color="auto"/>
            </w:tcBorders>
          </w:tcPr>
          <w:p>
            <w:pPr>
              <w:pStyle w:val="ConsPlusNormal"/>
            </w:pPr>
            <w:r>
              <w:t>6. Финансовый орган</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финансового органа – «Финансовое управление Администрации ЗАТО Северск», код по ОКПО.</w:t>
            </w:r>
          </w:p>
        </w:tc>
      </w:tr>
      <w:tr>
        <w:trPr>
          <w:trHeight w:val="628"/>
        </w:trPr>
        <w:tc>
          <w:tcPr>
            <w:tcW w:w="3954" w:type="dxa"/>
            <w:tcBorders>
              <w:top w:val="single" w:sz="4" w:space="0" w:color="auto"/>
              <w:left w:val="single" w:sz="4" w:space="0" w:color="auto"/>
              <w:bottom w:val="single" w:sz="4" w:space="0" w:color="auto"/>
              <w:right w:val="single" w:sz="4" w:space="0" w:color="auto"/>
            </w:tcBorders>
          </w:tcPr>
          <w:p>
            <w:pPr>
              <w:pStyle w:val="ConsPlusNormal"/>
            </w:pPr>
            <w:r>
              <w:t>6.1. Код по ОКПО</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финансового органа по Общероссийскому классификатору предприятий и организаций.</w:t>
            </w:r>
          </w:p>
        </w:tc>
      </w:tr>
      <w:tr>
        <w:trPr>
          <w:trHeight w:val="419"/>
        </w:trPr>
        <w:tc>
          <w:tcPr>
            <w:tcW w:w="3954" w:type="dxa"/>
            <w:tcBorders>
              <w:top w:val="single" w:sz="4" w:space="0" w:color="auto"/>
              <w:left w:val="single" w:sz="4" w:space="0" w:color="auto"/>
              <w:bottom w:val="single" w:sz="4" w:space="0" w:color="auto"/>
              <w:right w:val="single" w:sz="4" w:space="0" w:color="auto"/>
            </w:tcBorders>
          </w:tcPr>
          <w:p>
            <w:pPr>
              <w:pStyle w:val="ConsPlusNormal"/>
            </w:pPr>
            <w:r>
              <w:t>7. Наименование органа исполнительной власти</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органа исполнительной власти.</w:t>
            </w:r>
          </w:p>
        </w:tc>
      </w:tr>
      <w:tr>
        <w:trPr>
          <w:trHeight w:val="430"/>
        </w:trPr>
        <w:tc>
          <w:tcPr>
            <w:tcW w:w="3954" w:type="dxa"/>
            <w:tcBorders>
              <w:top w:val="single" w:sz="4" w:space="0" w:color="auto"/>
              <w:left w:val="single" w:sz="4" w:space="0" w:color="auto"/>
              <w:bottom w:val="single" w:sz="4" w:space="0" w:color="auto"/>
              <w:right w:val="single" w:sz="4" w:space="0" w:color="auto"/>
            </w:tcBorders>
          </w:tcPr>
          <w:p>
            <w:pPr>
              <w:pStyle w:val="ConsPlusNormal"/>
            </w:pPr>
            <w:r>
              <w:t>7.1. Код по ОКПО</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органа исполнительной власти по Общероссийскому классификатору предприятий и организаций.</w:t>
            </w:r>
          </w:p>
        </w:tc>
      </w:tr>
      <w:tr>
        <w:trPr>
          <w:trHeight w:val="1059"/>
        </w:trPr>
        <w:tc>
          <w:tcPr>
            <w:tcW w:w="3954" w:type="dxa"/>
            <w:tcBorders>
              <w:top w:val="single" w:sz="4" w:space="0" w:color="auto"/>
              <w:left w:val="single" w:sz="4" w:space="0" w:color="auto"/>
              <w:bottom w:val="single" w:sz="4" w:space="0" w:color="auto"/>
              <w:right w:val="single" w:sz="4" w:space="0" w:color="auto"/>
            </w:tcBorders>
          </w:tcPr>
          <w:p>
            <w:pPr>
              <w:pStyle w:val="ConsPlusNormal"/>
            </w:pPr>
            <w:r>
              <w:t>8. Код по бюджетной классификации</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составная часть кода классификации расходов бюджета, по которому в УФК по ТО учтено бюджетное или денежное обязательство (глава, раздел, подраздел, целевая статья, вид расходов).</w:t>
            </w:r>
          </w:p>
        </w:tc>
      </w:tr>
      <w:tr>
        <w:trPr>
          <w:trHeight w:val="1270"/>
        </w:trPr>
        <w:tc>
          <w:tcPr>
            <w:tcW w:w="3954" w:type="dxa"/>
            <w:tcBorders>
              <w:top w:val="single" w:sz="4" w:space="0" w:color="auto"/>
              <w:left w:val="single" w:sz="4" w:space="0" w:color="auto"/>
              <w:bottom w:val="single" w:sz="4" w:space="0" w:color="auto"/>
              <w:right w:val="single" w:sz="4" w:space="0" w:color="auto"/>
            </w:tcBorders>
          </w:tcPr>
          <w:p>
            <w:pPr>
              <w:pStyle w:val="ConsPlusNormal"/>
            </w:pPr>
            <w:bookmarkStart w:id="82" w:name="P1194"/>
            <w:bookmarkEnd w:id="82"/>
            <w:r>
              <w:t>9. Распределенные на лицевой счет получателя бюджетных средств лимиты бюджетных обязательств на 20__ текущий финансовый год</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распределенных лимитов бюджетных обязательств на текущий финансовый год в разрезе кодов по бюджетной классификации.</w:t>
            </w:r>
          </w:p>
        </w:tc>
      </w:tr>
      <w:tr>
        <w:trPr>
          <w:trHeight w:val="1259"/>
        </w:trPr>
        <w:tc>
          <w:tcPr>
            <w:tcW w:w="3954" w:type="dxa"/>
            <w:tcBorders>
              <w:top w:val="single" w:sz="4" w:space="0" w:color="auto"/>
              <w:left w:val="single" w:sz="4" w:space="0" w:color="auto"/>
              <w:bottom w:val="single" w:sz="4" w:space="0" w:color="auto"/>
              <w:right w:val="single" w:sz="4" w:space="0" w:color="auto"/>
            </w:tcBorders>
          </w:tcPr>
          <w:p>
            <w:pPr>
              <w:pStyle w:val="ConsPlusNormal"/>
            </w:pPr>
            <w:r>
              <w:t>9.1. Распределенные на лицевой счет получателя бюджетных средств лимиты бюджетных обязательств на плановый период в разрезе лет</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распределенных лимитов бюджетных обязательств на первый и второй год планового периода в разрезе кодов по бюджетной классификации.</w:t>
            </w:r>
          </w:p>
        </w:tc>
      </w:tr>
      <w:tr>
        <w:trPr>
          <w:trHeight w:val="1547"/>
        </w:trPr>
        <w:tc>
          <w:tcPr>
            <w:tcW w:w="3954" w:type="dxa"/>
            <w:tcBorders>
              <w:top w:val="single" w:sz="4" w:space="0" w:color="auto"/>
              <w:left w:val="single" w:sz="4" w:space="0" w:color="auto"/>
              <w:bottom w:val="single" w:sz="4" w:space="0" w:color="auto"/>
              <w:right w:val="single" w:sz="4" w:space="0" w:color="auto"/>
            </w:tcBorders>
          </w:tcPr>
          <w:p>
            <w:pPr>
              <w:pStyle w:val="ConsPlusNormal"/>
              <w:jc w:val="both"/>
            </w:pPr>
            <w:r>
              <w:t>10. Принятые на учет бюджетные или денежные обязательства за счет средств бюджета на текущий финансовый год</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принятых на учет бюджетных или денежных обязательств за счет средств бюджета на текущий финансовый год (с учетом неисполненных обязательств прошлых лет) в разрезе кодов по бюджетной классификации.</w:t>
            </w:r>
          </w:p>
        </w:tc>
      </w:tr>
      <w:tr>
        <w:trPr>
          <w:trHeight w:val="1270"/>
        </w:trPr>
        <w:tc>
          <w:tcPr>
            <w:tcW w:w="3954" w:type="dxa"/>
            <w:tcBorders>
              <w:top w:val="single" w:sz="4" w:space="0" w:color="auto"/>
              <w:left w:val="single" w:sz="4" w:space="0" w:color="auto"/>
              <w:bottom w:val="single" w:sz="4" w:space="0" w:color="auto"/>
              <w:right w:val="single" w:sz="4" w:space="0" w:color="auto"/>
            </w:tcBorders>
          </w:tcPr>
          <w:p>
            <w:pPr>
              <w:pStyle w:val="ConsPlusNormal"/>
              <w:jc w:val="both"/>
            </w:pPr>
            <w:r>
              <w:t>10.1. Принятые на учет бюджетные или денежные обязательства за счет средств бюджета на плановый период в разрезе лет</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принятых на учет бюджетных или денежных обязательств за счет средств бюджета на первый и второй год планового периода в разрезе кодов по бюджетной классификации.</w:t>
            </w:r>
          </w:p>
        </w:tc>
      </w:tr>
      <w:tr>
        <w:trPr>
          <w:trHeight w:val="1403"/>
        </w:trPr>
        <w:tc>
          <w:tcPr>
            <w:tcW w:w="3954" w:type="dxa"/>
            <w:tcBorders>
              <w:top w:val="single" w:sz="4" w:space="0" w:color="auto"/>
              <w:left w:val="single" w:sz="4" w:space="0" w:color="auto"/>
              <w:bottom w:val="single" w:sz="4" w:space="0" w:color="auto"/>
              <w:right w:val="single" w:sz="4" w:space="0" w:color="auto"/>
            </w:tcBorders>
          </w:tcPr>
          <w:p>
            <w:pPr>
              <w:pStyle w:val="ConsPlusNormal"/>
              <w:jc w:val="both"/>
            </w:pPr>
            <w:r>
              <w:t>11. Исполненные бюджетные или денежные обязательства с начала текущего финансового года</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суммы исполнения бюджетных или денежных обязательств, исполненных с начала текущего финансового года в разрезе кодов по бюджетной классификации.</w:t>
            </w:r>
          </w:p>
        </w:tc>
      </w:tr>
      <w:tr>
        <w:trPr>
          <w:trHeight w:val="1267"/>
        </w:trPr>
        <w:tc>
          <w:tcPr>
            <w:tcW w:w="3954" w:type="dxa"/>
            <w:tcBorders>
              <w:top w:val="single" w:sz="4" w:space="0" w:color="auto"/>
              <w:left w:val="single" w:sz="4" w:space="0" w:color="auto"/>
              <w:bottom w:val="single" w:sz="4" w:space="0" w:color="auto"/>
              <w:right w:val="single" w:sz="4" w:space="0" w:color="auto"/>
            </w:tcBorders>
          </w:tcPr>
          <w:p>
            <w:pPr>
              <w:pStyle w:val="ConsPlusNormal"/>
            </w:pPr>
            <w:r>
              <w:t>11.1. Процент исполнения бюджетных или денежных обязательств текущего финансового года</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процент исполненных бюджетных или денежных обязательств текущего финансового года в разрезе кодов бюджетной классификации Российской Федерации.</w:t>
            </w:r>
          </w:p>
        </w:tc>
      </w:tr>
      <w:tr>
        <w:trPr>
          <w:trHeight w:val="1838"/>
        </w:trPr>
        <w:tc>
          <w:tcPr>
            <w:tcW w:w="3954" w:type="dxa"/>
            <w:tcBorders>
              <w:top w:val="single" w:sz="4" w:space="0" w:color="auto"/>
              <w:left w:val="single" w:sz="4" w:space="0" w:color="auto"/>
              <w:bottom w:val="single" w:sz="4" w:space="0" w:color="auto"/>
              <w:right w:val="single" w:sz="4" w:space="0" w:color="auto"/>
            </w:tcBorders>
          </w:tcPr>
          <w:p>
            <w:pPr>
              <w:pStyle w:val="ConsPlusNormal"/>
              <w:jc w:val="both"/>
            </w:pPr>
            <w:r>
              <w:t>12. Не исполненные бюджетные или денежные обязательства текущего финансового года</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суммы бюджетных или денежных обязательств текущего финансового года (с учетом суммы неисполненных обязательств прошлых лет), не исполненные на дату формирования Информации об исполнении обязательств в разрезе кодов по бюджетной классификации.</w:t>
            </w:r>
          </w:p>
        </w:tc>
      </w:tr>
      <w:tr>
        <w:trPr>
          <w:trHeight w:val="1411"/>
        </w:trPr>
        <w:tc>
          <w:tcPr>
            <w:tcW w:w="3954" w:type="dxa"/>
            <w:tcBorders>
              <w:top w:val="single" w:sz="4" w:space="0" w:color="auto"/>
              <w:left w:val="single" w:sz="4" w:space="0" w:color="auto"/>
              <w:bottom w:val="single" w:sz="4" w:space="0" w:color="auto"/>
              <w:right w:val="single" w:sz="4" w:space="0" w:color="auto"/>
            </w:tcBorders>
          </w:tcPr>
          <w:p>
            <w:pPr>
              <w:pStyle w:val="ConsPlusNormal"/>
            </w:pPr>
            <w:bookmarkStart w:id="83" w:name="P1208"/>
            <w:bookmarkEnd w:id="83"/>
            <w:r>
              <w:t>13. Неиспользованный остаток лимитов бюджетных обязательств текущего финансового года</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неиспользованных остатков лимитов бюджетных обязательств текущего финансового года в разрезе кодов по бюджетной классификации.</w:t>
            </w:r>
          </w:p>
        </w:tc>
      </w:tr>
      <w:tr>
        <w:trPr>
          <w:trHeight w:val="209"/>
        </w:trPr>
        <w:tc>
          <w:tcPr>
            <w:tcW w:w="3954" w:type="dxa"/>
            <w:tcBorders>
              <w:top w:val="single" w:sz="4" w:space="0" w:color="auto"/>
              <w:left w:val="single" w:sz="4" w:space="0" w:color="auto"/>
              <w:bottom w:val="single" w:sz="4" w:space="0" w:color="auto"/>
              <w:right w:val="single" w:sz="4" w:space="0" w:color="auto"/>
            </w:tcBorders>
          </w:tcPr>
          <w:p>
            <w:pPr>
              <w:pStyle w:val="ConsPlusNormal"/>
            </w:pPr>
            <w:r>
              <w:t>13.1. Неиспользованный остаток лимитов бюджетных обязательств текущего финансового года в процентах от доведенного объема лимитов бюджетных обязательств текущего финансового года</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процент неиспользованного остатка лимитов бюджетных обязательств текущего финансового года в разрезе кодов по бюджетной классификации.</w:t>
            </w:r>
          </w:p>
        </w:tc>
      </w:tr>
      <w:tr>
        <w:trPr>
          <w:trHeight w:val="3632"/>
        </w:trPr>
        <w:tc>
          <w:tcPr>
            <w:tcW w:w="3954" w:type="dxa"/>
            <w:tcBorders>
              <w:top w:val="single" w:sz="4" w:space="0" w:color="auto"/>
              <w:left w:val="single" w:sz="4" w:space="0" w:color="auto"/>
              <w:bottom w:val="single" w:sz="4" w:space="0" w:color="auto"/>
              <w:right w:val="single" w:sz="4" w:space="0" w:color="auto"/>
            </w:tcBorders>
          </w:tcPr>
          <w:p>
            <w:pPr>
              <w:pStyle w:val="ConsPlusNormal"/>
              <w:jc w:val="both"/>
            </w:pPr>
            <w:r>
              <w:t>14. Итого по коду главы</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В случае представления Информации об исполнении обязательств УФК по ТО формирует Информацию об исполнении обязательств в разрезе главных распорядителей средств бюджета ЗАТО Северск и направляет данную Информацию в Федеральное казначейство. При этом в наименовании строки «Итого по коду главы» указывается код главного распорядителя средств бюджета ЗАТО Северск по бюджетной классификации Российской Федерации, с отражением в </w:t>
            </w:r>
            <w:hyperlink w:anchor="P1194">
              <w:r>
                <w:t>пунктах 9</w:t>
              </w:r>
            </w:hyperlink>
            <w:r>
              <w:t xml:space="preserve"> - </w:t>
            </w:r>
            <w:hyperlink w:anchor="P1208">
              <w:r>
                <w:t>13</w:t>
              </w:r>
            </w:hyperlink>
            <w:r>
              <w:t xml:space="preserve"> итоговых данных по получателям средств бюджета ЗАТО Северск, подведомственных данному главному распорядителю средств бюджета ЗАТО Северск.</w:t>
            </w:r>
          </w:p>
        </w:tc>
      </w:tr>
      <w:tr>
        <w:trPr>
          <w:trHeight w:val="419"/>
        </w:trPr>
        <w:tc>
          <w:tcPr>
            <w:tcW w:w="3954" w:type="dxa"/>
            <w:tcBorders>
              <w:top w:val="single" w:sz="4" w:space="0" w:color="auto"/>
              <w:left w:val="single" w:sz="4" w:space="0" w:color="auto"/>
              <w:bottom w:val="single" w:sz="4" w:space="0" w:color="auto"/>
              <w:right w:val="single" w:sz="4" w:space="0" w:color="auto"/>
            </w:tcBorders>
          </w:tcPr>
          <w:p>
            <w:pPr>
              <w:pStyle w:val="ConsPlusNormal"/>
              <w:jc w:val="both"/>
            </w:pPr>
            <w:r>
              <w:t>15. Всего</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итоговые суммы бюджетных или денежных обязательств.</w:t>
            </w:r>
          </w:p>
        </w:tc>
      </w:tr>
      <w:tr>
        <w:trPr>
          <w:trHeight w:val="640"/>
        </w:trPr>
        <w:tc>
          <w:tcPr>
            <w:tcW w:w="3954" w:type="dxa"/>
            <w:tcBorders>
              <w:top w:val="single" w:sz="4" w:space="0" w:color="auto"/>
              <w:left w:val="single" w:sz="4" w:space="0" w:color="auto"/>
              <w:bottom w:val="single" w:sz="4" w:space="0" w:color="auto"/>
              <w:right w:val="single" w:sz="4" w:space="0" w:color="auto"/>
            </w:tcBorders>
          </w:tcPr>
          <w:p>
            <w:pPr>
              <w:pStyle w:val="ConsPlusNormal"/>
              <w:jc w:val="both"/>
            </w:pPr>
            <w:r>
              <w:t>16. Руководитель</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подпись, расшифровка подписи руководителя органа Федерального казначейства.</w:t>
            </w:r>
          </w:p>
        </w:tc>
      </w:tr>
      <w:tr>
        <w:trPr>
          <w:trHeight w:val="628"/>
        </w:trPr>
        <w:tc>
          <w:tcPr>
            <w:tcW w:w="3954" w:type="dxa"/>
            <w:tcBorders>
              <w:top w:val="single" w:sz="4" w:space="0" w:color="auto"/>
              <w:left w:val="single" w:sz="4" w:space="0" w:color="auto"/>
              <w:bottom w:val="single" w:sz="4" w:space="0" w:color="auto"/>
              <w:right w:val="single" w:sz="4" w:space="0" w:color="auto"/>
            </w:tcBorders>
          </w:tcPr>
          <w:p>
            <w:pPr>
              <w:pStyle w:val="ConsPlusNormal"/>
              <w:jc w:val="both"/>
            </w:pPr>
            <w:r>
              <w:t>17. Главный бухгалтер</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подпись, расшифровка подписи главного бухгалтера УФК по ТО.</w:t>
            </w:r>
          </w:p>
        </w:tc>
      </w:tr>
      <w:tr>
        <w:trPr>
          <w:trHeight w:val="640"/>
        </w:trPr>
        <w:tc>
          <w:tcPr>
            <w:tcW w:w="3954" w:type="dxa"/>
            <w:tcBorders>
              <w:top w:val="single" w:sz="4" w:space="0" w:color="auto"/>
              <w:left w:val="single" w:sz="4" w:space="0" w:color="auto"/>
              <w:bottom w:val="single" w:sz="4" w:space="0" w:color="auto"/>
              <w:right w:val="single" w:sz="4" w:space="0" w:color="auto"/>
            </w:tcBorders>
          </w:tcPr>
          <w:p>
            <w:pPr>
              <w:pStyle w:val="ConsPlusNormal"/>
              <w:jc w:val="both"/>
            </w:pPr>
            <w:r>
              <w:t>18. Ответственный исполнитель</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должность, подпись, расшифровка подписи, телефон ответственного исполнителя, сформировавшего отчет.</w:t>
            </w:r>
          </w:p>
        </w:tc>
      </w:tr>
      <w:tr>
        <w:trPr>
          <w:trHeight w:val="197"/>
        </w:trPr>
        <w:tc>
          <w:tcPr>
            <w:tcW w:w="3954" w:type="dxa"/>
            <w:tcBorders>
              <w:top w:val="single" w:sz="4" w:space="0" w:color="auto"/>
              <w:left w:val="single" w:sz="4" w:space="0" w:color="auto"/>
              <w:bottom w:val="single" w:sz="4" w:space="0" w:color="auto"/>
              <w:right w:val="single" w:sz="4" w:space="0" w:color="auto"/>
            </w:tcBorders>
          </w:tcPr>
          <w:p>
            <w:pPr>
              <w:pStyle w:val="ConsPlusNormal"/>
              <w:jc w:val="both"/>
            </w:pPr>
            <w:r>
              <w:t>19. Дата</w:t>
            </w:r>
          </w:p>
        </w:tc>
        <w:tc>
          <w:tcPr>
            <w:tcW w:w="5806"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подписания отчета.</w:t>
            </w:r>
          </w:p>
        </w:tc>
      </w:tr>
    </w:tbl>
    <w:p>
      <w:pPr>
        <w:pStyle w:val="ConsPlusNormal"/>
        <w:jc w:val="both"/>
        <w:sectPr>
          <w:headerReference w:type="first" r:id="rId92"/>
          <w:pgSz w:w="11906" w:h="16838"/>
          <w:pgMar w:top="993" w:right="567" w:bottom="851" w:left="1701" w:header="567" w:footer="454" w:gutter="0"/>
          <w:pgNumType w:start="1"/>
          <w:cols w:space="708"/>
          <w:titlePg/>
          <w:docGrid w:linePitch="360"/>
        </w:sectPr>
      </w:pPr>
    </w:p>
    <w:p>
      <w:pPr>
        <w:pStyle w:val="ConsPlusNormal"/>
        <w:ind w:firstLine="5245"/>
        <w:outlineLvl w:val="1"/>
      </w:pPr>
      <w:r>
        <w:t>Приложение № 8</w:t>
      </w:r>
    </w:p>
    <w:p>
      <w:pPr>
        <w:pStyle w:val="ConsPlusNormal"/>
        <w:ind w:firstLine="5245"/>
      </w:pPr>
      <w:r>
        <w:t>к Порядку учета бюджетных и денежных</w:t>
      </w:r>
    </w:p>
    <w:p>
      <w:pPr>
        <w:pStyle w:val="ConsPlusNormal"/>
        <w:ind w:firstLine="5245"/>
      </w:pPr>
      <w:r>
        <w:t>обязательств получателей средств</w:t>
      </w:r>
    </w:p>
    <w:p>
      <w:pPr>
        <w:autoSpaceDE w:val="0"/>
        <w:autoSpaceDN w:val="0"/>
        <w:adjustRightInd w:val="0"/>
        <w:ind w:firstLine="5245"/>
        <w:rPr>
          <w:rFonts w:ascii="Times New Roman" w:hAnsi="Times New Roman"/>
          <w:bCs/>
          <w:sz w:val="24"/>
          <w:szCs w:val="24"/>
        </w:rPr>
      </w:pPr>
      <w:r>
        <w:rPr>
          <w:rFonts w:ascii="Times New Roman" w:hAnsi="Times New Roman"/>
          <w:sz w:val="24"/>
          <w:szCs w:val="24"/>
        </w:rPr>
        <w:t xml:space="preserve">бюджета </w:t>
      </w:r>
      <w:r>
        <w:rPr>
          <w:rFonts w:ascii="Times New Roman" w:hAnsi="Times New Roman"/>
          <w:bCs/>
          <w:sz w:val="24"/>
          <w:szCs w:val="24"/>
        </w:rPr>
        <w:t xml:space="preserve">городского округа закрытого </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административно-территориального</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образования Северск Томской области</w:t>
      </w:r>
    </w:p>
    <w:p>
      <w:pPr>
        <w:pStyle w:val="ConsPlusNormal"/>
        <w:ind w:firstLine="5245"/>
        <w:rPr>
          <w:rFonts w:eastAsiaTheme="minorHAnsi"/>
          <w:szCs w:val="24"/>
          <w:lang w:eastAsia="en-US"/>
        </w:rPr>
      </w:pPr>
      <w:r>
        <w:rPr>
          <w:rFonts w:eastAsiaTheme="minorHAnsi"/>
          <w:szCs w:val="24"/>
          <w:lang w:eastAsia="en-US"/>
        </w:rPr>
        <w:t xml:space="preserve">Управлением Федерального казначейства </w:t>
      </w:r>
    </w:p>
    <w:p>
      <w:pPr>
        <w:pStyle w:val="ConsPlusNormal"/>
        <w:ind w:firstLine="5245"/>
      </w:pPr>
      <w:r>
        <w:rPr>
          <w:rFonts w:eastAsiaTheme="minorHAnsi"/>
          <w:szCs w:val="24"/>
          <w:lang w:eastAsia="en-US"/>
        </w:rPr>
        <w:t xml:space="preserve">по </w:t>
      </w:r>
      <w:r>
        <w:rPr>
          <w:bCs/>
          <w:szCs w:val="24"/>
        </w:rPr>
        <w:t>Томской области</w:t>
      </w:r>
    </w:p>
    <w:p>
      <w:pPr>
        <w:pStyle w:val="ConsPlusNormal"/>
        <w:jc w:val="both"/>
      </w:pPr>
    </w:p>
    <w:p>
      <w:pPr>
        <w:pStyle w:val="ConsPlusNonformat"/>
        <w:jc w:val="center"/>
        <w:rPr>
          <w:rFonts w:ascii="Times New Roman" w:hAnsi="Times New Roman" w:cs="Times New Roman"/>
          <w:sz w:val="24"/>
          <w:szCs w:val="24"/>
        </w:rPr>
      </w:pPr>
      <w:bookmarkStart w:id="84" w:name="P1240"/>
      <w:bookmarkEnd w:id="84"/>
      <w:r>
        <w:rPr>
          <w:rFonts w:ascii="Times New Roman" w:hAnsi="Times New Roman" w:cs="Times New Roman"/>
          <w:sz w:val="24"/>
          <w:szCs w:val="24"/>
        </w:rPr>
        <w:t>Реквизиты</w:t>
      </w:r>
    </w:p>
    <w:p>
      <w:pPr>
        <w:pStyle w:val="ConsPlusNonformat"/>
        <w:jc w:val="center"/>
        <w:rPr>
          <w:rFonts w:ascii="Times New Roman" w:hAnsi="Times New Roman" w:cs="Times New Roman"/>
          <w:sz w:val="24"/>
          <w:szCs w:val="24"/>
        </w:rPr>
      </w:pPr>
      <w:r>
        <w:rPr>
          <w:rFonts w:ascii="Times New Roman" w:hAnsi="Times New Roman" w:cs="Times New Roman"/>
          <w:sz w:val="24"/>
          <w:szCs w:val="24"/>
        </w:rPr>
        <w:t>отчетного документа Информация об исполнении ______________________________</w:t>
      </w:r>
    </w:p>
    <w:p>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(бюджетных, денежных)</w:t>
      </w:r>
    </w:p>
    <w:p>
      <w:pPr>
        <w:pStyle w:val="ConsPlusNonformat"/>
        <w:jc w:val="center"/>
        <w:rPr>
          <w:rFonts w:ascii="Times New Roman" w:hAnsi="Times New Roman" w:cs="Times New Roman"/>
          <w:sz w:val="24"/>
          <w:szCs w:val="24"/>
        </w:rPr>
      </w:pPr>
      <w:proofErr w:type="gramStart"/>
      <w:r>
        <w:rPr>
          <w:rFonts w:ascii="Times New Roman" w:hAnsi="Times New Roman" w:cs="Times New Roman"/>
          <w:sz w:val="24"/>
          <w:szCs w:val="24"/>
        </w:rPr>
        <w:t xml:space="preserve">обязательств,   </w:t>
      </w:r>
      <w:proofErr w:type="gramEnd"/>
      <w:r>
        <w:rPr>
          <w:rFonts w:ascii="Times New Roman" w:hAnsi="Times New Roman" w:cs="Times New Roman"/>
          <w:sz w:val="24"/>
          <w:szCs w:val="24"/>
        </w:rPr>
        <w:t>принятых    в  целях  осуществления   капитальных  вложений</w:t>
      </w:r>
    </w:p>
    <w:tbl>
      <w:tblPr>
        <w:tblW w:w="9614" w:type="dxa"/>
        <w:tblInd w:w="25" w:type="dxa"/>
        <w:tblBorders>
          <w:left w:val="nil"/>
          <w:bottom w:val="single" w:sz="4" w:space="0" w:color="auto"/>
          <w:right w:val="nil"/>
          <w:insideH w:val="single" w:sz="4" w:space="0" w:color="auto"/>
          <w:insideV w:val="nil"/>
        </w:tblBorders>
        <w:tblLayout w:type="fixed"/>
        <w:tblCellMar>
          <w:left w:w="62" w:type="dxa"/>
          <w:right w:w="62" w:type="dxa"/>
        </w:tblCellMar>
        <w:tblLook w:val="0000" w:firstRow="0" w:lastRow="0" w:firstColumn="0" w:lastColumn="0" w:noHBand="0" w:noVBand="0"/>
      </w:tblPr>
      <w:tblGrid>
        <w:gridCol w:w="3012"/>
        <w:gridCol w:w="2902"/>
        <w:gridCol w:w="3700"/>
      </w:tblGrid>
      <w:tr>
        <w:trPr>
          <w:trHeight w:val="130"/>
        </w:trPr>
        <w:tc>
          <w:tcPr>
            <w:tcW w:w="5914" w:type="dxa"/>
            <w:gridSpan w:val="2"/>
            <w:tcBorders>
              <w:top w:val="nil"/>
              <w:bottom w:val="single" w:sz="4" w:space="0" w:color="auto"/>
            </w:tcBorders>
          </w:tcPr>
          <w:p>
            <w:pPr>
              <w:pStyle w:val="ConsPlusNormal"/>
              <w:jc w:val="both"/>
            </w:pPr>
          </w:p>
          <w:p>
            <w:pPr>
              <w:pStyle w:val="ConsPlusNormal"/>
              <w:jc w:val="both"/>
            </w:pPr>
            <w:r>
              <w:t>Единица измерения: руб.</w:t>
            </w:r>
          </w:p>
          <w:p>
            <w:pPr>
              <w:pStyle w:val="ConsPlusNormal"/>
              <w:jc w:val="both"/>
            </w:pPr>
            <w:r>
              <w:t>с точностью до второго десятичного знака)</w:t>
            </w:r>
          </w:p>
        </w:tc>
        <w:tc>
          <w:tcPr>
            <w:tcW w:w="3700" w:type="dxa"/>
            <w:tcBorders>
              <w:top w:val="nil"/>
              <w:bottom w:val="single" w:sz="4" w:space="0" w:color="auto"/>
            </w:tcBorders>
            <w:vAlign w:val="bottom"/>
          </w:tcPr>
          <w:p>
            <w:pPr>
              <w:pStyle w:val="ConsPlusNormal"/>
              <w:jc w:val="right"/>
            </w:pPr>
            <w:r>
              <w:t>Периодичность: месячная</w:t>
            </w:r>
          </w:p>
        </w:tc>
      </w:tr>
      <w:tr>
        <w:tblPrEx>
          <w:tblBorders>
            <w:left w:val="single" w:sz="4" w:space="0" w:color="auto"/>
            <w:right w:val="single" w:sz="4" w:space="0" w:color="auto"/>
            <w:insideV w:val="single" w:sz="4" w:space="0" w:color="auto"/>
          </w:tblBorders>
        </w:tblPrEx>
        <w:trPr>
          <w:trHeight w:val="130"/>
        </w:trPr>
        <w:tc>
          <w:tcPr>
            <w:tcW w:w="3012" w:type="dxa"/>
            <w:tcBorders>
              <w:top w:val="single" w:sz="4" w:space="0" w:color="auto"/>
              <w:left w:val="single" w:sz="4" w:space="0" w:color="auto"/>
              <w:bottom w:val="nil"/>
              <w:right w:val="single" w:sz="4" w:space="0" w:color="auto"/>
            </w:tcBorders>
          </w:tcPr>
          <w:p>
            <w:pPr>
              <w:pStyle w:val="ConsPlusNormal"/>
              <w:jc w:val="center"/>
            </w:pPr>
            <w:r>
              <w:t>Наименование реквизита</w:t>
            </w:r>
          </w:p>
        </w:tc>
        <w:tc>
          <w:tcPr>
            <w:tcW w:w="6602" w:type="dxa"/>
            <w:gridSpan w:val="2"/>
            <w:tcBorders>
              <w:top w:val="single" w:sz="4" w:space="0" w:color="auto"/>
              <w:left w:val="single" w:sz="4" w:space="0" w:color="auto"/>
              <w:bottom w:val="nil"/>
              <w:right w:val="single" w:sz="4" w:space="0" w:color="auto"/>
            </w:tcBorders>
          </w:tcPr>
          <w:p>
            <w:pPr>
              <w:pStyle w:val="ConsPlusNormal"/>
              <w:jc w:val="center"/>
            </w:pPr>
            <w:r>
              <w:t>Правила формирования (заполнения) реквизита</w:t>
            </w:r>
          </w:p>
        </w:tc>
      </w:tr>
    </w:tbl>
    <w:p>
      <w:pPr>
        <w:rPr>
          <w:sz w:val="2"/>
          <w:szCs w:val="2"/>
        </w:rPr>
      </w:pPr>
    </w:p>
    <w:tbl>
      <w:tblPr>
        <w:tblW w:w="9619" w:type="dxa"/>
        <w:tblInd w:w="15"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026"/>
        <w:gridCol w:w="6593"/>
      </w:tblGrid>
      <w:tr>
        <w:trPr>
          <w:trHeight w:val="109"/>
          <w:tblHeader/>
        </w:trPr>
        <w:tc>
          <w:tcPr>
            <w:tcW w:w="3026" w:type="dxa"/>
            <w:tcBorders>
              <w:top w:val="single" w:sz="4" w:space="0" w:color="auto"/>
              <w:left w:val="single" w:sz="4" w:space="0" w:color="auto"/>
              <w:bottom w:val="single" w:sz="4" w:space="0" w:color="auto"/>
              <w:right w:val="single" w:sz="4" w:space="0" w:color="auto"/>
            </w:tcBorders>
          </w:tcPr>
          <w:p>
            <w:pPr>
              <w:pStyle w:val="ConsPlusNormal"/>
              <w:jc w:val="center"/>
            </w:pPr>
            <w:r>
              <w:t>1</w:t>
            </w:r>
          </w:p>
        </w:tc>
        <w:tc>
          <w:tcPr>
            <w:tcW w:w="6593" w:type="dxa"/>
            <w:tcBorders>
              <w:top w:val="single" w:sz="4" w:space="0" w:color="auto"/>
              <w:left w:val="single" w:sz="4" w:space="0" w:color="auto"/>
              <w:bottom w:val="single" w:sz="4" w:space="0" w:color="auto"/>
              <w:right w:val="single" w:sz="4" w:space="0" w:color="auto"/>
            </w:tcBorders>
          </w:tcPr>
          <w:p>
            <w:pPr>
              <w:pStyle w:val="ConsPlusNormal"/>
              <w:jc w:val="center"/>
            </w:pPr>
            <w:r>
              <w:t>2</w:t>
            </w:r>
          </w:p>
        </w:tc>
      </w:tr>
      <w:tr>
        <w:trPr>
          <w:trHeight w:val="109"/>
        </w:trPr>
        <w:tc>
          <w:tcPr>
            <w:tcW w:w="3026" w:type="dxa"/>
            <w:tcBorders>
              <w:top w:val="single" w:sz="4" w:space="0" w:color="auto"/>
              <w:left w:val="single" w:sz="4" w:space="0" w:color="auto"/>
              <w:bottom w:val="single" w:sz="4" w:space="0" w:color="auto"/>
              <w:right w:val="single" w:sz="4" w:space="0" w:color="auto"/>
            </w:tcBorders>
          </w:tcPr>
          <w:p>
            <w:pPr>
              <w:pStyle w:val="ConsPlusNormal"/>
            </w:pPr>
            <w:r>
              <w:t>1. Дата</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указанная в запросе органа муниципальной власти, уполномоченного в соответствии с законодательством Российской Федерации на получение такой информации, главного распорядителя средств бюджета ЗАТО Северск.</w:t>
            </w:r>
          </w:p>
        </w:tc>
      </w:tr>
      <w:tr>
        <w:trPr>
          <w:trHeight w:val="109"/>
        </w:trPr>
        <w:tc>
          <w:tcPr>
            <w:tcW w:w="3026" w:type="dxa"/>
            <w:tcBorders>
              <w:top w:val="single" w:sz="4" w:space="0" w:color="auto"/>
              <w:left w:val="single" w:sz="4" w:space="0" w:color="auto"/>
              <w:bottom w:val="single" w:sz="4" w:space="0" w:color="auto"/>
              <w:right w:val="single" w:sz="4" w:space="0" w:color="auto"/>
            </w:tcBorders>
          </w:tcPr>
          <w:p>
            <w:pPr>
              <w:pStyle w:val="ConsPlusNormal"/>
            </w:pPr>
            <w:r>
              <w:t>2. Наименование органа Федерального казначейства</w:t>
            </w:r>
          </w:p>
        </w:tc>
        <w:tc>
          <w:tcPr>
            <w:tcW w:w="6593" w:type="dxa"/>
            <w:tcBorders>
              <w:top w:val="single" w:sz="4" w:space="0" w:color="auto"/>
              <w:left w:val="single" w:sz="4" w:space="0" w:color="auto"/>
              <w:bottom w:val="single" w:sz="4" w:space="0" w:color="auto"/>
              <w:right w:val="single" w:sz="4" w:space="0" w:color="auto"/>
            </w:tcBorders>
          </w:tcPr>
          <w:p>
            <w:pPr>
              <w:pStyle w:val="ConsPlusNormal"/>
              <w:jc w:val="both"/>
            </w:pPr>
            <w:r>
              <w:t xml:space="preserve">    Указывается наименование органа Федерального казначейства </w:t>
            </w:r>
            <w:proofErr w:type="gramStart"/>
            <w:r>
              <w:t>–«</w:t>
            </w:r>
            <w:proofErr w:type="gramEnd"/>
            <w:r>
              <w:rPr>
                <w:rFonts w:eastAsiaTheme="minorHAnsi"/>
                <w:szCs w:val="24"/>
                <w:lang w:eastAsia="en-US"/>
              </w:rPr>
              <w:t xml:space="preserve">Управление Федерального казначейства по </w:t>
            </w:r>
            <w:r>
              <w:rPr>
                <w:bCs/>
                <w:szCs w:val="24"/>
              </w:rPr>
              <w:t>Томской области»</w:t>
            </w:r>
            <w:r>
              <w:t>.</w:t>
            </w:r>
          </w:p>
        </w:tc>
      </w:tr>
      <w:tr>
        <w:trPr>
          <w:trHeight w:val="109"/>
        </w:trPr>
        <w:tc>
          <w:tcPr>
            <w:tcW w:w="3026" w:type="dxa"/>
            <w:tcBorders>
              <w:top w:val="single" w:sz="4" w:space="0" w:color="auto"/>
              <w:left w:val="single" w:sz="4" w:space="0" w:color="auto"/>
              <w:bottom w:val="single" w:sz="4" w:space="0" w:color="auto"/>
              <w:right w:val="single" w:sz="4" w:space="0" w:color="auto"/>
            </w:tcBorders>
          </w:tcPr>
          <w:p>
            <w:pPr>
              <w:pStyle w:val="ConsPlusNormal"/>
            </w:pPr>
            <w:r>
              <w:t>3. Код органа Федерального казначейства (КОФК)</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УФК по ТО, присвоенный Федеральным казначейством.</w:t>
            </w:r>
          </w:p>
        </w:tc>
      </w:tr>
      <w:tr>
        <w:trPr>
          <w:trHeight w:val="109"/>
        </w:trPr>
        <w:tc>
          <w:tcPr>
            <w:tcW w:w="3026" w:type="dxa"/>
            <w:tcBorders>
              <w:top w:val="single" w:sz="4" w:space="0" w:color="auto"/>
              <w:left w:val="single" w:sz="4" w:space="0" w:color="auto"/>
              <w:bottom w:val="single" w:sz="4" w:space="0" w:color="auto"/>
              <w:right w:val="single" w:sz="4" w:space="0" w:color="auto"/>
            </w:tcBorders>
          </w:tcPr>
          <w:p>
            <w:pPr>
              <w:pStyle w:val="ConsPlusNormal"/>
            </w:pPr>
            <w:r>
              <w:t>4. Наименование бюджета</w:t>
            </w:r>
          </w:p>
        </w:tc>
        <w:tc>
          <w:tcPr>
            <w:tcW w:w="6593" w:type="dxa"/>
            <w:tcBorders>
              <w:top w:val="single" w:sz="4" w:space="0" w:color="auto"/>
              <w:left w:val="single" w:sz="4" w:space="0" w:color="auto"/>
              <w:bottom w:val="single" w:sz="4" w:space="0" w:color="auto"/>
              <w:right w:val="single" w:sz="4" w:space="0" w:color="auto"/>
            </w:tcBorders>
          </w:tcPr>
          <w:p>
            <w:pPr>
              <w:autoSpaceDE w:val="0"/>
              <w:autoSpaceDN w:val="0"/>
              <w:adjustRightInd w:val="0"/>
            </w:pPr>
            <w:r>
              <w:rPr>
                <w:rFonts w:ascii="Times New Roman" w:hAnsi="Times New Roman"/>
                <w:sz w:val="24"/>
              </w:rPr>
              <w:t xml:space="preserve">    Указывается наименование бюджета – «бюджет городского округа закрытого административно-территориального образования Северск Томской области»</w:t>
            </w:r>
            <w:r>
              <w:t>.</w:t>
            </w:r>
          </w:p>
        </w:tc>
      </w:tr>
      <w:tr>
        <w:trPr>
          <w:trHeight w:val="109"/>
        </w:trPr>
        <w:tc>
          <w:tcPr>
            <w:tcW w:w="3026" w:type="dxa"/>
            <w:tcBorders>
              <w:top w:val="single" w:sz="4" w:space="0" w:color="auto"/>
              <w:left w:val="single" w:sz="4" w:space="0" w:color="auto"/>
              <w:bottom w:val="single" w:sz="4" w:space="0" w:color="auto"/>
              <w:right w:val="single" w:sz="4" w:space="0" w:color="auto"/>
            </w:tcBorders>
          </w:tcPr>
          <w:p>
            <w:pPr>
              <w:pStyle w:val="ConsPlusNormal"/>
              <w:jc w:val="both"/>
            </w:pPr>
            <w:r>
              <w:t xml:space="preserve">5. Код по </w:t>
            </w:r>
            <w:hyperlink r:id="rId93">
              <w:r>
                <w:t>ОКТМО</w:t>
              </w:r>
            </w:hyperlink>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Указывается код по Общероссийскому </w:t>
            </w:r>
            <w:hyperlink r:id="rId94">
              <w:r>
                <w:t>классификатору</w:t>
              </w:r>
            </w:hyperlink>
            <w:r>
              <w:t xml:space="preserve"> территорий муниципальных образований территориального органа Федерального казначейства, финансового органа муниципального образования.</w:t>
            </w:r>
          </w:p>
        </w:tc>
      </w:tr>
      <w:tr>
        <w:trPr>
          <w:trHeight w:val="109"/>
        </w:trPr>
        <w:tc>
          <w:tcPr>
            <w:tcW w:w="3026" w:type="dxa"/>
            <w:tcBorders>
              <w:top w:val="single" w:sz="4" w:space="0" w:color="auto"/>
              <w:left w:val="single" w:sz="4" w:space="0" w:color="auto"/>
              <w:bottom w:val="single" w:sz="4" w:space="0" w:color="auto"/>
              <w:right w:val="single" w:sz="4" w:space="0" w:color="auto"/>
            </w:tcBorders>
          </w:tcPr>
          <w:p>
            <w:pPr>
              <w:pStyle w:val="ConsPlusNormal"/>
            </w:pPr>
            <w:r>
              <w:t>6. Финансовый орган</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Финансового органа – «Финансовое управление Администрации ЗАТО Северск», код по ОКПО.</w:t>
            </w:r>
          </w:p>
        </w:tc>
      </w:tr>
      <w:tr>
        <w:trPr>
          <w:trHeight w:val="109"/>
        </w:trPr>
        <w:tc>
          <w:tcPr>
            <w:tcW w:w="3026" w:type="dxa"/>
            <w:tcBorders>
              <w:top w:val="single" w:sz="4" w:space="0" w:color="auto"/>
              <w:left w:val="single" w:sz="4" w:space="0" w:color="auto"/>
              <w:bottom w:val="single" w:sz="4" w:space="0" w:color="auto"/>
              <w:right w:val="single" w:sz="4" w:space="0" w:color="auto"/>
            </w:tcBorders>
          </w:tcPr>
          <w:p>
            <w:pPr>
              <w:pStyle w:val="ConsPlusNormal"/>
            </w:pPr>
            <w:r>
              <w:t>6.1. Код по ОКПО</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финансового органа по Общероссийскому классификатору предприятий и организаций.</w:t>
            </w:r>
          </w:p>
        </w:tc>
      </w:tr>
      <w:tr>
        <w:trPr>
          <w:trHeight w:val="109"/>
        </w:trPr>
        <w:tc>
          <w:tcPr>
            <w:tcW w:w="3026" w:type="dxa"/>
            <w:tcBorders>
              <w:top w:val="single" w:sz="4" w:space="0" w:color="auto"/>
              <w:left w:val="single" w:sz="4" w:space="0" w:color="auto"/>
              <w:bottom w:val="single" w:sz="4" w:space="0" w:color="auto"/>
              <w:right w:val="single" w:sz="4" w:space="0" w:color="auto"/>
            </w:tcBorders>
          </w:tcPr>
          <w:p>
            <w:pPr>
              <w:pStyle w:val="ConsPlusNormal"/>
            </w:pPr>
            <w:r>
              <w:t>7. Наименование органа исполнительной власти</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органа исполнительной власти.</w:t>
            </w:r>
          </w:p>
        </w:tc>
      </w:tr>
      <w:tr>
        <w:trPr>
          <w:trHeight w:val="109"/>
        </w:trPr>
        <w:tc>
          <w:tcPr>
            <w:tcW w:w="3026" w:type="dxa"/>
            <w:tcBorders>
              <w:top w:val="single" w:sz="4" w:space="0" w:color="auto"/>
              <w:left w:val="single" w:sz="4" w:space="0" w:color="auto"/>
              <w:bottom w:val="single" w:sz="4" w:space="0" w:color="auto"/>
              <w:right w:val="single" w:sz="4" w:space="0" w:color="auto"/>
            </w:tcBorders>
          </w:tcPr>
          <w:p>
            <w:pPr>
              <w:pStyle w:val="ConsPlusNormal"/>
            </w:pPr>
            <w:r>
              <w:t>7.1. Код по ОКПО</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органа исполнительной власти по Общероссийскому классификатору предприятий и организаций.</w:t>
            </w:r>
          </w:p>
        </w:tc>
      </w:tr>
      <w:tr>
        <w:trPr>
          <w:trHeight w:val="1247"/>
        </w:trPr>
        <w:tc>
          <w:tcPr>
            <w:tcW w:w="3026" w:type="dxa"/>
            <w:tcBorders>
              <w:top w:val="single" w:sz="4" w:space="0" w:color="auto"/>
              <w:left w:val="single" w:sz="4" w:space="0" w:color="auto"/>
              <w:bottom w:val="single" w:sz="4" w:space="0" w:color="auto"/>
              <w:right w:val="single" w:sz="4" w:space="0" w:color="auto"/>
            </w:tcBorders>
          </w:tcPr>
          <w:p>
            <w:pPr>
              <w:pStyle w:val="ConsPlusNormal"/>
            </w:pPr>
            <w:r>
              <w:t xml:space="preserve">8. Объект капитального строительства </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наименования объекта капитального строительства или объекта недвижимого имущества.</w:t>
            </w:r>
          </w:p>
        </w:tc>
      </w:tr>
      <w:tr>
        <w:trPr>
          <w:trHeight w:val="629"/>
        </w:trPr>
        <w:tc>
          <w:tcPr>
            <w:tcW w:w="3026" w:type="dxa"/>
            <w:tcBorders>
              <w:top w:val="single" w:sz="4" w:space="0" w:color="auto"/>
              <w:left w:val="single" w:sz="4" w:space="0" w:color="auto"/>
              <w:bottom w:val="single" w:sz="4" w:space="0" w:color="auto"/>
              <w:right w:val="single" w:sz="4" w:space="0" w:color="auto"/>
            </w:tcBorders>
          </w:tcPr>
          <w:p>
            <w:pPr>
              <w:pStyle w:val="ConsPlusNormal"/>
            </w:pPr>
            <w:r>
              <w:t xml:space="preserve">8.1. Уникальный код объекта капитального строительства </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уникальный код объекта капитального строительства.</w:t>
            </w:r>
          </w:p>
        </w:tc>
      </w:tr>
      <w:tr>
        <w:trPr>
          <w:trHeight w:val="1247"/>
        </w:trPr>
        <w:tc>
          <w:tcPr>
            <w:tcW w:w="3026" w:type="dxa"/>
            <w:tcBorders>
              <w:top w:val="single" w:sz="4" w:space="0" w:color="auto"/>
              <w:left w:val="single" w:sz="4" w:space="0" w:color="auto"/>
              <w:bottom w:val="single" w:sz="4" w:space="0" w:color="auto"/>
              <w:right w:val="single" w:sz="4" w:space="0" w:color="auto"/>
            </w:tcBorders>
          </w:tcPr>
          <w:p>
            <w:pPr>
              <w:pStyle w:val="ConsPlusNormal"/>
            </w:pPr>
            <w:r>
              <w:t>9. Код по бюджетной классификации</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составная часть кода классификации расходов бюджета, по которому в УФК по ТО учтено бюджетное или денежное обязательство, связанное с реализацией капитальных вложений (глава, раздел, подраздел, целевая статья, вид расходов).</w:t>
            </w:r>
          </w:p>
        </w:tc>
      </w:tr>
      <w:tr>
        <w:trPr>
          <w:trHeight w:val="1683"/>
        </w:trPr>
        <w:tc>
          <w:tcPr>
            <w:tcW w:w="3026" w:type="dxa"/>
            <w:tcBorders>
              <w:top w:val="single" w:sz="4" w:space="0" w:color="auto"/>
              <w:left w:val="single" w:sz="4" w:space="0" w:color="auto"/>
              <w:bottom w:val="single" w:sz="4" w:space="0" w:color="auto"/>
              <w:right w:val="single" w:sz="4" w:space="0" w:color="auto"/>
            </w:tcBorders>
          </w:tcPr>
          <w:p>
            <w:pPr>
              <w:pStyle w:val="ConsPlusNormal"/>
            </w:pPr>
            <w:bookmarkStart w:id="85" w:name="P1277"/>
            <w:bookmarkEnd w:id="85"/>
            <w:r>
              <w:t>10. Принятые на учет бюджетные или денежные обязательства за счет средств бюджета на текущий финансовый год</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принятых на учет бюджетных или денежных обязательств, связанных с реализацией капитальных вложений, за счет средств бюджета на текущий финансовый год (с учетом неисполненных обязательств прошлых лет) в разрезе кодов по бюджетной классификации, уникальных кодов объектов капитального строительства или объектов недвижимого имущества.</w:t>
            </w:r>
          </w:p>
        </w:tc>
      </w:tr>
      <w:tr>
        <w:trPr>
          <w:trHeight w:val="1259"/>
        </w:trPr>
        <w:tc>
          <w:tcPr>
            <w:tcW w:w="3026" w:type="dxa"/>
            <w:tcBorders>
              <w:top w:val="single" w:sz="4" w:space="0" w:color="auto"/>
              <w:left w:val="single" w:sz="4" w:space="0" w:color="auto"/>
              <w:bottom w:val="single" w:sz="4" w:space="0" w:color="auto"/>
              <w:right w:val="single" w:sz="4" w:space="0" w:color="auto"/>
            </w:tcBorders>
          </w:tcPr>
          <w:p>
            <w:pPr>
              <w:pStyle w:val="ConsPlusNormal"/>
            </w:pPr>
            <w:r>
              <w:t>10.1. Принятые на учет бюджетные или денежные обязательства за счет средств бюджета на плановый период в разрезе лет</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принятых на учет бюджетных или денежных обязательств, связанных с реализацией капитальных вложений, за счет средств бюджета на первый и второй год планового периода разрезе кодов по бюджетной классификации, уникальных кодов объектов капитального строительства.</w:t>
            </w:r>
          </w:p>
        </w:tc>
      </w:tr>
      <w:tr>
        <w:trPr>
          <w:trHeight w:val="1465"/>
        </w:trPr>
        <w:tc>
          <w:tcPr>
            <w:tcW w:w="3026" w:type="dxa"/>
            <w:tcBorders>
              <w:top w:val="single" w:sz="4" w:space="0" w:color="auto"/>
              <w:left w:val="single" w:sz="4" w:space="0" w:color="auto"/>
              <w:bottom w:val="single" w:sz="4" w:space="0" w:color="auto"/>
              <w:right w:val="single" w:sz="4" w:space="0" w:color="auto"/>
            </w:tcBorders>
          </w:tcPr>
          <w:p>
            <w:pPr>
              <w:pStyle w:val="ConsPlusNormal"/>
            </w:pPr>
            <w:r>
              <w:t>11. Исполненные бюджетные или денежные обязательства с начала текущего финансового года</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суммы бюджетных или денежных обязательств, связанных с реализацией капитальных вложений, текущего финансового года (с учетом неисполненных обязательств прошлых лет), исполненных с начала текущего финансового года на дату формирования отчета разрезе кодов по бюджетной классификации, уникальных кодов объектов капитального строительства.</w:t>
            </w:r>
          </w:p>
        </w:tc>
      </w:tr>
      <w:tr>
        <w:trPr>
          <w:trHeight w:val="1671"/>
        </w:trPr>
        <w:tc>
          <w:tcPr>
            <w:tcW w:w="3026" w:type="dxa"/>
            <w:tcBorders>
              <w:top w:val="single" w:sz="4" w:space="0" w:color="auto"/>
              <w:left w:val="single" w:sz="4" w:space="0" w:color="auto"/>
              <w:bottom w:val="single" w:sz="4" w:space="0" w:color="auto"/>
              <w:right w:val="single" w:sz="4" w:space="0" w:color="auto"/>
            </w:tcBorders>
          </w:tcPr>
          <w:p>
            <w:pPr>
              <w:pStyle w:val="ConsPlusNormal"/>
            </w:pPr>
            <w:bookmarkStart w:id="86" w:name="P1283"/>
            <w:bookmarkEnd w:id="86"/>
            <w:r>
              <w:t>12. Неисполненные бюджетные или денежные обязательства текущего финансового года</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Указываются суммы бюджетных или денежных обязательств, связанных с реализацией капитальных вложений, текущего финансового года (с учетом неисполненных обязательств прошлых лет), не исполненные на дату формирования отчета, разрезе кодов по бюджетной классификации, уникальных кодов объектов капитального строительства, рассчитанные как разница показателей по </w:t>
            </w:r>
            <w:hyperlink w:anchor="P1277">
              <w:r>
                <w:t>пункту 10</w:t>
              </w:r>
            </w:hyperlink>
            <w:r>
              <w:t xml:space="preserve"> и </w:t>
            </w:r>
            <w:hyperlink w:anchor="P1283">
              <w:r>
                <w:t>пункту 12</w:t>
              </w:r>
            </w:hyperlink>
            <w:r>
              <w:t>.</w:t>
            </w:r>
          </w:p>
        </w:tc>
      </w:tr>
      <w:tr>
        <w:trPr>
          <w:trHeight w:val="423"/>
        </w:trPr>
        <w:tc>
          <w:tcPr>
            <w:tcW w:w="3026" w:type="dxa"/>
            <w:tcBorders>
              <w:top w:val="single" w:sz="4" w:space="0" w:color="auto"/>
              <w:left w:val="single" w:sz="4" w:space="0" w:color="auto"/>
              <w:bottom w:val="single" w:sz="4" w:space="0" w:color="auto"/>
              <w:right w:val="single" w:sz="4" w:space="0" w:color="auto"/>
            </w:tcBorders>
          </w:tcPr>
          <w:p>
            <w:pPr>
              <w:pStyle w:val="ConsPlusNormal"/>
            </w:pPr>
            <w:bookmarkStart w:id="87" w:name="P1285"/>
            <w:bookmarkEnd w:id="87"/>
            <w:r>
              <w:t xml:space="preserve">13. Итого по уникальному коду объекта капитального строительства </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итоговые данные по уникальному коду объекта капитального строительства.</w:t>
            </w:r>
          </w:p>
        </w:tc>
      </w:tr>
      <w:tr>
        <w:trPr>
          <w:trHeight w:val="3791"/>
        </w:trPr>
        <w:tc>
          <w:tcPr>
            <w:tcW w:w="3026" w:type="dxa"/>
            <w:tcBorders>
              <w:top w:val="single" w:sz="4" w:space="0" w:color="auto"/>
              <w:left w:val="single" w:sz="4" w:space="0" w:color="auto"/>
              <w:bottom w:val="single" w:sz="4" w:space="0" w:color="auto"/>
              <w:right w:val="single" w:sz="4" w:space="0" w:color="auto"/>
            </w:tcBorders>
          </w:tcPr>
          <w:p>
            <w:pPr>
              <w:pStyle w:val="ConsPlusNormal"/>
            </w:pPr>
            <w:r>
              <w:t>14. Итого по коду главы</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В случае представления Информации об исполнении обязательств по капитальным вложениям УФК по ТО в орган исполнительной власти, уполномоченный в соответствии с законодательством Российской Федерации на получение соответствующей информации, УФК по ТО с учетом данных, отраженных в Информациях об исполнении обязательств по капитальным вложениям, формирует Информацию об исполнении обязательств по капитальным вложениям в разрезе главных распорядителей средств бюджета ЗАТО Северск и направляет данную информацию в Федеральное казначейство.</w:t>
            </w:r>
          </w:p>
          <w:p>
            <w:pPr>
              <w:pStyle w:val="ConsPlusNormal"/>
              <w:ind w:firstLine="283"/>
              <w:jc w:val="both"/>
            </w:pPr>
            <w:r>
              <w:t xml:space="preserve">При этом в наименовании строки «Итого по коду главы» указывается код главного распорядителя средств бюджета ЗАТО Северск по бюджетной классификации Российской Федерации, с отражением в </w:t>
            </w:r>
            <w:hyperlink w:anchor="P1277">
              <w:r>
                <w:t>пунктах 10</w:t>
              </w:r>
            </w:hyperlink>
            <w:r>
              <w:t xml:space="preserve"> - </w:t>
            </w:r>
            <w:hyperlink w:anchor="P1285">
              <w:r>
                <w:t>13</w:t>
              </w:r>
            </w:hyperlink>
            <w:r>
              <w:t xml:space="preserve"> итоговых данных по получателям средств бюджета ЗАТО Северск, подведомственным данному главному распорядителю средств бюджета ЗАТО Северск.</w:t>
            </w:r>
          </w:p>
        </w:tc>
      </w:tr>
      <w:tr>
        <w:trPr>
          <w:trHeight w:val="824"/>
        </w:trPr>
        <w:tc>
          <w:tcPr>
            <w:tcW w:w="3026" w:type="dxa"/>
            <w:tcBorders>
              <w:top w:val="single" w:sz="4" w:space="0" w:color="auto"/>
              <w:left w:val="single" w:sz="4" w:space="0" w:color="auto"/>
              <w:bottom w:val="single" w:sz="4" w:space="0" w:color="auto"/>
              <w:right w:val="single" w:sz="4" w:space="0" w:color="auto"/>
            </w:tcBorders>
          </w:tcPr>
          <w:p>
            <w:pPr>
              <w:pStyle w:val="ConsPlusNormal"/>
            </w:pPr>
            <w:r>
              <w:t>15. Всего</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итоговые данные в целом за отчетный период по всем объектам капитального строительства или объектам недвижимого имущества, приведенным в данной информации.</w:t>
            </w:r>
          </w:p>
        </w:tc>
      </w:tr>
      <w:tr>
        <w:trPr>
          <w:trHeight w:val="412"/>
        </w:trPr>
        <w:tc>
          <w:tcPr>
            <w:tcW w:w="3026" w:type="dxa"/>
            <w:tcBorders>
              <w:top w:val="single" w:sz="4" w:space="0" w:color="auto"/>
              <w:left w:val="single" w:sz="4" w:space="0" w:color="auto"/>
              <w:bottom w:val="single" w:sz="4" w:space="0" w:color="auto"/>
              <w:right w:val="single" w:sz="4" w:space="0" w:color="auto"/>
            </w:tcBorders>
          </w:tcPr>
          <w:p>
            <w:pPr>
              <w:pStyle w:val="ConsPlusNormal"/>
            </w:pPr>
            <w:r>
              <w:t>16. Руководитель</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подпись, расшифровка подписи руководителя УФК по ТО.</w:t>
            </w:r>
          </w:p>
        </w:tc>
      </w:tr>
      <w:tr>
        <w:trPr>
          <w:trHeight w:val="412"/>
        </w:trPr>
        <w:tc>
          <w:tcPr>
            <w:tcW w:w="3026" w:type="dxa"/>
            <w:tcBorders>
              <w:top w:val="single" w:sz="4" w:space="0" w:color="auto"/>
              <w:left w:val="single" w:sz="4" w:space="0" w:color="auto"/>
              <w:bottom w:val="single" w:sz="4" w:space="0" w:color="auto"/>
              <w:right w:val="single" w:sz="4" w:space="0" w:color="auto"/>
            </w:tcBorders>
          </w:tcPr>
          <w:p>
            <w:pPr>
              <w:pStyle w:val="ConsPlusNormal"/>
            </w:pPr>
            <w:r>
              <w:t>17. Главный бухгалтер</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подпись, расшифровка подписи главного бухгалтера УФК по ТО.</w:t>
            </w:r>
          </w:p>
        </w:tc>
      </w:tr>
      <w:tr>
        <w:trPr>
          <w:trHeight w:val="629"/>
        </w:trPr>
        <w:tc>
          <w:tcPr>
            <w:tcW w:w="3026" w:type="dxa"/>
            <w:tcBorders>
              <w:top w:val="single" w:sz="4" w:space="0" w:color="auto"/>
              <w:left w:val="single" w:sz="4" w:space="0" w:color="auto"/>
              <w:bottom w:val="single" w:sz="4" w:space="0" w:color="auto"/>
              <w:right w:val="single" w:sz="4" w:space="0" w:color="auto"/>
            </w:tcBorders>
          </w:tcPr>
          <w:p>
            <w:pPr>
              <w:pStyle w:val="ConsPlusNormal"/>
            </w:pPr>
            <w:r>
              <w:t>18. Ответственный исполнитель</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должность, подпись, расшифровка подписи, телефон ответственного исполнителя, сформировавшего отчет.</w:t>
            </w:r>
          </w:p>
        </w:tc>
      </w:tr>
      <w:tr>
        <w:trPr>
          <w:trHeight w:val="194"/>
        </w:trPr>
        <w:tc>
          <w:tcPr>
            <w:tcW w:w="3026" w:type="dxa"/>
            <w:tcBorders>
              <w:top w:val="single" w:sz="4" w:space="0" w:color="auto"/>
              <w:left w:val="single" w:sz="4" w:space="0" w:color="auto"/>
              <w:bottom w:val="single" w:sz="4" w:space="0" w:color="auto"/>
              <w:right w:val="single" w:sz="4" w:space="0" w:color="auto"/>
            </w:tcBorders>
          </w:tcPr>
          <w:p>
            <w:pPr>
              <w:pStyle w:val="ConsPlusNormal"/>
              <w:jc w:val="both"/>
            </w:pPr>
            <w:r>
              <w:t>19. Дата</w:t>
            </w:r>
          </w:p>
        </w:tc>
        <w:tc>
          <w:tcPr>
            <w:tcW w:w="6593"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подписания отчета.</w:t>
            </w:r>
          </w:p>
        </w:tc>
      </w:tr>
    </w:tbl>
    <w:p>
      <w:pPr>
        <w:pStyle w:val="ConsPlusNormal"/>
        <w:jc w:val="both"/>
        <w:sectPr>
          <w:headerReference w:type="first" r:id="rId95"/>
          <w:pgSz w:w="11906" w:h="16838"/>
          <w:pgMar w:top="993" w:right="567" w:bottom="851" w:left="1701" w:header="567" w:footer="454" w:gutter="0"/>
          <w:pgNumType w:start="1"/>
          <w:cols w:space="708"/>
          <w:titlePg/>
          <w:docGrid w:linePitch="360"/>
        </w:sectPr>
      </w:pPr>
    </w:p>
    <w:p>
      <w:pPr>
        <w:pStyle w:val="ConsPlusNormal"/>
        <w:ind w:firstLine="5245"/>
        <w:outlineLvl w:val="1"/>
      </w:pPr>
      <w:r>
        <w:t>Приложение № 9</w:t>
      </w:r>
    </w:p>
    <w:p>
      <w:pPr>
        <w:pStyle w:val="ConsPlusNormal"/>
        <w:ind w:firstLine="5245"/>
      </w:pPr>
      <w:r>
        <w:t>к Порядку учета бюджетных и денежных</w:t>
      </w:r>
    </w:p>
    <w:p>
      <w:pPr>
        <w:pStyle w:val="ConsPlusNormal"/>
        <w:ind w:firstLine="5245"/>
      </w:pPr>
      <w:r>
        <w:t>обязательств получателей средств</w:t>
      </w:r>
    </w:p>
    <w:p>
      <w:pPr>
        <w:autoSpaceDE w:val="0"/>
        <w:autoSpaceDN w:val="0"/>
        <w:adjustRightInd w:val="0"/>
        <w:ind w:firstLine="5245"/>
        <w:rPr>
          <w:rFonts w:ascii="Times New Roman" w:hAnsi="Times New Roman"/>
          <w:bCs/>
          <w:sz w:val="24"/>
          <w:szCs w:val="24"/>
        </w:rPr>
      </w:pPr>
      <w:r>
        <w:rPr>
          <w:rFonts w:ascii="Times New Roman" w:hAnsi="Times New Roman"/>
          <w:sz w:val="24"/>
          <w:szCs w:val="24"/>
        </w:rPr>
        <w:t xml:space="preserve">бюджета </w:t>
      </w:r>
      <w:r>
        <w:rPr>
          <w:rFonts w:ascii="Times New Roman" w:hAnsi="Times New Roman"/>
          <w:bCs/>
          <w:sz w:val="24"/>
          <w:szCs w:val="24"/>
        </w:rPr>
        <w:t xml:space="preserve">городского округа закрытого </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административно-территориального</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образования Северск Томской области</w:t>
      </w:r>
    </w:p>
    <w:p>
      <w:pPr>
        <w:pStyle w:val="ConsPlusNormal"/>
        <w:spacing w:after="1"/>
        <w:ind w:firstLine="5245"/>
        <w:rPr>
          <w:rFonts w:eastAsiaTheme="minorHAnsi"/>
          <w:szCs w:val="24"/>
          <w:lang w:eastAsia="en-US"/>
        </w:rPr>
      </w:pPr>
      <w:r>
        <w:rPr>
          <w:rFonts w:eastAsiaTheme="minorHAnsi"/>
          <w:szCs w:val="24"/>
          <w:lang w:eastAsia="en-US"/>
        </w:rPr>
        <w:t>Управлением Федерального казначейства</w:t>
      </w:r>
    </w:p>
    <w:p>
      <w:pPr>
        <w:pStyle w:val="ConsPlusNormal"/>
        <w:spacing w:after="1"/>
        <w:ind w:firstLine="5245"/>
      </w:pPr>
      <w:r>
        <w:rPr>
          <w:rFonts w:eastAsiaTheme="minorHAnsi"/>
          <w:szCs w:val="24"/>
          <w:lang w:eastAsia="en-US"/>
        </w:rPr>
        <w:t xml:space="preserve">по </w:t>
      </w:r>
      <w:r>
        <w:rPr>
          <w:bCs/>
          <w:szCs w:val="24"/>
        </w:rPr>
        <w:t>Томской области</w:t>
      </w:r>
    </w:p>
    <w:p>
      <w:pPr>
        <w:pStyle w:val="ConsPlusNormal"/>
        <w:jc w:val="both"/>
      </w:pPr>
    </w:p>
    <w:tbl>
      <w:tblPr>
        <w:tblW w:w="9639" w:type="dxa"/>
        <w:tblInd w:w="25" w:type="dxa"/>
        <w:tblBorders>
          <w:left w:val="nil"/>
          <w:bottom w:val="single" w:sz="4" w:space="0" w:color="auto"/>
          <w:right w:val="nil"/>
          <w:insideH w:val="nil"/>
          <w:insideV w:val="single" w:sz="4" w:space="0" w:color="auto"/>
        </w:tblBorders>
        <w:tblLayout w:type="fixed"/>
        <w:tblCellMar>
          <w:left w:w="62" w:type="dxa"/>
          <w:right w:w="62" w:type="dxa"/>
        </w:tblCellMar>
        <w:tblLook w:val="0000" w:firstRow="0" w:lastRow="0" w:firstColumn="0" w:lastColumn="0" w:noHBand="0" w:noVBand="0"/>
      </w:tblPr>
      <w:tblGrid>
        <w:gridCol w:w="3678"/>
        <w:gridCol w:w="1938"/>
        <w:gridCol w:w="4023"/>
      </w:tblGrid>
      <w:tr>
        <w:tc>
          <w:tcPr>
            <w:tcW w:w="9634" w:type="dxa"/>
            <w:gridSpan w:val="3"/>
            <w:tcBorders>
              <w:top w:val="nil"/>
              <w:left w:val="nil"/>
              <w:bottom w:val="nil"/>
              <w:right w:val="nil"/>
            </w:tcBorders>
          </w:tcPr>
          <w:p>
            <w:pPr>
              <w:pStyle w:val="ConsPlusNormal"/>
              <w:jc w:val="center"/>
              <w:rPr>
                <w:szCs w:val="24"/>
              </w:rPr>
            </w:pPr>
            <w:bookmarkStart w:id="88" w:name="P1316"/>
            <w:bookmarkEnd w:id="88"/>
            <w:r>
              <w:rPr>
                <w:szCs w:val="24"/>
              </w:rPr>
              <w:t>Реквизиты</w:t>
            </w:r>
          </w:p>
          <w:p>
            <w:pPr>
              <w:autoSpaceDE w:val="0"/>
              <w:autoSpaceDN w:val="0"/>
              <w:adjustRightInd w:val="0"/>
              <w:jc w:val="center"/>
              <w:rPr>
                <w:rFonts w:ascii="Times New Roman" w:hAnsi="Times New Roman"/>
                <w:bCs/>
                <w:sz w:val="24"/>
                <w:szCs w:val="24"/>
              </w:rPr>
            </w:pPr>
            <w:r>
              <w:rPr>
                <w:sz w:val="24"/>
                <w:szCs w:val="24"/>
              </w:rPr>
              <w:t xml:space="preserve">отчетного документа Справка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из бюджета </w:t>
            </w:r>
            <w:r>
              <w:rPr>
                <w:rFonts w:ascii="Times New Roman" w:hAnsi="Times New Roman"/>
                <w:bCs/>
                <w:sz w:val="24"/>
                <w:szCs w:val="24"/>
              </w:rPr>
              <w:t>городского округа закрытого административно-территориального образования Северск Томской области субсидий юридическим лицам</w:t>
            </w:r>
          </w:p>
        </w:tc>
      </w:tr>
      <w:tr>
        <w:tblPrEx>
          <w:tblCellMar>
            <w:top w:w="102" w:type="dxa"/>
            <w:bottom w:w="102" w:type="dxa"/>
          </w:tblCellMar>
        </w:tblPrEx>
        <w:trPr>
          <w:trHeight w:val="113"/>
        </w:trPr>
        <w:tc>
          <w:tcPr>
            <w:tcW w:w="9634" w:type="dxa"/>
            <w:gridSpan w:val="3"/>
            <w:tcBorders>
              <w:top w:val="nil"/>
              <w:left w:val="nil"/>
              <w:bottom w:val="nil"/>
              <w:right w:val="nil"/>
            </w:tcBorders>
          </w:tcPr>
          <w:p>
            <w:pPr>
              <w:pStyle w:val="ConsPlusNormal"/>
              <w:jc w:val="center"/>
            </w:pPr>
          </w:p>
        </w:tc>
      </w:tr>
      <w:tr>
        <w:tblPrEx>
          <w:tblBorders>
            <w:insideV w:val="nil"/>
          </w:tblBorders>
        </w:tblPrEx>
        <w:tc>
          <w:tcPr>
            <w:tcW w:w="5613" w:type="dxa"/>
            <w:gridSpan w:val="2"/>
            <w:tcBorders>
              <w:top w:val="nil"/>
              <w:bottom w:val="single" w:sz="4" w:space="0" w:color="auto"/>
            </w:tcBorders>
          </w:tcPr>
          <w:p>
            <w:pPr>
              <w:pStyle w:val="ConsPlusNormal"/>
            </w:pPr>
            <w:r>
              <w:t>Единица измерения: руб.</w:t>
            </w:r>
          </w:p>
          <w:p>
            <w:pPr>
              <w:pStyle w:val="ConsPlusNormal"/>
            </w:pPr>
            <w:r>
              <w:t>(с точностью до второго десятичного знака)</w:t>
            </w:r>
          </w:p>
        </w:tc>
        <w:tc>
          <w:tcPr>
            <w:tcW w:w="4021" w:type="dxa"/>
            <w:tcBorders>
              <w:top w:val="nil"/>
              <w:bottom w:val="single" w:sz="4" w:space="0" w:color="auto"/>
            </w:tcBorders>
            <w:vAlign w:val="bottom"/>
          </w:tcPr>
          <w:p>
            <w:pPr>
              <w:pStyle w:val="ConsPlusNormal"/>
              <w:jc w:val="right"/>
            </w:pPr>
            <w:r>
              <w:t>Периодичность: годовая</w:t>
            </w:r>
          </w:p>
        </w:tc>
      </w:tr>
      <w:tr>
        <w:tblPrEx>
          <w:tblBorders>
            <w:left w:val="single" w:sz="4" w:space="0" w:color="auto"/>
            <w:right w:val="single" w:sz="4" w:space="0" w:color="auto"/>
            <w:insideH w:val="single" w:sz="4" w:space="0" w:color="auto"/>
          </w:tblBorders>
        </w:tblPrEx>
        <w:tc>
          <w:tcPr>
            <w:tcW w:w="3676" w:type="dxa"/>
            <w:tcBorders>
              <w:top w:val="single" w:sz="4" w:space="0" w:color="auto"/>
              <w:left w:val="single" w:sz="4" w:space="0" w:color="auto"/>
              <w:bottom w:val="nil"/>
              <w:right w:val="single" w:sz="4" w:space="0" w:color="auto"/>
            </w:tcBorders>
          </w:tcPr>
          <w:p>
            <w:pPr>
              <w:pStyle w:val="ConsPlusNormal"/>
              <w:jc w:val="center"/>
            </w:pPr>
            <w:r>
              <w:t>Наименование реквизита</w:t>
            </w:r>
          </w:p>
        </w:tc>
        <w:tc>
          <w:tcPr>
            <w:tcW w:w="5958" w:type="dxa"/>
            <w:gridSpan w:val="2"/>
            <w:tcBorders>
              <w:top w:val="single" w:sz="4" w:space="0" w:color="auto"/>
              <w:left w:val="single" w:sz="4" w:space="0" w:color="auto"/>
              <w:bottom w:val="nil"/>
              <w:right w:val="single" w:sz="4" w:space="0" w:color="auto"/>
            </w:tcBorders>
          </w:tcPr>
          <w:p>
            <w:pPr>
              <w:pStyle w:val="ConsPlusNormal"/>
              <w:jc w:val="center"/>
            </w:pPr>
            <w:r>
              <w:t>Правила формирования (заполнения) реквизита</w:t>
            </w:r>
          </w:p>
        </w:tc>
      </w:tr>
    </w:tbl>
    <w:p>
      <w:pPr>
        <w:rPr>
          <w:sz w:val="2"/>
          <w:szCs w:val="2"/>
        </w:rPr>
      </w:pPr>
    </w:p>
    <w:tbl>
      <w:tblPr>
        <w:tblW w:w="9634" w:type="dxa"/>
        <w:tblInd w:w="15"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676"/>
        <w:gridCol w:w="5958"/>
      </w:tblGrid>
      <w:tr>
        <w:trPr>
          <w:tblHeader/>
        </w:trPr>
        <w:tc>
          <w:tcPr>
            <w:tcW w:w="3676" w:type="dxa"/>
            <w:tcBorders>
              <w:top w:val="single" w:sz="4" w:space="0" w:color="auto"/>
              <w:left w:val="single" w:sz="4" w:space="0" w:color="auto"/>
              <w:bottom w:val="single" w:sz="4" w:space="0" w:color="auto"/>
              <w:right w:val="single" w:sz="4" w:space="0" w:color="auto"/>
            </w:tcBorders>
          </w:tcPr>
          <w:p>
            <w:pPr>
              <w:pStyle w:val="ConsPlusNormal"/>
              <w:jc w:val="center"/>
            </w:pPr>
            <w:r>
              <w:t>1</w:t>
            </w:r>
          </w:p>
        </w:tc>
        <w:tc>
          <w:tcPr>
            <w:tcW w:w="5958" w:type="dxa"/>
            <w:tcBorders>
              <w:top w:val="single" w:sz="4" w:space="0" w:color="auto"/>
              <w:left w:val="single" w:sz="4" w:space="0" w:color="auto"/>
              <w:bottom w:val="single" w:sz="4" w:space="0" w:color="auto"/>
              <w:right w:val="single" w:sz="4" w:space="0" w:color="auto"/>
            </w:tcBorders>
          </w:tcPr>
          <w:p>
            <w:pPr>
              <w:pStyle w:val="ConsPlusNormal"/>
              <w:jc w:val="center"/>
            </w:pPr>
            <w:r>
              <w:t>2</w:t>
            </w:r>
          </w:p>
        </w:tc>
      </w:tr>
      <w:tr>
        <w:trPr>
          <w:trHeight w:val="418"/>
        </w:trPr>
        <w:tc>
          <w:tcPr>
            <w:tcW w:w="3676" w:type="dxa"/>
            <w:tcBorders>
              <w:top w:val="single" w:sz="4" w:space="0" w:color="auto"/>
              <w:left w:val="single" w:sz="4" w:space="0" w:color="auto"/>
              <w:bottom w:val="single" w:sz="4" w:space="0" w:color="auto"/>
              <w:right w:val="single" w:sz="4" w:space="0" w:color="auto"/>
            </w:tcBorders>
          </w:tcPr>
          <w:p>
            <w:pPr>
              <w:pStyle w:val="ConsPlusNormal"/>
            </w:pPr>
            <w:r>
              <w:t>1. Дата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pPr>
            <w:r>
              <w:t>Указывается дата по состоянию на 1 января текущего финансового года.</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2. Федеральное казначейство</w:t>
            </w:r>
          </w:p>
        </w:tc>
        <w:tc>
          <w:tcPr>
            <w:tcW w:w="5958" w:type="dxa"/>
            <w:tcBorders>
              <w:top w:val="single" w:sz="4" w:space="0" w:color="auto"/>
              <w:left w:val="single" w:sz="4" w:space="0" w:color="auto"/>
              <w:bottom w:val="single" w:sz="4" w:space="0" w:color="auto"/>
              <w:right w:val="single" w:sz="4" w:space="0" w:color="auto"/>
            </w:tcBorders>
          </w:tcPr>
          <w:p>
            <w:pPr>
              <w:pStyle w:val="ConsPlusNormal"/>
              <w:spacing w:after="1"/>
              <w:jc w:val="both"/>
            </w:pPr>
            <w:r>
              <w:t xml:space="preserve">     Указывается наименование органа Федерального казначейства – «Управление Федерального казначейства по Томской области».</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2.1. Код органа Федерального казначейства (КОФК)</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УФК по ТО, присвоенный Федеральным казначейством.</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3. Вид справки</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pPr>
            <w:r>
              <w:t>Указывается вид справки (простая, сводная).</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4. Кому: Получатель средств бюджета, главный распорядитель средств бюджета или территориальный орган Федерального казначейства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орган, которому представляется Справка о неисполненных бюджетных обязательствах. Управление указывает: наименование получателя средств бюджета ЗАТО Северск или Межрегиональное операционное управление Федерального казначейства, Межрегиональное операционное управление Федерального казначейства указывает: наименование главного распорядителя средств бюджета ЗАТО Северск, которому представляется Справка о неисполненных бюджетных обязательствах.</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5. Код по бюджетной классификации</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составная часть кода классификации расходов бюджета, по которому в УФК по ТО поставлены на учет бюджетные обязательства, возникшие из муниципальных контрактов, договоров, соглашений (нормативных правовых актах) о предоставлении субсидии юридическим лицам, подлежавших оплате в отчетном финансовом году, неисполненные по состоянию на конец отчетного финансового года (глава, раздел, подраздел, целевая статья, вид расходов) (за исключением бюджетных обязательств, связанных с реализацией капитальных вложений).</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 xml:space="preserve">6. Уникальный код объекта капитального строительства или объекта недвижимого имущества </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уникальный код объекта капитального строительства или объекта недвижимого.</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7. Муниципальный заказчик (главный распорядитель средств бюджета)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получателя средств бюджета ЗАТО Северск - муниципального заказчика (главного распорядителя средств бюджета ЗАТО Северск),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 у которого по состоянию на конец отчетного финансового года имеются неисполненные бюджетные обязательства по муниципальному контракту, договору, соглашению (нормативному правовому акту) о предоставлении субсидии юридическим лицам.</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7.1. Код по Сводному реестру</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соответствующей реестровой записи по Сводному реестру главного распорядителя средств бюджета ЗАТО Северск, у которого по состоянию на конец отчетного финансового года имеются неисполненные бюджетные обязательства по муниципальному контракту, договору, соглашению (нормативному правовому акту) о предоставлении субсидии юридическим лицам.</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8.Муниципальный контракт/Соглашение/Нормативный правовой акт</w:t>
            </w:r>
          </w:p>
        </w:tc>
        <w:tc>
          <w:tcPr>
            <w:tcW w:w="5958" w:type="dxa"/>
            <w:tcBorders>
              <w:top w:val="single" w:sz="4" w:space="0" w:color="auto"/>
              <w:left w:val="single" w:sz="4" w:space="0" w:color="auto"/>
              <w:bottom w:val="single" w:sz="4" w:space="0" w:color="auto"/>
              <w:right w:val="single" w:sz="4" w:space="0" w:color="auto"/>
            </w:tcBorders>
          </w:tcPr>
          <w:p>
            <w:pPr>
              <w:pStyle w:val="ConsPlusNormal"/>
              <w:jc w:val="both"/>
            </w:pP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8.1. Номер муниципального контракта/Соглашения/Нормативного правового акта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номер муниципального контракта, договора, соглашения (нормативного правового акта) о предоставлении субсидии юридическим лицам, подлежавших оплате в отчетном финансовом году, на основании которых принятое бюджетное обязательство не исполнено.</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8.2. Дата муниципального контракта/Соглашения/Нормативного правового акта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муниципального контракта, договора, соглашения (нормативного правового акта) о предоставлении субсидии юридическим лицам, подлежавших оплате в отчетном финансовом году, на основании которых принятое бюджетное обязательство не исполнено.</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8.3. Срок исполнения муниципального контракта/Соглашения/Нормативного правового акта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срок исполнения муниципального контракта, договора, соглашения (нормативного правового акта) о предоставлении субсидии юридическим лицам, подлежавших оплате в отчетном финансовом году, на основании которых принятое бюджетное обязательство не исполнено.</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8.4. Признак казначейского сопровождения</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в случае наличия признака казначейского сопровождения в Сведениях о бюджетном обязательстве.</w:t>
            </w:r>
          </w:p>
        </w:tc>
      </w:tr>
      <w:tr>
        <w:trPr>
          <w:trHeight w:val="680"/>
        </w:trPr>
        <w:tc>
          <w:tcPr>
            <w:tcW w:w="3676" w:type="dxa"/>
            <w:tcBorders>
              <w:top w:val="single" w:sz="4" w:space="0" w:color="auto"/>
              <w:left w:val="single" w:sz="4" w:space="0" w:color="auto"/>
              <w:bottom w:val="single" w:sz="4" w:space="0" w:color="auto"/>
              <w:right w:val="single" w:sz="4" w:space="0" w:color="auto"/>
            </w:tcBorders>
          </w:tcPr>
          <w:p>
            <w:pPr>
              <w:pStyle w:val="ConsPlusNormal"/>
            </w:pPr>
            <w:r>
              <w:t>8.4.1. Казначейское обеспечение обязательств</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при наличии в документе-основании (да/нет).</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8.5. Идентификатор муниципального контракта/Соглашения/Нормативного правового акта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в случае наличия Идентификатора в Сведениях о бюджетном обязательстве.</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9. Учетный номер неисполненного бюджетного обязательства отчетного финансового года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учетный номер неисполненного бюджетного обязательства по каждому муниципальному контракту, договору, соглашению (нормативному правовому акту) о предоставлении субсидии юридическим лицам.</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9.1. Сумма неисполненного остатка бюджетного обязательства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неисполненного в отчетном финансовом году остатка бюджетного обязательства по каждому муниципальному контракту, договору, соглашению (нормативному правовому акту) о предоставлении субсидии юридическим лицам в разрезе кодов бюджетной классификации.</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10. Неисполненные в отчетном финансовом году бюджетные обязательства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неисполненных в отчетном финансовом году бюджетных обязательств, рассчитанная как сумма неисполненных остатков бюджетных обязательств отчетного финансового года, в разрезе неисполненных бюджетных обязательств (муниципальных контрактов, договоров, соглашений (нормативных правовых актах) о предоставлении субсидии юридическим лицам), сгруппированных по каждому получателю средств бюджета ЗАТО Северск - муниципальному заказчику, главному распорядителю бюджета ЗАТО Северск и по каждому коду классификации расходов бюджета.</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11. Неиспользованный остаток лимитов бюджетных обязательств отчетного финансового года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неиспользованный остаток лимитов бюджетных обязательств отчетного финансового года, рассчитанный как разность между доведенными до получателя средств бюджета ЗАТО Северск в отчетном финансовом году объемами лимитов бюджетных обязательств и исполненными бюджетными обязательствами отчетного финансового года по соответствующему коду классификации расходов бюджета.</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12. Сумма, в пределах которой могут быть увеличены бюджетные ассигнования текущего финансового года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Указывается сумма, в пределах которой главному распорядителю средств бюджета ЗАТО Северск могут быть увеличены бюджетные ассигнования текущего финансового года на оплату муниципальных контрактов, договоров, соглашений (нормативных правовых актов) о предоставлении субсидии юридическим лицам в случаях, установленных Правительством Российской Федерации в соответствии с </w:t>
            </w:r>
            <w:hyperlink r:id="rId96">
              <w:r>
                <w:t>пунктом 4 статьи 94</w:t>
              </w:r>
            </w:hyperlink>
            <w:r>
              <w:t xml:space="preserve"> Бюджетного кодекса Российской Федерации.</w:t>
            </w:r>
          </w:p>
          <w:p>
            <w:pPr>
              <w:pStyle w:val="ConsPlusNormal"/>
              <w:ind w:firstLine="283"/>
              <w:jc w:val="both"/>
            </w:pPr>
            <w:r>
              <w:t xml:space="preserve">При этом по соответствующему коду классификации расходов бюджета отражается наименьшая из сумм, указанных в </w:t>
            </w:r>
            <w:hyperlink w:anchor="P896">
              <w:r>
                <w:t>пунктах 10</w:t>
              </w:r>
            </w:hyperlink>
            <w:r>
              <w:t xml:space="preserve"> и </w:t>
            </w:r>
            <w:hyperlink w:anchor="P929">
              <w:r>
                <w:t>11</w:t>
              </w:r>
            </w:hyperlink>
            <w:r>
              <w:t>.</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13. Всего по коду главы бюджетной классификации</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итоговые данные, сгруппированные по каждому главному распорядителю средств бюджета ЗАТО Северск.</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14. Ответственный исполнитель</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должность, подпись, расшифровка подписи, телефон ответственного исполнителя, сформировавшего отчет.</w:t>
            </w:r>
          </w:p>
        </w:tc>
      </w:tr>
      <w:tr>
        <w:tc>
          <w:tcPr>
            <w:tcW w:w="3676" w:type="dxa"/>
            <w:tcBorders>
              <w:top w:val="single" w:sz="4" w:space="0" w:color="auto"/>
              <w:left w:val="single" w:sz="4" w:space="0" w:color="auto"/>
              <w:bottom w:val="single" w:sz="4" w:space="0" w:color="auto"/>
              <w:right w:val="single" w:sz="4" w:space="0" w:color="auto"/>
            </w:tcBorders>
          </w:tcPr>
          <w:p>
            <w:pPr>
              <w:pStyle w:val="ConsPlusNormal"/>
            </w:pPr>
            <w:r>
              <w:t>15. Дата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подписания отчета.</w:t>
            </w:r>
          </w:p>
        </w:tc>
      </w:tr>
    </w:tbl>
    <w:p>
      <w:pPr>
        <w:pStyle w:val="ConsPlusNormal"/>
        <w:jc w:val="both"/>
        <w:sectPr>
          <w:headerReference w:type="first" r:id="rId97"/>
          <w:pgSz w:w="11906" w:h="16838"/>
          <w:pgMar w:top="1135" w:right="567" w:bottom="851" w:left="1701" w:header="567" w:footer="454" w:gutter="0"/>
          <w:pgNumType w:start="1"/>
          <w:cols w:space="708"/>
          <w:titlePg/>
          <w:docGrid w:linePitch="360"/>
        </w:sectPr>
      </w:pPr>
    </w:p>
    <w:p>
      <w:pPr>
        <w:pStyle w:val="ConsPlusNormal"/>
        <w:ind w:firstLine="5245"/>
        <w:outlineLvl w:val="1"/>
      </w:pPr>
      <w:r>
        <w:t>Приложение № 10</w:t>
      </w:r>
    </w:p>
    <w:p>
      <w:pPr>
        <w:pStyle w:val="ConsPlusNormal"/>
        <w:ind w:firstLine="5245"/>
      </w:pPr>
      <w:r>
        <w:t>к Порядку учета бюджетных и денежных</w:t>
      </w:r>
    </w:p>
    <w:p>
      <w:pPr>
        <w:pStyle w:val="ConsPlusNormal"/>
        <w:ind w:firstLine="5245"/>
      </w:pPr>
      <w:r>
        <w:t>обязательств получателей средств</w:t>
      </w:r>
    </w:p>
    <w:p>
      <w:pPr>
        <w:autoSpaceDE w:val="0"/>
        <w:autoSpaceDN w:val="0"/>
        <w:adjustRightInd w:val="0"/>
        <w:ind w:firstLine="5245"/>
        <w:rPr>
          <w:rFonts w:ascii="Times New Roman" w:hAnsi="Times New Roman"/>
          <w:bCs/>
          <w:sz w:val="24"/>
          <w:szCs w:val="24"/>
        </w:rPr>
      </w:pPr>
      <w:r>
        <w:rPr>
          <w:rFonts w:ascii="Times New Roman" w:hAnsi="Times New Roman"/>
          <w:sz w:val="24"/>
          <w:szCs w:val="24"/>
        </w:rPr>
        <w:t xml:space="preserve">бюджета </w:t>
      </w:r>
      <w:r>
        <w:rPr>
          <w:rFonts w:ascii="Times New Roman" w:hAnsi="Times New Roman"/>
          <w:bCs/>
          <w:sz w:val="24"/>
          <w:szCs w:val="24"/>
        </w:rPr>
        <w:t xml:space="preserve">городского округа закрытого </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административно-территориального</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образования Северск Томской области</w:t>
      </w:r>
    </w:p>
    <w:p>
      <w:pPr>
        <w:pStyle w:val="ConsPlusNormal"/>
        <w:ind w:firstLine="5245"/>
        <w:rPr>
          <w:rFonts w:eastAsiaTheme="minorHAnsi"/>
          <w:szCs w:val="24"/>
          <w:lang w:eastAsia="en-US"/>
        </w:rPr>
      </w:pPr>
      <w:r>
        <w:rPr>
          <w:rFonts w:eastAsiaTheme="minorHAnsi"/>
          <w:szCs w:val="24"/>
          <w:lang w:eastAsia="en-US"/>
        </w:rPr>
        <w:t xml:space="preserve">Управлением Федерального казначейства </w:t>
      </w:r>
    </w:p>
    <w:p>
      <w:pPr>
        <w:pStyle w:val="ConsPlusNormal"/>
        <w:ind w:firstLine="5245"/>
      </w:pPr>
      <w:r>
        <w:rPr>
          <w:rFonts w:eastAsiaTheme="minorHAnsi"/>
          <w:szCs w:val="24"/>
          <w:lang w:eastAsia="en-US"/>
        </w:rPr>
        <w:t xml:space="preserve">по </w:t>
      </w:r>
      <w:r>
        <w:rPr>
          <w:bCs/>
          <w:szCs w:val="24"/>
        </w:rPr>
        <w:t>Томской области</w:t>
      </w:r>
    </w:p>
    <w:p>
      <w:pPr>
        <w:pStyle w:val="ConsPlusNormal"/>
        <w:jc w:val="both"/>
      </w:pPr>
    </w:p>
    <w:tbl>
      <w:tblPr>
        <w:tblW w:w="9634" w:type="dxa"/>
        <w:tblInd w:w="30" w:type="dxa"/>
        <w:tblBorders>
          <w:left w:val="nil"/>
          <w:bottom w:val="single" w:sz="4" w:space="0" w:color="auto"/>
          <w:right w:val="nil"/>
          <w:insideH w:val="nil"/>
          <w:insideV w:val="single" w:sz="4" w:space="0" w:color="auto"/>
        </w:tblBorders>
        <w:tblLayout w:type="fixed"/>
        <w:tblCellMar>
          <w:left w:w="62" w:type="dxa"/>
          <w:right w:w="62" w:type="dxa"/>
        </w:tblCellMar>
        <w:tblLook w:val="0000" w:firstRow="0" w:lastRow="0" w:firstColumn="0" w:lastColumn="0" w:noHBand="0" w:noVBand="0"/>
      </w:tblPr>
      <w:tblGrid>
        <w:gridCol w:w="3104"/>
        <w:gridCol w:w="6530"/>
      </w:tblGrid>
      <w:tr>
        <w:tc>
          <w:tcPr>
            <w:tcW w:w="9634" w:type="dxa"/>
            <w:gridSpan w:val="2"/>
            <w:tcBorders>
              <w:top w:val="nil"/>
              <w:left w:val="nil"/>
              <w:bottom w:val="nil"/>
              <w:right w:val="nil"/>
            </w:tcBorders>
          </w:tcPr>
          <w:p>
            <w:pPr>
              <w:pStyle w:val="ConsPlusNormal"/>
              <w:jc w:val="center"/>
            </w:pPr>
            <w:bookmarkStart w:id="89" w:name="P1391"/>
            <w:bookmarkEnd w:id="89"/>
            <w:r>
              <w:t>Реквизиты</w:t>
            </w:r>
          </w:p>
          <w:p>
            <w:pPr>
              <w:pStyle w:val="ConsPlusNormal"/>
              <w:jc w:val="center"/>
            </w:pPr>
            <w:r>
              <w:t>отчетного документа Информация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w:t>
            </w:r>
          </w:p>
        </w:tc>
      </w:tr>
      <w:tr>
        <w:tc>
          <w:tcPr>
            <w:tcW w:w="9634" w:type="dxa"/>
            <w:gridSpan w:val="2"/>
            <w:tcBorders>
              <w:top w:val="nil"/>
              <w:left w:val="nil"/>
              <w:bottom w:val="nil"/>
              <w:right w:val="nil"/>
            </w:tcBorders>
          </w:tcPr>
          <w:p>
            <w:pPr>
              <w:pStyle w:val="ConsPlusNormal"/>
            </w:pPr>
          </w:p>
        </w:tc>
      </w:tr>
      <w:tr>
        <w:tc>
          <w:tcPr>
            <w:tcW w:w="9634" w:type="dxa"/>
            <w:gridSpan w:val="2"/>
            <w:tcBorders>
              <w:top w:val="nil"/>
              <w:left w:val="nil"/>
              <w:bottom w:val="single" w:sz="4" w:space="0" w:color="auto"/>
              <w:right w:val="nil"/>
            </w:tcBorders>
          </w:tcPr>
          <w:p>
            <w:pPr>
              <w:pStyle w:val="ConsPlusNormal"/>
              <w:jc w:val="both"/>
            </w:pPr>
            <w:r>
              <w:t>Единица измерения: руб.</w:t>
            </w:r>
          </w:p>
          <w:p>
            <w:pPr>
              <w:pStyle w:val="ConsPlusNormal"/>
              <w:jc w:val="both"/>
            </w:pPr>
            <w:r>
              <w:t>(с точностью до второго десятичного знака)</w:t>
            </w:r>
          </w:p>
        </w:tc>
      </w:tr>
      <w:tr>
        <w:tblPrEx>
          <w:tblBorders>
            <w:left w:val="single" w:sz="4" w:space="0" w:color="auto"/>
            <w:right w:val="single" w:sz="4" w:space="0" w:color="auto"/>
            <w:insideH w:val="single" w:sz="4" w:space="0" w:color="auto"/>
          </w:tblBorders>
        </w:tblPrEx>
        <w:tc>
          <w:tcPr>
            <w:tcW w:w="3104" w:type="dxa"/>
            <w:tcBorders>
              <w:top w:val="single" w:sz="4" w:space="0" w:color="auto"/>
              <w:left w:val="single" w:sz="4" w:space="0" w:color="auto"/>
              <w:bottom w:val="nil"/>
              <w:right w:val="single" w:sz="4" w:space="0" w:color="auto"/>
            </w:tcBorders>
          </w:tcPr>
          <w:p>
            <w:pPr>
              <w:pStyle w:val="ConsPlusNormal"/>
              <w:jc w:val="center"/>
            </w:pPr>
            <w:r>
              <w:t>Наименование реквизита</w:t>
            </w:r>
          </w:p>
        </w:tc>
        <w:tc>
          <w:tcPr>
            <w:tcW w:w="6530" w:type="dxa"/>
            <w:tcBorders>
              <w:top w:val="single" w:sz="4" w:space="0" w:color="auto"/>
              <w:left w:val="single" w:sz="4" w:space="0" w:color="auto"/>
              <w:bottom w:val="nil"/>
              <w:right w:val="single" w:sz="4" w:space="0" w:color="auto"/>
            </w:tcBorders>
          </w:tcPr>
          <w:p>
            <w:pPr>
              <w:pStyle w:val="ConsPlusNormal"/>
              <w:jc w:val="center"/>
            </w:pPr>
            <w:r>
              <w:t>Правила формирования (заполнения) реквизита</w:t>
            </w:r>
          </w:p>
        </w:tc>
      </w:tr>
    </w:tbl>
    <w:p>
      <w:pPr>
        <w:rPr>
          <w:sz w:val="2"/>
          <w:szCs w:val="2"/>
        </w:rPr>
      </w:pPr>
    </w:p>
    <w:tbl>
      <w:tblPr>
        <w:tblW w:w="9634" w:type="dxa"/>
        <w:tblInd w:w="25"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104"/>
        <w:gridCol w:w="6530"/>
      </w:tblGrid>
      <w:tr>
        <w:trPr>
          <w:tblHeader/>
        </w:trPr>
        <w:tc>
          <w:tcPr>
            <w:tcW w:w="3104" w:type="dxa"/>
            <w:tcBorders>
              <w:top w:val="single" w:sz="4" w:space="0" w:color="auto"/>
              <w:left w:val="single" w:sz="4" w:space="0" w:color="auto"/>
              <w:bottom w:val="single" w:sz="4" w:space="0" w:color="auto"/>
              <w:right w:val="single" w:sz="4" w:space="0" w:color="auto"/>
            </w:tcBorders>
          </w:tcPr>
          <w:p>
            <w:pPr>
              <w:pStyle w:val="ConsPlusNormal"/>
              <w:jc w:val="center"/>
            </w:pPr>
            <w:r>
              <w:t>1</w:t>
            </w:r>
          </w:p>
        </w:tc>
        <w:tc>
          <w:tcPr>
            <w:tcW w:w="6530" w:type="dxa"/>
            <w:tcBorders>
              <w:top w:val="single" w:sz="4" w:space="0" w:color="auto"/>
              <w:left w:val="single" w:sz="4" w:space="0" w:color="auto"/>
              <w:bottom w:val="single" w:sz="4" w:space="0" w:color="auto"/>
              <w:right w:val="single" w:sz="4" w:space="0" w:color="auto"/>
            </w:tcBorders>
          </w:tcPr>
          <w:p>
            <w:pPr>
              <w:pStyle w:val="ConsPlusNormal"/>
              <w:jc w:val="center"/>
            </w:pPr>
            <w:r>
              <w:t>2</w:t>
            </w:r>
          </w:p>
        </w:tc>
      </w:tr>
      <w:tr>
        <w:tc>
          <w:tcPr>
            <w:tcW w:w="3104" w:type="dxa"/>
            <w:tcBorders>
              <w:top w:val="single" w:sz="4" w:space="0" w:color="auto"/>
              <w:left w:val="single" w:sz="4" w:space="0" w:color="auto"/>
              <w:bottom w:val="single" w:sz="4" w:space="0" w:color="auto"/>
              <w:right w:val="single" w:sz="4" w:space="0" w:color="auto"/>
            </w:tcBorders>
          </w:tcPr>
          <w:p>
            <w:pPr>
              <w:pStyle w:val="ConsPlusNormal"/>
            </w:pPr>
            <w:r>
              <w:t>1. Дата</w:t>
            </w:r>
          </w:p>
        </w:tc>
        <w:tc>
          <w:tcPr>
            <w:tcW w:w="653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по состоянию на 1 января текущего финансового года.</w:t>
            </w:r>
          </w:p>
        </w:tc>
      </w:tr>
      <w:tr>
        <w:tc>
          <w:tcPr>
            <w:tcW w:w="3104" w:type="dxa"/>
            <w:tcBorders>
              <w:top w:val="single" w:sz="4" w:space="0" w:color="auto"/>
              <w:left w:val="single" w:sz="4" w:space="0" w:color="auto"/>
              <w:bottom w:val="single" w:sz="4" w:space="0" w:color="auto"/>
              <w:right w:val="single" w:sz="4" w:space="0" w:color="auto"/>
            </w:tcBorders>
          </w:tcPr>
          <w:p>
            <w:pPr>
              <w:pStyle w:val="ConsPlusNormal"/>
            </w:pPr>
            <w:r>
              <w:t>2. Главный распорядитель бюджетных средств</w:t>
            </w:r>
          </w:p>
        </w:tc>
        <w:tc>
          <w:tcPr>
            <w:tcW w:w="653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главного распорядителя бюджетных средств ЗАТО Северск,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tc>
      </w:tr>
      <w:tr>
        <w:tc>
          <w:tcPr>
            <w:tcW w:w="3104" w:type="dxa"/>
            <w:tcBorders>
              <w:top w:val="single" w:sz="4" w:space="0" w:color="auto"/>
              <w:left w:val="single" w:sz="4" w:space="0" w:color="auto"/>
              <w:bottom w:val="single" w:sz="4" w:space="0" w:color="auto"/>
              <w:right w:val="single" w:sz="4" w:space="0" w:color="auto"/>
            </w:tcBorders>
          </w:tcPr>
          <w:p>
            <w:pPr>
              <w:pStyle w:val="ConsPlusNormal"/>
            </w:pPr>
            <w:r>
              <w:t>2.1. Код по сводному реестру</w:t>
            </w:r>
          </w:p>
        </w:tc>
        <w:tc>
          <w:tcPr>
            <w:tcW w:w="653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по Сводному реестру главного распорядителя бюджетных средств ЗАТО Северск.</w:t>
            </w:r>
          </w:p>
        </w:tc>
      </w:tr>
      <w:tr>
        <w:tc>
          <w:tcPr>
            <w:tcW w:w="3104" w:type="dxa"/>
            <w:tcBorders>
              <w:top w:val="single" w:sz="4" w:space="0" w:color="auto"/>
              <w:left w:val="single" w:sz="4" w:space="0" w:color="auto"/>
              <w:bottom w:val="single" w:sz="4" w:space="0" w:color="auto"/>
              <w:right w:val="single" w:sz="4" w:space="0" w:color="auto"/>
            </w:tcBorders>
          </w:tcPr>
          <w:p>
            <w:pPr>
              <w:pStyle w:val="ConsPlusNormal"/>
            </w:pPr>
            <w:r>
              <w:t>3. Кому: наименование органа Федерального казначейства</w:t>
            </w:r>
          </w:p>
        </w:tc>
        <w:tc>
          <w:tcPr>
            <w:tcW w:w="6530" w:type="dxa"/>
            <w:tcBorders>
              <w:top w:val="single" w:sz="4" w:space="0" w:color="auto"/>
              <w:left w:val="single" w:sz="4" w:space="0" w:color="auto"/>
              <w:bottom w:val="single" w:sz="4" w:space="0" w:color="auto"/>
              <w:right w:val="single" w:sz="4" w:space="0" w:color="auto"/>
            </w:tcBorders>
          </w:tcPr>
          <w:p>
            <w:pPr>
              <w:pStyle w:val="ConsPlusNormal"/>
              <w:jc w:val="both"/>
            </w:pPr>
            <w:r>
              <w:t xml:space="preserve">      Указывается наименование органа Федерального казначейства – «Управление Федерального казначейства по Томской области».</w:t>
            </w:r>
          </w:p>
        </w:tc>
      </w:tr>
      <w:tr>
        <w:tc>
          <w:tcPr>
            <w:tcW w:w="3104" w:type="dxa"/>
            <w:tcBorders>
              <w:top w:val="single" w:sz="4" w:space="0" w:color="auto"/>
              <w:left w:val="single" w:sz="4" w:space="0" w:color="auto"/>
              <w:bottom w:val="single" w:sz="4" w:space="0" w:color="auto"/>
              <w:right w:val="single" w:sz="4" w:space="0" w:color="auto"/>
            </w:tcBorders>
          </w:tcPr>
          <w:p>
            <w:pPr>
              <w:pStyle w:val="ConsPlusNormal"/>
            </w:pPr>
            <w:r>
              <w:t>3.1. Код органа Федерального казначейства (КОФК)</w:t>
            </w:r>
          </w:p>
        </w:tc>
        <w:tc>
          <w:tcPr>
            <w:tcW w:w="653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органа Федерального казначейства, присвоенный Федеральным казначейством.</w:t>
            </w:r>
          </w:p>
        </w:tc>
      </w:tr>
      <w:tr>
        <w:tc>
          <w:tcPr>
            <w:tcW w:w="3104" w:type="dxa"/>
            <w:tcBorders>
              <w:top w:val="single" w:sz="4" w:space="0" w:color="auto"/>
              <w:left w:val="single" w:sz="4" w:space="0" w:color="auto"/>
              <w:bottom w:val="single" w:sz="4" w:space="0" w:color="auto"/>
              <w:right w:val="single" w:sz="4" w:space="0" w:color="auto"/>
            </w:tcBorders>
          </w:tcPr>
          <w:p>
            <w:pPr>
              <w:pStyle w:val="ConsPlusNormal"/>
            </w:pPr>
            <w:r>
              <w:t>4. Код по бюджетной классификации</w:t>
            </w:r>
          </w:p>
        </w:tc>
        <w:tc>
          <w:tcPr>
            <w:tcW w:w="653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составная часть кода классификации расходов бюджета, по которому в УФК по ТО в отчетном финансовом году были поставлены на учет бюджетные обязательства, возникшие на основании муниципального контракта, договора, соглашения (нормативного правового акта) о предоставлении субсидии юридическим лицам, подлежавшие в соответствии с условиями данного муниципального контракта, договора, соглашения (нормативного правового акта) о предоставлении субсидии юридическим лицам, оплате в отчетном финансовом году и не исполненные по состоянию на конец отчетного финансового года (глава, раздел, подраздел, целевая статья, вид расходов).</w:t>
            </w:r>
          </w:p>
        </w:tc>
      </w:tr>
      <w:tr>
        <w:tc>
          <w:tcPr>
            <w:tcW w:w="3104" w:type="dxa"/>
            <w:tcBorders>
              <w:top w:val="single" w:sz="4" w:space="0" w:color="auto"/>
              <w:left w:val="single" w:sz="4" w:space="0" w:color="auto"/>
              <w:bottom w:val="single" w:sz="4" w:space="0" w:color="auto"/>
              <w:right w:val="single" w:sz="4" w:space="0" w:color="auto"/>
            </w:tcBorders>
          </w:tcPr>
          <w:p>
            <w:pPr>
              <w:pStyle w:val="ConsPlusNormal"/>
            </w:pPr>
            <w:r>
              <w:t xml:space="preserve">5. Уникальный код объекта капитального строительства или объекта недвижимого имущества </w:t>
            </w:r>
          </w:p>
        </w:tc>
        <w:tc>
          <w:tcPr>
            <w:tcW w:w="653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уникальный код объекта капитального строительства или объекта недвижимого имущества.</w:t>
            </w:r>
          </w:p>
        </w:tc>
      </w:tr>
      <w:tr>
        <w:tc>
          <w:tcPr>
            <w:tcW w:w="3104" w:type="dxa"/>
            <w:tcBorders>
              <w:top w:val="single" w:sz="4" w:space="0" w:color="auto"/>
              <w:left w:val="single" w:sz="4" w:space="0" w:color="auto"/>
              <w:bottom w:val="single" w:sz="4" w:space="0" w:color="auto"/>
              <w:right w:val="single" w:sz="4" w:space="0" w:color="auto"/>
            </w:tcBorders>
          </w:tcPr>
          <w:p>
            <w:pPr>
              <w:pStyle w:val="ConsPlusNormal"/>
            </w:pPr>
            <w:bookmarkStart w:id="90" w:name="P1415"/>
            <w:bookmarkEnd w:id="90"/>
            <w:r>
              <w:t>6. Неиспользованный остаток лимитов бюджетных обязательств 20__ отчетного финансового года</w:t>
            </w:r>
          </w:p>
        </w:tc>
        <w:tc>
          <w:tcPr>
            <w:tcW w:w="653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неиспользованный остаток лимитов бюджетных обязательств отчетного финансового года по каждому коду классификации расходов бюджета и каждому муниципальному контракту, договору, соглашению, нормативному правовому акту, в том числе по уникальному коду объекта капитального строительства или объекта недвижимого имущества.</w:t>
            </w:r>
          </w:p>
        </w:tc>
      </w:tr>
      <w:tr>
        <w:tc>
          <w:tcPr>
            <w:tcW w:w="3104" w:type="dxa"/>
            <w:tcBorders>
              <w:top w:val="single" w:sz="4" w:space="0" w:color="auto"/>
              <w:left w:val="single" w:sz="4" w:space="0" w:color="auto"/>
              <w:bottom w:val="single" w:sz="4" w:space="0" w:color="auto"/>
              <w:right w:val="single" w:sz="4" w:space="0" w:color="auto"/>
            </w:tcBorders>
          </w:tcPr>
          <w:p>
            <w:pPr>
              <w:pStyle w:val="ConsPlusNormal"/>
            </w:pPr>
            <w:r>
              <w:t>7. Сумма, на которую могут быть увеличены бюджетные ассигнования в текущем финансовом году</w:t>
            </w:r>
          </w:p>
        </w:tc>
        <w:tc>
          <w:tcPr>
            <w:tcW w:w="653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Указывается сумма, на которую главному распорядителю средств бюджета в текущем финансовом году могут быть увеличены бюджетные ассигнования на оплату неисполненных бюджетных обязательств, возникших на основании муниципальных контрактов, договоров, соглашений (нормативных правовых актов) о предоставлении субсидии юридическим лицам, подлежавших в соответствии с условиями данных контрактов, договоров, соглашений (нормативных правовых актов) о предоставлении субсидии юридическим лицам оплате в отчетном финансовом году, в случаях, установленных Правительством Российской Федерации в соответствии с </w:t>
            </w:r>
            <w:hyperlink r:id="rId98">
              <w:r>
                <w:t>пунктом 4 статьи 94</w:t>
              </w:r>
            </w:hyperlink>
            <w:r>
              <w:t xml:space="preserve"> Бюджетного кодекса Российской Федерации.</w:t>
            </w:r>
          </w:p>
          <w:p>
            <w:pPr>
              <w:pStyle w:val="ConsPlusNormal"/>
              <w:ind w:firstLine="283"/>
              <w:jc w:val="both"/>
            </w:pPr>
            <w:r>
              <w:t xml:space="preserve">При этом сумма по соответствующему коду классификации расходов бюджета по каждому муниципальному контракту, договору, соглашению, нормативному правовому акту не должна превышать соответствующую сумму, отраженную в </w:t>
            </w:r>
            <w:hyperlink w:anchor="P1415">
              <w:r>
                <w:t>пункте 6</w:t>
              </w:r>
            </w:hyperlink>
            <w:r>
              <w:t>.</w:t>
            </w:r>
          </w:p>
        </w:tc>
      </w:tr>
      <w:tr>
        <w:tc>
          <w:tcPr>
            <w:tcW w:w="3104" w:type="dxa"/>
            <w:tcBorders>
              <w:top w:val="single" w:sz="4" w:space="0" w:color="auto"/>
              <w:left w:val="single" w:sz="4" w:space="0" w:color="auto"/>
              <w:bottom w:val="single" w:sz="4" w:space="0" w:color="auto"/>
              <w:right w:val="single" w:sz="4" w:space="0" w:color="auto"/>
            </w:tcBorders>
          </w:tcPr>
          <w:p>
            <w:pPr>
              <w:pStyle w:val="ConsPlusNormal"/>
            </w:pPr>
            <w:r>
              <w:t>8. Руководитель (уполномоченное лицо) главного распорядителя средств бюджета</w:t>
            </w:r>
          </w:p>
        </w:tc>
        <w:tc>
          <w:tcPr>
            <w:tcW w:w="653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должность, подпись, расшифровка подписи руководителя (уполномоченного лица) главного распорядителя средств бюджета ЗАТО Северск.</w:t>
            </w:r>
          </w:p>
        </w:tc>
      </w:tr>
      <w:tr>
        <w:tc>
          <w:tcPr>
            <w:tcW w:w="3104" w:type="dxa"/>
            <w:tcBorders>
              <w:top w:val="single" w:sz="4" w:space="0" w:color="auto"/>
              <w:left w:val="single" w:sz="4" w:space="0" w:color="auto"/>
              <w:bottom w:val="single" w:sz="4" w:space="0" w:color="auto"/>
              <w:right w:val="single" w:sz="4" w:space="0" w:color="auto"/>
            </w:tcBorders>
          </w:tcPr>
          <w:p>
            <w:pPr>
              <w:pStyle w:val="ConsPlusNormal"/>
            </w:pPr>
            <w:r>
              <w:t>9. Главный бухгалтер (уполномоченное лицо) главного распорядителя средств бюджета</w:t>
            </w:r>
          </w:p>
        </w:tc>
        <w:tc>
          <w:tcPr>
            <w:tcW w:w="653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должность, подпись, расшифровка подписи главного бухгалтера (уполномоченного лица) главного распорядителя средств бюджета ЗАТО Северск.</w:t>
            </w:r>
          </w:p>
        </w:tc>
      </w:tr>
      <w:tr>
        <w:tc>
          <w:tcPr>
            <w:tcW w:w="3104" w:type="dxa"/>
            <w:tcBorders>
              <w:top w:val="single" w:sz="4" w:space="0" w:color="auto"/>
              <w:left w:val="single" w:sz="4" w:space="0" w:color="auto"/>
              <w:bottom w:val="single" w:sz="4" w:space="0" w:color="auto"/>
              <w:right w:val="single" w:sz="4" w:space="0" w:color="auto"/>
            </w:tcBorders>
          </w:tcPr>
          <w:p>
            <w:pPr>
              <w:pStyle w:val="ConsPlusNormal"/>
            </w:pPr>
            <w:r>
              <w:t>10. Руководитель (уполномоченное лицо) органа Федерального казначейства</w:t>
            </w:r>
          </w:p>
        </w:tc>
        <w:tc>
          <w:tcPr>
            <w:tcW w:w="653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должность, подпись, расшифровка подписи руководителя (уполномоченного лица) УФК по ТО.</w:t>
            </w:r>
          </w:p>
        </w:tc>
      </w:tr>
      <w:tr>
        <w:tc>
          <w:tcPr>
            <w:tcW w:w="3104" w:type="dxa"/>
            <w:tcBorders>
              <w:top w:val="single" w:sz="4" w:space="0" w:color="auto"/>
              <w:left w:val="single" w:sz="4" w:space="0" w:color="auto"/>
              <w:bottom w:val="single" w:sz="4" w:space="0" w:color="auto"/>
              <w:right w:val="single" w:sz="4" w:space="0" w:color="auto"/>
            </w:tcBorders>
          </w:tcPr>
          <w:p>
            <w:pPr>
              <w:pStyle w:val="ConsPlusNormal"/>
            </w:pPr>
            <w:r>
              <w:t>11. Главный бухгалтер (уполномоченное лицо) органа Федерального казначейства</w:t>
            </w:r>
          </w:p>
        </w:tc>
        <w:tc>
          <w:tcPr>
            <w:tcW w:w="653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должность, подпись, расшифровка подписи главного бухгалтера (уполномоченного лица) УФК по ТО.</w:t>
            </w:r>
          </w:p>
        </w:tc>
      </w:tr>
      <w:tr>
        <w:tc>
          <w:tcPr>
            <w:tcW w:w="3104" w:type="dxa"/>
            <w:tcBorders>
              <w:top w:val="single" w:sz="4" w:space="0" w:color="auto"/>
              <w:left w:val="single" w:sz="4" w:space="0" w:color="auto"/>
              <w:bottom w:val="single" w:sz="4" w:space="0" w:color="auto"/>
              <w:right w:val="single" w:sz="4" w:space="0" w:color="auto"/>
            </w:tcBorders>
          </w:tcPr>
          <w:p>
            <w:pPr>
              <w:pStyle w:val="ConsPlusNormal"/>
            </w:pPr>
            <w:r>
              <w:t>12. Дата</w:t>
            </w:r>
          </w:p>
        </w:tc>
        <w:tc>
          <w:tcPr>
            <w:tcW w:w="653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подписания отчета главным распорядителем средств бюджета ЗАТО Северск.</w:t>
            </w:r>
          </w:p>
        </w:tc>
      </w:tr>
      <w:tr>
        <w:tc>
          <w:tcPr>
            <w:tcW w:w="3104" w:type="dxa"/>
            <w:tcBorders>
              <w:top w:val="single" w:sz="4" w:space="0" w:color="auto"/>
              <w:left w:val="single" w:sz="4" w:space="0" w:color="auto"/>
              <w:bottom w:val="single" w:sz="4" w:space="0" w:color="auto"/>
              <w:right w:val="single" w:sz="4" w:space="0" w:color="auto"/>
            </w:tcBorders>
          </w:tcPr>
          <w:p>
            <w:pPr>
              <w:pStyle w:val="ConsPlusNormal"/>
            </w:pPr>
            <w:r>
              <w:t>13. Дата</w:t>
            </w:r>
          </w:p>
        </w:tc>
        <w:tc>
          <w:tcPr>
            <w:tcW w:w="6530"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подписания отчета УФК по ТО.</w:t>
            </w:r>
          </w:p>
        </w:tc>
      </w:tr>
    </w:tbl>
    <w:p>
      <w:pPr>
        <w:pStyle w:val="ConsPlusNormal"/>
        <w:jc w:val="both"/>
        <w:sectPr>
          <w:headerReference w:type="first" r:id="rId99"/>
          <w:pgSz w:w="11906" w:h="16838"/>
          <w:pgMar w:top="1135" w:right="567" w:bottom="851" w:left="1701" w:header="567" w:footer="454" w:gutter="0"/>
          <w:pgNumType w:start="1"/>
          <w:cols w:space="708"/>
          <w:titlePg/>
          <w:docGrid w:linePitch="360"/>
        </w:sectPr>
      </w:pPr>
    </w:p>
    <w:p>
      <w:pPr>
        <w:pStyle w:val="ConsPlusNormal"/>
        <w:ind w:firstLine="5245"/>
        <w:outlineLvl w:val="1"/>
      </w:pPr>
      <w:r>
        <w:t>Приложение № 11</w:t>
      </w:r>
    </w:p>
    <w:p>
      <w:pPr>
        <w:pStyle w:val="ConsPlusNormal"/>
        <w:ind w:firstLine="5245"/>
      </w:pPr>
      <w:r>
        <w:t>к Порядку учета бюджетных и денежных</w:t>
      </w:r>
    </w:p>
    <w:p>
      <w:pPr>
        <w:pStyle w:val="ConsPlusNormal"/>
        <w:ind w:firstLine="5245"/>
      </w:pPr>
      <w:r>
        <w:t>обязательств получателей средств</w:t>
      </w:r>
    </w:p>
    <w:p>
      <w:pPr>
        <w:autoSpaceDE w:val="0"/>
        <w:autoSpaceDN w:val="0"/>
        <w:adjustRightInd w:val="0"/>
        <w:ind w:firstLine="5245"/>
        <w:rPr>
          <w:rFonts w:ascii="Times New Roman" w:hAnsi="Times New Roman"/>
          <w:bCs/>
          <w:sz w:val="24"/>
          <w:szCs w:val="24"/>
        </w:rPr>
      </w:pPr>
      <w:r>
        <w:rPr>
          <w:rFonts w:ascii="Times New Roman" w:hAnsi="Times New Roman"/>
          <w:sz w:val="24"/>
          <w:szCs w:val="24"/>
        </w:rPr>
        <w:t xml:space="preserve">бюджета </w:t>
      </w:r>
      <w:r>
        <w:rPr>
          <w:rFonts w:ascii="Times New Roman" w:hAnsi="Times New Roman"/>
          <w:bCs/>
          <w:sz w:val="24"/>
          <w:szCs w:val="24"/>
        </w:rPr>
        <w:t xml:space="preserve">городского округа закрытого </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административно-территориального</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образования Северск Томской области</w:t>
      </w:r>
    </w:p>
    <w:p>
      <w:pPr>
        <w:pStyle w:val="ConsPlusNormal"/>
        <w:ind w:firstLine="5245"/>
        <w:rPr>
          <w:rFonts w:eastAsiaTheme="minorHAnsi"/>
          <w:szCs w:val="24"/>
          <w:lang w:eastAsia="en-US"/>
        </w:rPr>
      </w:pPr>
      <w:r>
        <w:rPr>
          <w:rFonts w:eastAsiaTheme="minorHAnsi"/>
          <w:szCs w:val="24"/>
          <w:lang w:eastAsia="en-US"/>
        </w:rPr>
        <w:t xml:space="preserve">Управлением Федерального казначейства </w:t>
      </w:r>
    </w:p>
    <w:p>
      <w:pPr>
        <w:pStyle w:val="ConsPlusNormal"/>
        <w:ind w:firstLine="5245"/>
      </w:pPr>
      <w:r>
        <w:rPr>
          <w:rFonts w:eastAsiaTheme="minorHAnsi"/>
          <w:szCs w:val="24"/>
          <w:lang w:eastAsia="en-US"/>
        </w:rPr>
        <w:t xml:space="preserve">по </w:t>
      </w:r>
      <w:r>
        <w:rPr>
          <w:bCs/>
          <w:szCs w:val="24"/>
        </w:rPr>
        <w:t>Томской области</w:t>
      </w:r>
    </w:p>
    <w:p>
      <w:pPr>
        <w:pStyle w:val="ConsPlusNormal"/>
        <w:jc w:val="both"/>
      </w:pPr>
    </w:p>
    <w:tbl>
      <w:tblPr>
        <w:tblW w:w="9629" w:type="dxa"/>
        <w:tblInd w:w="20" w:type="dxa"/>
        <w:tblBorders>
          <w:left w:val="nil"/>
          <w:bottom w:val="single" w:sz="4" w:space="0" w:color="auto"/>
          <w:right w:val="nil"/>
          <w:insideH w:val="nil"/>
          <w:insideV w:val="single" w:sz="4" w:space="0" w:color="auto"/>
        </w:tblBorders>
        <w:tblLayout w:type="fixed"/>
        <w:tblCellMar>
          <w:left w:w="62" w:type="dxa"/>
          <w:right w:w="62" w:type="dxa"/>
        </w:tblCellMar>
        <w:tblLook w:val="0000" w:firstRow="0" w:lastRow="0" w:firstColumn="0" w:lastColumn="0" w:noHBand="0" w:noVBand="0"/>
      </w:tblPr>
      <w:tblGrid>
        <w:gridCol w:w="3671"/>
        <w:gridCol w:w="1885"/>
        <w:gridCol w:w="4073"/>
      </w:tblGrid>
      <w:tr>
        <w:tc>
          <w:tcPr>
            <w:tcW w:w="9629" w:type="dxa"/>
            <w:gridSpan w:val="3"/>
            <w:tcBorders>
              <w:top w:val="nil"/>
              <w:left w:val="nil"/>
              <w:bottom w:val="nil"/>
              <w:right w:val="nil"/>
            </w:tcBorders>
          </w:tcPr>
          <w:p>
            <w:pPr>
              <w:pStyle w:val="ConsPlusNormal"/>
              <w:jc w:val="center"/>
            </w:pPr>
            <w:bookmarkStart w:id="91" w:name="P1449"/>
            <w:bookmarkEnd w:id="91"/>
            <w:r>
              <w:t>Реквизиты</w:t>
            </w:r>
          </w:p>
          <w:p>
            <w:pPr>
              <w:pStyle w:val="ConsPlusNormal"/>
              <w:jc w:val="center"/>
            </w:pPr>
            <w:r>
              <w:t xml:space="preserve">отчетного документа Справка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w:t>
            </w:r>
          </w:p>
        </w:tc>
      </w:tr>
      <w:tr>
        <w:tblPrEx>
          <w:tblBorders>
            <w:insideV w:val="nil"/>
          </w:tblBorders>
        </w:tblPrEx>
        <w:tc>
          <w:tcPr>
            <w:tcW w:w="5556" w:type="dxa"/>
            <w:gridSpan w:val="2"/>
            <w:tcBorders>
              <w:top w:val="nil"/>
              <w:bottom w:val="single" w:sz="4" w:space="0" w:color="auto"/>
            </w:tcBorders>
          </w:tcPr>
          <w:p>
            <w:pPr>
              <w:pStyle w:val="ConsPlusNormal"/>
              <w:jc w:val="both"/>
            </w:pPr>
            <w:r>
              <w:t>Единица измерения: руб.</w:t>
            </w:r>
          </w:p>
          <w:p>
            <w:pPr>
              <w:pStyle w:val="ConsPlusNormal"/>
              <w:jc w:val="both"/>
            </w:pPr>
            <w:r>
              <w:t>(с точностью до второго десятичного знака)</w:t>
            </w:r>
          </w:p>
        </w:tc>
        <w:tc>
          <w:tcPr>
            <w:tcW w:w="4073" w:type="dxa"/>
            <w:tcBorders>
              <w:top w:val="nil"/>
              <w:bottom w:val="single" w:sz="4" w:space="0" w:color="auto"/>
            </w:tcBorders>
            <w:vAlign w:val="bottom"/>
          </w:tcPr>
          <w:p>
            <w:pPr>
              <w:pStyle w:val="ConsPlusNormal"/>
              <w:jc w:val="right"/>
            </w:pPr>
            <w:r>
              <w:t>Периодичность: годовая</w:t>
            </w:r>
          </w:p>
        </w:tc>
      </w:tr>
      <w:tr>
        <w:tblPrEx>
          <w:tblBorders>
            <w:left w:val="single" w:sz="4" w:space="0" w:color="auto"/>
            <w:right w:val="single" w:sz="4" w:space="0" w:color="auto"/>
            <w:insideH w:val="single" w:sz="4" w:space="0" w:color="auto"/>
          </w:tblBorders>
        </w:tblPrEx>
        <w:tc>
          <w:tcPr>
            <w:tcW w:w="3671" w:type="dxa"/>
            <w:tcBorders>
              <w:top w:val="single" w:sz="4" w:space="0" w:color="auto"/>
              <w:left w:val="single" w:sz="4" w:space="0" w:color="auto"/>
              <w:bottom w:val="nil"/>
              <w:right w:val="single" w:sz="4" w:space="0" w:color="auto"/>
            </w:tcBorders>
          </w:tcPr>
          <w:p>
            <w:pPr>
              <w:pStyle w:val="ConsPlusNormal"/>
              <w:jc w:val="center"/>
            </w:pPr>
            <w:r>
              <w:t>Наименование реквизита</w:t>
            </w:r>
          </w:p>
        </w:tc>
        <w:tc>
          <w:tcPr>
            <w:tcW w:w="5958" w:type="dxa"/>
            <w:gridSpan w:val="2"/>
            <w:tcBorders>
              <w:top w:val="single" w:sz="4" w:space="0" w:color="auto"/>
              <w:left w:val="single" w:sz="4" w:space="0" w:color="auto"/>
              <w:bottom w:val="nil"/>
              <w:right w:val="single" w:sz="4" w:space="0" w:color="auto"/>
            </w:tcBorders>
          </w:tcPr>
          <w:p>
            <w:pPr>
              <w:pStyle w:val="ConsPlusNormal"/>
              <w:jc w:val="center"/>
            </w:pPr>
            <w:r>
              <w:t>Правила формирования (заполнения) реквизита</w:t>
            </w:r>
          </w:p>
        </w:tc>
      </w:tr>
    </w:tbl>
    <w:p>
      <w:pPr>
        <w:rPr>
          <w:sz w:val="2"/>
          <w:szCs w:val="2"/>
        </w:rPr>
      </w:pPr>
    </w:p>
    <w:tbl>
      <w:tblPr>
        <w:tblW w:w="9629" w:type="dxa"/>
        <w:tblInd w:w="15"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671"/>
        <w:gridCol w:w="5958"/>
      </w:tblGrid>
      <w:tr>
        <w:trPr>
          <w:tblHeader/>
        </w:trPr>
        <w:tc>
          <w:tcPr>
            <w:tcW w:w="3671" w:type="dxa"/>
            <w:tcBorders>
              <w:top w:val="single" w:sz="4" w:space="0" w:color="auto"/>
              <w:left w:val="single" w:sz="4" w:space="0" w:color="auto"/>
              <w:bottom w:val="single" w:sz="4" w:space="0" w:color="auto"/>
              <w:right w:val="single" w:sz="4" w:space="0" w:color="auto"/>
            </w:tcBorders>
          </w:tcPr>
          <w:p>
            <w:pPr>
              <w:pStyle w:val="ConsPlusNormal"/>
              <w:jc w:val="center"/>
            </w:pPr>
            <w:r>
              <w:t>1</w:t>
            </w:r>
          </w:p>
        </w:tc>
        <w:tc>
          <w:tcPr>
            <w:tcW w:w="5958" w:type="dxa"/>
            <w:tcBorders>
              <w:top w:val="single" w:sz="4" w:space="0" w:color="auto"/>
              <w:left w:val="single" w:sz="4" w:space="0" w:color="auto"/>
              <w:bottom w:val="single" w:sz="4" w:space="0" w:color="auto"/>
              <w:right w:val="single" w:sz="4" w:space="0" w:color="auto"/>
            </w:tcBorders>
          </w:tcPr>
          <w:p>
            <w:pPr>
              <w:pStyle w:val="ConsPlusNormal"/>
              <w:jc w:val="center"/>
            </w:pPr>
            <w:r>
              <w:t>2</w:t>
            </w:r>
          </w:p>
        </w:tc>
      </w:tr>
      <w:tr>
        <w:trPr>
          <w:trHeight w:val="460"/>
        </w:trPr>
        <w:tc>
          <w:tcPr>
            <w:tcW w:w="3671" w:type="dxa"/>
            <w:tcBorders>
              <w:top w:val="single" w:sz="4" w:space="0" w:color="auto"/>
              <w:left w:val="single" w:sz="4" w:space="0" w:color="auto"/>
              <w:bottom w:val="single" w:sz="4" w:space="0" w:color="auto"/>
              <w:right w:val="single" w:sz="4" w:space="0" w:color="auto"/>
            </w:tcBorders>
          </w:tcPr>
          <w:p>
            <w:pPr>
              <w:pStyle w:val="ConsPlusNormal"/>
            </w:pPr>
            <w:r>
              <w:t>1. Дата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по состоянию на 1 января текущего финансового года.</w:t>
            </w:r>
          </w:p>
        </w:tc>
      </w:tr>
      <w:tr>
        <w:tc>
          <w:tcPr>
            <w:tcW w:w="3671" w:type="dxa"/>
            <w:tcBorders>
              <w:top w:val="single" w:sz="4" w:space="0" w:color="auto"/>
              <w:left w:val="single" w:sz="4" w:space="0" w:color="auto"/>
              <w:bottom w:val="single" w:sz="4" w:space="0" w:color="auto"/>
              <w:right w:val="single" w:sz="4" w:space="0" w:color="auto"/>
            </w:tcBorders>
          </w:tcPr>
          <w:p>
            <w:pPr>
              <w:pStyle w:val="ConsPlusNormal"/>
            </w:pPr>
            <w:r>
              <w:t>2. Федеральное казначейство</w:t>
            </w:r>
          </w:p>
        </w:tc>
        <w:tc>
          <w:tcPr>
            <w:tcW w:w="5958" w:type="dxa"/>
            <w:tcBorders>
              <w:top w:val="single" w:sz="4" w:space="0" w:color="auto"/>
              <w:left w:val="single" w:sz="4" w:space="0" w:color="auto"/>
              <w:bottom w:val="single" w:sz="4" w:space="0" w:color="auto"/>
              <w:right w:val="single" w:sz="4" w:space="0" w:color="auto"/>
            </w:tcBorders>
          </w:tcPr>
          <w:p>
            <w:pPr>
              <w:pStyle w:val="ConsPlusNormal"/>
              <w:jc w:val="both"/>
            </w:pPr>
            <w:r>
              <w:t xml:space="preserve">  Указывается наименование органа Федерального казначейства – «Управление Федерального казначейства </w:t>
            </w:r>
          </w:p>
          <w:p>
            <w:pPr>
              <w:pStyle w:val="ConsPlusNormal"/>
              <w:jc w:val="both"/>
            </w:pPr>
            <w:r>
              <w:t>по Томской области».</w:t>
            </w:r>
          </w:p>
        </w:tc>
      </w:tr>
      <w:tr>
        <w:tc>
          <w:tcPr>
            <w:tcW w:w="3671" w:type="dxa"/>
            <w:tcBorders>
              <w:top w:val="single" w:sz="4" w:space="0" w:color="auto"/>
              <w:left w:val="single" w:sz="4" w:space="0" w:color="auto"/>
              <w:bottom w:val="single" w:sz="4" w:space="0" w:color="auto"/>
              <w:right w:val="single" w:sz="4" w:space="0" w:color="auto"/>
            </w:tcBorders>
          </w:tcPr>
          <w:p>
            <w:pPr>
              <w:pStyle w:val="ConsPlusNormal"/>
            </w:pPr>
            <w:r>
              <w:t>2.1. Код органа Федерального казначейства (КОФК)</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органа Федерального казначейства, присвоенный Федеральным казначейством.</w:t>
            </w:r>
          </w:p>
        </w:tc>
      </w:tr>
      <w:tr>
        <w:tc>
          <w:tcPr>
            <w:tcW w:w="3671" w:type="dxa"/>
            <w:tcBorders>
              <w:top w:val="single" w:sz="4" w:space="0" w:color="auto"/>
              <w:left w:val="single" w:sz="4" w:space="0" w:color="auto"/>
              <w:bottom w:val="single" w:sz="4" w:space="0" w:color="auto"/>
              <w:right w:val="single" w:sz="4" w:space="0" w:color="auto"/>
            </w:tcBorders>
          </w:tcPr>
          <w:p>
            <w:pPr>
              <w:pStyle w:val="ConsPlusNormal"/>
            </w:pPr>
            <w:r>
              <w:t>3. Наименование органа исполнительной власти</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органа исполнительной власти.</w:t>
            </w:r>
          </w:p>
        </w:tc>
      </w:tr>
      <w:tr>
        <w:tc>
          <w:tcPr>
            <w:tcW w:w="3671" w:type="dxa"/>
            <w:tcBorders>
              <w:top w:val="single" w:sz="4" w:space="0" w:color="auto"/>
              <w:left w:val="single" w:sz="4" w:space="0" w:color="auto"/>
              <w:bottom w:val="single" w:sz="4" w:space="0" w:color="auto"/>
              <w:right w:val="single" w:sz="4" w:space="0" w:color="auto"/>
            </w:tcBorders>
          </w:tcPr>
          <w:p>
            <w:pPr>
              <w:pStyle w:val="ConsPlusNormal"/>
            </w:pPr>
            <w:r>
              <w:t>4. Код по бюджетной классификации</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составная часть кода классификации расходов бюджета ЗАТО Северск, по которому в УФК по ТО учтено бюджетное обязательство, связанное с реализацией капитальных вложений в объекты муниципальной собственности бюджета (глава, раздел, подраздел, целевая статья, вид расходов).</w:t>
            </w:r>
          </w:p>
        </w:tc>
      </w:tr>
      <w:tr>
        <w:tc>
          <w:tcPr>
            <w:tcW w:w="3671" w:type="dxa"/>
            <w:tcBorders>
              <w:top w:val="single" w:sz="4" w:space="0" w:color="auto"/>
              <w:left w:val="single" w:sz="4" w:space="0" w:color="auto"/>
              <w:bottom w:val="single" w:sz="4" w:space="0" w:color="auto"/>
              <w:right w:val="single" w:sz="4" w:space="0" w:color="auto"/>
            </w:tcBorders>
          </w:tcPr>
          <w:p>
            <w:pPr>
              <w:pStyle w:val="ConsPlusNormal"/>
            </w:pPr>
            <w:r>
              <w:t>5. Объект капитального строительства или объект недвижимого имущества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наименования объекта капитального строительства или объекта недвижимого имущества.</w:t>
            </w:r>
          </w:p>
        </w:tc>
      </w:tr>
      <w:tr>
        <w:tc>
          <w:tcPr>
            <w:tcW w:w="3671" w:type="dxa"/>
            <w:tcBorders>
              <w:top w:val="single" w:sz="4" w:space="0" w:color="auto"/>
              <w:left w:val="single" w:sz="4" w:space="0" w:color="auto"/>
              <w:bottom w:val="single" w:sz="4" w:space="0" w:color="auto"/>
              <w:right w:val="single" w:sz="4" w:space="0" w:color="auto"/>
            </w:tcBorders>
          </w:tcPr>
          <w:p>
            <w:pPr>
              <w:pStyle w:val="ConsPlusNormal"/>
            </w:pPr>
            <w:r>
              <w:t>5.1. Уникальный код объекта капитального строительства или объекта недвижимого имущества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уникальный код объекта капитального строительства или объекта недвижимого имущества.</w:t>
            </w:r>
          </w:p>
        </w:tc>
      </w:tr>
      <w:tr>
        <w:tc>
          <w:tcPr>
            <w:tcW w:w="3671" w:type="dxa"/>
            <w:tcBorders>
              <w:top w:val="single" w:sz="4" w:space="0" w:color="auto"/>
              <w:left w:val="single" w:sz="4" w:space="0" w:color="auto"/>
              <w:bottom w:val="single" w:sz="4" w:space="0" w:color="auto"/>
              <w:right w:val="single" w:sz="4" w:space="0" w:color="auto"/>
            </w:tcBorders>
          </w:tcPr>
          <w:p>
            <w:pPr>
              <w:pStyle w:val="ConsPlusNormal"/>
            </w:pPr>
            <w:r>
              <w:t>6. Муниципальный заказчик (главный распорядитель средств бюджета)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получателя средств бюджета ЗАТО Северск - муниципального заказчика, главного распорядителя средств бюджета ЗАТО Северск, у которого по состоянию на конец отчетного финансового года имеются неисполненные бюджетные обязательства, связанные с реализацией капитальных вложений.</w:t>
            </w:r>
          </w:p>
        </w:tc>
      </w:tr>
      <w:tr>
        <w:tc>
          <w:tcPr>
            <w:tcW w:w="3671" w:type="dxa"/>
            <w:tcBorders>
              <w:top w:val="single" w:sz="4" w:space="0" w:color="auto"/>
              <w:left w:val="single" w:sz="4" w:space="0" w:color="auto"/>
              <w:bottom w:val="single" w:sz="4" w:space="0" w:color="auto"/>
              <w:right w:val="single" w:sz="4" w:space="0" w:color="auto"/>
            </w:tcBorders>
          </w:tcPr>
          <w:p>
            <w:pPr>
              <w:pStyle w:val="ConsPlusNormal"/>
            </w:pPr>
            <w:r>
              <w:t>6.1. Код по Сводному реестру</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главного распорядителя бюджетных средств ЗАТО Северск, соответствующий реестровой записи реестра участников бюджетного процесса, а также юридических лиц, не являющихся участниками бюджетного процесса (далее - Сводный реестр), у которого по состоянию на конец отчетного финансового года имеются неисполненные бюджетные обязательства, связанные с реализацией капитальных вложений.</w:t>
            </w:r>
          </w:p>
        </w:tc>
      </w:tr>
      <w:tr>
        <w:tc>
          <w:tcPr>
            <w:tcW w:w="3671" w:type="dxa"/>
            <w:tcBorders>
              <w:top w:val="single" w:sz="4" w:space="0" w:color="auto"/>
              <w:left w:val="single" w:sz="4" w:space="0" w:color="auto"/>
              <w:bottom w:val="single" w:sz="4" w:space="0" w:color="auto"/>
              <w:right w:val="single" w:sz="4" w:space="0" w:color="auto"/>
            </w:tcBorders>
          </w:tcPr>
          <w:p>
            <w:pPr>
              <w:pStyle w:val="ConsPlusNormal"/>
            </w:pPr>
            <w:r>
              <w:t>7. Номер неисполненного бюджетного обязательства отчетного финансового года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учетные номера принятых на учет бюджетных обязательств, связанных с реализацией капитальных вложений, за счет средств бюджета ЗАТО Северск отчетного финансового года, не исполненные на конец отчетного финансового года.</w:t>
            </w:r>
          </w:p>
        </w:tc>
      </w:tr>
      <w:tr>
        <w:tc>
          <w:tcPr>
            <w:tcW w:w="3671" w:type="dxa"/>
            <w:tcBorders>
              <w:top w:val="single" w:sz="4" w:space="0" w:color="auto"/>
              <w:left w:val="single" w:sz="4" w:space="0" w:color="auto"/>
              <w:bottom w:val="single" w:sz="4" w:space="0" w:color="auto"/>
              <w:right w:val="single" w:sz="4" w:space="0" w:color="auto"/>
            </w:tcBorders>
          </w:tcPr>
          <w:p>
            <w:pPr>
              <w:pStyle w:val="ConsPlusNormal"/>
            </w:pPr>
            <w:r>
              <w:t>7.1. Сумма неисполненного остатка бюджетного обязательства отчетного финансового года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суммы неисполненного остатка принятых на учет бюджетных обязательств, связанных с реализацией капитальных вложений, за счет средств бюджета ЗАТО Северск отчетного финансового года (с учетом неисполненных обязательств прошлых лет), не исполненные на конец отчетного финансового года по каждому обязательству в разрезе кодов по бюджетной классификации.</w:t>
            </w:r>
          </w:p>
        </w:tc>
      </w:tr>
      <w:tr>
        <w:tc>
          <w:tcPr>
            <w:tcW w:w="3671" w:type="dxa"/>
            <w:tcBorders>
              <w:top w:val="single" w:sz="4" w:space="0" w:color="auto"/>
              <w:left w:val="single" w:sz="4" w:space="0" w:color="auto"/>
              <w:bottom w:val="single" w:sz="4" w:space="0" w:color="auto"/>
              <w:right w:val="single" w:sz="4" w:space="0" w:color="auto"/>
            </w:tcBorders>
          </w:tcPr>
          <w:p>
            <w:pPr>
              <w:pStyle w:val="ConsPlusNormal"/>
            </w:pPr>
            <w:r>
              <w:t>8. Общий объем неисполненных в отчетном финансовом году бюджетных обязательств в разрезе кода БК и главы по БК</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общий объем неисполненных в отчетном финансовом году бюджетных обязательств, рассчитанный как сумма неисполненных остатков бюджетных обязательств отчетного финансового года, в разрезе неисполненных бюджетных обязательств по каждому получателю средств бюджета ЗАТО Северск - муниципальному заказчику, главному распорядителю бюджета ЗАТО Северск и по каждому коду классификации расходов бюджета.</w:t>
            </w:r>
          </w:p>
        </w:tc>
      </w:tr>
      <w:tr>
        <w:tc>
          <w:tcPr>
            <w:tcW w:w="3671" w:type="dxa"/>
            <w:tcBorders>
              <w:top w:val="single" w:sz="4" w:space="0" w:color="auto"/>
              <w:left w:val="single" w:sz="4" w:space="0" w:color="auto"/>
              <w:bottom w:val="single" w:sz="4" w:space="0" w:color="auto"/>
              <w:right w:val="single" w:sz="4" w:space="0" w:color="auto"/>
            </w:tcBorders>
          </w:tcPr>
          <w:p>
            <w:pPr>
              <w:pStyle w:val="ConsPlusNormal"/>
            </w:pPr>
            <w:r>
              <w:t>9. Неиспользованный остаток лимитов бюджетных обязательств отчетного финансового года в разрезе кода БК и главы по БК</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неиспользованный остаток лимитов бюджетных обязательств отчетного финансового года, рассчитанный как разность между доведенными до получателя средств бюджета ЗАТО Северск в отчетном финансовом году объемами лимитов бюджетных обязательств и исполненными бюджетными обязательствами отчетного финансового года по соответствующему коду классификации расходов бюджета.</w:t>
            </w:r>
          </w:p>
        </w:tc>
      </w:tr>
      <w:tr>
        <w:tc>
          <w:tcPr>
            <w:tcW w:w="3671" w:type="dxa"/>
            <w:tcBorders>
              <w:top w:val="single" w:sz="4" w:space="0" w:color="auto"/>
              <w:left w:val="single" w:sz="4" w:space="0" w:color="auto"/>
              <w:bottom w:val="single" w:sz="4" w:space="0" w:color="auto"/>
              <w:right w:val="single" w:sz="4" w:space="0" w:color="auto"/>
            </w:tcBorders>
          </w:tcPr>
          <w:p>
            <w:pPr>
              <w:pStyle w:val="ConsPlusNormal"/>
            </w:pPr>
            <w:r>
              <w:t>10. Ответственный исполнитель</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должность, подпись, расшифровка подписи, телефон ответственного исполнителя, сформировавшего отчет.</w:t>
            </w:r>
          </w:p>
        </w:tc>
      </w:tr>
      <w:tr>
        <w:tc>
          <w:tcPr>
            <w:tcW w:w="3671" w:type="dxa"/>
            <w:tcBorders>
              <w:top w:val="single" w:sz="4" w:space="0" w:color="auto"/>
              <w:left w:val="single" w:sz="4" w:space="0" w:color="auto"/>
              <w:bottom w:val="single" w:sz="4" w:space="0" w:color="auto"/>
              <w:right w:val="single" w:sz="4" w:space="0" w:color="auto"/>
            </w:tcBorders>
          </w:tcPr>
          <w:p>
            <w:pPr>
              <w:pStyle w:val="ConsPlusNormal"/>
            </w:pPr>
            <w:r>
              <w:t>11. Дата</w:t>
            </w:r>
          </w:p>
        </w:tc>
        <w:tc>
          <w:tcPr>
            <w:tcW w:w="5958"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подписания отчета.</w:t>
            </w:r>
          </w:p>
        </w:tc>
      </w:tr>
    </w:tbl>
    <w:p>
      <w:pPr>
        <w:pStyle w:val="ConsPlusNormal"/>
        <w:sectPr>
          <w:headerReference w:type="first" r:id="rId100"/>
          <w:pgSz w:w="11906" w:h="16838"/>
          <w:pgMar w:top="1135" w:right="567" w:bottom="851" w:left="1701" w:header="567" w:footer="454" w:gutter="0"/>
          <w:pgNumType w:start="1"/>
          <w:cols w:space="708"/>
          <w:titlePg/>
          <w:docGrid w:linePitch="360"/>
        </w:sectPr>
      </w:pPr>
    </w:p>
    <w:p>
      <w:pPr>
        <w:pStyle w:val="ConsPlusNormal"/>
        <w:ind w:firstLine="5245"/>
        <w:outlineLvl w:val="1"/>
      </w:pPr>
      <w:r>
        <w:t>Приложение № 12</w:t>
      </w:r>
    </w:p>
    <w:p>
      <w:pPr>
        <w:pStyle w:val="ConsPlusNormal"/>
        <w:ind w:firstLine="5245"/>
      </w:pPr>
      <w:r>
        <w:t>к Порядку учета бюджетных и денежных</w:t>
      </w:r>
    </w:p>
    <w:p>
      <w:pPr>
        <w:pStyle w:val="ConsPlusNormal"/>
        <w:ind w:firstLine="5245"/>
      </w:pPr>
      <w:r>
        <w:t>обязательств получателей средств</w:t>
      </w:r>
    </w:p>
    <w:p>
      <w:pPr>
        <w:pStyle w:val="ConsPlusNormal"/>
        <w:ind w:firstLine="5245"/>
      </w:pPr>
      <w:r>
        <w:t xml:space="preserve">бюджета городского округа закрытого </w:t>
      </w:r>
    </w:p>
    <w:p>
      <w:pPr>
        <w:pStyle w:val="ConsPlusNormal"/>
        <w:ind w:firstLine="5245"/>
      </w:pPr>
      <w:r>
        <w:t>административно-территориального</w:t>
      </w:r>
    </w:p>
    <w:p>
      <w:pPr>
        <w:pStyle w:val="ConsPlusNormal"/>
        <w:ind w:firstLine="5245"/>
      </w:pPr>
      <w:r>
        <w:t>образования Северск Томской области</w:t>
      </w:r>
    </w:p>
    <w:p>
      <w:pPr>
        <w:pStyle w:val="ConsPlusNormal"/>
        <w:ind w:firstLine="5245"/>
      </w:pPr>
      <w:r>
        <w:t xml:space="preserve">Управлением Федерального казначейства </w:t>
      </w:r>
    </w:p>
    <w:p>
      <w:pPr>
        <w:pStyle w:val="ConsPlusNormal"/>
        <w:ind w:firstLine="5245"/>
      </w:pPr>
      <w:r>
        <w:t>по Томской области</w:t>
      </w:r>
    </w:p>
    <w:p>
      <w:pPr>
        <w:pStyle w:val="ConsPlusNormal"/>
        <w:jc w:val="center"/>
      </w:pPr>
      <w:bookmarkStart w:id="92" w:name="P1505"/>
      <w:bookmarkEnd w:id="92"/>
    </w:p>
    <w:p>
      <w:pPr>
        <w:pStyle w:val="ConsPlusNormal"/>
        <w:jc w:val="center"/>
      </w:pPr>
      <w:r>
        <w:t>Реквизиты</w:t>
      </w:r>
    </w:p>
    <w:p>
      <w:pPr>
        <w:pStyle w:val="ConsPlusNormal"/>
        <w:jc w:val="center"/>
      </w:pPr>
      <w:r>
        <w:t xml:space="preserve">извещения о постановке на учет (изменении) бюджетного </w:t>
      </w:r>
    </w:p>
    <w:p>
      <w:pPr>
        <w:pStyle w:val="ConsPlusNormal"/>
        <w:jc w:val="center"/>
      </w:pPr>
      <w:r>
        <w:t>обязательства в Управлении Федерального казначейства</w:t>
      </w:r>
    </w:p>
    <w:p>
      <w:pPr>
        <w:pStyle w:val="ConsPlusNormal"/>
        <w:jc w:val="center"/>
      </w:pPr>
      <w:r>
        <w:t>по Томской области</w:t>
      </w:r>
    </w:p>
    <w:p>
      <w:pPr>
        <w:pStyle w:val="ConsPlusNormal"/>
        <w:jc w:val="both"/>
      </w:pPr>
    </w:p>
    <w:tbl>
      <w:tblPr>
        <w:tblW w:w="9776" w:type="dxa"/>
        <w:tblInd w:w="10" w:type="dxa"/>
        <w:tblBorders>
          <w:left w:val="nil"/>
          <w:bottom w:val="single" w:sz="4" w:space="0" w:color="auto"/>
          <w:right w:val="nil"/>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965"/>
        <w:gridCol w:w="5811"/>
      </w:tblGrid>
      <w:tr>
        <w:tc>
          <w:tcPr>
            <w:tcW w:w="9776" w:type="dxa"/>
            <w:gridSpan w:val="2"/>
            <w:tcBorders>
              <w:top w:val="nil"/>
              <w:left w:val="nil"/>
              <w:bottom w:val="single" w:sz="4" w:space="0" w:color="auto"/>
              <w:right w:val="nil"/>
            </w:tcBorders>
            <w:vAlign w:val="bottom"/>
          </w:tcPr>
          <w:p>
            <w:pPr>
              <w:pStyle w:val="ConsPlusNormal"/>
              <w:jc w:val="both"/>
            </w:pPr>
            <w:r>
              <w:t>Единица измерения: руб. (с точностью до второго десятичного знака)</w:t>
            </w:r>
          </w:p>
        </w:tc>
      </w:tr>
      <w:tr>
        <w:tblPrEx>
          <w:tblBorders>
            <w:left w:val="single" w:sz="4" w:space="0" w:color="auto"/>
            <w:right w:val="single" w:sz="4" w:space="0" w:color="auto"/>
          </w:tblBorders>
        </w:tblPrEx>
        <w:tc>
          <w:tcPr>
            <w:tcW w:w="3965" w:type="dxa"/>
            <w:tcBorders>
              <w:top w:val="single" w:sz="4" w:space="0" w:color="auto"/>
              <w:left w:val="single" w:sz="4" w:space="0" w:color="auto"/>
              <w:bottom w:val="nil"/>
              <w:right w:val="single" w:sz="4" w:space="0" w:color="auto"/>
            </w:tcBorders>
          </w:tcPr>
          <w:p>
            <w:pPr>
              <w:pStyle w:val="ConsPlusNormal"/>
              <w:jc w:val="center"/>
            </w:pPr>
            <w:r>
              <w:t>Наименование реквизита</w:t>
            </w:r>
          </w:p>
        </w:tc>
        <w:tc>
          <w:tcPr>
            <w:tcW w:w="5811" w:type="dxa"/>
            <w:tcBorders>
              <w:top w:val="single" w:sz="4" w:space="0" w:color="auto"/>
              <w:left w:val="single" w:sz="4" w:space="0" w:color="auto"/>
              <w:bottom w:val="nil"/>
              <w:right w:val="single" w:sz="4" w:space="0" w:color="auto"/>
            </w:tcBorders>
          </w:tcPr>
          <w:p>
            <w:pPr>
              <w:pStyle w:val="ConsPlusNormal"/>
              <w:jc w:val="center"/>
            </w:pPr>
            <w:r>
              <w:t>Правила формирования, заполнения реквизита</w:t>
            </w:r>
          </w:p>
        </w:tc>
      </w:tr>
    </w:tbl>
    <w:p>
      <w:pPr>
        <w:rPr>
          <w:sz w:val="2"/>
          <w:szCs w:val="2"/>
        </w:rPr>
      </w:pPr>
    </w:p>
    <w:tbl>
      <w:tblPr>
        <w:tblW w:w="9776" w:type="dxa"/>
        <w:tblInd w:w="5"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965"/>
        <w:gridCol w:w="5811"/>
      </w:tblGrid>
      <w:tr>
        <w:trPr>
          <w:tblHeader/>
        </w:trPr>
        <w:tc>
          <w:tcPr>
            <w:tcW w:w="3965" w:type="dxa"/>
            <w:tcBorders>
              <w:top w:val="single" w:sz="4" w:space="0" w:color="auto"/>
              <w:left w:val="single" w:sz="4" w:space="0" w:color="auto"/>
              <w:bottom w:val="single" w:sz="4" w:space="0" w:color="auto"/>
              <w:right w:val="single" w:sz="4" w:space="0" w:color="auto"/>
            </w:tcBorders>
          </w:tcPr>
          <w:p>
            <w:pPr>
              <w:pStyle w:val="ConsPlusNormal"/>
              <w:jc w:val="center"/>
            </w:pPr>
            <w:r>
              <w:t>1</w:t>
            </w:r>
          </w:p>
        </w:tc>
        <w:tc>
          <w:tcPr>
            <w:tcW w:w="5811" w:type="dxa"/>
            <w:tcBorders>
              <w:top w:val="single" w:sz="4" w:space="0" w:color="auto"/>
              <w:left w:val="single" w:sz="4" w:space="0" w:color="auto"/>
              <w:bottom w:val="single" w:sz="4" w:space="0" w:color="auto"/>
              <w:right w:val="single" w:sz="4" w:space="0" w:color="auto"/>
            </w:tcBorders>
          </w:tcPr>
          <w:p>
            <w:pPr>
              <w:pStyle w:val="ConsPlusNormal"/>
              <w:jc w:val="center"/>
            </w:pPr>
            <w:r>
              <w:t>2</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1. Дата</w:t>
            </w:r>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Извещения о постановке на учет (изменении) бюджетного обязательства в органе Федерального казначейства.</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2. Наименование органа Федерального казначейства</w:t>
            </w:r>
          </w:p>
        </w:tc>
        <w:tc>
          <w:tcPr>
            <w:tcW w:w="5811" w:type="dxa"/>
            <w:tcBorders>
              <w:top w:val="single" w:sz="4" w:space="0" w:color="auto"/>
              <w:left w:val="single" w:sz="4" w:space="0" w:color="auto"/>
              <w:bottom w:val="single" w:sz="4" w:space="0" w:color="auto"/>
              <w:right w:val="single" w:sz="4" w:space="0" w:color="auto"/>
            </w:tcBorders>
          </w:tcPr>
          <w:p>
            <w:pPr>
              <w:pStyle w:val="ConsPlusNormal"/>
              <w:jc w:val="both"/>
              <w:outlineLvl w:val="1"/>
            </w:pPr>
            <w:r>
              <w:t>Указывается наименование органа Федерального казначейства – «Управление Федерального казначейства по Томской</w:t>
            </w:r>
            <w:r>
              <w:rPr>
                <w:bCs/>
                <w:szCs w:val="24"/>
              </w:rPr>
              <w:t xml:space="preserve"> области»</w:t>
            </w:r>
            <w:r>
              <w:t>.</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2.1. Код органа Федерального казначейства (КОФК)</w:t>
            </w:r>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УФК по ТО, присвоенный Федеральным казначейством.</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3. Получатель бюджетных средств</w:t>
            </w:r>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участника бюджетного процесса (получателя средств бюджета ЗАТО Северск),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3.1. Код по Сводному реестру</w:t>
            </w:r>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по Сводному реестру получателя средств бюджета ЗАТО Северск.</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4. Наименование бюджета</w:t>
            </w:r>
          </w:p>
        </w:tc>
        <w:tc>
          <w:tcPr>
            <w:tcW w:w="5811" w:type="dxa"/>
            <w:tcBorders>
              <w:top w:val="single" w:sz="4" w:space="0" w:color="auto"/>
              <w:left w:val="single" w:sz="4" w:space="0" w:color="auto"/>
              <w:bottom w:val="single" w:sz="4" w:space="0" w:color="auto"/>
              <w:right w:val="single" w:sz="4" w:space="0" w:color="auto"/>
            </w:tcBorders>
          </w:tcPr>
          <w:p>
            <w:pPr>
              <w:pStyle w:val="ConsPlusNormal"/>
              <w:jc w:val="both"/>
              <w:outlineLvl w:val="1"/>
            </w:pPr>
            <w:r>
              <w:t>Указывается наименование бюджета – «бюджет городского округа закрытого административно-территориального образования Северск Томской области».</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 xml:space="preserve">5. Код по </w:t>
            </w:r>
            <w:hyperlink r:id="rId101">
              <w:r>
                <w:t>ОКТМО</w:t>
              </w:r>
            </w:hyperlink>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Указывается код по Общероссийскому </w:t>
            </w:r>
            <w:hyperlink r:id="rId102">
              <w:r>
                <w:t>классификатору</w:t>
              </w:r>
            </w:hyperlink>
            <w:r>
              <w:t xml:space="preserve"> территорий муниципальных образований территориального органа Федерального казначейства, финансового органа муниципального образования.</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6. Финансовый орган</w:t>
            </w:r>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финансового органа – «Финансовое управление Администрации ЗАТО Северск».</w:t>
            </w:r>
          </w:p>
        </w:tc>
      </w:tr>
      <w:tr>
        <w:trPr>
          <w:trHeight w:val="1046"/>
        </w:trPr>
        <w:tc>
          <w:tcPr>
            <w:tcW w:w="3965" w:type="dxa"/>
            <w:tcBorders>
              <w:top w:val="single" w:sz="4" w:space="0" w:color="auto"/>
              <w:left w:val="single" w:sz="4" w:space="0" w:color="auto"/>
              <w:bottom w:val="single" w:sz="4" w:space="0" w:color="auto"/>
              <w:right w:val="single" w:sz="4" w:space="0" w:color="auto"/>
            </w:tcBorders>
          </w:tcPr>
          <w:p>
            <w:pPr>
              <w:pStyle w:val="ConsPlusNormal"/>
            </w:pPr>
            <w:r>
              <w:t>6.1. Код по ОКПО</w:t>
            </w:r>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финансового органа по Общероссийскому классификатору предприятий и организаций.</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7. Номер документа, являющегося основанием для принятия на учет бюджетного обязательства (далее - документ-основание)</w:t>
            </w:r>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номер документа-основания.</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8. Дата заключения (принятия) документа-основания</w:t>
            </w:r>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заключения (принятия) документа-основания.</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9. Сумма по документу-основанию</w:t>
            </w:r>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бюджетного обязательства по документу-основанию.</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10. Дата Сведений о бюджетном обязательстве</w:t>
            </w:r>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Сведений о бюджетном обязательстве.</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11. Дата постановки на учет (изменения) бюджетного обязательства</w:t>
            </w:r>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постановки на учет (изменения) бюджетного обязательства.</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12. Порядковый номер внесения изменений в бюджетное обязательство</w:t>
            </w:r>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порядковый номер внесения изменений в бюджетное обязательство.</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13. Учетный номер бюджетного обязательства</w:t>
            </w:r>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учетный номер бюджетного обязательства.</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14. Номер реестровой записи в реестре контрактов (реестре соглашений)</w:t>
            </w:r>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заключенных заказчиками/реестре соглашений (договоров) о предоставлении субсидий бюджетных инвестиций межбюджетных трансфертов.</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15. Ответственный исполнитель</w:t>
            </w:r>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должность, подпись, расшифровка подписи, телефон ответственного исполнителя.</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16. Дата</w:t>
            </w:r>
          </w:p>
        </w:tc>
        <w:tc>
          <w:tcPr>
            <w:tcW w:w="5811"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подписания Извещения о постановке на учет (изменении) бюджетного обязательства в УФК по ТО.</w:t>
            </w:r>
          </w:p>
        </w:tc>
      </w:tr>
    </w:tbl>
    <w:p>
      <w:pPr>
        <w:pStyle w:val="ConsPlusNormal"/>
        <w:jc w:val="both"/>
        <w:sectPr>
          <w:headerReference w:type="first" r:id="rId103"/>
          <w:pgSz w:w="11906" w:h="16838"/>
          <w:pgMar w:top="1135" w:right="567" w:bottom="851" w:left="1701" w:header="567" w:footer="454" w:gutter="0"/>
          <w:pgNumType w:start="1"/>
          <w:cols w:space="708"/>
          <w:titlePg/>
          <w:docGrid w:linePitch="360"/>
        </w:sectPr>
      </w:pPr>
    </w:p>
    <w:p>
      <w:pPr>
        <w:pStyle w:val="ConsPlusNormal"/>
        <w:ind w:firstLine="5245"/>
        <w:outlineLvl w:val="1"/>
      </w:pPr>
      <w:r>
        <w:t>Приложение № 13</w:t>
      </w:r>
    </w:p>
    <w:p>
      <w:pPr>
        <w:pStyle w:val="ConsPlusNormal"/>
        <w:ind w:firstLine="5245"/>
      </w:pPr>
      <w:r>
        <w:t>к Порядку учета бюджетных и денежных</w:t>
      </w:r>
    </w:p>
    <w:p>
      <w:pPr>
        <w:pStyle w:val="ConsPlusNormal"/>
        <w:ind w:firstLine="5245"/>
      </w:pPr>
      <w:r>
        <w:t>обязательств получателей средств</w:t>
      </w:r>
    </w:p>
    <w:p>
      <w:pPr>
        <w:autoSpaceDE w:val="0"/>
        <w:autoSpaceDN w:val="0"/>
        <w:adjustRightInd w:val="0"/>
        <w:ind w:firstLine="5245"/>
        <w:rPr>
          <w:rFonts w:ascii="Times New Roman" w:hAnsi="Times New Roman"/>
          <w:bCs/>
          <w:sz w:val="24"/>
          <w:szCs w:val="24"/>
        </w:rPr>
      </w:pPr>
      <w:r>
        <w:rPr>
          <w:rFonts w:ascii="Times New Roman" w:hAnsi="Times New Roman"/>
          <w:sz w:val="24"/>
          <w:szCs w:val="24"/>
        </w:rPr>
        <w:t xml:space="preserve">бюджета </w:t>
      </w:r>
      <w:r>
        <w:rPr>
          <w:rFonts w:ascii="Times New Roman" w:hAnsi="Times New Roman"/>
          <w:bCs/>
          <w:sz w:val="24"/>
          <w:szCs w:val="24"/>
        </w:rPr>
        <w:t xml:space="preserve">городского округа закрытого </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административно-территориального</w:t>
      </w:r>
    </w:p>
    <w:p>
      <w:pPr>
        <w:autoSpaceDE w:val="0"/>
        <w:autoSpaceDN w:val="0"/>
        <w:adjustRightInd w:val="0"/>
        <w:ind w:firstLine="5245"/>
        <w:rPr>
          <w:rFonts w:ascii="Times New Roman" w:hAnsi="Times New Roman"/>
          <w:bCs/>
          <w:sz w:val="24"/>
          <w:szCs w:val="24"/>
        </w:rPr>
      </w:pPr>
      <w:r>
        <w:rPr>
          <w:rFonts w:ascii="Times New Roman" w:hAnsi="Times New Roman"/>
          <w:bCs/>
          <w:sz w:val="24"/>
          <w:szCs w:val="24"/>
        </w:rPr>
        <w:t>образования Северск Томской области</w:t>
      </w:r>
    </w:p>
    <w:p>
      <w:pPr>
        <w:pStyle w:val="ConsPlusNormal"/>
        <w:ind w:firstLine="5245"/>
        <w:rPr>
          <w:rFonts w:eastAsiaTheme="minorHAnsi"/>
          <w:szCs w:val="24"/>
          <w:lang w:eastAsia="en-US"/>
        </w:rPr>
      </w:pPr>
      <w:r>
        <w:rPr>
          <w:rFonts w:eastAsiaTheme="minorHAnsi"/>
          <w:szCs w:val="24"/>
          <w:lang w:eastAsia="en-US"/>
        </w:rPr>
        <w:t>Управлением Федерального казначейства</w:t>
      </w:r>
    </w:p>
    <w:p>
      <w:pPr>
        <w:pStyle w:val="ConsPlusNormal"/>
        <w:ind w:firstLine="5245"/>
      </w:pPr>
      <w:r>
        <w:rPr>
          <w:rFonts w:eastAsiaTheme="minorHAnsi"/>
          <w:szCs w:val="24"/>
          <w:lang w:eastAsia="en-US"/>
        </w:rPr>
        <w:t xml:space="preserve">по </w:t>
      </w:r>
      <w:r>
        <w:rPr>
          <w:bCs/>
          <w:szCs w:val="24"/>
        </w:rPr>
        <w:t>Томской области</w:t>
      </w:r>
    </w:p>
    <w:p>
      <w:pPr>
        <w:pStyle w:val="ConsPlusNormal"/>
        <w:jc w:val="center"/>
        <w:rPr>
          <w:sz w:val="20"/>
        </w:rPr>
      </w:pPr>
      <w:bookmarkStart w:id="93" w:name="P1568"/>
      <w:bookmarkEnd w:id="93"/>
    </w:p>
    <w:p>
      <w:pPr>
        <w:pStyle w:val="ConsPlusNormal"/>
        <w:jc w:val="center"/>
      </w:pPr>
      <w:r>
        <w:t>Реквизиты</w:t>
      </w:r>
    </w:p>
    <w:p>
      <w:pPr>
        <w:pStyle w:val="ConsPlusNormal"/>
        <w:jc w:val="center"/>
      </w:pPr>
      <w:r>
        <w:t>извещения о постановке на учет (изменении) денежного</w:t>
      </w:r>
    </w:p>
    <w:p>
      <w:pPr>
        <w:pStyle w:val="ConsPlusNormal"/>
        <w:jc w:val="center"/>
      </w:pPr>
      <w:r>
        <w:t>обязательства в органе Федерального казначейства</w:t>
      </w:r>
    </w:p>
    <w:p>
      <w:pPr>
        <w:pStyle w:val="ConsPlusNormal"/>
        <w:jc w:val="both"/>
        <w:rPr>
          <w:sz w:val="20"/>
        </w:rPr>
      </w:pPr>
    </w:p>
    <w:tbl>
      <w:tblPr>
        <w:tblW w:w="9629" w:type="dxa"/>
        <w:tblInd w:w="15" w:type="dxa"/>
        <w:tblBorders>
          <w:left w:val="nil"/>
          <w:bottom w:val="single" w:sz="4" w:space="0" w:color="auto"/>
          <w:right w:val="nil"/>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965"/>
        <w:gridCol w:w="5664"/>
      </w:tblGrid>
      <w:tr>
        <w:tc>
          <w:tcPr>
            <w:tcW w:w="9629" w:type="dxa"/>
            <w:gridSpan w:val="2"/>
            <w:tcBorders>
              <w:top w:val="nil"/>
              <w:left w:val="nil"/>
              <w:bottom w:val="single" w:sz="4" w:space="0" w:color="auto"/>
              <w:right w:val="nil"/>
            </w:tcBorders>
          </w:tcPr>
          <w:p>
            <w:pPr>
              <w:pStyle w:val="ConsPlusNormal"/>
              <w:jc w:val="both"/>
            </w:pPr>
            <w:r>
              <w:t>Единица измерения: руб. (с точностью до второго десятичного знака)</w:t>
            </w:r>
          </w:p>
        </w:tc>
      </w:tr>
      <w:tr>
        <w:tblPrEx>
          <w:tblBorders>
            <w:left w:val="single" w:sz="4" w:space="0" w:color="auto"/>
            <w:right w:val="single" w:sz="4" w:space="0" w:color="auto"/>
          </w:tblBorders>
        </w:tblPrEx>
        <w:tc>
          <w:tcPr>
            <w:tcW w:w="3965" w:type="dxa"/>
            <w:tcBorders>
              <w:top w:val="single" w:sz="4" w:space="0" w:color="auto"/>
              <w:left w:val="single" w:sz="4" w:space="0" w:color="auto"/>
              <w:bottom w:val="nil"/>
              <w:right w:val="single" w:sz="4" w:space="0" w:color="auto"/>
            </w:tcBorders>
          </w:tcPr>
          <w:p>
            <w:pPr>
              <w:pStyle w:val="ConsPlusNormal"/>
              <w:jc w:val="center"/>
            </w:pPr>
            <w:r>
              <w:t>Наименование реквизита</w:t>
            </w:r>
          </w:p>
        </w:tc>
        <w:tc>
          <w:tcPr>
            <w:tcW w:w="5664" w:type="dxa"/>
            <w:tcBorders>
              <w:top w:val="single" w:sz="4" w:space="0" w:color="auto"/>
              <w:left w:val="single" w:sz="4" w:space="0" w:color="auto"/>
              <w:bottom w:val="nil"/>
              <w:right w:val="single" w:sz="4" w:space="0" w:color="auto"/>
            </w:tcBorders>
          </w:tcPr>
          <w:p>
            <w:pPr>
              <w:pStyle w:val="ConsPlusNormal"/>
              <w:jc w:val="center"/>
            </w:pPr>
            <w:r>
              <w:t>Правила формирования, заполнения реквизита</w:t>
            </w:r>
          </w:p>
        </w:tc>
      </w:tr>
    </w:tbl>
    <w:p>
      <w:pPr>
        <w:rPr>
          <w:sz w:val="2"/>
          <w:szCs w:val="2"/>
        </w:rPr>
      </w:pPr>
    </w:p>
    <w:tbl>
      <w:tblPr>
        <w:tblW w:w="9629" w:type="dxa"/>
        <w:tblInd w:w="10"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3965"/>
        <w:gridCol w:w="5664"/>
      </w:tblGrid>
      <w:tr>
        <w:trPr>
          <w:tblHeader/>
        </w:trPr>
        <w:tc>
          <w:tcPr>
            <w:tcW w:w="3965" w:type="dxa"/>
            <w:tcBorders>
              <w:top w:val="single" w:sz="4" w:space="0" w:color="auto"/>
              <w:left w:val="single" w:sz="4" w:space="0" w:color="auto"/>
              <w:bottom w:val="single" w:sz="4" w:space="0" w:color="auto"/>
              <w:right w:val="single" w:sz="4" w:space="0" w:color="auto"/>
            </w:tcBorders>
          </w:tcPr>
          <w:p>
            <w:pPr>
              <w:pStyle w:val="ConsPlusNormal"/>
              <w:jc w:val="center"/>
            </w:pPr>
            <w:r>
              <w:t>1</w:t>
            </w:r>
          </w:p>
        </w:tc>
        <w:tc>
          <w:tcPr>
            <w:tcW w:w="5664" w:type="dxa"/>
            <w:tcBorders>
              <w:top w:val="single" w:sz="4" w:space="0" w:color="auto"/>
              <w:left w:val="single" w:sz="4" w:space="0" w:color="auto"/>
              <w:bottom w:val="single" w:sz="4" w:space="0" w:color="auto"/>
              <w:right w:val="single" w:sz="4" w:space="0" w:color="auto"/>
            </w:tcBorders>
          </w:tcPr>
          <w:p>
            <w:pPr>
              <w:pStyle w:val="ConsPlusNormal"/>
              <w:jc w:val="center"/>
            </w:pPr>
            <w:r>
              <w:t>2</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1. Дата</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Извещения о постановке на учет (изменении) денежного обязательства в органе Федерального казначейства.</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2. Наименование органа Федерального казначейства</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органа Федерального казначейства – «Управление Федерального казначейства по Томской</w:t>
            </w:r>
            <w:r>
              <w:rPr>
                <w:bCs/>
                <w:szCs w:val="24"/>
              </w:rPr>
              <w:t xml:space="preserve"> области»</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2.1. Код органа Федерального казначейства (КОФК)</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органа Федерального казначейства, присвоенный Федеральным казначейством.</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3. Получатель бюджетных средств</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участника бюджетного процесса (получателя средств бюджета ЗАТО Северск),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3.1. Код по Сводному реестру</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по Сводному реестру получателя средств бюджета ЗАТО Северск.</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4. Наименование бюджета</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бюджета – «бюджет городского округа закрытого административно-территориального образования Северск Томской области».</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 xml:space="preserve">5. Код по </w:t>
            </w:r>
            <w:hyperlink r:id="rId104">
              <w:r>
                <w:t>ОКТМО</w:t>
              </w:r>
            </w:hyperlink>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 xml:space="preserve">Указывается код по Общероссийскому </w:t>
            </w:r>
            <w:hyperlink r:id="rId105">
              <w:r>
                <w:t>классификатору</w:t>
              </w:r>
            </w:hyperlink>
            <w:r>
              <w:t xml:space="preserve"> территорий муниципальных образований территориального органа Федерального казначейства, финансового органа муниципального образования.</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6. Финансовый орган</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наименование финансового органа – «Финансовое управление Администрации ЗАТО Северск».</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6.1. Код по ОКПО</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код финансового органа по Общероссийскому классификатору предприятий и организаций.</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7. Номер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номер документа, подтверждающего возникновение денежного обязательства (информации об исполнении условий возникновения денежного обязательства).</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8. Дата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документа, подтверждающего возникновение денежного обязательства (информации об исполнении условий возникновения денежного обязательства).</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9. Сумма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сумма документа, подтверждающего возникновение денежного обязательства (информации об исполнении условий возникновения денежного обязательства).</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10. Дата Сведений о денежном обязательстве</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Сведений о денежном обязательстве.</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11. Дата постановки на учет (изменения) денежного обязательства</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постановки на учет (изменения) денежного обязательства.</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12. Порядковый номер внесения изменений в денежное обязательство</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порядковый номер внесения изменений в денежное обязательство.</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13. Учетный номер денежного обязательства</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учетный номер денежного обязательства.</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14. Номер реестровой записи в реестре контрактов (реестре соглашений)</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заключенных заказчиками (далее - реестр контрактов)/реестре соглашений (договоров) о предоставлении субсидий бюджетных инвестиций межбюджетных трансфертов (далее - реестр соглашений) в случае включения информации о документе, подтверждающем возникновение денежного обязательства, в реестр контрактов/реестр соглашений.</w:t>
            </w:r>
          </w:p>
        </w:tc>
      </w:tr>
      <w:tr>
        <w:tc>
          <w:tcPr>
            <w:tcW w:w="3965" w:type="dxa"/>
            <w:tcBorders>
              <w:top w:val="single" w:sz="4" w:space="0" w:color="auto"/>
              <w:left w:val="single" w:sz="4" w:space="0" w:color="auto"/>
              <w:bottom w:val="single" w:sz="4" w:space="0" w:color="auto"/>
              <w:right w:val="single" w:sz="4" w:space="0" w:color="auto"/>
            </w:tcBorders>
          </w:tcPr>
          <w:p>
            <w:pPr>
              <w:pStyle w:val="ConsPlusNormal"/>
            </w:pPr>
            <w:r>
              <w:t>15. Ответственный исполнитель</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Указываются должность, подпись, расшифровка подписи, телефон ответственного исполнителя.</w:t>
            </w:r>
          </w:p>
        </w:tc>
      </w:tr>
      <w:tr>
        <w:tblPrEx>
          <w:tblBorders>
            <w:insideH w:val="nil"/>
          </w:tblBorders>
        </w:tblPrEx>
        <w:tc>
          <w:tcPr>
            <w:tcW w:w="3965" w:type="dxa"/>
            <w:tcBorders>
              <w:top w:val="single" w:sz="4" w:space="0" w:color="auto"/>
              <w:left w:val="single" w:sz="4" w:space="0" w:color="auto"/>
              <w:bottom w:val="single" w:sz="4" w:space="0" w:color="auto"/>
              <w:right w:val="single" w:sz="4" w:space="0" w:color="auto"/>
            </w:tcBorders>
          </w:tcPr>
          <w:p>
            <w:pPr>
              <w:pStyle w:val="ConsPlusNormal"/>
            </w:pPr>
            <w:r>
              <w:t>17. Дата</w:t>
            </w:r>
          </w:p>
        </w:tc>
        <w:tc>
          <w:tcPr>
            <w:tcW w:w="5664" w:type="dxa"/>
            <w:tcBorders>
              <w:top w:val="single" w:sz="4" w:space="0" w:color="auto"/>
              <w:left w:val="single" w:sz="4" w:space="0" w:color="auto"/>
              <w:bottom w:val="single" w:sz="4" w:space="0" w:color="auto"/>
              <w:right w:val="single" w:sz="4" w:space="0" w:color="auto"/>
            </w:tcBorders>
          </w:tcPr>
          <w:p>
            <w:pPr>
              <w:pStyle w:val="ConsPlusNormal"/>
              <w:ind w:firstLine="283"/>
              <w:jc w:val="both"/>
            </w:pPr>
            <w:r>
              <w:t>Указывается дата подписания Извещения о постановке на учет (изменении) денежного обязательства в УФК по ТО.</w:t>
            </w:r>
          </w:p>
        </w:tc>
      </w:tr>
    </w:tbl>
    <w:p>
      <w:pPr>
        <w:pStyle w:val="ConsPlusNormal"/>
        <w:spacing w:before="100" w:after="100"/>
        <w:jc w:val="both"/>
        <w:rPr>
          <w:sz w:val="2"/>
          <w:szCs w:val="2"/>
        </w:rPr>
      </w:pPr>
    </w:p>
    <w:p>
      <w:pPr>
        <w:pBdr>
          <w:bottom w:val="single" w:sz="4" w:space="1" w:color="auto"/>
        </w:pBdr>
        <w:shd w:val="clear" w:color="auto" w:fill="FFFFFF"/>
        <w:tabs>
          <w:tab w:val="left" w:pos="787"/>
        </w:tabs>
        <w:rPr>
          <w:rFonts w:ascii="Times New Roman" w:hAnsi="Times New Roman"/>
        </w:rPr>
      </w:pPr>
    </w:p>
    <w:sectPr>
      <w:pgSz w:w="11906" w:h="16838"/>
      <w:pgMar w:top="993" w:right="567" w:bottom="851" w:left="1701" w:header="567" w:footer="454"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c"/>
    </w:pPr>
    <w:r>
      <w:t>Внутренний номер: 0311924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c"/>
    </w:pPr>
    <w:r>
      <w:t>Внутренний номер: 0311924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2099465"/>
      <w:docPartObj>
        <w:docPartGallery w:val="Page Numbers (Top of Page)"/>
        <w:docPartUnique/>
      </w:docPartObj>
    </w:sdtPr>
    <w:sdtContent>
      <w:p>
        <w:pPr>
          <w:pStyle w:val="a8"/>
          <w:jc w:val="center"/>
        </w:pPr>
        <w:r>
          <w:fldChar w:fldCharType="begin"/>
        </w:r>
        <w:r>
          <w:instrText>PAGE   \* MERGEFORMAT</w:instrText>
        </w:r>
        <w:r>
          <w:fldChar w:fldCharType="separate"/>
        </w:r>
        <w:r>
          <w:rPr>
            <w:noProof/>
          </w:rPr>
          <w:t>2</w:t>
        </w:r>
        <w:r>
          <w:fldChar w:fldCharType="end"/>
        </w:r>
      </w:p>
    </w:sdtContent>
  </w:sdt>
  <w:p>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2398056"/>
      <w:docPartObj>
        <w:docPartGallery w:val="Page Numbers (Top of Page)"/>
        <w:docPartUnique/>
      </w:docPartObj>
    </w:sdtPr>
    <w:sdtEndPr>
      <w:rPr>
        <w:sz w:val="24"/>
        <w:szCs w:val="24"/>
      </w:rPr>
    </w:sdtEndPr>
    <w:sdtContent>
      <w:p>
        <w:pPr>
          <w:pStyle w:val="a8"/>
          <w:jc w:val="center"/>
          <w:rPr>
            <w:sz w:val="24"/>
            <w:szCs w:val="24"/>
          </w:rPr>
        </w:pPr>
        <w:r>
          <w:rPr>
            <w:sz w:val="24"/>
            <w:szCs w:val="24"/>
          </w:rPr>
          <w:fldChar w:fldCharType="begin"/>
        </w:r>
        <w:r>
          <w:rPr>
            <w:sz w:val="24"/>
            <w:szCs w:val="24"/>
          </w:rPr>
          <w:instrText>PAGE   \* MERGEFORMAT</w:instrText>
        </w:r>
        <w:r>
          <w:rPr>
            <w:sz w:val="24"/>
            <w:szCs w:val="24"/>
          </w:rPr>
          <w:fldChar w:fldCharType="separate"/>
        </w:r>
        <w:r>
          <w:rPr>
            <w:noProof/>
            <w:sz w:val="24"/>
            <w:szCs w:val="24"/>
          </w:rPr>
          <w:t>14</w:t>
        </w:r>
        <w:r>
          <w:rPr>
            <w:sz w:val="24"/>
            <w:szCs w:val="24"/>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5351978"/>
      <w:docPartObj>
        <w:docPartGallery w:val="Page Numbers (Top of Page)"/>
        <w:docPartUnique/>
      </w:docPartObj>
    </w:sdtPr>
    <w:sdtEndPr>
      <w:rPr>
        <w:sz w:val="24"/>
        <w:szCs w:val="24"/>
      </w:rPr>
    </w:sdtEndPr>
    <w:sdtContent>
      <w:p>
        <w:pPr>
          <w:pStyle w:val="a8"/>
          <w:jc w:val="center"/>
          <w:rPr>
            <w:sz w:val="24"/>
            <w:szCs w:val="24"/>
          </w:rPr>
        </w:pPr>
        <w:r>
          <w:rPr>
            <w:sz w:val="24"/>
            <w:szCs w:val="24"/>
          </w:rPr>
          <w:fldChar w:fldCharType="begin"/>
        </w:r>
        <w:r>
          <w:rPr>
            <w:sz w:val="24"/>
            <w:szCs w:val="24"/>
          </w:rPr>
          <w:instrText>PAGE   \* MERGEFORMAT</w:instrText>
        </w:r>
        <w:r>
          <w:rPr>
            <w:sz w:val="24"/>
            <w:szCs w:val="24"/>
          </w:rPr>
          <w:fldChar w:fldCharType="separate"/>
        </w:r>
        <w:r>
          <w:rPr>
            <w:noProof/>
            <w:sz w:val="24"/>
            <w:szCs w:val="24"/>
          </w:rPr>
          <w:t>6</w:t>
        </w:r>
        <w:r>
          <w:rPr>
            <w:sz w:val="24"/>
            <w:szCs w:val="24"/>
          </w:rPr>
          <w:fldChar w:fldCharType="end"/>
        </w:r>
      </w:p>
    </w:sdtContent>
  </w:sdt>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jc w:val="center"/>
      <w:rPr>
        <w:sz w:val="24"/>
        <w:szCs w:val="24"/>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jc w:val="center"/>
      <w:rPr>
        <w:sz w:val="24"/>
        <w:szCs w:val="24"/>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jc w:val="center"/>
      <w:rPr>
        <w:sz w:val="24"/>
        <w:szCs w:val="24"/>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jc w:val="center"/>
      <w:rPr>
        <w:sz w:val="24"/>
        <w:szCs w:val="24"/>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jc w:val="center"/>
      <w:rPr>
        <w:sz w:val="24"/>
        <w:szCs w:val="24"/>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jc w:val="center"/>
      <w:rPr>
        <w:sz w:val="24"/>
        <w:szCs w:val="24"/>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jc w:val="center"/>
      <w:rPr>
        <w:sz w:val="24"/>
        <w:szCs w:val="24"/>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jc w:val="center"/>
      <w:rPr>
        <w:sz w:val="24"/>
        <w:szCs w:val="24"/>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jc w:val="center"/>
      <w:rPr>
        <w:sz w:val="24"/>
        <w:szCs w:val="24"/>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jc w:val="center"/>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A760AE"/>
    <w:multiLevelType w:val="singleLevel"/>
    <w:tmpl w:val="D000074C"/>
    <w:lvl w:ilvl="0">
      <w:start w:val="1"/>
      <w:numFmt w:val="decimal"/>
      <w:lvlText w:val="%1."/>
      <w:legacy w:legacy="1" w:legacySpace="0" w:legacyIndent="235"/>
      <w:lvlJc w:val="left"/>
      <w:rPr>
        <w:rFonts w:ascii="Times New Roman" w:hAnsi="Times New Roman" w:cs="Times New Roman" w:hint="default"/>
      </w:rPr>
    </w:lvl>
  </w:abstractNum>
  <w:abstractNum w:abstractNumId="1">
    <w:nsid w:val="518E75F9"/>
    <w:multiLevelType w:val="hybridMultilevel"/>
    <w:tmpl w:val="88C8E324"/>
    <w:lvl w:ilvl="0" w:tplc="306043BA">
      <w:start w:val="1"/>
      <w:numFmt w:val="upperRoman"/>
      <w:lvlText w:val="%1."/>
      <w:lvlJc w:val="left"/>
      <w:pPr>
        <w:ind w:left="3960" w:hanging="720"/>
      </w:pPr>
      <w:rPr>
        <w:rFonts w:hint="default"/>
      </w:r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2">
    <w:nsid w:val="66F22445"/>
    <w:multiLevelType w:val="hybridMultilevel"/>
    <w:tmpl w:val="BCC44BB6"/>
    <w:lvl w:ilvl="0" w:tplc="F634DC8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746E6811"/>
    <w:multiLevelType w:val="hybridMultilevel"/>
    <w:tmpl w:val="4F3AD2B2"/>
    <w:lvl w:ilvl="0" w:tplc="E19E277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F5A7AE8-37F2-472B-9119-028837197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CYR" w:eastAsia="Times New Roman" w:hAnsi="Times New Roman CYR" w:cs="Times New Roman"/>
      <w:sz w:val="20"/>
      <w:szCs w:val="20"/>
      <w:lang w:eastAsia="ru-RU"/>
    </w:rPr>
  </w:style>
  <w:style w:type="paragraph" w:styleId="1">
    <w:name w:val="heading 1"/>
    <w:basedOn w:val="a"/>
    <w:next w:val="a"/>
    <w:link w:val="10"/>
    <w:qFormat/>
    <w:pPr>
      <w:keepNext/>
      <w:jc w:val="center"/>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CYR" w:eastAsia="Times New Roman" w:hAnsi="Times New Roman CYR" w:cs="Times New Roman"/>
      <w:b/>
      <w:sz w:val="28"/>
      <w:szCs w:val="20"/>
      <w:lang w:eastAsia="ru-RU"/>
    </w:rPr>
  </w:style>
  <w:style w:type="paragraph" w:customStyle="1" w:styleId="ConsPlusNormal">
    <w:name w:val="ConsPlusNormal"/>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
    <w:name w:val="ConsPlusTitl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character" w:styleId="a3">
    <w:name w:val="Hyperlink"/>
    <w:basedOn w:val="a0"/>
    <w:rPr>
      <w:color w:val="0000FF"/>
      <w:u w:val="single"/>
    </w:rPr>
  </w:style>
  <w:style w:type="paragraph" w:styleId="a4">
    <w:name w:val="Title"/>
    <w:basedOn w:val="a"/>
    <w:link w:val="a5"/>
    <w:qFormat/>
    <w:pPr>
      <w:jc w:val="center"/>
    </w:pPr>
    <w:rPr>
      <w:rFonts w:ascii="Times New Roman" w:hAnsi="Times New Roman"/>
      <w:sz w:val="28"/>
    </w:rPr>
  </w:style>
  <w:style w:type="character" w:customStyle="1" w:styleId="a5">
    <w:name w:val="Название Знак"/>
    <w:basedOn w:val="a0"/>
    <w:link w:val="a4"/>
    <w:rPr>
      <w:rFonts w:ascii="Times New Roman" w:eastAsia="Times New Roman" w:hAnsi="Times New Roman" w:cs="Times New Roman"/>
      <w:sz w:val="28"/>
      <w:szCs w:val="20"/>
      <w:lang w:eastAsia="ru-RU"/>
    </w:rPr>
  </w:style>
  <w:style w:type="paragraph" w:styleId="a6">
    <w:name w:val="Body Text Indent"/>
    <w:basedOn w:val="a"/>
    <w:link w:val="a7"/>
    <w:pPr>
      <w:ind w:firstLine="567"/>
      <w:jc w:val="both"/>
    </w:pPr>
    <w:rPr>
      <w:rFonts w:ascii="Times New Roman" w:hAnsi="Times New Roman"/>
      <w:sz w:val="28"/>
    </w:rPr>
  </w:style>
  <w:style w:type="character" w:customStyle="1" w:styleId="a7">
    <w:name w:val="Основной текст с отступом Знак"/>
    <w:basedOn w:val="a0"/>
    <w:link w:val="a6"/>
    <w:rPr>
      <w:rFonts w:ascii="Times New Roman" w:eastAsia="Times New Roman" w:hAnsi="Times New Roman" w:cs="Times New Roman"/>
      <w:sz w:val="28"/>
      <w:szCs w:val="20"/>
      <w:lang w:eastAsia="ru-RU"/>
    </w:rPr>
  </w:style>
  <w:style w:type="paragraph" w:styleId="a8">
    <w:name w:val="header"/>
    <w:basedOn w:val="a"/>
    <w:link w:val="a9"/>
    <w:uiPriority w:val="99"/>
    <w:pPr>
      <w:tabs>
        <w:tab w:val="center" w:pos="4677"/>
        <w:tab w:val="right" w:pos="9355"/>
      </w:tabs>
    </w:pPr>
  </w:style>
  <w:style w:type="character" w:customStyle="1" w:styleId="a9">
    <w:name w:val="Верхний колонтитул Знак"/>
    <w:basedOn w:val="a0"/>
    <w:link w:val="a8"/>
    <w:uiPriority w:val="99"/>
    <w:rPr>
      <w:rFonts w:ascii="Times New Roman CYR" w:eastAsia="Times New Roman" w:hAnsi="Times New Roman CYR" w:cs="Times New Roman"/>
      <w:sz w:val="20"/>
      <w:szCs w:val="20"/>
      <w:lang w:eastAsia="ru-RU"/>
    </w:rPr>
  </w:style>
  <w:style w:type="character" w:styleId="aa">
    <w:name w:val="page number"/>
    <w:basedOn w:val="a0"/>
  </w:style>
  <w:style w:type="paragraph" w:customStyle="1" w:styleId="11">
    <w:name w:val="Знак Знак1 Знак"/>
    <w:basedOn w:val="a"/>
    <w:pPr>
      <w:tabs>
        <w:tab w:val="num" w:pos="360"/>
      </w:tabs>
      <w:spacing w:after="160" w:line="240" w:lineRule="exact"/>
    </w:pPr>
    <w:rPr>
      <w:rFonts w:ascii="Verdana" w:hAnsi="Verdana" w:cs="Verdana"/>
      <w:lang w:val="en-US" w:eastAsia="en-US"/>
    </w:rPr>
  </w:style>
  <w:style w:type="paragraph" w:styleId="ab">
    <w:name w:val="List Paragraph"/>
    <w:basedOn w:val="a"/>
    <w:uiPriority w:val="99"/>
    <w:qFormat/>
    <w:pPr>
      <w:ind w:left="720"/>
      <w:contextualSpacing/>
    </w:pPr>
  </w:style>
  <w:style w:type="paragraph" w:customStyle="1" w:styleId="12">
    <w:name w:val="Знак Знак1 Знак"/>
    <w:basedOn w:val="a"/>
    <w:pPr>
      <w:tabs>
        <w:tab w:val="num" w:pos="360"/>
      </w:tabs>
      <w:spacing w:after="160" w:line="240" w:lineRule="exact"/>
    </w:pPr>
    <w:rPr>
      <w:rFonts w:ascii="Verdana" w:hAnsi="Verdana" w:cs="Verdana"/>
      <w:lang w:val="en-US" w:eastAsia="en-US"/>
    </w:rPr>
  </w:style>
  <w:style w:type="paragraph" w:styleId="ac">
    <w:name w:val="footer"/>
    <w:basedOn w:val="a"/>
    <w:link w:val="ad"/>
    <w:unhideWhenUsed/>
    <w:pPr>
      <w:tabs>
        <w:tab w:val="center" w:pos="4677"/>
        <w:tab w:val="right" w:pos="9355"/>
      </w:tabs>
    </w:pPr>
  </w:style>
  <w:style w:type="character" w:customStyle="1" w:styleId="ad">
    <w:name w:val="Нижний колонтитул Знак"/>
    <w:basedOn w:val="a0"/>
    <w:link w:val="ac"/>
    <w:rPr>
      <w:rFonts w:ascii="Times New Roman CYR" w:eastAsia="Times New Roman" w:hAnsi="Times New Roman CYR" w:cs="Times New Roman"/>
      <w:sz w:val="20"/>
      <w:szCs w:val="20"/>
      <w:lang w:eastAsia="ru-RU"/>
    </w:rPr>
  </w:style>
  <w:style w:type="paragraph" w:styleId="ae">
    <w:name w:val="No Spacing"/>
    <w:uiPriority w:val="1"/>
    <w:qFormat/>
    <w:pPr>
      <w:spacing w:after="0" w:line="240" w:lineRule="auto"/>
    </w:pPr>
    <w:rPr>
      <w:rFonts w:ascii="Times New Roman CYR" w:eastAsia="Times New Roman" w:hAnsi="Times New Roman CYR" w:cs="Times New Roman"/>
      <w:sz w:val="20"/>
      <w:szCs w:val="20"/>
      <w:lang w:eastAsia="ru-RU"/>
    </w:rPr>
  </w:style>
  <w:style w:type="paragraph" w:customStyle="1" w:styleId="ConsPlusTitlePage">
    <w:name w:val="ConsPlusTitlePage"/>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Nonformat">
    <w:name w:val="ConsPlusNonformat"/>
    <w:pPr>
      <w:widowControl w:val="0"/>
      <w:autoSpaceDE w:val="0"/>
      <w:autoSpaceDN w:val="0"/>
      <w:spacing w:after="0" w:line="240" w:lineRule="auto"/>
    </w:pPr>
    <w:rPr>
      <w:rFonts w:ascii="Courier New" w:eastAsiaTheme="minorEastAsia" w:hAnsi="Courier New" w:cs="Courier New"/>
      <w:sz w:val="20"/>
      <w:lang w:eastAsia="ru-RU"/>
    </w:rPr>
  </w:style>
  <w:style w:type="paragraph" w:styleId="af">
    <w:name w:val="Balloon Text"/>
    <w:basedOn w:val="a"/>
    <w:link w:val="af0"/>
    <w:uiPriority w:val="99"/>
    <w:semiHidden/>
    <w:unhideWhenUsed/>
    <w:rPr>
      <w:rFonts w:ascii="Segoe UI" w:hAnsi="Segoe UI" w:cs="Segoe UI"/>
      <w:sz w:val="18"/>
      <w:szCs w:val="18"/>
    </w:rPr>
  </w:style>
  <w:style w:type="character" w:customStyle="1" w:styleId="af0">
    <w:name w:val="Текст выноски Знак"/>
    <w:basedOn w:val="a0"/>
    <w:link w:val="af"/>
    <w:uiPriority w:val="99"/>
    <w:semiHidden/>
    <w:rPr>
      <w:rFonts w:ascii="Segoe UI" w:eastAsia="Times New Roman" w:hAnsi="Segoe UI" w:cs="Segoe UI"/>
      <w:sz w:val="18"/>
      <w:szCs w:val="18"/>
      <w:lang w:eastAsia="ru-RU"/>
    </w:rPr>
  </w:style>
  <w:style w:type="character" w:styleId="af1">
    <w:name w:val="line number"/>
    <w:basedOn w:val="a0"/>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62703&amp;dst=145" TargetMode="External"/><Relationship Id="rId21" Type="http://schemas.openxmlformats.org/officeDocument/2006/relationships/hyperlink" Target="https://login.consultant.ru/link/?req=doc&amp;base=LAW&amp;n=462703&amp;dst=238" TargetMode="External"/><Relationship Id="rId42" Type="http://schemas.openxmlformats.org/officeDocument/2006/relationships/hyperlink" Target="https://login.consultant.ru/link/?req=doc&amp;base=LAW&amp;n=462703&amp;dst=100156" TargetMode="External"/><Relationship Id="rId47" Type="http://schemas.openxmlformats.org/officeDocument/2006/relationships/hyperlink" Target="https://login.consultant.ru/link/?req=doc&amp;base=LAW&amp;n=149911" TargetMode="External"/><Relationship Id="rId63" Type="http://schemas.openxmlformats.org/officeDocument/2006/relationships/hyperlink" Target="consultantplus://offline/ref=3B6EED07152DA16AEF6ADE7E4E9EC0D7F44C232D9020910847F987D522D76BFD82355E9A6FDBB13A177AF8A260C296B8915511uEl0N" TargetMode="External"/><Relationship Id="rId68" Type="http://schemas.openxmlformats.org/officeDocument/2006/relationships/hyperlink" Target="https://login.consultant.ru/link/?req=doc&amp;base=LAW&amp;n=438911&amp;dst=100019" TargetMode="External"/><Relationship Id="rId84" Type="http://schemas.openxmlformats.org/officeDocument/2006/relationships/hyperlink" Target="https://login.consultant.ru/link/?req=doc&amp;base=LAW&amp;n=149911" TargetMode="External"/><Relationship Id="rId89" Type="http://schemas.openxmlformats.org/officeDocument/2006/relationships/header" Target="header10.xml"/><Relationship Id="rId7" Type="http://schemas.openxmlformats.org/officeDocument/2006/relationships/endnotes" Target="endnotes.xml"/><Relationship Id="rId71" Type="http://schemas.openxmlformats.org/officeDocument/2006/relationships/hyperlink" Target="https://login.consultant.ru/link/?req=doc&amp;base=LAW&amp;n=362627&amp;dst=101477" TargetMode="External"/><Relationship Id="rId92" Type="http://schemas.openxmlformats.org/officeDocument/2006/relationships/header" Target="header11.xml"/><Relationship Id="rId2" Type="http://schemas.openxmlformats.org/officeDocument/2006/relationships/numbering" Target="numbering.xml"/><Relationship Id="rId16" Type="http://schemas.openxmlformats.org/officeDocument/2006/relationships/hyperlink" Target="https://login.consultant.ru/link/?req=doc&amp;base=LAW&amp;n=465808&amp;dst=6025" TargetMode="External"/><Relationship Id="rId29" Type="http://schemas.openxmlformats.org/officeDocument/2006/relationships/hyperlink" Target="https://login.consultant.ru/link/?req=doc&amp;base=LAW&amp;n=462703&amp;dst=227" TargetMode="External"/><Relationship Id="rId107" Type="http://schemas.openxmlformats.org/officeDocument/2006/relationships/theme" Target="theme/theme1.xml"/><Relationship Id="rId11" Type="http://schemas.openxmlformats.org/officeDocument/2006/relationships/hyperlink" Target="https://login.consultant.ru/link/?req=doc&amp;base=LAW&amp;n=465808&amp;dst=4913" TargetMode="External"/><Relationship Id="rId24" Type="http://schemas.openxmlformats.org/officeDocument/2006/relationships/hyperlink" Target="https://login.consultant.ru/link/?req=doc&amp;base=LAW&amp;n=462703&amp;dst=100411" TargetMode="External"/><Relationship Id="rId32" Type="http://schemas.openxmlformats.org/officeDocument/2006/relationships/hyperlink" Target="https://login.consultant.ru/link/?req=doc&amp;base=LAW&amp;n=437002&amp;dst=20" TargetMode="External"/><Relationship Id="rId37" Type="http://schemas.openxmlformats.org/officeDocument/2006/relationships/hyperlink" Target="https://login.consultant.ru/link/?req=doc&amp;base=LAW&amp;n=462703&amp;dst=100070" TargetMode="External"/><Relationship Id="rId40" Type="http://schemas.openxmlformats.org/officeDocument/2006/relationships/hyperlink" Target="https://login.consultant.ru/link/?req=doc&amp;base=LAW&amp;n=462703&amp;dst=100068" TargetMode="External"/><Relationship Id="rId45" Type="http://schemas.openxmlformats.org/officeDocument/2006/relationships/header" Target="header4.xml"/><Relationship Id="rId53" Type="http://schemas.openxmlformats.org/officeDocument/2006/relationships/hyperlink" Target="https://login.consultant.ru/link/?req=doc&amp;base=LAW&amp;n=149911" TargetMode="External"/><Relationship Id="rId58" Type="http://schemas.openxmlformats.org/officeDocument/2006/relationships/hyperlink" Target="https://login.consultant.ru/link/?req=doc&amp;base=LAW&amp;n=462702&amp;dst=3" TargetMode="External"/><Relationship Id="rId66" Type="http://schemas.openxmlformats.org/officeDocument/2006/relationships/hyperlink" Target="consultantplus://offline/ref=3B6EED07152DA16AEF6ADE7E4E9EC0D7F44C232D9020910847F987D522D76BFD82355E9A6FDBB13A177AF8A260C296B8915511uEl0N" TargetMode="External"/><Relationship Id="rId74" Type="http://schemas.openxmlformats.org/officeDocument/2006/relationships/hyperlink" Target="https://login.consultant.ru/link/?req=doc&amp;base=LAW&amp;n=362627&amp;dst=102021" TargetMode="External"/><Relationship Id="rId79" Type="http://schemas.openxmlformats.org/officeDocument/2006/relationships/hyperlink" Target="https://login.consultant.ru/link/?req=doc&amp;base=LAW&amp;n=456147" TargetMode="External"/><Relationship Id="rId87" Type="http://schemas.openxmlformats.org/officeDocument/2006/relationships/hyperlink" Target="https://login.consultant.ru/link/?req=doc&amp;base=LAW&amp;n=456147" TargetMode="External"/><Relationship Id="rId102" Type="http://schemas.openxmlformats.org/officeDocument/2006/relationships/hyperlink" Target="https://login.consultant.ru/link/?req=doc&amp;base=LAW&amp;n=149911" TargetMode="External"/><Relationship Id="rId5" Type="http://schemas.openxmlformats.org/officeDocument/2006/relationships/webSettings" Target="webSettings.xml"/><Relationship Id="rId61" Type="http://schemas.openxmlformats.org/officeDocument/2006/relationships/hyperlink" Target="https://login.consultant.ru/link/?req=doc&amp;base=LAW&amp;n=447397&amp;dst=431" TargetMode="External"/><Relationship Id="rId82" Type="http://schemas.openxmlformats.org/officeDocument/2006/relationships/header" Target="header9.xml"/><Relationship Id="rId90" Type="http://schemas.openxmlformats.org/officeDocument/2006/relationships/hyperlink" Target="https://login.consultant.ru/link/?req=doc&amp;base=LAW&amp;n=149911" TargetMode="External"/><Relationship Id="rId95" Type="http://schemas.openxmlformats.org/officeDocument/2006/relationships/header" Target="header12.xml"/><Relationship Id="rId19" Type="http://schemas.openxmlformats.org/officeDocument/2006/relationships/hyperlink" Target="https://login.consultant.ru/link/?req=doc&amp;base=LAW&amp;n=462703&amp;dst=223" TargetMode="External"/><Relationship Id="rId14" Type="http://schemas.openxmlformats.org/officeDocument/2006/relationships/header" Target="header2.xml"/><Relationship Id="rId22" Type="http://schemas.openxmlformats.org/officeDocument/2006/relationships/hyperlink" Target="https://login.consultant.ru/link/?req=doc&amp;base=LAW&amp;n=436707&amp;dst=101494" TargetMode="External"/><Relationship Id="rId27" Type="http://schemas.openxmlformats.org/officeDocument/2006/relationships/hyperlink" Target="https://login.consultant.ru/link/?req=doc&amp;base=LAW&amp;n=437002&amp;dst=100142" TargetMode="External"/><Relationship Id="rId30" Type="http://schemas.openxmlformats.org/officeDocument/2006/relationships/hyperlink" Target="https://login.consultant.ru/link/?req=doc&amp;base=LAW&amp;n=437002&amp;dst=20" TargetMode="External"/><Relationship Id="rId35" Type="http://schemas.openxmlformats.org/officeDocument/2006/relationships/hyperlink" Target="https://login.consultant.ru/link/?req=doc&amp;base=LAW&amp;n=462703&amp;dst=257" TargetMode="External"/><Relationship Id="rId43" Type="http://schemas.openxmlformats.org/officeDocument/2006/relationships/hyperlink" Target="https://login.consultant.ru/link/?req=doc&amp;base=LAW&amp;n=462703&amp;dst=100149" TargetMode="External"/><Relationship Id="rId48" Type="http://schemas.openxmlformats.org/officeDocument/2006/relationships/hyperlink" Target="https://login.consultant.ru/link/?req=doc&amp;base=LAW&amp;n=456147" TargetMode="External"/><Relationship Id="rId56" Type="http://schemas.openxmlformats.org/officeDocument/2006/relationships/header" Target="header7.xml"/><Relationship Id="rId64" Type="http://schemas.openxmlformats.org/officeDocument/2006/relationships/hyperlink" Target="https://login.consultant.ru/link/?req=doc&amp;base=LAW&amp;n=23886&amp;dst=101670" TargetMode="External"/><Relationship Id="rId69" Type="http://schemas.openxmlformats.org/officeDocument/2006/relationships/hyperlink" Target="https://login.consultant.ru/link/?req=doc&amp;base=LAW&amp;n=362627&amp;dst=101878" TargetMode="External"/><Relationship Id="rId77" Type="http://schemas.openxmlformats.org/officeDocument/2006/relationships/hyperlink" Target="https://login.consultant.ru/link/?req=doc&amp;base=LAW&amp;n=149911" TargetMode="External"/><Relationship Id="rId100" Type="http://schemas.openxmlformats.org/officeDocument/2006/relationships/header" Target="header15.xml"/><Relationship Id="rId105" Type="http://schemas.openxmlformats.org/officeDocument/2006/relationships/hyperlink" Target="https://login.consultant.ru/link/?req=doc&amp;base=LAW&amp;n=149911" TargetMode="External"/><Relationship Id="rId8" Type="http://schemas.openxmlformats.org/officeDocument/2006/relationships/image" Target="media/image1.jpeg"/><Relationship Id="rId51" Type="http://schemas.openxmlformats.org/officeDocument/2006/relationships/header" Target="header5.xml"/><Relationship Id="rId72" Type="http://schemas.openxmlformats.org/officeDocument/2006/relationships/hyperlink" Target="https://login.consultant.ru/link/?req=doc&amp;base=LAW&amp;n=362627&amp;dst=102365" TargetMode="External"/><Relationship Id="rId80" Type="http://schemas.openxmlformats.org/officeDocument/2006/relationships/hyperlink" Target="https://login.consultant.ru/link/?req=doc&amp;base=LAW&amp;n=456147" TargetMode="External"/><Relationship Id="rId85" Type="http://schemas.openxmlformats.org/officeDocument/2006/relationships/hyperlink" Target="https://login.consultant.ru/link/?req=doc&amp;base=LAW&amp;n=149911" TargetMode="External"/><Relationship Id="rId93" Type="http://schemas.openxmlformats.org/officeDocument/2006/relationships/hyperlink" Target="https://login.consultant.ru/link/?req=doc&amp;base=LAW&amp;n=149911" TargetMode="External"/><Relationship Id="rId98" Type="http://schemas.openxmlformats.org/officeDocument/2006/relationships/hyperlink" Target="https://login.consultant.ru/link/?req=doc&amp;base=LAW&amp;n=465808&amp;dst=1595"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login.consultant.ru/link/?req=doc&amp;base=LAW&amp;n=462703&amp;dst=100368" TargetMode="External"/><Relationship Id="rId25" Type="http://schemas.openxmlformats.org/officeDocument/2006/relationships/hyperlink" Target="https://login.consultant.ru/link/?req=doc&amp;base=LAW&amp;n=462703&amp;dst=249" TargetMode="External"/><Relationship Id="rId33" Type="http://schemas.openxmlformats.org/officeDocument/2006/relationships/hyperlink" Target="https://login.consultant.ru/link/?req=doc&amp;base=LAW&amp;n=437002&amp;dst=100595" TargetMode="External"/><Relationship Id="rId38" Type="http://schemas.openxmlformats.org/officeDocument/2006/relationships/hyperlink" Target="https://login.consultant.ru/link/?req=doc&amp;base=LAW&amp;n=462703&amp;dst=100072" TargetMode="External"/><Relationship Id="rId46" Type="http://schemas.openxmlformats.org/officeDocument/2006/relationships/hyperlink" Target="https://login.consultant.ru/link/?req=doc&amp;base=LAW&amp;n=149911" TargetMode="External"/><Relationship Id="rId59" Type="http://schemas.openxmlformats.org/officeDocument/2006/relationships/hyperlink" Target="consultantplus://offline/ref=3B6EED07152DA16AEF6ADE7E4E9EC0D7F44C232D9020910847F987D522D76BFD82355E9A6FDBB13A177AF8A260C296B8915511uEl0N" TargetMode="External"/><Relationship Id="rId67" Type="http://schemas.openxmlformats.org/officeDocument/2006/relationships/hyperlink" Target="https://login.consultant.ru/link/?req=doc&amp;base=LAW&amp;n=465808" TargetMode="External"/><Relationship Id="rId103" Type="http://schemas.openxmlformats.org/officeDocument/2006/relationships/header" Target="header16.xml"/><Relationship Id="rId20" Type="http://schemas.openxmlformats.org/officeDocument/2006/relationships/hyperlink" Target="https://login.consultant.ru/link/?req=doc&amp;base=LAW&amp;n=462703&amp;dst=226" TargetMode="External"/><Relationship Id="rId41" Type="http://schemas.openxmlformats.org/officeDocument/2006/relationships/hyperlink" Target="https://login.consultant.ru/link/?req=doc&amp;base=LAW&amp;n=462703&amp;dst=100069" TargetMode="External"/><Relationship Id="rId54" Type="http://schemas.openxmlformats.org/officeDocument/2006/relationships/hyperlink" Target="https://login.consultant.ru/link/?req=doc&amp;base=LAW&amp;n=149911" TargetMode="External"/><Relationship Id="rId62" Type="http://schemas.openxmlformats.org/officeDocument/2006/relationships/hyperlink" Target="https://login.consultant.ru/link/?req=doc&amp;base=LAW&amp;n=349864&amp;dst=100134" TargetMode="External"/><Relationship Id="rId70" Type="http://schemas.openxmlformats.org/officeDocument/2006/relationships/hyperlink" Target="https://login.consultant.ru/link/?req=doc&amp;base=LAW&amp;n=362627&amp;dst=101374" TargetMode="External"/><Relationship Id="rId75" Type="http://schemas.openxmlformats.org/officeDocument/2006/relationships/hyperlink" Target="https://login.consultant.ru/link/?req=doc&amp;base=LAW&amp;n=23886&amp;dst=101670" TargetMode="External"/><Relationship Id="rId83" Type="http://schemas.openxmlformats.org/officeDocument/2006/relationships/hyperlink" Target="https://login.consultant.ru/link/?req=doc&amp;base=LAW&amp;n=149911" TargetMode="External"/><Relationship Id="rId88" Type="http://schemas.openxmlformats.org/officeDocument/2006/relationships/hyperlink" Target="https://login.consultant.ru/link/?req=doc&amp;base=LAW&amp;n=456147" TargetMode="External"/><Relationship Id="rId91" Type="http://schemas.openxmlformats.org/officeDocument/2006/relationships/hyperlink" Target="https://login.consultant.ru/link/?req=doc&amp;base=LAW&amp;n=149911" TargetMode="External"/><Relationship Id="rId96" Type="http://schemas.openxmlformats.org/officeDocument/2006/relationships/hyperlink" Target="https://login.consultant.ru/link/?req=doc&amp;base=LAW&amp;n=465808&amp;dst=159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s://login.consultant.ru/link/?req=doc&amp;base=LAW&amp;n=462703&amp;dst=245" TargetMode="External"/><Relationship Id="rId28" Type="http://schemas.openxmlformats.org/officeDocument/2006/relationships/hyperlink" Target="https://login.consultant.ru/link/?req=doc&amp;base=LAW&amp;n=437002&amp;dst=20" TargetMode="External"/><Relationship Id="rId36" Type="http://schemas.openxmlformats.org/officeDocument/2006/relationships/hyperlink" Target="https://login.consultant.ru/link/?req=doc&amp;base=LAW&amp;n=462703&amp;dst=100067" TargetMode="External"/><Relationship Id="rId49" Type="http://schemas.openxmlformats.org/officeDocument/2006/relationships/hyperlink" Target="https://login.consultant.ru/link/?req=doc&amp;base=LAW&amp;n=456147" TargetMode="External"/><Relationship Id="rId57" Type="http://schemas.openxmlformats.org/officeDocument/2006/relationships/hyperlink" Target="https://login.consultant.ru/link/?req=doc&amp;base=LAW&amp;n=462702&amp;dst=3" TargetMode="External"/><Relationship Id="rId106" Type="http://schemas.openxmlformats.org/officeDocument/2006/relationships/fontTable" Target="fontTable.xml"/><Relationship Id="rId10" Type="http://schemas.openxmlformats.org/officeDocument/2006/relationships/hyperlink" Target="https://login.consultant.ru/link/?req=doc&amp;base=LAW&amp;n=465808&amp;dst=4414" TargetMode="External"/><Relationship Id="rId31" Type="http://schemas.openxmlformats.org/officeDocument/2006/relationships/hyperlink" Target="https://login.consultant.ru/link/?req=doc&amp;base=LAW&amp;n=437002&amp;dst=100024" TargetMode="External"/><Relationship Id="rId44" Type="http://schemas.openxmlformats.org/officeDocument/2006/relationships/header" Target="header3.xml"/><Relationship Id="rId52" Type="http://schemas.openxmlformats.org/officeDocument/2006/relationships/header" Target="header6.xml"/><Relationship Id="rId60" Type="http://schemas.openxmlformats.org/officeDocument/2006/relationships/hyperlink" Target="https://login.consultant.ru/link/?req=doc&amp;base=LAW&amp;n=23886&amp;dst=101670" TargetMode="External"/><Relationship Id="rId65" Type="http://schemas.openxmlformats.org/officeDocument/2006/relationships/hyperlink" Target="https://login.consultant.ru/link/?req=doc&amp;base=LAW&amp;n=349864&amp;dst=100134" TargetMode="External"/><Relationship Id="rId73" Type="http://schemas.openxmlformats.org/officeDocument/2006/relationships/hyperlink" Target="https://login.consultant.ru/link/?req=doc&amp;base=LAW&amp;n=362627&amp;dst=102365" TargetMode="External"/><Relationship Id="rId78" Type="http://schemas.openxmlformats.org/officeDocument/2006/relationships/hyperlink" Target="https://login.consultant.ru/link/?req=doc&amp;base=LAW&amp;n=149911" TargetMode="External"/><Relationship Id="rId81" Type="http://schemas.openxmlformats.org/officeDocument/2006/relationships/hyperlink" Target="https://login.consultant.ru/link/?req=doc&amp;base=LAW&amp;n=456147" TargetMode="External"/><Relationship Id="rId86" Type="http://schemas.openxmlformats.org/officeDocument/2006/relationships/hyperlink" Target="https://login.consultant.ru/link/?req=doc&amp;base=LAW&amp;n=149911" TargetMode="External"/><Relationship Id="rId94" Type="http://schemas.openxmlformats.org/officeDocument/2006/relationships/hyperlink" Target="https://login.consultant.ru/link/?req=doc&amp;base=LAW&amp;n=149911" TargetMode="External"/><Relationship Id="rId99" Type="http://schemas.openxmlformats.org/officeDocument/2006/relationships/header" Target="header14.xml"/><Relationship Id="rId101" Type="http://schemas.openxmlformats.org/officeDocument/2006/relationships/hyperlink" Target="https://login.consultant.ru/link/?req=doc&amp;base=LAW&amp;n=149911" TargetMode="External"/><Relationship Id="rId4" Type="http://schemas.openxmlformats.org/officeDocument/2006/relationships/settings" Target="settings.xml"/><Relationship Id="rId9" Type="http://schemas.openxmlformats.org/officeDocument/2006/relationships/hyperlink" Target="https://login.consultant.ru/link/?req=doc&amp;base=LAW&amp;n=465808&amp;dst=3654" TargetMode="External"/><Relationship Id="rId13" Type="http://schemas.openxmlformats.org/officeDocument/2006/relationships/footer" Target="footer1.xml"/><Relationship Id="rId18" Type="http://schemas.openxmlformats.org/officeDocument/2006/relationships/hyperlink" Target="https://login.consultant.ru/link/?req=doc&amp;base=LAW&amp;n=462703&amp;dst=100371" TargetMode="External"/><Relationship Id="rId39" Type="http://schemas.openxmlformats.org/officeDocument/2006/relationships/hyperlink" Target="https://login.consultant.ru/link/?req=doc&amp;base=LAW&amp;n=462703&amp;dst=193" TargetMode="External"/><Relationship Id="rId34" Type="http://schemas.openxmlformats.org/officeDocument/2006/relationships/hyperlink" Target="https://login.consultant.ru/link/?req=doc&amp;base=LAW&amp;n=451249&amp;dst=100826" TargetMode="External"/><Relationship Id="rId50" Type="http://schemas.openxmlformats.org/officeDocument/2006/relationships/hyperlink" Target="https://login.consultant.ru/link/?req=doc&amp;base=LAW&amp;n=456147" TargetMode="External"/><Relationship Id="rId55" Type="http://schemas.openxmlformats.org/officeDocument/2006/relationships/hyperlink" Target="https://login.consultant.ru/link/?req=doc&amp;base=LAW&amp;n=456147" TargetMode="External"/><Relationship Id="rId76" Type="http://schemas.openxmlformats.org/officeDocument/2006/relationships/header" Target="header8.xml"/><Relationship Id="rId97" Type="http://schemas.openxmlformats.org/officeDocument/2006/relationships/header" Target="header13.xml"/><Relationship Id="rId104" Type="http://schemas.openxmlformats.org/officeDocument/2006/relationships/hyperlink" Target="https://login.consultant.ru/link/?req=doc&amp;base=LAW&amp;n=1499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62A90-2933-4928-A53C-2980F806A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24771</Words>
  <Characters>141200</Characters>
  <Application>Microsoft Office Word</Application>
  <DocSecurity>4</DocSecurity>
  <Lines>1176</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litosh</dc:creator>
  <cp:lastModifiedBy>Купцова И.О.</cp:lastModifiedBy>
  <cp:revision>2</cp:revision>
  <cp:lastPrinted>2024-01-30T01:52:00Z</cp:lastPrinted>
  <dcterms:created xsi:type="dcterms:W3CDTF">2024-01-31T03:26:00Z</dcterms:created>
  <dcterms:modified xsi:type="dcterms:W3CDTF">2024-01-31T03:26:00Z</dcterms:modified>
</cp:coreProperties>
</file>