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Times New Roman" w:hAnsi="Times New Roman"/>
          <w:b/>
          <w:sz w:val="24"/>
        </w:rPr>
      </w:pPr>
      <w:r>
        <w:rPr>
          <w:noProof/>
        </w:rPr>
        <w:drawing>
          <wp:anchor distT="0" distB="0" distL="114300" distR="114300" simplePos="0" relativeHeight="251659264" behindDoc="1" locked="0" layoutInCell="1" allowOverlap="1">
            <wp:simplePos x="0" y="0"/>
            <wp:positionH relativeFrom="margin">
              <wp:posOffset>2844165</wp:posOffset>
            </wp:positionH>
            <wp:positionV relativeFrom="paragraph">
              <wp:posOffset>-377190</wp:posOffset>
            </wp:positionV>
            <wp:extent cx="530225" cy="664845"/>
            <wp:effectExtent l="0" t="0" r="3175" b="1905"/>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pic:spPr>
                </pic:pic>
              </a:graphicData>
            </a:graphic>
            <wp14:sizeRelH relativeFrom="page">
              <wp14:pctWidth>0</wp14:pctWidth>
            </wp14:sizeRelH>
            <wp14:sizeRelV relativeFrom="page">
              <wp14:pctHeight>0</wp14:pctHeight>
            </wp14:sizeRelV>
          </wp:anchor>
        </w:drawing>
      </w:r>
    </w:p>
    <w:p>
      <w:pPr>
        <w:jc w:val="center"/>
        <w:rPr>
          <w:rFonts w:ascii="Times New Roman" w:hAnsi="Times New Roman"/>
          <w:b/>
          <w:sz w:val="24"/>
        </w:rPr>
      </w:pPr>
    </w:p>
    <w:p>
      <w:pPr>
        <w:pStyle w:val="ae"/>
        <w:spacing w:line="360" w:lineRule="auto"/>
        <w:jc w:val="center"/>
        <w:rPr>
          <w:b/>
          <w:sz w:val="24"/>
          <w:szCs w:val="24"/>
        </w:rPr>
      </w:pPr>
      <w:r>
        <w:rPr>
          <w:b/>
          <w:sz w:val="24"/>
          <w:szCs w:val="24"/>
        </w:rPr>
        <w:t>АДМИНИСТРАЦИЯ ЗАТО СЕВЕРСК</w:t>
      </w:r>
    </w:p>
    <w:p>
      <w:pPr>
        <w:pStyle w:val="ae"/>
        <w:spacing w:line="360" w:lineRule="auto"/>
        <w:jc w:val="center"/>
        <w:rPr>
          <w:b/>
          <w:sz w:val="24"/>
          <w:szCs w:val="24"/>
        </w:rPr>
      </w:pPr>
      <w:r>
        <w:rPr>
          <w:b/>
          <w:sz w:val="24"/>
          <w:szCs w:val="24"/>
        </w:rPr>
        <w:t>ФИНАНСОВОЕ УПРАВЛЕНИЕ</w:t>
      </w:r>
    </w:p>
    <w:p>
      <w:pPr>
        <w:pStyle w:val="ae"/>
        <w:spacing w:line="360" w:lineRule="auto"/>
        <w:jc w:val="center"/>
        <w:rPr>
          <w:b/>
          <w:sz w:val="24"/>
          <w:szCs w:val="24"/>
        </w:rPr>
      </w:pPr>
      <w:r>
        <w:rPr>
          <w:b/>
          <w:sz w:val="24"/>
          <w:szCs w:val="24"/>
        </w:rPr>
        <w:t>НАЧАЛЬНИК</w:t>
      </w:r>
    </w:p>
    <w:p>
      <w:pPr>
        <w:pStyle w:val="ae"/>
        <w:spacing w:line="360" w:lineRule="auto"/>
        <w:jc w:val="center"/>
        <w:rPr>
          <w:b/>
          <w:sz w:val="24"/>
          <w:szCs w:val="24"/>
        </w:rPr>
      </w:pPr>
      <w:r>
        <w:rPr>
          <w:b/>
          <w:sz w:val="24"/>
          <w:szCs w:val="24"/>
        </w:rPr>
        <w:t>ПРИКАЗ</w:t>
      </w:r>
    </w:p>
    <w:p/>
    <w:tbl>
      <w:tblPr>
        <w:tblW w:w="0" w:type="auto"/>
        <w:tblInd w:w="108" w:type="dxa"/>
        <w:tblLook w:val="01E0" w:firstRow="1" w:lastRow="1" w:firstColumn="1" w:lastColumn="1" w:noHBand="0" w:noVBand="0"/>
      </w:tblPr>
      <w:tblGrid>
        <w:gridCol w:w="2299"/>
        <w:gridCol w:w="5378"/>
        <w:gridCol w:w="1570"/>
      </w:tblGrid>
      <w:tr>
        <w:tc>
          <w:tcPr>
            <w:tcW w:w="2340" w:type="dxa"/>
            <w:tcBorders>
              <w:top w:val="nil"/>
              <w:left w:val="nil"/>
              <w:bottom w:val="single" w:sz="4" w:space="0" w:color="auto"/>
              <w:right w:val="nil"/>
            </w:tcBorders>
          </w:tcPr>
          <w:p>
            <w:pPr>
              <w:jc w:val="center"/>
              <w:rPr>
                <w:rFonts w:ascii="Times New Roman" w:hAnsi="Times New Roman"/>
                <w:sz w:val="24"/>
                <w:szCs w:val="24"/>
              </w:rPr>
            </w:pPr>
            <w:r>
              <w:rPr>
                <w:rFonts w:ascii="Times New Roman" w:hAnsi="Times New Roman"/>
                <w:sz w:val="24"/>
                <w:szCs w:val="24"/>
              </w:rPr>
              <w:t>22.01.2024</w:t>
            </w:r>
          </w:p>
        </w:tc>
        <w:tc>
          <w:tcPr>
            <w:tcW w:w="5580" w:type="dxa"/>
          </w:tcPr>
          <w:p>
            <w:pPr>
              <w:jc w:val="right"/>
              <w:rPr>
                <w:rFonts w:ascii="Times New Roman" w:hAnsi="Times New Roman"/>
                <w:sz w:val="24"/>
                <w:szCs w:val="24"/>
              </w:rPr>
            </w:pPr>
            <w:r>
              <w:rPr>
                <w:sz w:val="24"/>
                <w:szCs w:val="24"/>
              </w:rPr>
              <w:t xml:space="preserve"> </w:t>
            </w:r>
            <w:r>
              <w:rPr>
                <w:rFonts w:ascii="Times New Roman" w:hAnsi="Times New Roman"/>
                <w:sz w:val="24"/>
                <w:szCs w:val="24"/>
              </w:rPr>
              <w:t>№</w:t>
            </w:r>
          </w:p>
        </w:tc>
        <w:tc>
          <w:tcPr>
            <w:tcW w:w="1620" w:type="dxa"/>
            <w:tcBorders>
              <w:top w:val="nil"/>
              <w:left w:val="nil"/>
              <w:bottom w:val="single" w:sz="4" w:space="0" w:color="auto"/>
              <w:right w:val="nil"/>
            </w:tcBorders>
          </w:tcPr>
          <w:p>
            <w:pPr>
              <w:jc w:val="center"/>
              <w:rPr>
                <w:sz w:val="24"/>
                <w:szCs w:val="24"/>
              </w:rPr>
            </w:pPr>
            <w:r>
              <w:rPr>
                <w:rFonts w:ascii="Times New Roman" w:hAnsi="Times New Roman"/>
                <w:sz w:val="24"/>
                <w:szCs w:val="24"/>
              </w:rPr>
              <w:t>8</w:t>
            </w:r>
          </w:p>
        </w:tc>
      </w:tr>
    </w:tbl>
    <w:p>
      <w:pPr>
        <w:rPr>
          <w:rFonts w:ascii="Times New Roman" w:hAnsi="Times New Roman"/>
          <w:sz w:val="28"/>
          <w:szCs w:val="28"/>
        </w:rPr>
      </w:pPr>
    </w:p>
    <w:p>
      <w:pPr>
        <w:pStyle w:val="ConsPlusTitle"/>
        <w:jc w:val="center"/>
        <w:rPr>
          <w:b w:val="0"/>
          <w:szCs w:val="24"/>
        </w:rPr>
      </w:pPr>
      <w:r>
        <w:rPr>
          <w:b w:val="0"/>
          <w:szCs w:val="24"/>
        </w:rPr>
        <w:t>Об утверждении порядка</w:t>
      </w:r>
    </w:p>
    <w:p>
      <w:pPr>
        <w:pStyle w:val="ConsPlusTitle"/>
        <w:jc w:val="center"/>
        <w:rPr>
          <w:b w:val="0"/>
          <w:szCs w:val="24"/>
        </w:rPr>
      </w:pPr>
      <w:proofErr w:type="gramStart"/>
      <w:r>
        <w:rPr>
          <w:b w:val="0"/>
          <w:szCs w:val="24"/>
        </w:rPr>
        <w:t>санкционирования</w:t>
      </w:r>
      <w:proofErr w:type="gramEnd"/>
      <w:r>
        <w:rPr>
          <w:b w:val="0"/>
          <w:szCs w:val="24"/>
        </w:rPr>
        <w:t xml:space="preserve"> оплаты денежных обязательств</w:t>
      </w:r>
    </w:p>
    <w:p>
      <w:pPr>
        <w:autoSpaceDE w:val="0"/>
        <w:autoSpaceDN w:val="0"/>
        <w:adjustRightInd w:val="0"/>
        <w:jc w:val="center"/>
        <w:rPr>
          <w:rFonts w:ascii="Times New Roman" w:hAnsi="Times New Roman"/>
          <w:bCs/>
          <w:sz w:val="24"/>
          <w:szCs w:val="24"/>
        </w:rPr>
      </w:pPr>
      <w:proofErr w:type="gramStart"/>
      <w:r>
        <w:rPr>
          <w:rFonts w:ascii="Times New Roman" w:hAnsi="Times New Roman"/>
          <w:sz w:val="24"/>
          <w:szCs w:val="24"/>
        </w:rPr>
        <w:t>получателей</w:t>
      </w:r>
      <w:proofErr w:type="gramEnd"/>
      <w:r>
        <w:rPr>
          <w:rFonts w:ascii="Times New Roman" w:hAnsi="Times New Roman"/>
          <w:sz w:val="24"/>
          <w:szCs w:val="24"/>
        </w:rPr>
        <w:t xml:space="preserve"> средств бюджета </w:t>
      </w:r>
      <w:r>
        <w:rPr>
          <w:rFonts w:ascii="Times New Roman" w:hAnsi="Times New Roman"/>
          <w:bCs/>
          <w:sz w:val="24"/>
          <w:szCs w:val="24"/>
        </w:rPr>
        <w:t>городского округа закрытого административно-территориального образования Северск Томской области</w:t>
      </w:r>
    </w:p>
    <w:p>
      <w:pPr>
        <w:pStyle w:val="ConsPlusTitle"/>
        <w:jc w:val="center"/>
        <w:rPr>
          <w:b w:val="0"/>
          <w:szCs w:val="24"/>
        </w:rPr>
      </w:pPr>
      <w:proofErr w:type="gramStart"/>
      <w:r>
        <w:rPr>
          <w:b w:val="0"/>
          <w:szCs w:val="24"/>
        </w:rPr>
        <w:t>и</w:t>
      </w:r>
      <w:proofErr w:type="gramEnd"/>
      <w:r>
        <w:rPr>
          <w:b w:val="0"/>
          <w:szCs w:val="24"/>
        </w:rPr>
        <w:t xml:space="preserve"> оплаты денежных обязательств, подлежащих исполнению </w:t>
      </w:r>
    </w:p>
    <w:p>
      <w:pPr>
        <w:pStyle w:val="ConsPlusTitle"/>
        <w:jc w:val="center"/>
        <w:rPr>
          <w:b w:val="0"/>
          <w:szCs w:val="24"/>
        </w:rPr>
      </w:pPr>
      <w:proofErr w:type="gramStart"/>
      <w:r>
        <w:rPr>
          <w:b w:val="0"/>
          <w:szCs w:val="24"/>
        </w:rPr>
        <w:t>за</w:t>
      </w:r>
      <w:proofErr w:type="gramEnd"/>
      <w:r>
        <w:rPr>
          <w:b w:val="0"/>
          <w:szCs w:val="24"/>
        </w:rPr>
        <w:t xml:space="preserve"> счет бюджетных ассигнований по источникам финансирования дефицита</w:t>
      </w:r>
    </w:p>
    <w:p>
      <w:pPr>
        <w:autoSpaceDE w:val="0"/>
        <w:autoSpaceDN w:val="0"/>
        <w:adjustRightInd w:val="0"/>
        <w:jc w:val="center"/>
        <w:rPr>
          <w:rFonts w:ascii="Times New Roman" w:hAnsi="Times New Roman"/>
          <w:bCs/>
          <w:sz w:val="24"/>
          <w:szCs w:val="24"/>
        </w:rPr>
      </w:pPr>
      <w:proofErr w:type="gramStart"/>
      <w:r>
        <w:rPr>
          <w:rFonts w:ascii="Times New Roman" w:hAnsi="Times New Roman"/>
          <w:sz w:val="24"/>
          <w:szCs w:val="24"/>
        </w:rPr>
        <w:t>бюджета</w:t>
      </w:r>
      <w:proofErr w:type="gramEnd"/>
      <w:r>
        <w:rPr>
          <w:rFonts w:ascii="Times New Roman" w:hAnsi="Times New Roman"/>
          <w:sz w:val="24"/>
          <w:szCs w:val="24"/>
        </w:rPr>
        <w:t xml:space="preserve"> </w:t>
      </w:r>
      <w:r>
        <w:rPr>
          <w:rFonts w:ascii="Times New Roman" w:hAnsi="Times New Roman"/>
          <w:bCs/>
          <w:sz w:val="24"/>
          <w:szCs w:val="24"/>
        </w:rPr>
        <w:t>городского округа закрытого административно-территориального</w:t>
      </w:r>
    </w:p>
    <w:p>
      <w:pPr>
        <w:autoSpaceDE w:val="0"/>
        <w:autoSpaceDN w:val="0"/>
        <w:adjustRightInd w:val="0"/>
        <w:jc w:val="center"/>
        <w:rPr>
          <w:rFonts w:ascii="Times New Roman" w:hAnsi="Times New Roman"/>
          <w:bCs/>
          <w:sz w:val="24"/>
          <w:szCs w:val="24"/>
        </w:rPr>
      </w:pPr>
      <w:proofErr w:type="gramStart"/>
      <w:r>
        <w:rPr>
          <w:rFonts w:ascii="Times New Roman" w:hAnsi="Times New Roman"/>
          <w:bCs/>
          <w:sz w:val="24"/>
          <w:szCs w:val="24"/>
        </w:rPr>
        <w:t>образования</w:t>
      </w:r>
      <w:proofErr w:type="gramEnd"/>
      <w:r>
        <w:rPr>
          <w:rFonts w:ascii="Times New Roman" w:hAnsi="Times New Roman"/>
          <w:bCs/>
          <w:sz w:val="24"/>
          <w:szCs w:val="24"/>
        </w:rPr>
        <w:t xml:space="preserve"> Северск Томской области</w:t>
      </w:r>
    </w:p>
    <w:p>
      <w:pPr>
        <w:autoSpaceDE w:val="0"/>
        <w:autoSpaceDN w:val="0"/>
        <w:adjustRightInd w:val="0"/>
        <w:jc w:val="center"/>
        <w:rPr>
          <w:rFonts w:ascii="Times New Roman" w:hAnsi="Times New Roman"/>
          <w:bCs/>
          <w:sz w:val="24"/>
          <w:szCs w:val="24"/>
        </w:rPr>
      </w:pPr>
    </w:p>
    <w:p>
      <w:pPr>
        <w:pStyle w:val="ConsPlusNormal"/>
        <w:ind w:firstLine="540"/>
        <w:jc w:val="both"/>
        <w:rPr>
          <w:szCs w:val="24"/>
        </w:rPr>
      </w:pPr>
      <w:r>
        <w:rPr>
          <w:szCs w:val="24"/>
        </w:rPr>
        <w:t xml:space="preserve">В соответствии с </w:t>
      </w:r>
      <w:hyperlink r:id="rId8">
        <w:r>
          <w:rPr>
            <w:szCs w:val="24"/>
          </w:rPr>
          <w:t>пунктами 1</w:t>
        </w:r>
      </w:hyperlink>
      <w:r>
        <w:rPr>
          <w:szCs w:val="24"/>
        </w:rPr>
        <w:t xml:space="preserve">, </w:t>
      </w:r>
      <w:hyperlink r:id="rId9">
        <w:r>
          <w:rPr>
            <w:szCs w:val="24"/>
          </w:rPr>
          <w:t>2</w:t>
        </w:r>
      </w:hyperlink>
      <w:r>
        <w:rPr>
          <w:szCs w:val="24"/>
        </w:rPr>
        <w:t xml:space="preserve">, </w:t>
      </w:r>
      <w:hyperlink r:id="rId10">
        <w:r>
          <w:rPr>
            <w:szCs w:val="24"/>
          </w:rPr>
          <w:t>абзацем третьим пункта 5 статьи 219</w:t>
        </w:r>
      </w:hyperlink>
      <w:r>
        <w:rPr>
          <w:szCs w:val="24"/>
        </w:rPr>
        <w:t xml:space="preserve"> и </w:t>
      </w:r>
      <w:hyperlink r:id="rId11">
        <w:r>
          <w:rPr>
            <w:szCs w:val="24"/>
          </w:rPr>
          <w:t>частью второй статьи 219.2</w:t>
        </w:r>
      </w:hyperlink>
      <w:r>
        <w:rPr>
          <w:szCs w:val="24"/>
        </w:rPr>
        <w:t xml:space="preserve"> Бюджетного кодекса Российской Федерации </w:t>
      </w:r>
    </w:p>
    <w:p>
      <w:pPr>
        <w:pStyle w:val="ConsPlusNormal"/>
        <w:ind w:firstLine="708"/>
        <w:jc w:val="both"/>
        <w:rPr>
          <w:szCs w:val="24"/>
        </w:rPr>
      </w:pPr>
    </w:p>
    <w:p>
      <w:pPr>
        <w:autoSpaceDE w:val="0"/>
        <w:autoSpaceDN w:val="0"/>
        <w:adjustRightInd w:val="0"/>
        <w:jc w:val="center"/>
        <w:rPr>
          <w:rFonts w:ascii="Times New Roman" w:hAnsi="Times New Roman"/>
          <w:caps/>
          <w:sz w:val="24"/>
          <w:szCs w:val="24"/>
        </w:rPr>
      </w:pPr>
      <w:r>
        <w:rPr>
          <w:rFonts w:ascii="Times New Roman" w:hAnsi="Times New Roman"/>
          <w:caps/>
          <w:sz w:val="24"/>
          <w:szCs w:val="24"/>
        </w:rPr>
        <w:t>приказываю:</w:t>
      </w:r>
    </w:p>
    <w:p>
      <w:pPr>
        <w:autoSpaceDE w:val="0"/>
        <w:autoSpaceDN w:val="0"/>
        <w:adjustRightInd w:val="0"/>
        <w:jc w:val="center"/>
        <w:rPr>
          <w:rFonts w:ascii="Times New Roman" w:hAnsi="Times New Roman"/>
          <w:caps/>
          <w:sz w:val="24"/>
          <w:szCs w:val="24"/>
        </w:rPr>
      </w:pPr>
    </w:p>
    <w:p>
      <w:pPr>
        <w:autoSpaceDE w:val="0"/>
        <w:autoSpaceDN w:val="0"/>
        <w:adjustRightInd w:val="0"/>
        <w:ind w:firstLine="708"/>
        <w:jc w:val="both"/>
        <w:rPr>
          <w:rFonts w:ascii="Times New Roman" w:hAnsi="Times New Roman"/>
          <w:sz w:val="24"/>
          <w:szCs w:val="24"/>
        </w:rPr>
      </w:pPr>
      <w:r>
        <w:rPr>
          <w:rFonts w:ascii="Times New Roman" w:hAnsi="Times New Roman"/>
          <w:sz w:val="24"/>
          <w:szCs w:val="24"/>
        </w:rPr>
        <w:t xml:space="preserve">1. Утвердить прилагаемый </w:t>
      </w:r>
      <w:hyperlink w:anchor="P38">
        <w:r>
          <w:rPr>
            <w:rFonts w:ascii="Times New Roman" w:hAnsi="Times New Roman"/>
            <w:sz w:val="24"/>
            <w:szCs w:val="24"/>
          </w:rPr>
          <w:t>порядок</w:t>
        </w:r>
      </w:hyperlink>
      <w:r>
        <w:rPr>
          <w:rFonts w:ascii="Times New Roman" w:hAnsi="Times New Roman"/>
          <w:sz w:val="24"/>
          <w:szCs w:val="24"/>
        </w:rPr>
        <w:t xml:space="preserve"> санкционирования оплаты денежных обязательств получателей средств бюджета </w:t>
      </w:r>
      <w:r>
        <w:rPr>
          <w:rFonts w:ascii="Times New Roman" w:hAnsi="Times New Roman"/>
          <w:bCs/>
          <w:sz w:val="24"/>
          <w:szCs w:val="24"/>
        </w:rPr>
        <w:t xml:space="preserve">городского округа закрытого административно-территориального образования Северск Томской области </w:t>
      </w:r>
      <w:r>
        <w:rPr>
          <w:rFonts w:ascii="Times New Roman" w:hAnsi="Times New Roman"/>
          <w:sz w:val="24"/>
          <w:szCs w:val="24"/>
        </w:rPr>
        <w:t xml:space="preserve">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bCs/>
          <w:sz w:val="24"/>
          <w:szCs w:val="24"/>
        </w:rPr>
        <w:t>городского округа закрытого административно-территориального образования Северск Томской области (далее –Порядок, ЗАТО Северск)</w:t>
      </w:r>
      <w:r>
        <w:rPr>
          <w:rFonts w:ascii="Times New Roman" w:hAnsi="Times New Roman"/>
          <w:sz w:val="24"/>
          <w:szCs w:val="24"/>
        </w:rPr>
        <w:t>.</w:t>
      </w:r>
    </w:p>
    <w:p>
      <w:pPr>
        <w:autoSpaceDE w:val="0"/>
        <w:autoSpaceDN w:val="0"/>
        <w:adjustRightInd w:val="0"/>
        <w:ind w:firstLine="709"/>
        <w:jc w:val="both"/>
        <w:rPr>
          <w:rFonts w:ascii="Times New Roman" w:hAnsi="Times New Roman"/>
          <w:bCs/>
          <w:sz w:val="24"/>
          <w:szCs w:val="24"/>
        </w:rPr>
      </w:pPr>
      <w:r>
        <w:rPr>
          <w:rFonts w:ascii="Times New Roman" w:hAnsi="Times New Roman"/>
          <w:sz w:val="24"/>
          <w:szCs w:val="24"/>
        </w:rPr>
        <w:t xml:space="preserve">2. Признать утратившим силу </w:t>
      </w:r>
      <w:hyperlink r:id="rId12">
        <w:r>
          <w:rPr>
            <w:rFonts w:ascii="Times New Roman" w:hAnsi="Times New Roman"/>
            <w:sz w:val="24"/>
            <w:szCs w:val="24"/>
          </w:rPr>
          <w:t>приказ</w:t>
        </w:r>
      </w:hyperlink>
      <w:r>
        <w:rPr>
          <w:rFonts w:ascii="Times New Roman" w:hAnsi="Times New Roman"/>
          <w:sz w:val="24"/>
          <w:szCs w:val="24"/>
        </w:rPr>
        <w:t xml:space="preserve"> начальника Финансового управления Администрации ЗАТО Северск </w:t>
      </w:r>
      <w:r>
        <w:rPr>
          <w:rFonts w:ascii="Times New Roman" w:hAnsi="Times New Roman"/>
          <w:sz w:val="24"/>
          <w:szCs w:val="24"/>
          <w:shd w:val="clear" w:color="auto" w:fill="FFFFFF"/>
        </w:rPr>
        <w:t>от 30.12.2021 № 93 «</w:t>
      </w:r>
      <w:r>
        <w:rPr>
          <w:rFonts w:ascii="Times New Roman" w:hAnsi="Times New Roman"/>
          <w:bCs/>
          <w:sz w:val="24"/>
          <w:szCs w:val="24"/>
        </w:rPr>
        <w:t xml:space="preserve">Об утверждении </w:t>
      </w:r>
      <w:proofErr w:type="gramStart"/>
      <w:r>
        <w:rPr>
          <w:rFonts w:ascii="Times New Roman" w:hAnsi="Times New Roman"/>
          <w:bCs/>
          <w:sz w:val="24"/>
          <w:szCs w:val="24"/>
        </w:rPr>
        <w:t xml:space="preserve">Порядка </w:t>
      </w:r>
      <w:r>
        <w:rPr>
          <w:rFonts w:ascii="Times New Roman" w:eastAsiaTheme="minorHAnsi" w:hAnsi="Times New Roman"/>
          <w:b/>
          <w:sz w:val="24"/>
          <w:szCs w:val="24"/>
          <w:lang w:eastAsia="en-US"/>
        </w:rPr>
        <w:t xml:space="preserve"> </w:t>
      </w:r>
      <w:r>
        <w:rPr>
          <w:rFonts w:ascii="Times New Roman" w:eastAsiaTheme="minorHAnsi" w:hAnsi="Times New Roman"/>
          <w:sz w:val="24"/>
          <w:szCs w:val="24"/>
          <w:lang w:eastAsia="en-US"/>
        </w:rPr>
        <w:t>санкционирования</w:t>
      </w:r>
      <w:proofErr w:type="gramEnd"/>
      <w:r>
        <w:rPr>
          <w:rFonts w:ascii="Times New Roman" w:eastAsiaTheme="minorHAnsi" w:hAnsi="Times New Roman"/>
          <w:sz w:val="24"/>
          <w:szCs w:val="24"/>
          <w:lang w:eastAsia="en-US"/>
        </w:rPr>
        <w:t xml:space="preserve"> оплаты денежных обязательств получателей средств бюджета ЗАТО Северск  и оплаты денежных обязательств, подлежащих исполнению за счет бюджетных ассигнований по источникам финансирования дефицита бюджета ЗАТО Северск</w:t>
      </w:r>
      <w:r>
        <w:rPr>
          <w:rFonts w:ascii="Times New Roman" w:hAnsi="Times New Roman"/>
          <w:bCs/>
          <w:sz w:val="24"/>
          <w:szCs w:val="24"/>
        </w:rPr>
        <w:t>».</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3. Настоящий приказ вступает в силу с 1 января 2024 года.</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4. Разместить приказ на официальном сайте Администрации ЗАТО Северск в информационно-телекоммуникационной сети «Интернет» (https://зато-северск.рф).</w:t>
      </w:r>
    </w:p>
    <w:p>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5. Контроль за исполнением приказа возложить на заместителя начальника Финансового управления Администрации ЗАТО Северск. </w:t>
      </w:r>
    </w:p>
    <w:p>
      <w:pPr>
        <w:pStyle w:val="ConsPlusNormal"/>
        <w:jc w:val="both"/>
        <w:rPr>
          <w:szCs w:val="24"/>
        </w:rPr>
      </w:pPr>
    </w:p>
    <w:p>
      <w:pPr>
        <w:pStyle w:val="ConsPlusNormal"/>
        <w:jc w:val="both"/>
        <w:rPr>
          <w:szCs w:val="24"/>
        </w:rPr>
      </w:pPr>
    </w:p>
    <w:p>
      <w:pPr>
        <w:pStyle w:val="a6"/>
        <w:ind w:firstLine="0"/>
        <w:jc w:val="left"/>
        <w:rPr>
          <w:sz w:val="24"/>
          <w:szCs w:val="24"/>
        </w:rPr>
      </w:pPr>
    </w:p>
    <w:p>
      <w:pPr>
        <w:pStyle w:val="a6"/>
        <w:ind w:firstLine="0"/>
        <w:jc w:val="right"/>
        <w:rPr>
          <w:sz w:val="24"/>
          <w:szCs w:val="24"/>
        </w:rPr>
      </w:pPr>
      <w:proofErr w:type="spellStart"/>
      <w:r>
        <w:rPr>
          <w:sz w:val="24"/>
          <w:szCs w:val="24"/>
        </w:rPr>
        <w:t>Л.И.Овчаренко</w:t>
      </w:r>
      <w:proofErr w:type="spellEnd"/>
    </w:p>
    <w:p>
      <w:pPr>
        <w:pStyle w:val="a6"/>
        <w:ind w:firstLine="0"/>
        <w:jc w:val="right"/>
        <w:rPr>
          <w:sz w:val="24"/>
          <w:szCs w:val="24"/>
        </w:rPr>
      </w:pPr>
    </w:p>
    <w:p>
      <w:pPr>
        <w:shd w:val="clear" w:color="auto" w:fill="FFFFFF"/>
        <w:tabs>
          <w:tab w:val="left" w:pos="787"/>
        </w:tabs>
        <w:rPr>
          <w:rFonts w:ascii="Times New Roman" w:hAnsi="Times New Roman"/>
        </w:rPr>
      </w:pPr>
    </w:p>
    <w:p>
      <w:pPr>
        <w:shd w:val="clear" w:color="auto" w:fill="FFFFFF"/>
        <w:tabs>
          <w:tab w:val="left" w:pos="787"/>
        </w:tabs>
        <w:rPr>
          <w:rFonts w:ascii="Times New Roman" w:hAnsi="Times New Roman"/>
        </w:rPr>
      </w:pPr>
    </w:p>
    <w:p>
      <w:pPr>
        <w:shd w:val="clear" w:color="auto" w:fill="FFFFFF"/>
        <w:tabs>
          <w:tab w:val="left" w:pos="787"/>
        </w:tabs>
        <w:rPr>
          <w:rFonts w:ascii="Times New Roman" w:hAnsi="Times New Roman"/>
        </w:rPr>
      </w:pPr>
    </w:p>
    <w:p>
      <w:pPr>
        <w:shd w:val="clear" w:color="auto" w:fill="FFFFFF"/>
        <w:tabs>
          <w:tab w:val="left" w:pos="787"/>
        </w:tabs>
        <w:rPr>
          <w:rFonts w:ascii="Times New Roman" w:hAnsi="Times New Roman"/>
        </w:rPr>
      </w:pPr>
      <w:r>
        <w:rPr>
          <w:rFonts w:ascii="Times New Roman" w:hAnsi="Times New Roman"/>
        </w:rPr>
        <w:t>Купцова Ирина Олеговна</w:t>
      </w:r>
      <w:r>
        <w:rPr>
          <w:rFonts w:ascii="Times New Roman" w:hAnsi="Times New Roman"/>
        </w:rPr>
        <w:br/>
        <w:t>(3823) 77-38-16</w:t>
      </w:r>
    </w:p>
    <w:p>
      <w:pPr>
        <w:pStyle w:val="ConsPlusNormal"/>
        <w:jc w:val="both"/>
        <w:rPr>
          <w:szCs w:val="24"/>
        </w:rPr>
        <w:sectPr>
          <w:footerReference w:type="default" r:id="rId13"/>
          <w:pgSz w:w="11906" w:h="16838"/>
          <w:pgMar w:top="1134" w:right="850" w:bottom="1134" w:left="1701" w:header="708" w:footer="708" w:gutter="0"/>
          <w:cols w:space="708"/>
          <w:docGrid w:linePitch="360"/>
        </w:sectPr>
      </w:pPr>
    </w:p>
    <w:p>
      <w:pPr>
        <w:pStyle w:val="ConsPlusNormal"/>
        <w:ind w:firstLine="5954"/>
        <w:outlineLvl w:val="0"/>
        <w:rPr>
          <w:szCs w:val="24"/>
        </w:rPr>
      </w:pPr>
      <w:r>
        <w:rPr>
          <w:szCs w:val="24"/>
        </w:rPr>
        <w:lastRenderedPageBreak/>
        <w:t>Утвержден</w:t>
      </w:r>
    </w:p>
    <w:p>
      <w:pPr>
        <w:pStyle w:val="ConsPlusNormal"/>
        <w:ind w:firstLine="5954"/>
        <w:rPr>
          <w:szCs w:val="24"/>
        </w:rPr>
      </w:pPr>
      <w:proofErr w:type="gramStart"/>
      <w:r>
        <w:rPr>
          <w:szCs w:val="24"/>
        </w:rPr>
        <w:t>приказом</w:t>
      </w:r>
      <w:proofErr w:type="gramEnd"/>
      <w:r>
        <w:rPr>
          <w:szCs w:val="24"/>
        </w:rPr>
        <w:t xml:space="preserve"> начальника </w:t>
      </w:r>
    </w:p>
    <w:p>
      <w:pPr>
        <w:pStyle w:val="ConsPlusNormal"/>
        <w:ind w:firstLine="5954"/>
        <w:rPr>
          <w:szCs w:val="24"/>
        </w:rPr>
      </w:pPr>
      <w:r>
        <w:rPr>
          <w:szCs w:val="24"/>
        </w:rPr>
        <w:t>Финансового управления</w:t>
      </w:r>
    </w:p>
    <w:p>
      <w:pPr>
        <w:pStyle w:val="ConsPlusNormal"/>
        <w:ind w:firstLine="5954"/>
        <w:rPr>
          <w:szCs w:val="24"/>
        </w:rPr>
      </w:pPr>
      <w:r>
        <w:rPr>
          <w:szCs w:val="24"/>
        </w:rPr>
        <w:t>Администрации ЗАТО Северск</w:t>
      </w:r>
    </w:p>
    <w:p>
      <w:pPr>
        <w:pStyle w:val="ConsPlusNormal"/>
        <w:ind w:firstLine="5954"/>
        <w:rPr>
          <w:szCs w:val="24"/>
        </w:rPr>
      </w:pPr>
      <w:proofErr w:type="gramStart"/>
      <w:r>
        <w:rPr>
          <w:szCs w:val="24"/>
          <w:shd w:val="clear" w:color="auto" w:fill="FFFFFF"/>
        </w:rPr>
        <w:t>от</w:t>
      </w:r>
      <w:proofErr w:type="gramEnd"/>
      <w:r>
        <w:rPr>
          <w:szCs w:val="24"/>
          <w:shd w:val="clear" w:color="auto" w:fill="FFFFFF"/>
        </w:rPr>
        <w:t xml:space="preserve"> </w:t>
      </w:r>
      <w:r>
        <w:rPr>
          <w:szCs w:val="24"/>
          <w:u w:val="single"/>
          <w:shd w:val="clear" w:color="auto" w:fill="FFFFFF"/>
        </w:rPr>
        <w:t>22.01.2024</w:t>
      </w:r>
      <w:r>
        <w:rPr>
          <w:szCs w:val="24"/>
          <w:shd w:val="clear" w:color="auto" w:fill="FFFFFF"/>
        </w:rPr>
        <w:t xml:space="preserve"> № </w:t>
      </w:r>
      <w:r>
        <w:rPr>
          <w:szCs w:val="24"/>
          <w:u w:val="single"/>
          <w:shd w:val="clear" w:color="auto" w:fill="FFFFFF"/>
        </w:rPr>
        <w:t>8</w:t>
      </w:r>
    </w:p>
    <w:p>
      <w:pPr>
        <w:pStyle w:val="ConsPlusTitle"/>
        <w:jc w:val="center"/>
        <w:rPr>
          <w:szCs w:val="24"/>
        </w:rPr>
      </w:pPr>
      <w:bookmarkStart w:id="0" w:name="P38"/>
      <w:bookmarkEnd w:id="0"/>
    </w:p>
    <w:p>
      <w:pPr>
        <w:pStyle w:val="ConsPlusTitle"/>
        <w:jc w:val="center"/>
        <w:rPr>
          <w:b w:val="0"/>
          <w:szCs w:val="24"/>
        </w:rPr>
      </w:pPr>
      <w:r>
        <w:rPr>
          <w:b w:val="0"/>
          <w:szCs w:val="24"/>
        </w:rPr>
        <w:t>Порядок</w:t>
      </w:r>
    </w:p>
    <w:p>
      <w:pPr>
        <w:pStyle w:val="ConsPlusTitle"/>
        <w:jc w:val="center"/>
        <w:rPr>
          <w:b w:val="0"/>
          <w:szCs w:val="24"/>
        </w:rPr>
      </w:pPr>
      <w:proofErr w:type="gramStart"/>
      <w:r>
        <w:rPr>
          <w:b w:val="0"/>
          <w:szCs w:val="24"/>
        </w:rPr>
        <w:t>санкционирования</w:t>
      </w:r>
      <w:proofErr w:type="gramEnd"/>
      <w:r>
        <w:rPr>
          <w:b w:val="0"/>
          <w:szCs w:val="24"/>
        </w:rPr>
        <w:t xml:space="preserve"> оплаты денежных обязательств</w:t>
      </w:r>
    </w:p>
    <w:p>
      <w:pPr>
        <w:autoSpaceDE w:val="0"/>
        <w:autoSpaceDN w:val="0"/>
        <w:adjustRightInd w:val="0"/>
        <w:jc w:val="center"/>
        <w:rPr>
          <w:rFonts w:ascii="Times New Roman" w:hAnsi="Times New Roman"/>
          <w:bCs/>
          <w:sz w:val="24"/>
          <w:szCs w:val="24"/>
        </w:rPr>
      </w:pPr>
      <w:proofErr w:type="gramStart"/>
      <w:r>
        <w:rPr>
          <w:rFonts w:ascii="Times New Roman" w:hAnsi="Times New Roman"/>
          <w:sz w:val="24"/>
          <w:szCs w:val="24"/>
        </w:rPr>
        <w:t>получателей</w:t>
      </w:r>
      <w:proofErr w:type="gramEnd"/>
      <w:r>
        <w:rPr>
          <w:rFonts w:ascii="Times New Roman" w:hAnsi="Times New Roman"/>
          <w:sz w:val="24"/>
          <w:szCs w:val="24"/>
        </w:rPr>
        <w:t xml:space="preserve"> средств бюджета </w:t>
      </w:r>
      <w:r>
        <w:rPr>
          <w:rFonts w:ascii="Times New Roman" w:hAnsi="Times New Roman"/>
          <w:bCs/>
          <w:sz w:val="24"/>
          <w:szCs w:val="24"/>
        </w:rPr>
        <w:t>городского округа закрытого административно-территориального образования Северск Томской области</w:t>
      </w:r>
    </w:p>
    <w:p>
      <w:pPr>
        <w:pStyle w:val="ConsPlusTitle"/>
        <w:jc w:val="center"/>
        <w:rPr>
          <w:b w:val="0"/>
          <w:szCs w:val="24"/>
        </w:rPr>
      </w:pPr>
      <w:proofErr w:type="gramStart"/>
      <w:r>
        <w:rPr>
          <w:b w:val="0"/>
          <w:szCs w:val="24"/>
        </w:rPr>
        <w:t>и</w:t>
      </w:r>
      <w:proofErr w:type="gramEnd"/>
      <w:r>
        <w:rPr>
          <w:b w:val="0"/>
          <w:szCs w:val="24"/>
        </w:rPr>
        <w:t xml:space="preserve"> оплаты денежных обязательств, подлежащих исполнению за счет бюджетных</w:t>
      </w:r>
    </w:p>
    <w:p>
      <w:pPr>
        <w:pStyle w:val="ConsPlusTitle"/>
        <w:jc w:val="center"/>
        <w:rPr>
          <w:b w:val="0"/>
          <w:szCs w:val="24"/>
        </w:rPr>
      </w:pPr>
      <w:proofErr w:type="gramStart"/>
      <w:r>
        <w:rPr>
          <w:b w:val="0"/>
          <w:szCs w:val="24"/>
        </w:rPr>
        <w:t>ассигнований</w:t>
      </w:r>
      <w:proofErr w:type="gramEnd"/>
      <w:r>
        <w:rPr>
          <w:b w:val="0"/>
          <w:szCs w:val="24"/>
        </w:rPr>
        <w:t xml:space="preserve"> по источникам финансирования дефицита</w:t>
      </w:r>
    </w:p>
    <w:p>
      <w:pPr>
        <w:autoSpaceDE w:val="0"/>
        <w:autoSpaceDN w:val="0"/>
        <w:adjustRightInd w:val="0"/>
        <w:jc w:val="center"/>
        <w:rPr>
          <w:rFonts w:ascii="Times New Roman" w:hAnsi="Times New Roman"/>
          <w:bCs/>
          <w:sz w:val="24"/>
          <w:szCs w:val="24"/>
        </w:rPr>
      </w:pPr>
      <w:proofErr w:type="gramStart"/>
      <w:r>
        <w:rPr>
          <w:rFonts w:ascii="Times New Roman" w:hAnsi="Times New Roman"/>
          <w:sz w:val="24"/>
          <w:szCs w:val="24"/>
        </w:rPr>
        <w:t>бюджета</w:t>
      </w:r>
      <w:proofErr w:type="gramEnd"/>
      <w:r>
        <w:rPr>
          <w:rFonts w:ascii="Times New Roman" w:hAnsi="Times New Roman"/>
          <w:sz w:val="24"/>
          <w:szCs w:val="24"/>
        </w:rPr>
        <w:t xml:space="preserve"> </w:t>
      </w:r>
      <w:r>
        <w:rPr>
          <w:rFonts w:ascii="Times New Roman" w:hAnsi="Times New Roman"/>
          <w:bCs/>
          <w:sz w:val="24"/>
          <w:szCs w:val="24"/>
        </w:rPr>
        <w:t>городского округа закрытого административно-территориального</w:t>
      </w:r>
    </w:p>
    <w:p>
      <w:pPr>
        <w:autoSpaceDE w:val="0"/>
        <w:autoSpaceDN w:val="0"/>
        <w:adjustRightInd w:val="0"/>
        <w:jc w:val="center"/>
        <w:rPr>
          <w:rFonts w:ascii="Times New Roman" w:hAnsi="Times New Roman"/>
          <w:bCs/>
          <w:sz w:val="24"/>
          <w:szCs w:val="24"/>
        </w:rPr>
      </w:pPr>
      <w:proofErr w:type="gramStart"/>
      <w:r>
        <w:rPr>
          <w:rFonts w:ascii="Times New Roman" w:hAnsi="Times New Roman"/>
          <w:bCs/>
          <w:sz w:val="24"/>
          <w:szCs w:val="24"/>
        </w:rPr>
        <w:t>образования</w:t>
      </w:r>
      <w:proofErr w:type="gramEnd"/>
      <w:r>
        <w:rPr>
          <w:rFonts w:ascii="Times New Roman" w:hAnsi="Times New Roman"/>
          <w:bCs/>
          <w:sz w:val="24"/>
          <w:szCs w:val="24"/>
        </w:rPr>
        <w:t xml:space="preserve"> Северск Томской области</w:t>
      </w:r>
    </w:p>
    <w:p>
      <w:pPr>
        <w:pStyle w:val="ConsPlusNormal"/>
        <w:spacing w:after="1"/>
        <w:rPr>
          <w:szCs w:val="24"/>
        </w:rPr>
      </w:pPr>
    </w:p>
    <w:p>
      <w:pPr>
        <w:autoSpaceDE w:val="0"/>
        <w:autoSpaceDN w:val="0"/>
        <w:adjustRightInd w:val="0"/>
        <w:ind w:firstLine="540"/>
        <w:jc w:val="both"/>
        <w:rPr>
          <w:rFonts w:ascii="Times New Roman" w:hAnsi="Times New Roman"/>
          <w:sz w:val="24"/>
          <w:szCs w:val="24"/>
        </w:rPr>
      </w:pPr>
      <w:r>
        <w:rPr>
          <w:rFonts w:ascii="Times New Roman" w:hAnsi="Times New Roman"/>
          <w:bCs/>
          <w:sz w:val="24"/>
          <w:szCs w:val="24"/>
        </w:rPr>
        <w:t xml:space="preserve">1. Настоящий Порядок </w:t>
      </w:r>
      <w:r>
        <w:rPr>
          <w:rFonts w:ascii="Times New Roman" w:hAnsi="Times New Roman"/>
          <w:sz w:val="24"/>
          <w:szCs w:val="24"/>
        </w:rPr>
        <w:t xml:space="preserve">устанавливает порядок санкционирования Управлением Федерального казначейства по Томской области (далее – УФК по ТО) оплаты за счет средств бюджета </w:t>
      </w:r>
      <w:r>
        <w:rPr>
          <w:rFonts w:ascii="Times New Roman" w:hAnsi="Times New Roman"/>
          <w:bCs/>
          <w:sz w:val="24"/>
          <w:szCs w:val="24"/>
        </w:rPr>
        <w:t xml:space="preserve">городского округа закрытого административно-территориального образования Северск Томской области (далее – бюджет ЗАТО Северск) </w:t>
      </w:r>
      <w:r>
        <w:rPr>
          <w:rFonts w:ascii="Times New Roman" w:hAnsi="Times New Roman"/>
          <w:sz w:val="24"/>
          <w:szCs w:val="24"/>
        </w:rPr>
        <w:t xml:space="preserve">денежных обязательств получателей средств бюджета ЗАТО Северск </w:t>
      </w:r>
      <w:r>
        <w:rPr>
          <w:rFonts w:ascii="Times New Roman" w:eastAsiaTheme="minorHAnsi" w:hAnsi="Times New Roman"/>
          <w:sz w:val="24"/>
          <w:szCs w:val="24"/>
          <w:lang w:eastAsia="en-US"/>
        </w:rPr>
        <w:t xml:space="preserve">и оплаты денежных обязательств, подлежащих исполнению за счет бюджетных ассигнований по источникам </w:t>
      </w:r>
      <w:r>
        <w:rPr>
          <w:rFonts w:ascii="Times New Roman" w:hAnsi="Times New Roman"/>
          <w:sz w:val="24"/>
          <w:szCs w:val="24"/>
        </w:rPr>
        <w:t xml:space="preserve">финансирования дефицита бюджета ЗАТО Северск. </w:t>
      </w:r>
    </w:p>
    <w:p>
      <w:pPr>
        <w:autoSpaceDE w:val="0"/>
        <w:autoSpaceDN w:val="0"/>
        <w:adjustRightInd w:val="0"/>
        <w:ind w:firstLine="540"/>
        <w:jc w:val="both"/>
        <w:rPr>
          <w:rFonts w:ascii="Times New Roman" w:hAnsi="Times New Roman"/>
          <w:sz w:val="24"/>
          <w:szCs w:val="24"/>
        </w:rPr>
      </w:pPr>
      <w:bookmarkStart w:id="1" w:name="P53"/>
      <w:bookmarkEnd w:id="1"/>
      <w:r>
        <w:rPr>
          <w:rFonts w:ascii="Times New Roman" w:hAnsi="Times New Roman"/>
          <w:sz w:val="24"/>
          <w:szCs w:val="24"/>
        </w:rPr>
        <w:t xml:space="preserve">2. Для оплаты денежных обязательств получатель средств бюджета ЗАТО Северск (администратор источников финансирования дефицита бюджета ЗАТО Северск) представляет в УФК по ТО распоряжение о совершении казначейского платежа в соответствии с порядком казначейского обслуживания, установленным Приказом Казначейства России от 14.05.2020 № </w:t>
      </w:r>
      <w:bookmarkStart w:id="2" w:name="_GoBack"/>
      <w:bookmarkEnd w:id="2"/>
      <w:r>
        <w:rPr>
          <w:rFonts w:ascii="Times New Roman" w:hAnsi="Times New Roman"/>
          <w:sz w:val="24"/>
          <w:szCs w:val="24"/>
        </w:rPr>
        <w:t>21н (далее - Распоряжение).</w:t>
      </w:r>
    </w:p>
    <w:p>
      <w:pPr>
        <w:pStyle w:val="ConsPlusNormal"/>
        <w:ind w:firstLine="540"/>
        <w:jc w:val="both"/>
        <w:rPr>
          <w:szCs w:val="24"/>
        </w:rPr>
      </w:pPr>
      <w:r>
        <w:rPr>
          <w:szCs w:val="24"/>
        </w:rPr>
        <w:t xml:space="preserve">3. УФК по ТО проверяет Распоряжение на наличие в нем реквизитов и показателей, предусмотренных </w:t>
      </w:r>
      <w:hyperlink w:anchor="P56">
        <w:r>
          <w:rPr>
            <w:szCs w:val="24"/>
          </w:rPr>
          <w:t>пунктом 4</w:t>
        </w:r>
      </w:hyperlink>
      <w:r>
        <w:rPr>
          <w:szCs w:val="24"/>
        </w:rPr>
        <w:t xml:space="preserve"> настоящего Порядка (с учетом положений </w:t>
      </w:r>
      <w:hyperlink w:anchor="P107">
        <w:r>
          <w:rPr>
            <w:szCs w:val="24"/>
          </w:rPr>
          <w:t>пункта 5</w:t>
        </w:r>
      </w:hyperlink>
      <w:r>
        <w:rPr>
          <w:szCs w:val="24"/>
        </w:rPr>
        <w:t xml:space="preserve"> настоящего Порядка), на соответствие требованиям, установленным </w:t>
      </w:r>
      <w:hyperlink w:anchor="P113">
        <w:r>
          <w:rPr>
            <w:szCs w:val="24"/>
          </w:rPr>
          <w:t>пунктами 6</w:t>
        </w:r>
      </w:hyperlink>
      <w:r>
        <w:rPr>
          <w:szCs w:val="24"/>
        </w:rPr>
        <w:t xml:space="preserve">, </w:t>
      </w:r>
      <w:hyperlink w:anchor="P159">
        <w:r>
          <w:rPr>
            <w:szCs w:val="24"/>
          </w:rPr>
          <w:t>7</w:t>
        </w:r>
      </w:hyperlink>
      <w:r>
        <w:rPr>
          <w:szCs w:val="24"/>
        </w:rPr>
        <w:t xml:space="preserve">, 9 и </w:t>
      </w:r>
      <w:hyperlink w:anchor="P169">
        <w:r>
          <w:rPr>
            <w:szCs w:val="24"/>
          </w:rPr>
          <w:t>1</w:t>
        </w:r>
      </w:hyperlink>
      <w:r>
        <w:rPr>
          <w:szCs w:val="24"/>
        </w:rPr>
        <w:t xml:space="preserve">0 настоящего Порядка, а также наличие документов, предусмотренных </w:t>
      </w:r>
      <w:hyperlink w:anchor="P159">
        <w:r>
          <w:rPr>
            <w:szCs w:val="24"/>
          </w:rPr>
          <w:t>пунктами 7</w:t>
        </w:r>
      </w:hyperlink>
      <w:r>
        <w:rPr>
          <w:szCs w:val="24"/>
        </w:rPr>
        <w:t xml:space="preserve"> - 8</w:t>
      </w:r>
      <w:hyperlink w:anchor="P163"/>
      <w:r>
        <w:rPr>
          <w:szCs w:val="24"/>
        </w:rPr>
        <w:t xml:space="preserve"> настоящего Порядка:</w:t>
      </w:r>
    </w:p>
    <w:p>
      <w:pPr>
        <w:pStyle w:val="ConsPlusNormal"/>
        <w:ind w:firstLine="540"/>
        <w:jc w:val="both"/>
        <w:rPr>
          <w:szCs w:val="24"/>
        </w:rPr>
      </w:pPr>
      <w:proofErr w:type="gramStart"/>
      <w:r>
        <w:rPr>
          <w:szCs w:val="24"/>
        </w:rPr>
        <w:t>не</w:t>
      </w:r>
      <w:proofErr w:type="gramEnd"/>
      <w:r>
        <w:rPr>
          <w:szCs w:val="24"/>
        </w:rPr>
        <w:t xml:space="preserve"> позднее рабочего дня, следующего за днем представления получателем средств бюджета ЗАТО Северск (администратором источников финансирования дефицита бюджета ЗАТО Северск) Распоряжения в УФК по ТО;</w:t>
      </w:r>
    </w:p>
    <w:p>
      <w:pPr>
        <w:pStyle w:val="ConsPlusNormal"/>
        <w:ind w:firstLine="540"/>
        <w:jc w:val="both"/>
        <w:rPr>
          <w:szCs w:val="24"/>
        </w:rPr>
      </w:pPr>
      <w:bookmarkStart w:id="3" w:name="P56"/>
      <w:bookmarkEnd w:id="3"/>
      <w:r>
        <w:rPr>
          <w:szCs w:val="24"/>
        </w:rPr>
        <w:t>4. Распоряжение проверяется на наличие в нем следующих реквизитов и показателей:</w:t>
      </w:r>
    </w:p>
    <w:p>
      <w:pPr>
        <w:pStyle w:val="ConsPlusNormal"/>
        <w:ind w:firstLine="540"/>
        <w:jc w:val="both"/>
        <w:rPr>
          <w:szCs w:val="24"/>
        </w:rPr>
      </w:pPr>
      <w:r>
        <w:rPr>
          <w:szCs w:val="24"/>
        </w:rPr>
        <w:t xml:space="preserve">1) подписей, соответствующих имеющимся образцам, представленным получателем средств бюджета ЗАТО Северск (администратором источников финансирования дефицита бюджета ЗАТО Северск) для открытия соответствующего лицевого счета в порядке, установленным Приказом Казначейства России от 01.04.2020 № 14н (за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
    <w:p>
      <w:pPr>
        <w:autoSpaceDE w:val="0"/>
        <w:autoSpaceDN w:val="0"/>
        <w:adjustRightInd w:val="0"/>
        <w:ind w:firstLine="567"/>
        <w:jc w:val="both"/>
        <w:rPr>
          <w:rFonts w:ascii="Times New Roman" w:hAnsi="Times New Roman"/>
          <w:sz w:val="24"/>
          <w:szCs w:val="24"/>
        </w:rPr>
      </w:pPr>
      <w:bookmarkStart w:id="4" w:name="P66"/>
      <w:bookmarkEnd w:id="4"/>
      <w:r>
        <w:rPr>
          <w:rFonts w:ascii="Times New Roman" w:hAnsi="Times New Roman"/>
          <w:sz w:val="24"/>
          <w:szCs w:val="24"/>
        </w:rPr>
        <w:t>2) уникального кода получателя средств бюджета ЗАТО Северск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Приказом Минфина России от 23.12.2014 № 163н</w:t>
      </w:r>
      <w:r>
        <w:rPr>
          <w:szCs w:val="24"/>
        </w:rPr>
        <w:t xml:space="preserve"> </w:t>
      </w:r>
      <w:r>
        <w:rPr>
          <w:rFonts w:ascii="Times New Roman" w:hAnsi="Times New Roman"/>
          <w:sz w:val="24"/>
          <w:szCs w:val="24"/>
        </w:rPr>
        <w:t>(далее - код участника бюджетного процесса по Сводному реестру), и номера соответствующего лицевого счета;</w:t>
      </w:r>
    </w:p>
    <w:p>
      <w:pPr>
        <w:pStyle w:val="ConsPlusNormal"/>
        <w:ind w:firstLine="539"/>
        <w:jc w:val="both"/>
        <w:rPr>
          <w:szCs w:val="24"/>
        </w:rPr>
      </w:pPr>
      <w:r>
        <w:rPr>
          <w:szCs w:val="24"/>
        </w:rPr>
        <w:lastRenderedPageBreak/>
        <w:t>3) кодов классификации расходов бюджета ЗАТО Северск (классификации источников финансирования дефицитов бюджета ЗАТО Северск), по которым необходимо произвести перечисление, уникального кода объекта капитального строительства или объекта недвижимости, в случае оплаты денежных обязательств, связанных с осуществлением капитальных вложений в объекты капитального строительства или объекты недвижимого имущества, а также текстового назначения платежа;</w:t>
      </w:r>
    </w:p>
    <w:p>
      <w:pPr>
        <w:pStyle w:val="ConsPlusNormal"/>
        <w:ind w:firstLine="539"/>
        <w:jc w:val="both"/>
        <w:rPr>
          <w:szCs w:val="24"/>
        </w:rPr>
      </w:pPr>
      <w:r>
        <w:rPr>
          <w:szCs w:val="24"/>
        </w:rPr>
        <w:t xml:space="preserve">4) суммы перечисления и кода валюты в соответствии с Общероссийским </w:t>
      </w:r>
      <w:hyperlink r:id="rId14">
        <w:r>
          <w:rPr>
            <w:szCs w:val="24"/>
          </w:rPr>
          <w:t>классификатором</w:t>
        </w:r>
      </w:hyperlink>
      <w:r>
        <w:rPr>
          <w:szCs w:val="24"/>
        </w:rPr>
        <w:t xml:space="preserve"> валют, в которой он должен быть произведен;</w:t>
      </w:r>
    </w:p>
    <w:p>
      <w:pPr>
        <w:pStyle w:val="ConsPlusNormal"/>
        <w:ind w:firstLine="539"/>
        <w:jc w:val="both"/>
        <w:rPr>
          <w:szCs w:val="24"/>
        </w:rPr>
      </w:pPr>
      <w:r>
        <w:rPr>
          <w:szCs w:val="24"/>
        </w:rPr>
        <w:t>5) суммы перечисления в валюте Российской Федерации, в рублевом эквиваленте, исчисленном на дату оформления Распоряжения;</w:t>
      </w:r>
    </w:p>
    <w:p>
      <w:pPr>
        <w:pStyle w:val="ConsPlusNormal"/>
        <w:ind w:firstLine="539"/>
        <w:jc w:val="both"/>
        <w:rPr>
          <w:szCs w:val="24"/>
        </w:rPr>
      </w:pPr>
      <w:r>
        <w:rPr>
          <w:szCs w:val="24"/>
        </w:rPr>
        <w:t>6) вида средств (средства бюджета ЗАТО Северск);</w:t>
      </w:r>
    </w:p>
    <w:p>
      <w:pPr>
        <w:pStyle w:val="ConsPlusNormal"/>
        <w:ind w:firstLine="567"/>
        <w:jc w:val="both"/>
        <w:rPr>
          <w:szCs w:val="24"/>
        </w:rPr>
      </w:pPr>
      <w:r>
        <w:rPr>
          <w:szCs w:val="24"/>
        </w:rPr>
        <w:t>7) наименования, банковских реквизитов, идентификационного номера налогоплательщика (ИНН) и кода причины постановки на учет (КПП) (при наличии) получателя денежных средств в Распоряжении;</w:t>
      </w:r>
    </w:p>
    <w:p>
      <w:pPr>
        <w:pStyle w:val="ConsPlusNormal"/>
        <w:ind w:firstLine="539"/>
        <w:jc w:val="both"/>
        <w:rPr>
          <w:szCs w:val="24"/>
        </w:rPr>
      </w:pPr>
      <w:bookmarkStart w:id="5" w:name="P78"/>
      <w:bookmarkEnd w:id="5"/>
      <w:r>
        <w:rPr>
          <w:szCs w:val="24"/>
        </w:rPr>
        <w:t>8) номера учтенного в УФК по ТО бюджетного обязательства и номера денежного обязательства получателя средств бюджета ЗАТО Северск (при наличии);</w:t>
      </w:r>
    </w:p>
    <w:p>
      <w:pPr>
        <w:pStyle w:val="ConsPlusNormal"/>
        <w:ind w:firstLine="539"/>
        <w:jc w:val="both"/>
        <w:rPr>
          <w:szCs w:val="24"/>
        </w:rPr>
      </w:pPr>
      <w:r>
        <w:rPr>
          <w:szCs w:val="24"/>
        </w:rPr>
        <w:t>9) номера и серии чека;</w:t>
      </w:r>
    </w:p>
    <w:p>
      <w:pPr>
        <w:pStyle w:val="ConsPlusNormal"/>
        <w:ind w:firstLine="539"/>
        <w:jc w:val="both"/>
        <w:rPr>
          <w:szCs w:val="24"/>
        </w:rPr>
      </w:pPr>
      <w:r>
        <w:rPr>
          <w:szCs w:val="24"/>
        </w:rPr>
        <w:t>10) срока действия чека;</w:t>
      </w:r>
    </w:p>
    <w:p>
      <w:pPr>
        <w:pStyle w:val="ConsPlusNormal"/>
        <w:ind w:firstLine="539"/>
        <w:jc w:val="both"/>
        <w:rPr>
          <w:szCs w:val="24"/>
        </w:rPr>
      </w:pPr>
      <w:r>
        <w:rPr>
          <w:szCs w:val="24"/>
        </w:rPr>
        <w:t>11) фамилии, имени и отчества получателя средств по чеку;</w:t>
      </w:r>
    </w:p>
    <w:p>
      <w:pPr>
        <w:pStyle w:val="ConsPlusNormal"/>
        <w:ind w:firstLine="539"/>
        <w:jc w:val="both"/>
        <w:rPr>
          <w:szCs w:val="24"/>
        </w:rPr>
      </w:pPr>
      <w:r>
        <w:rPr>
          <w:szCs w:val="24"/>
        </w:rPr>
        <w:t>12) данных документов, удостоверяющих личность получателя средств по чеку;</w:t>
      </w:r>
      <w:bookmarkStart w:id="6" w:name="P83"/>
      <w:bookmarkEnd w:id="6"/>
    </w:p>
    <w:p>
      <w:pPr>
        <w:pStyle w:val="ConsPlusNormal"/>
        <w:ind w:firstLine="539"/>
        <w:jc w:val="both"/>
        <w:rPr>
          <w:szCs w:val="24"/>
        </w:rPr>
      </w:pPr>
      <w:r>
        <w:rPr>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pPr>
        <w:pStyle w:val="ConsPlusNormal"/>
        <w:ind w:firstLine="540"/>
        <w:jc w:val="both"/>
        <w:rPr>
          <w:szCs w:val="24"/>
        </w:rPr>
      </w:pPr>
      <w:bookmarkStart w:id="7" w:name="P87"/>
      <w:bookmarkEnd w:id="7"/>
      <w:r>
        <w:rPr>
          <w:szCs w:val="24"/>
        </w:rPr>
        <w:t xml:space="preserve">14) реквизитов (номер, дата) документов (договора (муниципального контракта) на поставку товаров, выполнение работ, оказание услуг (далее - договор (муниципальный контракт), договора (соглашения) о предоставлении субсидии муниципальному бюджетному или автономному учреждению, договора (соглашения) о предоставлении субсидии из бюджета ЗАТО Северск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w:t>
      </w:r>
      <w:hyperlink r:id="rId15">
        <w:r>
          <w:rPr>
            <w:szCs w:val="24"/>
          </w:rPr>
          <w:t>статьей 80</w:t>
        </w:r>
      </w:hyperlink>
      <w:r>
        <w:rPr>
          <w:szCs w:val="24"/>
        </w:rPr>
        <w:t xml:space="preserve"> Бюджетного кодекса Российской Федерации (далее - договор о предоставлении инвестиций) (при наличии), на основании которых возникают бюджетные обязательства получателей средств бюджета ЗАТО Северск, и документов, подтверждающих возникновение денежных обязательств получателей средств бюджета ЗАТО Северск, предоставляемых получателями средств бюджета ЗАТО Северск при постановке на учет бюджетных и денежных обязательств в соответствии с Порядком учета УФК по ТО бюджетных и денежных обязательств получателей средств бюджета ЗАТО Северск, установленным Финансовым управлением Администрации ЗАТО Северск.</w:t>
      </w:r>
    </w:p>
    <w:p>
      <w:pPr>
        <w:pStyle w:val="ConsPlusNormal"/>
        <w:ind w:firstLine="540"/>
        <w:jc w:val="both"/>
        <w:rPr>
          <w:szCs w:val="24"/>
        </w:rPr>
      </w:pPr>
      <w:r>
        <w:rPr>
          <w:szCs w:val="24"/>
        </w:rPr>
        <w:t xml:space="preserve">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w:t>
      </w:r>
      <w:hyperlink r:id="rId16">
        <w:r>
          <w:rPr>
            <w:szCs w:val="24"/>
          </w:rPr>
          <w:t>графой 3</w:t>
        </w:r>
      </w:hyperlink>
      <w:r>
        <w:rPr>
          <w:szCs w:val="24"/>
        </w:rPr>
        <w:t xml:space="preserve"> Перечня документов, на основании которых возникают бюджетные обязательства получателей средств бюджета ЗАТО Северск, и документов, подтверждающих возникновение денежных обязательств получателей средств бюджета ЗАТО Северск , являющегося приложением № 3 к Порядку учета УФК по ТО бюджетных и денежных обязательств получателей средств бюджета ЗАТО Северск, установленным Финансовым управлением Администрации ЗАТО Северск (далее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Start w:id="8" w:name="P94"/>
      <w:bookmarkEnd w:id="8"/>
    </w:p>
    <w:p>
      <w:pPr>
        <w:pStyle w:val="ConsPlusNormal"/>
        <w:ind w:firstLine="540"/>
        <w:jc w:val="both"/>
        <w:rPr>
          <w:szCs w:val="24"/>
        </w:rPr>
      </w:pPr>
      <w:r>
        <w:rPr>
          <w:szCs w:val="24"/>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pPr>
        <w:pStyle w:val="ConsPlusNormal"/>
        <w:ind w:firstLine="540"/>
        <w:jc w:val="both"/>
        <w:rPr>
          <w:szCs w:val="24"/>
        </w:rPr>
      </w:pPr>
      <w:r>
        <w:rPr>
          <w:szCs w:val="24"/>
        </w:rPr>
        <w:t>17) идентификатора договора (муниципального контракта), соглашения, договора о предоставлении инвестиций, в случае санкционирования расходов, возникающих при оплате указанных договоров (муниципальных контрактов), соглашений, договоров о предоставлении инвестиций при казначейском сопровождении средств;</w:t>
      </w:r>
    </w:p>
    <w:p>
      <w:pPr>
        <w:pStyle w:val="ConsPlusNormal"/>
        <w:ind w:firstLine="540"/>
        <w:jc w:val="both"/>
        <w:rPr>
          <w:szCs w:val="24"/>
        </w:rPr>
      </w:pPr>
      <w:bookmarkStart w:id="9" w:name="P101"/>
      <w:bookmarkEnd w:id="9"/>
      <w:r>
        <w:rPr>
          <w:szCs w:val="24"/>
        </w:rPr>
        <w:t>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pPr>
        <w:pStyle w:val="ConsPlusNormal"/>
        <w:ind w:firstLine="540"/>
        <w:jc w:val="both"/>
        <w:rPr>
          <w:szCs w:val="24"/>
        </w:rPr>
      </w:pPr>
      <w:bookmarkStart w:id="10" w:name="P107"/>
      <w:bookmarkEnd w:id="10"/>
      <w:r>
        <w:rPr>
          <w:szCs w:val="24"/>
        </w:rPr>
        <w:t xml:space="preserve">5. Требования </w:t>
      </w:r>
      <w:hyperlink w:anchor="P87">
        <w:r>
          <w:rPr>
            <w:szCs w:val="24"/>
          </w:rPr>
          <w:t>подпункта 14 пункта 4</w:t>
        </w:r>
      </w:hyperlink>
      <w:r>
        <w:rPr>
          <w:szCs w:val="24"/>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законодательством Российской Федерации не предусмотрено.</w:t>
      </w:r>
    </w:p>
    <w:p>
      <w:pPr>
        <w:pStyle w:val="ConsPlusNormal"/>
        <w:ind w:firstLine="540"/>
        <w:jc w:val="both"/>
        <w:rPr>
          <w:szCs w:val="24"/>
        </w:rPr>
      </w:pPr>
      <w:r>
        <w:rPr>
          <w:szCs w:val="24"/>
        </w:rPr>
        <w:t>В одном Распоряжении может содержаться несколько сумм перечислений по разным кодам классификации расходов бюджета ЗАТО Северск (классификации источников финансирования дефицитов бюджета ЗАТО Северск) в рамках одного денежного обязательства получателя средств бюджета ЗАТО Северск (администратора источников финансирования дефицита бюджета ЗАТО Северск).</w:t>
      </w:r>
      <w:bookmarkStart w:id="11" w:name="P113"/>
      <w:bookmarkEnd w:id="11"/>
    </w:p>
    <w:p>
      <w:pPr>
        <w:pStyle w:val="ConsPlusNormal"/>
        <w:ind w:firstLine="540"/>
        <w:jc w:val="both"/>
        <w:rPr>
          <w:szCs w:val="24"/>
        </w:rPr>
      </w:pPr>
      <w:r>
        <w:rPr>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bookmarkStart w:id="12" w:name="P114"/>
      <w:bookmarkEnd w:id="12"/>
    </w:p>
    <w:p>
      <w:pPr>
        <w:pStyle w:val="ConsPlusNormal"/>
        <w:ind w:firstLine="540"/>
        <w:jc w:val="both"/>
        <w:rPr>
          <w:szCs w:val="24"/>
        </w:rPr>
      </w:pPr>
      <w:r>
        <w:rPr>
          <w:szCs w:val="24"/>
        </w:rPr>
        <w:t>1) соответствие указанных в Распоряжении кодов классификации расходов бюджета ЗАТО Северск кодам бюджетной классификации Российской Федерации, действующим в текущем финансовом году на момент представления Распоряжения;</w:t>
      </w:r>
    </w:p>
    <w:p>
      <w:pPr>
        <w:pStyle w:val="ConsPlusNormal"/>
        <w:ind w:firstLine="540"/>
        <w:jc w:val="both"/>
        <w:rPr>
          <w:szCs w:val="24"/>
        </w:rPr>
      </w:pPr>
      <w:r>
        <w:rPr>
          <w:szCs w:val="24"/>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bookmarkStart w:id="13" w:name="P117"/>
      <w:bookmarkEnd w:id="13"/>
    </w:p>
    <w:p>
      <w:pPr>
        <w:pStyle w:val="ConsPlusNormal"/>
        <w:ind w:firstLine="540"/>
        <w:jc w:val="both"/>
        <w:rPr>
          <w:szCs w:val="24"/>
        </w:rPr>
      </w:pPr>
      <w:r>
        <w:rPr>
          <w:szCs w:val="24"/>
        </w:rPr>
        <w:t>3) соответствие указанных в Распоряжении кодов видов расходов классификации расходов бюджета ЗАТО Северск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Приказом Минфина России от 24.05.2022 № 82н (далее - порядок применения бюджетной классификации);</w:t>
      </w:r>
    </w:p>
    <w:p>
      <w:pPr>
        <w:pStyle w:val="ConsPlusNormal"/>
        <w:ind w:firstLine="540"/>
        <w:jc w:val="both"/>
        <w:rPr>
          <w:szCs w:val="24"/>
        </w:rPr>
      </w:pPr>
      <w:bookmarkStart w:id="14" w:name="P121"/>
      <w:bookmarkEnd w:id="14"/>
      <w:r>
        <w:rPr>
          <w:szCs w:val="24"/>
        </w:rPr>
        <w:t xml:space="preserve">4) </w:t>
      </w:r>
      <w:proofErr w:type="spellStart"/>
      <w:r>
        <w:rPr>
          <w:szCs w:val="24"/>
        </w:rPr>
        <w:t>непревышение</w:t>
      </w:r>
      <w:proofErr w:type="spellEnd"/>
      <w:r>
        <w:rPr>
          <w:szCs w:val="24"/>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 в том числе по уникальным кодам объектов капитального строительства или объектов недвижимого имущества;</w:t>
      </w:r>
    </w:p>
    <w:p>
      <w:pPr>
        <w:pStyle w:val="ConsPlusNormal"/>
        <w:ind w:firstLine="540"/>
        <w:jc w:val="both"/>
        <w:rPr>
          <w:szCs w:val="24"/>
        </w:rPr>
      </w:pPr>
      <w:bookmarkStart w:id="15" w:name="P122"/>
      <w:bookmarkStart w:id="16" w:name="P128"/>
      <w:bookmarkEnd w:id="15"/>
      <w:bookmarkEnd w:id="16"/>
      <w:r>
        <w:rPr>
          <w:szCs w:val="24"/>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pPr>
        <w:pStyle w:val="ConsPlusNormal"/>
        <w:ind w:firstLine="540"/>
        <w:jc w:val="both"/>
        <w:rPr>
          <w:szCs w:val="24"/>
        </w:rPr>
      </w:pPr>
      <w:r>
        <w:rPr>
          <w:szCs w:val="24"/>
        </w:rPr>
        <w:t>6) соответствие реквизитов Распоряжения требованиям бюджетного законодательства Российской Федерации о перечислении средств бюджета ЗАТО Северск на соответствующие казначейские счета;</w:t>
      </w:r>
    </w:p>
    <w:p>
      <w:pPr>
        <w:pStyle w:val="ConsPlusNormal"/>
        <w:ind w:firstLine="540"/>
        <w:jc w:val="both"/>
        <w:rPr>
          <w:szCs w:val="24"/>
        </w:rPr>
      </w:pPr>
      <w:r>
        <w:rPr>
          <w:szCs w:val="24"/>
        </w:rPr>
        <w:t>7) идентичность кода участника бюджетного процесса по Сводному реестру по денежному обязательству и платежу;</w:t>
      </w:r>
    </w:p>
    <w:p>
      <w:pPr>
        <w:pStyle w:val="ConsPlusNormal"/>
        <w:ind w:firstLine="540"/>
        <w:jc w:val="both"/>
        <w:rPr>
          <w:szCs w:val="24"/>
        </w:rPr>
      </w:pPr>
      <w:r>
        <w:rPr>
          <w:szCs w:val="24"/>
        </w:rPr>
        <w:t>8) идентичность кода (кодов) классификации расходов бюджета ЗАТО Северск по денежному обязательству и платежу;</w:t>
      </w:r>
    </w:p>
    <w:p>
      <w:pPr>
        <w:pStyle w:val="ConsPlusNormal"/>
        <w:ind w:firstLine="540"/>
        <w:jc w:val="both"/>
        <w:rPr>
          <w:szCs w:val="24"/>
        </w:rPr>
      </w:pPr>
      <w:r>
        <w:rPr>
          <w:szCs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pPr>
        <w:pStyle w:val="ConsPlusNormal"/>
        <w:ind w:firstLine="540"/>
        <w:jc w:val="both"/>
        <w:rPr>
          <w:szCs w:val="24"/>
        </w:rPr>
      </w:pPr>
      <w:r>
        <w:rPr>
          <w:szCs w:val="24"/>
        </w:rPr>
        <w:t xml:space="preserve">10) </w:t>
      </w:r>
      <w:proofErr w:type="spellStart"/>
      <w:r>
        <w:rPr>
          <w:szCs w:val="24"/>
        </w:rPr>
        <w:t>непревышение</w:t>
      </w:r>
      <w:proofErr w:type="spellEnd"/>
      <w:r>
        <w:rPr>
          <w:szCs w:val="24"/>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pPr>
        <w:pStyle w:val="ConsPlusNormal"/>
        <w:ind w:firstLine="540"/>
        <w:jc w:val="both"/>
        <w:rPr>
          <w:szCs w:val="24"/>
        </w:rPr>
      </w:pPr>
      <w:r>
        <w:rPr>
          <w:szCs w:val="24"/>
        </w:rPr>
        <w:t>11) соответствие кода классификации расходов бюджета ЗАТО Северск и уникального кода объекта капитального строительства или объекта недвижимого имущества по денежному обязательству и платежу;</w:t>
      </w:r>
    </w:p>
    <w:p>
      <w:pPr>
        <w:pStyle w:val="ConsPlusNormal"/>
        <w:ind w:firstLine="540"/>
        <w:jc w:val="both"/>
        <w:rPr>
          <w:szCs w:val="24"/>
        </w:rPr>
      </w:pPr>
      <w:r>
        <w:rPr>
          <w:szCs w:val="24"/>
        </w:rPr>
        <w:t xml:space="preserve">12) </w:t>
      </w:r>
      <w:proofErr w:type="spellStart"/>
      <w:r>
        <w:rPr>
          <w:szCs w:val="24"/>
        </w:rPr>
        <w:t>непревышение</w:t>
      </w:r>
      <w:proofErr w:type="spellEnd"/>
      <w:r>
        <w:rPr>
          <w:szCs w:val="24"/>
        </w:rPr>
        <w:t xml:space="preserve">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bookmarkStart w:id="17" w:name="P137"/>
      <w:bookmarkStart w:id="18" w:name="P144"/>
      <w:bookmarkEnd w:id="17"/>
      <w:bookmarkEnd w:id="18"/>
    </w:p>
    <w:p>
      <w:pPr>
        <w:pStyle w:val="ConsPlusNormal"/>
        <w:ind w:firstLine="540"/>
        <w:jc w:val="both"/>
        <w:rPr>
          <w:szCs w:val="24"/>
        </w:rPr>
      </w:pPr>
      <w:r>
        <w:t>13) соответствие уникального номера реестровой записи в реестре контрактов договору (муниципальному контракту), подлежащему включению в реестр контрактов, указанных в Распоряжении;</w:t>
      </w:r>
    </w:p>
    <w:p>
      <w:pPr>
        <w:pStyle w:val="ConsPlusNormal"/>
        <w:ind w:firstLine="540"/>
        <w:jc w:val="both"/>
        <w:rPr>
          <w:szCs w:val="24"/>
        </w:rPr>
      </w:pPr>
      <w:r>
        <w:rPr>
          <w:szCs w:val="24"/>
        </w:rPr>
        <w:t xml:space="preserve">14) </w:t>
      </w:r>
      <w:proofErr w:type="spellStart"/>
      <w:r>
        <w:rPr>
          <w:szCs w:val="24"/>
        </w:rPr>
        <w:t>непревышение</w:t>
      </w:r>
      <w:proofErr w:type="spellEnd"/>
      <w:r>
        <w:rPr>
          <w:szCs w:val="24"/>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решением Думы ЗАТО Северск о бюджете на текущий год и плановый период;</w:t>
      </w:r>
      <w:bookmarkStart w:id="19" w:name="P145"/>
      <w:bookmarkEnd w:id="19"/>
    </w:p>
    <w:p>
      <w:pPr>
        <w:pStyle w:val="ConsPlusNormal"/>
        <w:ind w:firstLine="540"/>
        <w:jc w:val="both"/>
        <w:rPr>
          <w:szCs w:val="24"/>
        </w:rPr>
      </w:pPr>
      <w:r>
        <w:rPr>
          <w:szCs w:val="24"/>
        </w:rPr>
        <w:t xml:space="preserve">15) </w:t>
      </w:r>
      <w:proofErr w:type="spellStart"/>
      <w:r>
        <w:rPr>
          <w:szCs w:val="24"/>
        </w:rPr>
        <w:t>неопережение</w:t>
      </w:r>
      <w:proofErr w:type="spellEnd"/>
      <w:r>
        <w:rPr>
          <w:szCs w:val="24"/>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bookmarkStart w:id="20" w:name="P146"/>
      <w:bookmarkEnd w:id="20"/>
    </w:p>
    <w:p>
      <w:pPr>
        <w:pStyle w:val="ConsPlusNormal"/>
        <w:ind w:firstLine="540"/>
        <w:jc w:val="both"/>
        <w:rPr>
          <w:szCs w:val="24"/>
        </w:rPr>
      </w:pPr>
      <w:r>
        <w:rPr>
          <w:szCs w:val="24"/>
        </w:rPr>
        <w:t xml:space="preserve">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порядке, установленном Приказом Минфина России от 16.11.2015 </w:t>
      </w:r>
      <w:r>
        <w:rPr>
          <w:szCs w:val="24"/>
        </w:rPr>
        <w:br/>
        <w:t>№ 177н, в случае представления Распоряжения при перечислении субсидии на финансовое обеспечение выполнения муниципального задания;</w:t>
      </w:r>
    </w:p>
    <w:p>
      <w:pPr>
        <w:pStyle w:val="ConsPlusNormal"/>
        <w:ind w:firstLine="540"/>
        <w:jc w:val="both"/>
        <w:rPr>
          <w:szCs w:val="24"/>
        </w:rPr>
      </w:pPr>
      <w:bookmarkStart w:id="21" w:name="P150"/>
      <w:bookmarkEnd w:id="21"/>
      <w:r>
        <w:rPr>
          <w:szCs w:val="24"/>
        </w:rPr>
        <w:t>17)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
    <w:p>
      <w:pPr>
        <w:pStyle w:val="ConsPlusNormal"/>
        <w:ind w:firstLine="540"/>
        <w:jc w:val="both"/>
        <w:rPr>
          <w:szCs w:val="24"/>
        </w:rPr>
      </w:pPr>
      <w:r>
        <w:rPr>
          <w:szCs w:val="24"/>
        </w:rPr>
        <w:t>18)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bookmarkStart w:id="22" w:name="P154"/>
      <w:bookmarkEnd w:id="22"/>
    </w:p>
    <w:p>
      <w:pPr>
        <w:pStyle w:val="ConsPlusNormal"/>
        <w:ind w:firstLine="540"/>
        <w:jc w:val="both"/>
        <w:rPr>
          <w:szCs w:val="24"/>
        </w:rPr>
      </w:pPr>
      <w:r>
        <w:rPr>
          <w:szCs w:val="24"/>
        </w:rPr>
        <w:t xml:space="preserve">19) </w:t>
      </w:r>
      <w:proofErr w:type="spellStart"/>
      <w:r>
        <w:rPr>
          <w:szCs w:val="24"/>
        </w:rPr>
        <w:t>непревышение</w:t>
      </w:r>
      <w:proofErr w:type="spellEnd"/>
      <w:r>
        <w:rPr>
          <w:szCs w:val="24"/>
        </w:rPr>
        <w:t xml:space="preserve"> суммы Распоряжения над суммой, указанной в документе, подтверждающем возникновение денежного обязательства.</w:t>
      </w:r>
      <w:bookmarkStart w:id="23" w:name="P156"/>
      <w:bookmarkEnd w:id="23"/>
    </w:p>
    <w:p>
      <w:pPr>
        <w:pStyle w:val="ConsPlusNormal"/>
        <w:ind w:firstLine="540"/>
        <w:jc w:val="both"/>
        <w:rPr>
          <w:szCs w:val="24"/>
        </w:rPr>
      </w:pPr>
      <w:r>
        <w:rPr>
          <w:szCs w:val="24"/>
        </w:rPr>
        <w:t xml:space="preserve">7. В случае если Распоряжение представляется для оплаты денежного обязательства, сформированного УФК по ТО в соответствии с порядком учета обязательств, получатель средств бюджета ЗАТО Северск представляет в УФК по ТО вместе с Распоряжением указанный в нем документ, подтверждающий возникновение денежного обязательства. </w:t>
      </w:r>
    </w:p>
    <w:p>
      <w:pPr>
        <w:pStyle w:val="ConsPlusNormal"/>
        <w:ind w:firstLine="540"/>
        <w:jc w:val="both"/>
        <w:rPr>
          <w:szCs w:val="24"/>
        </w:rPr>
      </w:pPr>
      <w:r>
        <w:rPr>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113">
        <w:r>
          <w:rPr>
            <w:szCs w:val="24"/>
          </w:rPr>
          <w:t>пунктом 6</w:t>
        </w:r>
      </w:hyperlink>
      <w:r>
        <w:rPr>
          <w:szCs w:val="24"/>
        </w:rPr>
        <w:t xml:space="preserve"> настоящего Порядка, осуществляется проверка равенства сумм Распоряжения сумме соответствующего денежного обязательства.</w:t>
      </w:r>
      <w:bookmarkStart w:id="24" w:name="P163"/>
      <w:bookmarkEnd w:id="24"/>
    </w:p>
    <w:p>
      <w:pPr>
        <w:pStyle w:val="ConsPlusNormal"/>
        <w:ind w:firstLine="540"/>
        <w:jc w:val="both"/>
        <w:rPr>
          <w:szCs w:val="24"/>
        </w:rPr>
      </w:pPr>
      <w:r>
        <w:rPr>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ЗАТО Северск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ЗАТО Северск, получатель средств бюджета ЗАТО Северск представляет в УФК по ТО, в том числе с использованием единой информационной системы в сфере закупок, не позднее представления Распоряжения на оплату денежного обязательства по договору (муниципальному контракту) Распоряжение на перечисление в доход бюджета ЗАТО Северск суммы неустойки (штрафа, пеней) по данному договору (муниципальному контракту).</w:t>
      </w:r>
      <w:bookmarkStart w:id="25" w:name="P165"/>
      <w:bookmarkEnd w:id="25"/>
    </w:p>
    <w:p>
      <w:pPr>
        <w:pStyle w:val="ConsPlusNormal"/>
        <w:ind w:firstLine="540"/>
        <w:jc w:val="both"/>
        <w:rPr>
          <w:szCs w:val="24"/>
        </w:rPr>
      </w:pPr>
      <w:r>
        <w:rPr>
          <w:szCs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pPr>
        <w:pStyle w:val="ConsPlusNormal"/>
        <w:ind w:firstLine="540"/>
        <w:jc w:val="both"/>
        <w:rPr>
          <w:szCs w:val="24"/>
        </w:rPr>
      </w:pPr>
      <w:r>
        <w:rPr>
          <w:szCs w:val="24"/>
        </w:rPr>
        <w:t>1) соответствие указанных в Распоряжении кодов классификации расходов бюджета ЗАТО Северск кодам бюджетной классификации Российской Федерации, действующим в текущем финансовом году на момент представления Распоряжения;</w:t>
      </w:r>
    </w:p>
    <w:p>
      <w:pPr>
        <w:pStyle w:val="ConsPlusNormal"/>
        <w:ind w:firstLine="540"/>
        <w:jc w:val="both"/>
        <w:rPr>
          <w:szCs w:val="24"/>
        </w:rPr>
      </w:pPr>
      <w:r>
        <w:rPr>
          <w:szCs w:val="24"/>
        </w:rPr>
        <w:t>2) соответствие указанных в Распоряжении кодов видов расходов классификации расходов бюджета ЗАТО Северск текстовому назначению платежа, исходя из содержания текста назначения платежа, в соответствии с порядком применения бюджетной классификации;</w:t>
      </w:r>
    </w:p>
    <w:p>
      <w:pPr>
        <w:pStyle w:val="ConsPlusNormal"/>
        <w:ind w:firstLine="540"/>
        <w:jc w:val="both"/>
        <w:rPr>
          <w:szCs w:val="24"/>
        </w:rPr>
      </w:pPr>
      <w:r>
        <w:rPr>
          <w:szCs w:val="24"/>
        </w:rPr>
        <w:t xml:space="preserve">3) </w:t>
      </w:r>
      <w:proofErr w:type="spellStart"/>
      <w:r>
        <w:rPr>
          <w:szCs w:val="24"/>
        </w:rPr>
        <w:t>непревышение</w:t>
      </w:r>
      <w:proofErr w:type="spellEnd"/>
      <w:r>
        <w:rPr>
          <w:szCs w:val="24"/>
        </w:rPr>
        <w:t xml:space="preserve"> сумм, указанных в Распоряжении, над остатками соответствующих бюджетных ассигнований, учтенных на лицевом счете получателя бюджетных средств ЗАТО Северск.</w:t>
      </w:r>
      <w:bookmarkStart w:id="26" w:name="P169"/>
      <w:bookmarkEnd w:id="26"/>
    </w:p>
    <w:p>
      <w:pPr>
        <w:pStyle w:val="ConsPlusNormal"/>
        <w:ind w:firstLine="540"/>
        <w:jc w:val="both"/>
        <w:rPr>
          <w:szCs w:val="24"/>
        </w:rPr>
      </w:pPr>
      <w:r>
        <w:rPr>
          <w:szCs w:val="24"/>
        </w:rPr>
        <w:t>10. При санкционировании оплаты денежных обязательств по перечислениям по источникам финансирования дефицита бюджета ЗАТО Северск осуществляется проверка Распоряжения по следующим направлениям:</w:t>
      </w:r>
    </w:p>
    <w:p>
      <w:pPr>
        <w:pStyle w:val="ConsPlusNormal"/>
        <w:ind w:firstLine="540"/>
        <w:jc w:val="both"/>
        <w:rPr>
          <w:szCs w:val="24"/>
        </w:rPr>
      </w:pPr>
      <w:r>
        <w:rPr>
          <w:szCs w:val="24"/>
        </w:rPr>
        <w:t>1) соответствие указанных в Распоряжении кодов классификации источников финансирования дефицита бюджета ЗАТО Северск кодам бюджетной классификации Российской Федерации, действующим в текущем финансовом году на момент представления Распоряжения;</w:t>
      </w:r>
    </w:p>
    <w:p>
      <w:pPr>
        <w:pStyle w:val="ConsPlusNormal"/>
        <w:ind w:firstLine="540"/>
        <w:jc w:val="both"/>
        <w:rPr>
          <w:szCs w:val="24"/>
        </w:rPr>
      </w:pPr>
      <w:r>
        <w:rPr>
          <w:szCs w:val="24"/>
        </w:rPr>
        <w:t>2) соответствие указанных в Распоряжении кодов аналитической группы вида источника финансирования дефицита бюджета ЗАТО Северск текстовому назначению платежа, исходя из содержания текста назначения платежа, в соответствии с порядком применения бюджетной классификации;</w:t>
      </w:r>
    </w:p>
    <w:p>
      <w:pPr>
        <w:pStyle w:val="ConsPlusNormal"/>
        <w:ind w:firstLine="540"/>
        <w:jc w:val="both"/>
        <w:rPr>
          <w:szCs w:val="24"/>
        </w:rPr>
      </w:pPr>
      <w:r>
        <w:rPr>
          <w:szCs w:val="24"/>
        </w:rPr>
        <w:t xml:space="preserve">3) </w:t>
      </w:r>
      <w:proofErr w:type="spellStart"/>
      <w:r>
        <w:rPr>
          <w:szCs w:val="24"/>
        </w:rPr>
        <w:t>непревышение</w:t>
      </w:r>
      <w:proofErr w:type="spellEnd"/>
      <w:r>
        <w:rPr>
          <w:szCs w:val="24"/>
        </w:rPr>
        <w:t xml:space="preserve"> сумм, указанных в Распоряжении, остаткам соответствующих бюджетных ассигнований, учтенных на лицевом счете администратора источников внутреннего финансирования дефицита бюджета ЗАТО Северск.</w:t>
      </w:r>
      <w:bookmarkStart w:id="27" w:name="P173"/>
      <w:bookmarkEnd w:id="27"/>
    </w:p>
    <w:p>
      <w:pPr>
        <w:pStyle w:val="ConsPlusNormal"/>
        <w:ind w:firstLine="540"/>
        <w:jc w:val="both"/>
        <w:rPr>
          <w:szCs w:val="24"/>
        </w:rPr>
      </w:pPr>
      <w:r>
        <w:rPr>
          <w:szCs w:val="24"/>
        </w:rPr>
        <w:t>11.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bookmarkStart w:id="28" w:name="P174"/>
      <w:bookmarkEnd w:id="28"/>
    </w:p>
    <w:p>
      <w:pPr>
        <w:pStyle w:val="ConsPlusNormal"/>
        <w:ind w:firstLine="540"/>
        <w:jc w:val="both"/>
        <w:rPr>
          <w:szCs w:val="24"/>
        </w:rPr>
      </w:pPr>
      <w:hyperlink w:anchor="P66">
        <w:proofErr w:type="gramStart"/>
        <w:r>
          <w:rPr>
            <w:szCs w:val="24"/>
          </w:rPr>
          <w:t>подпунктами</w:t>
        </w:r>
        <w:proofErr w:type="gramEnd"/>
        <w:r>
          <w:rPr>
            <w:szCs w:val="24"/>
          </w:rPr>
          <w:t xml:space="preserve"> 2</w:t>
        </w:r>
      </w:hyperlink>
      <w:r>
        <w:rPr>
          <w:szCs w:val="24"/>
        </w:rPr>
        <w:t xml:space="preserve"> - </w:t>
      </w:r>
      <w:hyperlink w:anchor="P78">
        <w:r>
          <w:rPr>
            <w:szCs w:val="24"/>
          </w:rPr>
          <w:t>8</w:t>
        </w:r>
      </w:hyperlink>
      <w:r>
        <w:rPr>
          <w:szCs w:val="24"/>
        </w:rPr>
        <w:t xml:space="preserve">, </w:t>
      </w:r>
      <w:hyperlink w:anchor="P83">
        <w:r>
          <w:rPr>
            <w:szCs w:val="24"/>
          </w:rPr>
          <w:t>13</w:t>
        </w:r>
      </w:hyperlink>
      <w:r>
        <w:rPr>
          <w:szCs w:val="24"/>
        </w:rPr>
        <w:t xml:space="preserve"> - </w:t>
      </w:r>
      <w:hyperlink w:anchor="P101">
        <w:r>
          <w:rPr>
            <w:szCs w:val="24"/>
          </w:rPr>
          <w:t>18 пункта 4</w:t>
        </w:r>
      </w:hyperlink>
      <w:r>
        <w:rPr>
          <w:szCs w:val="24"/>
        </w:rPr>
        <w:t xml:space="preserve">, </w:t>
      </w:r>
      <w:hyperlink w:anchor="P114">
        <w:r>
          <w:rPr>
            <w:szCs w:val="24"/>
          </w:rPr>
          <w:t>подпунктами 1</w:t>
        </w:r>
      </w:hyperlink>
      <w:r>
        <w:rPr>
          <w:szCs w:val="24"/>
        </w:rPr>
        <w:t xml:space="preserve"> - </w:t>
      </w:r>
      <w:hyperlink w:anchor="P117">
        <w:r>
          <w:rPr>
            <w:szCs w:val="24"/>
          </w:rPr>
          <w:t>3</w:t>
        </w:r>
      </w:hyperlink>
      <w:r>
        <w:rPr>
          <w:szCs w:val="24"/>
        </w:rPr>
        <w:t xml:space="preserve">, </w:t>
      </w:r>
      <w:hyperlink w:anchor="P128">
        <w:r>
          <w:rPr>
            <w:szCs w:val="24"/>
          </w:rPr>
          <w:t>5</w:t>
        </w:r>
      </w:hyperlink>
      <w:r>
        <w:rPr>
          <w:szCs w:val="24"/>
        </w:rPr>
        <w:t xml:space="preserve"> - </w:t>
      </w:r>
      <w:hyperlink w:anchor="P137">
        <w:r>
          <w:rPr>
            <w:szCs w:val="24"/>
          </w:rPr>
          <w:t>13</w:t>
        </w:r>
      </w:hyperlink>
      <w:r>
        <w:rPr>
          <w:szCs w:val="24"/>
        </w:rPr>
        <w:t xml:space="preserve">, </w:t>
      </w:r>
      <w:hyperlink w:anchor="P150">
        <w:r>
          <w:rPr>
            <w:szCs w:val="24"/>
          </w:rPr>
          <w:t>17</w:t>
        </w:r>
      </w:hyperlink>
      <w:r>
        <w:rPr>
          <w:szCs w:val="24"/>
        </w:rPr>
        <w:t xml:space="preserve"> - </w:t>
      </w:r>
      <w:hyperlink w:anchor="P154">
        <w:r>
          <w:rPr>
            <w:szCs w:val="24"/>
          </w:rPr>
          <w:t>19 пункта 6</w:t>
        </w:r>
      </w:hyperlink>
      <w:r>
        <w:rPr>
          <w:szCs w:val="24"/>
        </w:rPr>
        <w:t xml:space="preserve"> настоящего Порядка - с использованием единой информационной системы в сфере закупок;</w:t>
      </w:r>
    </w:p>
    <w:p>
      <w:pPr>
        <w:pStyle w:val="ConsPlusNormal"/>
        <w:ind w:firstLine="540"/>
        <w:jc w:val="both"/>
        <w:rPr>
          <w:szCs w:val="24"/>
        </w:rPr>
      </w:pPr>
      <w:hyperlink w:anchor="P121">
        <w:proofErr w:type="gramStart"/>
        <w:r>
          <w:rPr>
            <w:szCs w:val="24"/>
          </w:rPr>
          <w:t>подпунктом</w:t>
        </w:r>
        <w:proofErr w:type="gramEnd"/>
        <w:r>
          <w:rPr>
            <w:szCs w:val="24"/>
          </w:rPr>
          <w:t xml:space="preserve"> 4 пункта 6</w:t>
        </w:r>
      </w:hyperlink>
      <w:r>
        <w:rPr>
          <w:szCs w:val="24"/>
        </w:rPr>
        <w:t xml:space="preserve"> настоящего Порядка - с использованием информационной системы Федерального казначейства после поступления в указанную систему Распоряжения по результатам положительных проверок, предусмотренных </w:t>
      </w:r>
      <w:hyperlink w:anchor="P174">
        <w:r>
          <w:rPr>
            <w:szCs w:val="24"/>
          </w:rPr>
          <w:t>абзацем вторым</w:t>
        </w:r>
      </w:hyperlink>
      <w:r>
        <w:rPr>
          <w:szCs w:val="24"/>
        </w:rPr>
        <w:t xml:space="preserve"> настоящего пункта.</w:t>
      </w:r>
    </w:p>
    <w:p>
      <w:pPr>
        <w:pStyle w:val="ConsPlusNormal"/>
        <w:ind w:firstLine="540"/>
        <w:jc w:val="both"/>
        <w:rPr>
          <w:szCs w:val="24"/>
        </w:rPr>
      </w:pPr>
      <w:r>
        <w:rPr>
          <w:szCs w:val="24"/>
        </w:rPr>
        <w:t xml:space="preserve">В случае возникновения денежного обязательства на основании документов-оснований, предусмотренных </w:t>
      </w:r>
      <w:hyperlink r:id="rId17">
        <w:r>
          <w:rPr>
            <w:szCs w:val="24"/>
          </w:rPr>
          <w:t>пунктом 4 графы 2</w:t>
        </w:r>
      </w:hyperlink>
      <w:r>
        <w:rPr>
          <w:szCs w:val="24"/>
        </w:rPr>
        <w:t xml:space="preserve"> Перечня, проверка, предусмотренная </w:t>
      </w:r>
      <w:hyperlink w:anchor="P117">
        <w:r>
          <w:rPr>
            <w:szCs w:val="24"/>
          </w:rPr>
          <w:t>подпунктом 3 пункта 6</w:t>
        </w:r>
      </w:hyperlink>
      <w:r>
        <w:rPr>
          <w:szCs w:val="24"/>
        </w:rPr>
        <w:t xml:space="preserve"> настоящего Порядка, осуществляется исходя из кода вида расходов классификации расходов бюджета ЗАТО Северск, указанного в денежном обязательстве.</w:t>
      </w:r>
      <w:bookmarkStart w:id="29" w:name="P181"/>
      <w:bookmarkEnd w:id="29"/>
    </w:p>
    <w:p>
      <w:pPr>
        <w:pStyle w:val="ConsPlusNormal"/>
        <w:ind w:firstLine="540"/>
        <w:jc w:val="both"/>
        <w:rPr>
          <w:szCs w:val="24"/>
        </w:rPr>
      </w:pPr>
      <w:r>
        <w:rPr>
          <w:szCs w:val="24"/>
        </w:rPr>
        <w:t xml:space="preserve">12. В случае если информация, указанная в Распоряжении, или его форма не соответствуют требованиям, установленным </w:t>
      </w:r>
      <w:hyperlink w:anchor="P53">
        <w:r>
          <w:rPr>
            <w:szCs w:val="24"/>
          </w:rPr>
          <w:t>пунктами 3</w:t>
        </w:r>
      </w:hyperlink>
      <w:r>
        <w:rPr>
          <w:szCs w:val="24"/>
        </w:rPr>
        <w:t xml:space="preserve">, </w:t>
      </w:r>
      <w:hyperlink w:anchor="P56">
        <w:r>
          <w:rPr>
            <w:szCs w:val="24"/>
          </w:rPr>
          <w:t>4</w:t>
        </w:r>
      </w:hyperlink>
      <w:r>
        <w:rPr>
          <w:szCs w:val="24"/>
        </w:rPr>
        <w:t xml:space="preserve">, </w:t>
      </w:r>
      <w:hyperlink w:anchor="P114">
        <w:r>
          <w:rPr>
            <w:szCs w:val="24"/>
          </w:rPr>
          <w:t>подпунктами 1</w:t>
        </w:r>
      </w:hyperlink>
      <w:r>
        <w:rPr>
          <w:szCs w:val="24"/>
        </w:rPr>
        <w:t xml:space="preserve"> - </w:t>
      </w:r>
      <w:hyperlink w:anchor="P137">
        <w:r>
          <w:rPr>
            <w:szCs w:val="24"/>
          </w:rPr>
          <w:t>13</w:t>
        </w:r>
      </w:hyperlink>
      <w:r>
        <w:rPr>
          <w:szCs w:val="24"/>
        </w:rPr>
        <w:t xml:space="preserve">, </w:t>
      </w:r>
      <w:hyperlink w:anchor="P146">
        <w:r>
          <w:rPr>
            <w:szCs w:val="24"/>
          </w:rPr>
          <w:t>16</w:t>
        </w:r>
      </w:hyperlink>
      <w:r>
        <w:rPr>
          <w:szCs w:val="24"/>
        </w:rPr>
        <w:t xml:space="preserve"> - </w:t>
      </w:r>
      <w:hyperlink w:anchor="P154">
        <w:r>
          <w:rPr>
            <w:szCs w:val="24"/>
          </w:rPr>
          <w:t>19 пункта 6</w:t>
        </w:r>
      </w:hyperlink>
      <w:r>
        <w:rPr>
          <w:szCs w:val="24"/>
        </w:rPr>
        <w:t xml:space="preserve">, </w:t>
      </w:r>
      <w:hyperlink w:anchor="P159">
        <w:r>
          <w:rPr>
            <w:szCs w:val="24"/>
          </w:rPr>
          <w:t>пунктами 7</w:t>
        </w:r>
      </w:hyperlink>
      <w:r>
        <w:rPr>
          <w:szCs w:val="24"/>
        </w:rPr>
        <w:t xml:space="preserve">, 9 и </w:t>
      </w:r>
      <w:hyperlink w:anchor="P169">
        <w:r>
          <w:rPr>
            <w:szCs w:val="24"/>
          </w:rPr>
          <w:t>1</w:t>
        </w:r>
      </w:hyperlink>
      <w:r>
        <w:rPr>
          <w:szCs w:val="24"/>
        </w:rPr>
        <w:t xml:space="preserve">0 настоящего Порядка, или в случае установления нарушения получателем средств бюджета ЗАТО Северск условий, установленных </w:t>
      </w:r>
      <w:hyperlink w:anchor="P163">
        <w:r>
          <w:rPr>
            <w:szCs w:val="24"/>
          </w:rPr>
          <w:t xml:space="preserve">пунктом </w:t>
        </w:r>
      </w:hyperlink>
      <w:r>
        <w:rPr>
          <w:szCs w:val="24"/>
        </w:rPr>
        <w:t xml:space="preserve">8 настоящего Порядка, УФК по ТО не позднее сроков, установленных </w:t>
      </w:r>
      <w:hyperlink w:anchor="P53">
        <w:r>
          <w:rPr>
            <w:szCs w:val="24"/>
          </w:rPr>
          <w:t>пунктом 3</w:t>
        </w:r>
      </w:hyperlink>
      <w:r>
        <w:rPr>
          <w:szCs w:val="24"/>
        </w:rPr>
        <w:t xml:space="preserve"> настоящего Порядка, направляет получателю средств бюджета ЗАТО Северск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pPr>
        <w:pStyle w:val="ConsPlusNormal"/>
        <w:ind w:firstLine="540"/>
        <w:jc w:val="both"/>
        <w:rPr>
          <w:szCs w:val="24"/>
        </w:rPr>
      </w:pPr>
      <w:r>
        <w:rPr>
          <w:szCs w:val="24"/>
        </w:rPr>
        <w:t xml:space="preserve">При установлении УФК по ТО нарушений получателем средств бюджета ЗАТО Северск условий, установленных </w:t>
      </w:r>
      <w:hyperlink w:anchor="P144">
        <w:r>
          <w:rPr>
            <w:szCs w:val="24"/>
          </w:rPr>
          <w:t>подпунктами 14</w:t>
        </w:r>
      </w:hyperlink>
      <w:r>
        <w:rPr>
          <w:szCs w:val="24"/>
        </w:rPr>
        <w:t xml:space="preserve"> и (или) </w:t>
      </w:r>
      <w:hyperlink w:anchor="P145">
        <w:r>
          <w:rPr>
            <w:szCs w:val="24"/>
          </w:rPr>
          <w:t>15 пункта 6</w:t>
        </w:r>
      </w:hyperlink>
      <w:r>
        <w:rPr>
          <w:szCs w:val="24"/>
        </w:rPr>
        <w:t xml:space="preserve"> настоящего Порядка, УФК по ТО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ЗАТО Северск путем направления Уведомления о нарушении установленных предельных размеров авансового платежа по форме согласно </w:t>
      </w:r>
      <w:hyperlink w:anchor="P212">
        <w:r>
          <w:rPr>
            <w:szCs w:val="24"/>
          </w:rPr>
          <w:t>приложению № 1</w:t>
        </w:r>
      </w:hyperlink>
      <w:r>
        <w:rPr>
          <w:szCs w:val="24"/>
        </w:rPr>
        <w:t xml:space="preserve"> к настоящему Порядку (код формы по КФД 0504713) и (или) Уведомления о нарушении сроков внесения и размеров арендной платы по форме согласно </w:t>
      </w:r>
      <w:hyperlink w:anchor="P356">
        <w:r>
          <w:rPr>
            <w:szCs w:val="24"/>
          </w:rPr>
          <w:t>приложению № 2</w:t>
        </w:r>
      </w:hyperlink>
      <w:r>
        <w:rPr>
          <w:szCs w:val="24"/>
        </w:rPr>
        <w:t xml:space="preserve"> к настоящему Порядку (код формы по КФД 0504714), а также обеспечивает доведение указанной информации до главного распорядителя средств бюджета ЗАТО Северск, в ведении которого находится допустивший нарушение получатель средств бюджета ЗАТО Северск, не позднее десяти рабочих дней после отражения операций, вызвавших указанные нарушения, на соответствующем лицевом счете.</w:t>
      </w:r>
    </w:p>
    <w:p>
      <w:pPr>
        <w:pStyle w:val="ConsPlusNormal"/>
        <w:ind w:firstLine="540"/>
        <w:jc w:val="both"/>
        <w:rPr>
          <w:szCs w:val="24"/>
        </w:rPr>
      </w:pPr>
      <w:r>
        <w:rPr>
          <w:szCs w:val="24"/>
        </w:rPr>
        <w:t xml:space="preserve">При санкционировании оплаты денежных обязательств в соответствии с </w:t>
      </w:r>
      <w:hyperlink w:anchor="P173">
        <w:r>
          <w:rPr>
            <w:szCs w:val="24"/>
          </w:rPr>
          <w:t>пунктом 11</w:t>
        </w:r>
      </w:hyperlink>
      <w:r>
        <w:rPr>
          <w:szCs w:val="24"/>
        </w:rPr>
        <w:t xml:space="preserve"> настоящего Порядка, уведомления, предусмотренные </w:t>
      </w:r>
      <w:hyperlink w:anchor="P181">
        <w:r>
          <w:rPr>
            <w:szCs w:val="24"/>
          </w:rPr>
          <w:t>абзацем первым</w:t>
        </w:r>
      </w:hyperlink>
      <w:r>
        <w:rPr>
          <w:szCs w:val="24"/>
        </w:rPr>
        <w:t xml:space="preserve"> настоящего пункта, направляются получателю средств бюджета ЗАТО Северск с использованием единой информационной системы в сфере закупок.</w:t>
      </w:r>
    </w:p>
    <w:p>
      <w:pPr>
        <w:pStyle w:val="ConsPlusNormal"/>
        <w:ind w:firstLine="540"/>
        <w:jc w:val="both"/>
        <w:rPr>
          <w:szCs w:val="24"/>
        </w:rPr>
      </w:pPr>
      <w:r>
        <w:rPr>
          <w:szCs w:val="24"/>
        </w:rPr>
        <w:t>13.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УФК по ТО проставляется отметка, подтверждающая санкционирование оплаты денежных обязательств получателя средств бюджета ЗАТО Северск (администратора источников финансирования дефицита бюджета ЗАТО Северск) с указанием даты, подписи, расшифровки подписи, содержащей фамилию, инициалы ответственного исполнителя УФК по ТО, и Распоряжение принимается к исполнению.</w:t>
      </w:r>
    </w:p>
    <w:p>
      <w:pPr>
        <w:pStyle w:val="ConsPlusNormal"/>
        <w:ind w:firstLine="540"/>
        <w:jc w:val="both"/>
        <w:rPr>
          <w:szCs w:val="24"/>
        </w:rPr>
        <w:sectPr>
          <w:headerReference w:type="default" r:id="rId18"/>
          <w:pgSz w:w="11906" w:h="16838"/>
          <w:pgMar w:top="1134" w:right="850" w:bottom="1134" w:left="1701" w:header="708" w:footer="708" w:gutter="0"/>
          <w:pgNumType w:start="1"/>
          <w:cols w:space="708"/>
          <w:titlePg/>
          <w:docGrid w:linePitch="360"/>
        </w:sectPr>
      </w:pPr>
    </w:p>
    <w:p>
      <w:pPr>
        <w:pStyle w:val="ConsPlusNormal"/>
        <w:ind w:firstLine="4395"/>
        <w:outlineLvl w:val="1"/>
        <w:rPr>
          <w:szCs w:val="24"/>
        </w:rPr>
      </w:pPr>
      <w:r>
        <w:rPr>
          <w:szCs w:val="24"/>
        </w:rPr>
        <w:t>Приложение № 1</w:t>
      </w:r>
    </w:p>
    <w:p>
      <w:pPr>
        <w:pStyle w:val="ConsPlusTitle"/>
        <w:ind w:firstLine="4395"/>
        <w:rPr>
          <w:b w:val="0"/>
          <w:szCs w:val="24"/>
        </w:rPr>
      </w:pPr>
      <w:proofErr w:type="gramStart"/>
      <w:r>
        <w:rPr>
          <w:b w:val="0"/>
          <w:szCs w:val="24"/>
        </w:rPr>
        <w:t>к</w:t>
      </w:r>
      <w:proofErr w:type="gramEnd"/>
      <w:r>
        <w:rPr>
          <w:b w:val="0"/>
          <w:szCs w:val="24"/>
        </w:rPr>
        <w:t xml:space="preserve"> Порядку санкционирования оплаты денежных </w:t>
      </w:r>
    </w:p>
    <w:p>
      <w:pPr>
        <w:pStyle w:val="ConsPlusTitle"/>
        <w:ind w:firstLine="4395"/>
        <w:rPr>
          <w:b w:val="0"/>
          <w:szCs w:val="24"/>
        </w:rPr>
      </w:pPr>
      <w:proofErr w:type="gramStart"/>
      <w:r>
        <w:rPr>
          <w:b w:val="0"/>
          <w:szCs w:val="24"/>
        </w:rPr>
        <w:t>обязательств</w:t>
      </w:r>
      <w:proofErr w:type="gramEnd"/>
      <w:r>
        <w:rPr>
          <w:b w:val="0"/>
          <w:szCs w:val="24"/>
        </w:rPr>
        <w:t xml:space="preserve"> получателей средств бюджета      </w:t>
      </w:r>
    </w:p>
    <w:p>
      <w:pPr>
        <w:pStyle w:val="ConsPlusTitle"/>
        <w:ind w:firstLine="4395"/>
        <w:rPr>
          <w:b w:val="0"/>
          <w:bCs/>
          <w:szCs w:val="24"/>
        </w:rPr>
      </w:pPr>
      <w:proofErr w:type="gramStart"/>
      <w:r>
        <w:rPr>
          <w:b w:val="0"/>
          <w:bCs/>
          <w:szCs w:val="24"/>
        </w:rPr>
        <w:t>городского</w:t>
      </w:r>
      <w:proofErr w:type="gramEnd"/>
      <w:r>
        <w:rPr>
          <w:b w:val="0"/>
          <w:bCs/>
          <w:szCs w:val="24"/>
        </w:rPr>
        <w:t xml:space="preserve"> округа закрытого</w:t>
      </w:r>
    </w:p>
    <w:p>
      <w:pPr>
        <w:pStyle w:val="ConsPlusTitle"/>
        <w:ind w:firstLine="4395"/>
        <w:rPr>
          <w:b w:val="0"/>
          <w:bCs/>
          <w:szCs w:val="24"/>
        </w:rPr>
      </w:pPr>
      <w:proofErr w:type="gramStart"/>
      <w:r>
        <w:rPr>
          <w:b w:val="0"/>
          <w:bCs/>
          <w:szCs w:val="24"/>
        </w:rPr>
        <w:t>административно</w:t>
      </w:r>
      <w:proofErr w:type="gramEnd"/>
      <w:r>
        <w:rPr>
          <w:b w:val="0"/>
          <w:bCs/>
          <w:szCs w:val="24"/>
        </w:rPr>
        <w:t>-территориального</w:t>
      </w:r>
    </w:p>
    <w:p>
      <w:pPr>
        <w:pStyle w:val="ConsPlusTitle"/>
        <w:ind w:firstLine="4395"/>
        <w:rPr>
          <w:b w:val="0"/>
          <w:bCs/>
          <w:szCs w:val="24"/>
        </w:rPr>
      </w:pPr>
      <w:proofErr w:type="gramStart"/>
      <w:r>
        <w:rPr>
          <w:b w:val="0"/>
          <w:bCs/>
          <w:szCs w:val="24"/>
        </w:rPr>
        <w:t>образования</w:t>
      </w:r>
      <w:proofErr w:type="gramEnd"/>
      <w:r>
        <w:rPr>
          <w:b w:val="0"/>
          <w:bCs/>
          <w:szCs w:val="24"/>
        </w:rPr>
        <w:t xml:space="preserve"> Северск Томской области</w:t>
      </w:r>
    </w:p>
    <w:p>
      <w:pPr>
        <w:pStyle w:val="ConsPlusTitle"/>
        <w:ind w:firstLine="4395"/>
        <w:rPr>
          <w:b w:val="0"/>
          <w:szCs w:val="24"/>
        </w:rPr>
      </w:pPr>
      <w:proofErr w:type="gramStart"/>
      <w:r>
        <w:rPr>
          <w:b w:val="0"/>
          <w:szCs w:val="24"/>
        </w:rPr>
        <w:t>и</w:t>
      </w:r>
      <w:proofErr w:type="gramEnd"/>
      <w:r>
        <w:rPr>
          <w:b w:val="0"/>
          <w:szCs w:val="24"/>
        </w:rPr>
        <w:t xml:space="preserve"> оплаты денежных обязательств, </w:t>
      </w:r>
    </w:p>
    <w:p>
      <w:pPr>
        <w:pStyle w:val="ConsPlusTitle"/>
        <w:ind w:firstLine="4395"/>
        <w:rPr>
          <w:b w:val="0"/>
          <w:szCs w:val="24"/>
        </w:rPr>
      </w:pPr>
      <w:proofErr w:type="gramStart"/>
      <w:r>
        <w:rPr>
          <w:b w:val="0"/>
          <w:szCs w:val="24"/>
        </w:rPr>
        <w:t>подлежащих</w:t>
      </w:r>
      <w:proofErr w:type="gramEnd"/>
      <w:r>
        <w:rPr>
          <w:b w:val="0"/>
          <w:szCs w:val="24"/>
        </w:rPr>
        <w:t xml:space="preserve"> исполнению за счет бюджетных</w:t>
      </w:r>
    </w:p>
    <w:p>
      <w:pPr>
        <w:pStyle w:val="ConsPlusTitle"/>
        <w:ind w:firstLine="4395"/>
        <w:rPr>
          <w:b w:val="0"/>
          <w:szCs w:val="24"/>
        </w:rPr>
      </w:pPr>
      <w:proofErr w:type="gramStart"/>
      <w:r>
        <w:rPr>
          <w:b w:val="0"/>
          <w:szCs w:val="24"/>
        </w:rPr>
        <w:t>ассигнований</w:t>
      </w:r>
      <w:proofErr w:type="gramEnd"/>
      <w:r>
        <w:rPr>
          <w:b w:val="0"/>
          <w:szCs w:val="24"/>
        </w:rPr>
        <w:t xml:space="preserve"> по источникам</w:t>
      </w:r>
    </w:p>
    <w:p>
      <w:pPr>
        <w:pStyle w:val="ConsPlusTitle"/>
        <w:ind w:firstLine="4395"/>
        <w:rPr>
          <w:b w:val="0"/>
          <w:szCs w:val="24"/>
        </w:rPr>
      </w:pPr>
      <w:proofErr w:type="gramStart"/>
      <w:r>
        <w:rPr>
          <w:b w:val="0"/>
          <w:szCs w:val="24"/>
        </w:rPr>
        <w:t>финансирования</w:t>
      </w:r>
      <w:proofErr w:type="gramEnd"/>
      <w:r>
        <w:rPr>
          <w:b w:val="0"/>
          <w:szCs w:val="24"/>
        </w:rPr>
        <w:t xml:space="preserve"> дефицита</w:t>
      </w:r>
    </w:p>
    <w:p>
      <w:pPr>
        <w:autoSpaceDE w:val="0"/>
        <w:autoSpaceDN w:val="0"/>
        <w:adjustRightInd w:val="0"/>
        <w:ind w:firstLine="4395"/>
        <w:rPr>
          <w:rFonts w:ascii="Times New Roman" w:hAnsi="Times New Roman"/>
          <w:bCs/>
          <w:sz w:val="24"/>
          <w:szCs w:val="24"/>
        </w:rPr>
      </w:pPr>
      <w:proofErr w:type="gramStart"/>
      <w:r>
        <w:rPr>
          <w:rFonts w:ascii="Times New Roman" w:hAnsi="Times New Roman"/>
          <w:sz w:val="24"/>
          <w:szCs w:val="24"/>
        </w:rPr>
        <w:t>бюджета</w:t>
      </w:r>
      <w:proofErr w:type="gramEnd"/>
      <w:r>
        <w:rPr>
          <w:rFonts w:ascii="Times New Roman" w:hAnsi="Times New Roman"/>
          <w:sz w:val="24"/>
          <w:szCs w:val="24"/>
        </w:rPr>
        <w:t xml:space="preserve"> </w:t>
      </w:r>
      <w:r>
        <w:rPr>
          <w:rFonts w:ascii="Times New Roman" w:hAnsi="Times New Roman"/>
          <w:bCs/>
          <w:sz w:val="24"/>
          <w:szCs w:val="24"/>
        </w:rPr>
        <w:t xml:space="preserve">городского округа </w:t>
      </w:r>
    </w:p>
    <w:p>
      <w:pPr>
        <w:autoSpaceDE w:val="0"/>
        <w:autoSpaceDN w:val="0"/>
        <w:adjustRightInd w:val="0"/>
        <w:ind w:firstLine="4395"/>
        <w:rPr>
          <w:rFonts w:ascii="Times New Roman" w:hAnsi="Times New Roman"/>
          <w:bCs/>
          <w:sz w:val="24"/>
          <w:szCs w:val="24"/>
        </w:rPr>
      </w:pPr>
      <w:proofErr w:type="gramStart"/>
      <w:r>
        <w:rPr>
          <w:rFonts w:ascii="Times New Roman" w:hAnsi="Times New Roman"/>
          <w:bCs/>
          <w:sz w:val="24"/>
          <w:szCs w:val="24"/>
        </w:rPr>
        <w:t>закрытого</w:t>
      </w:r>
      <w:proofErr w:type="gramEnd"/>
      <w:r>
        <w:rPr>
          <w:rFonts w:ascii="Times New Roman" w:hAnsi="Times New Roman"/>
          <w:bCs/>
          <w:sz w:val="24"/>
          <w:szCs w:val="24"/>
        </w:rPr>
        <w:t xml:space="preserve"> административно-территориального</w:t>
      </w:r>
    </w:p>
    <w:p>
      <w:pPr>
        <w:autoSpaceDE w:val="0"/>
        <w:autoSpaceDN w:val="0"/>
        <w:adjustRightInd w:val="0"/>
        <w:ind w:firstLine="4395"/>
        <w:rPr>
          <w:rFonts w:ascii="Times New Roman" w:hAnsi="Times New Roman"/>
          <w:bCs/>
          <w:sz w:val="24"/>
          <w:szCs w:val="24"/>
        </w:rPr>
      </w:pPr>
      <w:proofErr w:type="gramStart"/>
      <w:r>
        <w:rPr>
          <w:rFonts w:ascii="Times New Roman" w:hAnsi="Times New Roman"/>
          <w:bCs/>
          <w:sz w:val="24"/>
          <w:szCs w:val="24"/>
        </w:rPr>
        <w:t>образования</w:t>
      </w:r>
      <w:proofErr w:type="gramEnd"/>
      <w:r>
        <w:rPr>
          <w:rFonts w:ascii="Times New Roman" w:hAnsi="Times New Roman"/>
          <w:bCs/>
          <w:sz w:val="24"/>
          <w:szCs w:val="24"/>
        </w:rPr>
        <w:t xml:space="preserve"> Северск Томской области</w:t>
      </w:r>
    </w:p>
    <w:p>
      <w:pPr>
        <w:pStyle w:val="ConsPlusNormal"/>
        <w:jc w:val="both"/>
        <w:rPr>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tc>
          <w:tcPr>
            <w:tcW w:w="9071" w:type="dxa"/>
            <w:tcBorders>
              <w:top w:val="nil"/>
              <w:left w:val="nil"/>
              <w:bottom w:val="nil"/>
              <w:right w:val="nil"/>
            </w:tcBorders>
          </w:tcPr>
          <w:p>
            <w:pPr>
              <w:pStyle w:val="ConsPlusNormal"/>
              <w:jc w:val="center"/>
              <w:rPr>
                <w:szCs w:val="24"/>
              </w:rPr>
            </w:pPr>
            <w:bookmarkStart w:id="30" w:name="P212"/>
            <w:bookmarkEnd w:id="30"/>
            <w:r>
              <w:rPr>
                <w:szCs w:val="24"/>
              </w:rPr>
              <w:t>УВЕДОМЛЕНИЕ № _____</w:t>
            </w:r>
          </w:p>
          <w:p>
            <w:pPr>
              <w:pStyle w:val="ConsPlusNormal"/>
              <w:jc w:val="center"/>
              <w:rPr>
                <w:szCs w:val="24"/>
              </w:rPr>
            </w:pPr>
            <w:proofErr w:type="gramStart"/>
            <w:r>
              <w:rPr>
                <w:szCs w:val="24"/>
              </w:rPr>
              <w:t>о</w:t>
            </w:r>
            <w:proofErr w:type="gramEnd"/>
            <w:r>
              <w:rPr>
                <w:szCs w:val="24"/>
              </w:rPr>
              <w:t xml:space="preserve"> нарушении установленных предельных размеров авансового платежа</w:t>
            </w:r>
          </w:p>
        </w:tc>
      </w:tr>
    </w:tbl>
    <w:p>
      <w:pPr>
        <w:pStyle w:val="ConsPlusNormal"/>
        <w:jc w:val="both"/>
        <w:rPr>
          <w:szCs w:val="24"/>
        </w:rPr>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340"/>
        <w:gridCol w:w="2324"/>
        <w:gridCol w:w="340"/>
        <w:gridCol w:w="1928"/>
        <w:gridCol w:w="1020"/>
      </w:tblGrid>
      <w:tr>
        <w:tc>
          <w:tcPr>
            <w:tcW w:w="5725" w:type="dxa"/>
            <w:gridSpan w:val="3"/>
            <w:vMerge w:val="restart"/>
            <w:tcBorders>
              <w:top w:val="nil"/>
              <w:left w:val="nil"/>
              <w:bottom w:val="nil"/>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tcPr>
          <w:p>
            <w:pPr>
              <w:pStyle w:val="ConsPlusNormal"/>
              <w:rPr>
                <w:szCs w:val="24"/>
              </w:rPr>
            </w:pPr>
          </w:p>
        </w:tc>
        <w:tc>
          <w:tcPr>
            <w:tcW w:w="1020" w:type="dxa"/>
            <w:tcBorders>
              <w:top w:val="single" w:sz="4" w:space="0" w:color="auto"/>
              <w:left w:val="single" w:sz="4" w:space="0" w:color="auto"/>
              <w:bottom w:val="single" w:sz="4" w:space="0" w:color="auto"/>
              <w:right w:val="single" w:sz="4" w:space="0" w:color="auto"/>
            </w:tcBorders>
            <w:vAlign w:val="bottom"/>
          </w:tcPr>
          <w:p>
            <w:pPr>
              <w:pStyle w:val="ConsPlusNormal"/>
              <w:jc w:val="center"/>
              <w:rPr>
                <w:szCs w:val="24"/>
              </w:rPr>
            </w:pPr>
            <w:r>
              <w:rPr>
                <w:szCs w:val="24"/>
              </w:rPr>
              <w:t>Коды</w:t>
            </w:r>
          </w:p>
        </w:tc>
      </w:tr>
      <w:tr>
        <w:tc>
          <w:tcPr>
            <w:tcW w:w="5725" w:type="dxa"/>
            <w:gridSpan w:val="3"/>
            <w:vMerge/>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Форма по КФД</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r>
              <w:rPr>
                <w:szCs w:val="24"/>
              </w:rPr>
              <w:t>0504713</w:t>
            </w:r>
          </w:p>
        </w:tc>
      </w:tr>
      <w:tr>
        <w:tc>
          <w:tcPr>
            <w:tcW w:w="3061"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2324" w:type="dxa"/>
            <w:tcBorders>
              <w:top w:val="nil"/>
              <w:left w:val="nil"/>
              <w:bottom w:val="nil"/>
              <w:right w:val="nil"/>
            </w:tcBorders>
            <w:vAlign w:val="bottom"/>
          </w:tcPr>
          <w:p>
            <w:pPr>
              <w:pStyle w:val="ConsPlusNormal"/>
              <w:jc w:val="center"/>
              <w:rPr>
                <w:szCs w:val="24"/>
              </w:rPr>
            </w:pPr>
            <w:proofErr w:type="gramStart"/>
            <w:r>
              <w:rPr>
                <w:szCs w:val="24"/>
              </w:rPr>
              <w:t>от</w:t>
            </w:r>
            <w:proofErr w:type="gramEnd"/>
            <w:r>
              <w:rPr>
                <w:szCs w:val="24"/>
              </w:rPr>
              <w:t xml:space="preserve"> "__" _____ 20__ г.</w:t>
            </w: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Дата</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vAlign w:val="bottom"/>
          </w:tcPr>
          <w:p>
            <w:pPr>
              <w:pStyle w:val="ConsPlusNormal"/>
              <w:rPr>
                <w:szCs w:val="24"/>
              </w:rPr>
            </w:pPr>
            <w:r>
              <w:rPr>
                <w:szCs w:val="24"/>
              </w:rPr>
              <w:t>Наименование органа Федерального казначейства</w:t>
            </w:r>
          </w:p>
        </w:tc>
        <w:tc>
          <w:tcPr>
            <w:tcW w:w="340" w:type="dxa"/>
            <w:tcBorders>
              <w:top w:val="nil"/>
              <w:left w:val="nil"/>
              <w:bottom w:val="nil"/>
              <w:right w:val="nil"/>
            </w:tcBorders>
          </w:tcPr>
          <w:p>
            <w:pPr>
              <w:pStyle w:val="ConsPlusNormal"/>
              <w:rPr>
                <w:szCs w:val="24"/>
              </w:rPr>
            </w:pPr>
          </w:p>
        </w:tc>
        <w:tc>
          <w:tcPr>
            <w:tcW w:w="2324" w:type="dxa"/>
            <w:tcBorders>
              <w:top w:val="nil"/>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proofErr w:type="gramStart"/>
            <w:r>
              <w:rPr>
                <w:szCs w:val="24"/>
              </w:rPr>
              <w:t>по</w:t>
            </w:r>
            <w:proofErr w:type="gramEnd"/>
            <w:r>
              <w:rPr>
                <w:szCs w:val="24"/>
              </w:rPr>
              <w:t xml:space="preserve"> КОФК</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vMerge w:val="restart"/>
            <w:tcBorders>
              <w:top w:val="nil"/>
              <w:left w:val="nil"/>
              <w:bottom w:val="nil"/>
              <w:right w:val="nil"/>
            </w:tcBorders>
          </w:tcPr>
          <w:p>
            <w:pPr>
              <w:pStyle w:val="ConsPlusNormal"/>
              <w:rPr>
                <w:szCs w:val="24"/>
              </w:rPr>
            </w:pPr>
            <w:r>
              <w:rPr>
                <w:szCs w:val="24"/>
              </w:rPr>
              <w:t>Главный распорядитель (распорядитель) бюджетных средств</w:t>
            </w:r>
          </w:p>
        </w:tc>
        <w:tc>
          <w:tcPr>
            <w:tcW w:w="340" w:type="dxa"/>
            <w:vMerge w:val="restart"/>
            <w:tcBorders>
              <w:top w:val="nil"/>
              <w:left w:val="nil"/>
              <w:bottom w:val="nil"/>
              <w:right w:val="nil"/>
            </w:tcBorders>
          </w:tcPr>
          <w:p>
            <w:pPr>
              <w:pStyle w:val="ConsPlusNormal"/>
              <w:rPr>
                <w:szCs w:val="24"/>
              </w:rPr>
            </w:pPr>
          </w:p>
        </w:tc>
        <w:tc>
          <w:tcPr>
            <w:tcW w:w="2324" w:type="dxa"/>
            <w:tcBorders>
              <w:top w:val="single" w:sz="4" w:space="0" w:color="auto"/>
              <w:left w:val="nil"/>
              <w:bottom w:val="nil"/>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Глава по БК</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vMerge/>
            <w:tcBorders>
              <w:top w:val="nil"/>
              <w:left w:val="nil"/>
              <w:bottom w:val="nil"/>
              <w:right w:val="nil"/>
            </w:tcBorders>
          </w:tcPr>
          <w:p>
            <w:pPr>
              <w:pStyle w:val="ConsPlusNormal"/>
              <w:rPr>
                <w:szCs w:val="24"/>
              </w:rPr>
            </w:pPr>
          </w:p>
        </w:tc>
        <w:tc>
          <w:tcPr>
            <w:tcW w:w="340" w:type="dxa"/>
            <w:vMerge/>
            <w:tcBorders>
              <w:top w:val="nil"/>
              <w:left w:val="nil"/>
              <w:bottom w:val="nil"/>
              <w:right w:val="nil"/>
            </w:tcBorders>
          </w:tcPr>
          <w:p>
            <w:pPr>
              <w:pStyle w:val="ConsPlusNormal"/>
              <w:rPr>
                <w:szCs w:val="24"/>
              </w:rPr>
            </w:pPr>
          </w:p>
        </w:tc>
        <w:tc>
          <w:tcPr>
            <w:tcW w:w="2324" w:type="dxa"/>
            <w:tcBorders>
              <w:top w:val="nil"/>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proofErr w:type="gramStart"/>
            <w:r>
              <w:rPr>
                <w:szCs w:val="24"/>
              </w:rPr>
              <w:t>по</w:t>
            </w:r>
            <w:proofErr w:type="gramEnd"/>
            <w:r>
              <w:rPr>
                <w:szCs w:val="24"/>
              </w:rPr>
              <w:t xml:space="preserve"> Сводному реестру</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vAlign w:val="bottom"/>
          </w:tcPr>
          <w:p>
            <w:pPr>
              <w:pStyle w:val="ConsPlusNormal"/>
              <w:rPr>
                <w:szCs w:val="24"/>
              </w:rPr>
            </w:pPr>
            <w:r>
              <w:rPr>
                <w:szCs w:val="24"/>
              </w:rPr>
              <w:t>Получатель бюджетных средств</w:t>
            </w:r>
          </w:p>
        </w:tc>
        <w:tc>
          <w:tcPr>
            <w:tcW w:w="340" w:type="dxa"/>
            <w:tcBorders>
              <w:top w:val="nil"/>
              <w:left w:val="nil"/>
              <w:bottom w:val="nil"/>
              <w:right w:val="nil"/>
            </w:tcBorders>
          </w:tcPr>
          <w:p>
            <w:pPr>
              <w:pStyle w:val="ConsPlusNormal"/>
              <w:rPr>
                <w:szCs w:val="24"/>
              </w:rPr>
            </w:pPr>
          </w:p>
        </w:tc>
        <w:tc>
          <w:tcPr>
            <w:tcW w:w="2324" w:type="dxa"/>
            <w:tcBorders>
              <w:top w:val="single" w:sz="4" w:space="0" w:color="auto"/>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proofErr w:type="gramStart"/>
            <w:r>
              <w:rPr>
                <w:szCs w:val="24"/>
              </w:rPr>
              <w:t>по</w:t>
            </w:r>
            <w:proofErr w:type="gramEnd"/>
            <w:r>
              <w:rPr>
                <w:szCs w:val="24"/>
              </w:rPr>
              <w:t xml:space="preserve"> Сводному реестру</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2324" w:type="dxa"/>
            <w:tcBorders>
              <w:top w:val="single" w:sz="4" w:space="0" w:color="auto"/>
              <w:left w:val="nil"/>
              <w:bottom w:val="nil"/>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Номер лицевого счета получателя</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vAlign w:val="bottom"/>
          </w:tcPr>
          <w:p>
            <w:pPr>
              <w:pStyle w:val="ConsPlusNormal"/>
              <w:rPr>
                <w:szCs w:val="24"/>
              </w:rPr>
            </w:pPr>
            <w:r>
              <w:rPr>
                <w:szCs w:val="24"/>
              </w:rPr>
              <w:t>Наименование бюджета</w:t>
            </w:r>
          </w:p>
        </w:tc>
        <w:tc>
          <w:tcPr>
            <w:tcW w:w="340" w:type="dxa"/>
            <w:tcBorders>
              <w:top w:val="nil"/>
              <w:left w:val="nil"/>
              <w:bottom w:val="nil"/>
              <w:right w:val="nil"/>
            </w:tcBorders>
          </w:tcPr>
          <w:p>
            <w:pPr>
              <w:pStyle w:val="ConsPlusNormal"/>
              <w:rPr>
                <w:szCs w:val="24"/>
              </w:rPr>
            </w:pPr>
          </w:p>
        </w:tc>
        <w:tc>
          <w:tcPr>
            <w:tcW w:w="2324" w:type="dxa"/>
            <w:tcBorders>
              <w:top w:val="nil"/>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rPr>
                <w:szCs w:val="24"/>
              </w:rPr>
            </w:pP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vAlign w:val="bottom"/>
          </w:tcPr>
          <w:p>
            <w:pPr>
              <w:pStyle w:val="ConsPlusNormal"/>
              <w:rPr>
                <w:szCs w:val="24"/>
              </w:rPr>
            </w:pPr>
            <w:r>
              <w:rPr>
                <w:szCs w:val="24"/>
              </w:rPr>
              <w:t>Финансовый орган</w:t>
            </w:r>
          </w:p>
        </w:tc>
        <w:tc>
          <w:tcPr>
            <w:tcW w:w="340" w:type="dxa"/>
            <w:tcBorders>
              <w:top w:val="nil"/>
              <w:left w:val="nil"/>
              <w:bottom w:val="nil"/>
              <w:right w:val="nil"/>
            </w:tcBorders>
          </w:tcPr>
          <w:p>
            <w:pPr>
              <w:pStyle w:val="ConsPlusNormal"/>
              <w:rPr>
                <w:szCs w:val="24"/>
              </w:rPr>
            </w:pPr>
          </w:p>
        </w:tc>
        <w:tc>
          <w:tcPr>
            <w:tcW w:w="2324" w:type="dxa"/>
            <w:tcBorders>
              <w:top w:val="single" w:sz="4" w:space="0" w:color="auto"/>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rPr>
                <w:szCs w:val="24"/>
              </w:rPr>
            </w:pP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2324" w:type="dxa"/>
            <w:tcBorders>
              <w:top w:val="single" w:sz="4" w:space="0" w:color="auto"/>
              <w:left w:val="nil"/>
              <w:bottom w:val="nil"/>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Учетный номер обязательства</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5725" w:type="dxa"/>
            <w:gridSpan w:val="3"/>
            <w:tcBorders>
              <w:top w:val="nil"/>
              <w:left w:val="nil"/>
              <w:bottom w:val="nil"/>
              <w:right w:val="nil"/>
            </w:tcBorders>
          </w:tcPr>
          <w:p>
            <w:pPr>
              <w:pStyle w:val="ConsPlusNormal"/>
              <w:rPr>
                <w:szCs w:val="24"/>
              </w:rPr>
            </w:pPr>
            <w:r>
              <w:rPr>
                <w:szCs w:val="24"/>
              </w:rPr>
              <w:t>Единица измерения: руб. (с точностью до второго десятичного знака)</w:t>
            </w: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proofErr w:type="gramStart"/>
            <w:r>
              <w:rPr>
                <w:szCs w:val="24"/>
              </w:rPr>
              <w:t>по</w:t>
            </w:r>
            <w:proofErr w:type="gramEnd"/>
            <w:r>
              <w:rPr>
                <w:szCs w:val="24"/>
              </w:rPr>
              <w:t xml:space="preserve"> ОКЕИ</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hyperlink r:id="rId19">
              <w:r>
                <w:rPr>
                  <w:szCs w:val="24"/>
                </w:rPr>
                <w:t>383</w:t>
              </w:r>
            </w:hyperlink>
          </w:p>
        </w:tc>
      </w:tr>
    </w:tbl>
    <w:p>
      <w:pPr>
        <w:pStyle w:val="ConsPlusNormal"/>
        <w:jc w:val="both"/>
        <w:rPr>
          <w:szCs w:val="24"/>
        </w:rPr>
      </w:pPr>
    </w:p>
    <w:p>
      <w:pPr>
        <w:pStyle w:val="ConsPlusNormal"/>
        <w:rPr>
          <w:szCs w:val="24"/>
        </w:rPr>
        <w:sectPr>
          <w:headerReference w:type="default" r:id="rId20"/>
          <w:headerReference w:type="first" r:id="rId21"/>
          <w:pgSz w:w="11906" w:h="16838"/>
          <w:pgMar w:top="851" w:right="850" w:bottom="1134" w:left="1701" w:header="708" w:footer="708" w:gutter="0"/>
          <w:pgNumType w:start="1"/>
          <w:cols w:space="708"/>
          <w:docGrid w:linePitch="360"/>
        </w:sectPr>
      </w:pPr>
    </w:p>
    <w:tbl>
      <w:tblPr>
        <w:tblW w:w="15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6"/>
        <w:gridCol w:w="622"/>
        <w:gridCol w:w="773"/>
        <w:gridCol w:w="1391"/>
        <w:gridCol w:w="774"/>
        <w:gridCol w:w="853"/>
        <w:gridCol w:w="2320"/>
        <w:gridCol w:w="2938"/>
        <w:gridCol w:w="2088"/>
        <w:gridCol w:w="2470"/>
      </w:tblGrid>
      <w:tr>
        <w:trPr>
          <w:trHeight w:val="422"/>
        </w:trPr>
        <w:tc>
          <w:tcPr>
            <w:tcW w:w="5259" w:type="dxa"/>
            <w:gridSpan w:val="6"/>
          </w:tcPr>
          <w:p>
            <w:pPr>
              <w:pStyle w:val="ConsPlusNormal"/>
              <w:jc w:val="center"/>
              <w:rPr>
                <w:szCs w:val="24"/>
              </w:rPr>
            </w:pPr>
            <w:r>
              <w:rPr>
                <w:szCs w:val="24"/>
              </w:rPr>
              <w:t>Муниципальный контракт (договор)</w:t>
            </w:r>
          </w:p>
        </w:tc>
        <w:tc>
          <w:tcPr>
            <w:tcW w:w="2320" w:type="dxa"/>
            <w:vMerge w:val="restart"/>
          </w:tcPr>
          <w:p>
            <w:pPr>
              <w:pStyle w:val="ConsPlusNormal"/>
              <w:jc w:val="center"/>
              <w:rPr>
                <w:szCs w:val="24"/>
              </w:rPr>
            </w:pPr>
            <w:r>
              <w:rPr>
                <w:szCs w:val="24"/>
              </w:rPr>
              <w:t>Предельный размер авансового платежа, установленный законодательством Российской Федерации для данного вида муниципального контракта (договора), %</w:t>
            </w:r>
          </w:p>
        </w:tc>
        <w:tc>
          <w:tcPr>
            <w:tcW w:w="2938" w:type="dxa"/>
            <w:vMerge w:val="restart"/>
          </w:tcPr>
          <w:p>
            <w:pPr>
              <w:pStyle w:val="ConsPlusNormal"/>
              <w:jc w:val="center"/>
              <w:rPr>
                <w:szCs w:val="24"/>
              </w:rPr>
            </w:pPr>
            <w:r>
              <w:rPr>
                <w:szCs w:val="24"/>
              </w:rPr>
              <w:t>Сумма превышения размера авансового платежа, предусмотренного муниципальным контрактов (договором), предельного размера авансового платежа, установленного законодательством Российской Федерации</w:t>
            </w:r>
          </w:p>
        </w:tc>
        <w:tc>
          <w:tcPr>
            <w:tcW w:w="2088" w:type="dxa"/>
            <w:vMerge w:val="restart"/>
          </w:tcPr>
          <w:p>
            <w:pPr>
              <w:pStyle w:val="ConsPlusNormal"/>
              <w:jc w:val="center"/>
              <w:rPr>
                <w:szCs w:val="24"/>
              </w:rPr>
            </w:pPr>
            <w:r>
              <w:rPr>
                <w:szCs w:val="24"/>
              </w:rPr>
              <w:t>Фактическая сумма превышения предельного размера авансового платежа, установленного законодательством Российской Федерации</w:t>
            </w:r>
          </w:p>
        </w:tc>
        <w:tc>
          <w:tcPr>
            <w:tcW w:w="2470" w:type="dxa"/>
            <w:vMerge w:val="restart"/>
          </w:tcPr>
          <w:p>
            <w:pPr>
              <w:pStyle w:val="ConsPlusNormal"/>
              <w:jc w:val="center"/>
              <w:rPr>
                <w:szCs w:val="24"/>
              </w:rPr>
            </w:pPr>
            <w:r>
              <w:rPr>
                <w:szCs w:val="24"/>
              </w:rPr>
              <w:t>Примечание</w:t>
            </w:r>
          </w:p>
        </w:tc>
      </w:tr>
      <w:tr>
        <w:trPr>
          <w:trHeight w:val="506"/>
        </w:trPr>
        <w:tc>
          <w:tcPr>
            <w:tcW w:w="846" w:type="dxa"/>
            <w:vMerge w:val="restart"/>
          </w:tcPr>
          <w:p>
            <w:pPr>
              <w:pStyle w:val="ConsPlusNormal"/>
              <w:jc w:val="center"/>
              <w:rPr>
                <w:szCs w:val="24"/>
              </w:rPr>
            </w:pPr>
            <w:proofErr w:type="gramStart"/>
            <w:r>
              <w:rPr>
                <w:szCs w:val="24"/>
              </w:rPr>
              <w:t>номер</w:t>
            </w:r>
            <w:proofErr w:type="gramEnd"/>
          </w:p>
        </w:tc>
        <w:tc>
          <w:tcPr>
            <w:tcW w:w="622" w:type="dxa"/>
            <w:vMerge w:val="restart"/>
          </w:tcPr>
          <w:p>
            <w:pPr>
              <w:pStyle w:val="ConsPlusNormal"/>
              <w:jc w:val="center"/>
              <w:rPr>
                <w:szCs w:val="24"/>
              </w:rPr>
            </w:pPr>
            <w:proofErr w:type="gramStart"/>
            <w:r>
              <w:rPr>
                <w:szCs w:val="24"/>
              </w:rPr>
              <w:t>дата</w:t>
            </w:r>
            <w:proofErr w:type="gramEnd"/>
          </w:p>
        </w:tc>
        <w:tc>
          <w:tcPr>
            <w:tcW w:w="773" w:type="dxa"/>
            <w:vMerge w:val="restart"/>
          </w:tcPr>
          <w:p>
            <w:pPr>
              <w:pStyle w:val="ConsPlusNormal"/>
              <w:jc w:val="center"/>
              <w:rPr>
                <w:szCs w:val="24"/>
              </w:rPr>
            </w:pPr>
            <w:proofErr w:type="gramStart"/>
            <w:r>
              <w:rPr>
                <w:szCs w:val="24"/>
              </w:rPr>
              <w:t>сумма</w:t>
            </w:r>
            <w:proofErr w:type="gramEnd"/>
          </w:p>
        </w:tc>
        <w:tc>
          <w:tcPr>
            <w:tcW w:w="2165" w:type="dxa"/>
            <w:gridSpan w:val="2"/>
          </w:tcPr>
          <w:p>
            <w:pPr>
              <w:pStyle w:val="ConsPlusNormal"/>
              <w:jc w:val="center"/>
              <w:rPr>
                <w:szCs w:val="24"/>
              </w:rPr>
            </w:pPr>
            <w:proofErr w:type="gramStart"/>
            <w:r>
              <w:rPr>
                <w:szCs w:val="24"/>
              </w:rPr>
              <w:t>авансовый</w:t>
            </w:r>
            <w:proofErr w:type="gramEnd"/>
            <w:r>
              <w:rPr>
                <w:szCs w:val="24"/>
              </w:rPr>
              <w:t xml:space="preserve"> платеж</w:t>
            </w:r>
          </w:p>
        </w:tc>
        <w:tc>
          <w:tcPr>
            <w:tcW w:w="853" w:type="dxa"/>
            <w:vMerge w:val="restart"/>
          </w:tcPr>
          <w:p>
            <w:pPr>
              <w:pStyle w:val="ConsPlusNormal"/>
              <w:jc w:val="center"/>
              <w:rPr>
                <w:szCs w:val="24"/>
              </w:rPr>
            </w:pPr>
            <w:proofErr w:type="gramStart"/>
            <w:r>
              <w:rPr>
                <w:szCs w:val="24"/>
              </w:rPr>
              <w:t>предмет</w:t>
            </w:r>
            <w:proofErr w:type="gramEnd"/>
          </w:p>
        </w:tc>
        <w:tc>
          <w:tcPr>
            <w:tcW w:w="2320" w:type="dxa"/>
            <w:vMerge/>
          </w:tcPr>
          <w:p>
            <w:pPr>
              <w:pStyle w:val="ConsPlusNormal"/>
              <w:rPr>
                <w:szCs w:val="24"/>
              </w:rPr>
            </w:pPr>
          </w:p>
        </w:tc>
        <w:tc>
          <w:tcPr>
            <w:tcW w:w="2938" w:type="dxa"/>
            <w:vMerge/>
          </w:tcPr>
          <w:p>
            <w:pPr>
              <w:pStyle w:val="ConsPlusNormal"/>
              <w:rPr>
                <w:szCs w:val="24"/>
              </w:rPr>
            </w:pPr>
          </w:p>
        </w:tc>
        <w:tc>
          <w:tcPr>
            <w:tcW w:w="2088" w:type="dxa"/>
            <w:vMerge/>
          </w:tcPr>
          <w:p>
            <w:pPr>
              <w:pStyle w:val="ConsPlusNormal"/>
              <w:rPr>
                <w:szCs w:val="24"/>
              </w:rPr>
            </w:pPr>
          </w:p>
        </w:tc>
        <w:tc>
          <w:tcPr>
            <w:tcW w:w="2470" w:type="dxa"/>
            <w:vMerge/>
          </w:tcPr>
          <w:p>
            <w:pPr>
              <w:pStyle w:val="ConsPlusNormal"/>
              <w:rPr>
                <w:szCs w:val="24"/>
              </w:rPr>
            </w:pPr>
          </w:p>
        </w:tc>
      </w:tr>
      <w:tr>
        <w:trPr>
          <w:trHeight w:val="1784"/>
        </w:trPr>
        <w:tc>
          <w:tcPr>
            <w:tcW w:w="846" w:type="dxa"/>
            <w:vMerge/>
          </w:tcPr>
          <w:p>
            <w:pPr>
              <w:pStyle w:val="ConsPlusNormal"/>
              <w:rPr>
                <w:szCs w:val="24"/>
              </w:rPr>
            </w:pPr>
          </w:p>
        </w:tc>
        <w:tc>
          <w:tcPr>
            <w:tcW w:w="622" w:type="dxa"/>
            <w:vMerge/>
          </w:tcPr>
          <w:p>
            <w:pPr>
              <w:pStyle w:val="ConsPlusNormal"/>
              <w:rPr>
                <w:szCs w:val="24"/>
              </w:rPr>
            </w:pPr>
          </w:p>
        </w:tc>
        <w:tc>
          <w:tcPr>
            <w:tcW w:w="773" w:type="dxa"/>
            <w:vMerge/>
          </w:tcPr>
          <w:p>
            <w:pPr>
              <w:pStyle w:val="ConsPlusNormal"/>
              <w:rPr>
                <w:szCs w:val="24"/>
              </w:rPr>
            </w:pPr>
          </w:p>
        </w:tc>
        <w:tc>
          <w:tcPr>
            <w:tcW w:w="1391" w:type="dxa"/>
          </w:tcPr>
          <w:p>
            <w:pPr>
              <w:pStyle w:val="ConsPlusNormal"/>
              <w:jc w:val="center"/>
              <w:rPr>
                <w:szCs w:val="24"/>
              </w:rPr>
            </w:pPr>
            <w:proofErr w:type="gramStart"/>
            <w:r>
              <w:rPr>
                <w:szCs w:val="24"/>
              </w:rPr>
              <w:t>процент</w:t>
            </w:r>
            <w:proofErr w:type="gramEnd"/>
            <w:r>
              <w:rPr>
                <w:szCs w:val="24"/>
              </w:rPr>
              <w:t xml:space="preserve"> от общей суммы</w:t>
            </w:r>
          </w:p>
        </w:tc>
        <w:tc>
          <w:tcPr>
            <w:tcW w:w="774" w:type="dxa"/>
          </w:tcPr>
          <w:p>
            <w:pPr>
              <w:pStyle w:val="ConsPlusNormal"/>
              <w:jc w:val="center"/>
              <w:rPr>
                <w:szCs w:val="24"/>
              </w:rPr>
            </w:pPr>
            <w:proofErr w:type="gramStart"/>
            <w:r>
              <w:rPr>
                <w:szCs w:val="24"/>
              </w:rPr>
              <w:t>сумма</w:t>
            </w:r>
            <w:proofErr w:type="gramEnd"/>
          </w:p>
        </w:tc>
        <w:tc>
          <w:tcPr>
            <w:tcW w:w="853" w:type="dxa"/>
            <w:vMerge/>
          </w:tcPr>
          <w:p>
            <w:pPr>
              <w:pStyle w:val="ConsPlusNormal"/>
              <w:rPr>
                <w:szCs w:val="24"/>
              </w:rPr>
            </w:pPr>
          </w:p>
        </w:tc>
        <w:tc>
          <w:tcPr>
            <w:tcW w:w="2320" w:type="dxa"/>
            <w:vMerge/>
          </w:tcPr>
          <w:p>
            <w:pPr>
              <w:pStyle w:val="ConsPlusNormal"/>
              <w:rPr>
                <w:szCs w:val="24"/>
              </w:rPr>
            </w:pPr>
          </w:p>
        </w:tc>
        <w:tc>
          <w:tcPr>
            <w:tcW w:w="2938" w:type="dxa"/>
            <w:vMerge/>
          </w:tcPr>
          <w:p>
            <w:pPr>
              <w:pStyle w:val="ConsPlusNormal"/>
              <w:rPr>
                <w:szCs w:val="24"/>
              </w:rPr>
            </w:pPr>
          </w:p>
        </w:tc>
        <w:tc>
          <w:tcPr>
            <w:tcW w:w="2088" w:type="dxa"/>
            <w:vMerge/>
          </w:tcPr>
          <w:p>
            <w:pPr>
              <w:pStyle w:val="ConsPlusNormal"/>
              <w:rPr>
                <w:szCs w:val="24"/>
              </w:rPr>
            </w:pPr>
          </w:p>
        </w:tc>
        <w:tc>
          <w:tcPr>
            <w:tcW w:w="2470" w:type="dxa"/>
            <w:vMerge/>
          </w:tcPr>
          <w:p>
            <w:pPr>
              <w:pStyle w:val="ConsPlusNormal"/>
              <w:rPr>
                <w:szCs w:val="24"/>
              </w:rPr>
            </w:pPr>
          </w:p>
        </w:tc>
      </w:tr>
      <w:tr>
        <w:trPr>
          <w:trHeight w:val="204"/>
        </w:trPr>
        <w:tc>
          <w:tcPr>
            <w:tcW w:w="846" w:type="dxa"/>
          </w:tcPr>
          <w:p>
            <w:pPr>
              <w:pStyle w:val="ConsPlusNormal"/>
              <w:jc w:val="center"/>
              <w:rPr>
                <w:szCs w:val="24"/>
              </w:rPr>
            </w:pPr>
            <w:r>
              <w:rPr>
                <w:szCs w:val="24"/>
              </w:rPr>
              <w:t>1</w:t>
            </w:r>
          </w:p>
        </w:tc>
        <w:tc>
          <w:tcPr>
            <w:tcW w:w="622" w:type="dxa"/>
          </w:tcPr>
          <w:p>
            <w:pPr>
              <w:pStyle w:val="ConsPlusNormal"/>
              <w:jc w:val="center"/>
              <w:rPr>
                <w:szCs w:val="24"/>
              </w:rPr>
            </w:pPr>
            <w:r>
              <w:rPr>
                <w:szCs w:val="24"/>
              </w:rPr>
              <w:t>2</w:t>
            </w:r>
          </w:p>
        </w:tc>
        <w:tc>
          <w:tcPr>
            <w:tcW w:w="773" w:type="dxa"/>
          </w:tcPr>
          <w:p>
            <w:pPr>
              <w:pStyle w:val="ConsPlusNormal"/>
              <w:jc w:val="center"/>
              <w:rPr>
                <w:szCs w:val="24"/>
              </w:rPr>
            </w:pPr>
            <w:r>
              <w:rPr>
                <w:szCs w:val="24"/>
              </w:rPr>
              <w:t>3</w:t>
            </w:r>
          </w:p>
        </w:tc>
        <w:tc>
          <w:tcPr>
            <w:tcW w:w="1391" w:type="dxa"/>
          </w:tcPr>
          <w:p>
            <w:pPr>
              <w:pStyle w:val="ConsPlusNormal"/>
              <w:jc w:val="center"/>
              <w:rPr>
                <w:szCs w:val="24"/>
              </w:rPr>
            </w:pPr>
            <w:r>
              <w:rPr>
                <w:szCs w:val="24"/>
              </w:rPr>
              <w:t>4</w:t>
            </w:r>
          </w:p>
        </w:tc>
        <w:tc>
          <w:tcPr>
            <w:tcW w:w="774" w:type="dxa"/>
          </w:tcPr>
          <w:p>
            <w:pPr>
              <w:pStyle w:val="ConsPlusNormal"/>
              <w:jc w:val="center"/>
              <w:rPr>
                <w:szCs w:val="24"/>
              </w:rPr>
            </w:pPr>
            <w:r>
              <w:rPr>
                <w:szCs w:val="24"/>
              </w:rPr>
              <w:t>5</w:t>
            </w:r>
          </w:p>
        </w:tc>
        <w:tc>
          <w:tcPr>
            <w:tcW w:w="853" w:type="dxa"/>
          </w:tcPr>
          <w:p>
            <w:pPr>
              <w:pStyle w:val="ConsPlusNormal"/>
              <w:jc w:val="center"/>
              <w:rPr>
                <w:szCs w:val="24"/>
              </w:rPr>
            </w:pPr>
            <w:r>
              <w:rPr>
                <w:szCs w:val="24"/>
              </w:rPr>
              <w:t>6</w:t>
            </w:r>
          </w:p>
        </w:tc>
        <w:tc>
          <w:tcPr>
            <w:tcW w:w="2320" w:type="dxa"/>
          </w:tcPr>
          <w:p>
            <w:pPr>
              <w:pStyle w:val="ConsPlusNormal"/>
              <w:jc w:val="center"/>
              <w:rPr>
                <w:szCs w:val="24"/>
              </w:rPr>
            </w:pPr>
            <w:r>
              <w:rPr>
                <w:szCs w:val="24"/>
              </w:rPr>
              <w:t>8</w:t>
            </w:r>
          </w:p>
        </w:tc>
        <w:tc>
          <w:tcPr>
            <w:tcW w:w="2938" w:type="dxa"/>
          </w:tcPr>
          <w:p>
            <w:pPr>
              <w:pStyle w:val="ConsPlusNormal"/>
              <w:jc w:val="center"/>
              <w:rPr>
                <w:szCs w:val="24"/>
              </w:rPr>
            </w:pPr>
            <w:r>
              <w:rPr>
                <w:szCs w:val="24"/>
              </w:rPr>
              <w:t>9</w:t>
            </w:r>
          </w:p>
        </w:tc>
        <w:tc>
          <w:tcPr>
            <w:tcW w:w="2088" w:type="dxa"/>
          </w:tcPr>
          <w:p>
            <w:pPr>
              <w:pStyle w:val="ConsPlusNormal"/>
              <w:jc w:val="center"/>
              <w:rPr>
                <w:szCs w:val="24"/>
              </w:rPr>
            </w:pPr>
            <w:r>
              <w:rPr>
                <w:szCs w:val="24"/>
              </w:rPr>
              <w:t>10</w:t>
            </w:r>
          </w:p>
        </w:tc>
        <w:tc>
          <w:tcPr>
            <w:tcW w:w="2470" w:type="dxa"/>
          </w:tcPr>
          <w:p>
            <w:pPr>
              <w:pStyle w:val="ConsPlusNormal"/>
              <w:jc w:val="center"/>
              <w:rPr>
                <w:szCs w:val="24"/>
              </w:rPr>
            </w:pPr>
            <w:r>
              <w:rPr>
                <w:szCs w:val="24"/>
              </w:rPr>
              <w:t>11</w:t>
            </w:r>
          </w:p>
        </w:tc>
      </w:tr>
      <w:tr>
        <w:trPr>
          <w:trHeight w:val="204"/>
        </w:trPr>
        <w:tc>
          <w:tcPr>
            <w:tcW w:w="846" w:type="dxa"/>
          </w:tcPr>
          <w:p>
            <w:pPr>
              <w:pStyle w:val="ConsPlusNormal"/>
              <w:rPr>
                <w:szCs w:val="24"/>
              </w:rPr>
            </w:pPr>
          </w:p>
        </w:tc>
        <w:tc>
          <w:tcPr>
            <w:tcW w:w="622" w:type="dxa"/>
          </w:tcPr>
          <w:p>
            <w:pPr>
              <w:pStyle w:val="ConsPlusNormal"/>
              <w:rPr>
                <w:szCs w:val="24"/>
              </w:rPr>
            </w:pPr>
          </w:p>
        </w:tc>
        <w:tc>
          <w:tcPr>
            <w:tcW w:w="773" w:type="dxa"/>
          </w:tcPr>
          <w:p>
            <w:pPr>
              <w:pStyle w:val="ConsPlusNormal"/>
              <w:rPr>
                <w:szCs w:val="24"/>
              </w:rPr>
            </w:pPr>
          </w:p>
        </w:tc>
        <w:tc>
          <w:tcPr>
            <w:tcW w:w="1391" w:type="dxa"/>
          </w:tcPr>
          <w:p>
            <w:pPr>
              <w:pStyle w:val="ConsPlusNormal"/>
              <w:rPr>
                <w:szCs w:val="24"/>
              </w:rPr>
            </w:pPr>
          </w:p>
        </w:tc>
        <w:tc>
          <w:tcPr>
            <w:tcW w:w="774" w:type="dxa"/>
          </w:tcPr>
          <w:p>
            <w:pPr>
              <w:pStyle w:val="ConsPlusNormal"/>
              <w:rPr>
                <w:szCs w:val="24"/>
              </w:rPr>
            </w:pPr>
          </w:p>
        </w:tc>
        <w:tc>
          <w:tcPr>
            <w:tcW w:w="853" w:type="dxa"/>
          </w:tcPr>
          <w:p>
            <w:pPr>
              <w:pStyle w:val="ConsPlusNormal"/>
              <w:rPr>
                <w:szCs w:val="24"/>
              </w:rPr>
            </w:pPr>
          </w:p>
        </w:tc>
        <w:tc>
          <w:tcPr>
            <w:tcW w:w="2320" w:type="dxa"/>
          </w:tcPr>
          <w:p>
            <w:pPr>
              <w:pStyle w:val="ConsPlusNormal"/>
              <w:rPr>
                <w:szCs w:val="24"/>
              </w:rPr>
            </w:pPr>
          </w:p>
        </w:tc>
        <w:tc>
          <w:tcPr>
            <w:tcW w:w="2938" w:type="dxa"/>
          </w:tcPr>
          <w:p>
            <w:pPr>
              <w:pStyle w:val="ConsPlusNormal"/>
              <w:rPr>
                <w:szCs w:val="24"/>
              </w:rPr>
            </w:pPr>
          </w:p>
        </w:tc>
        <w:tc>
          <w:tcPr>
            <w:tcW w:w="2088" w:type="dxa"/>
          </w:tcPr>
          <w:p>
            <w:pPr>
              <w:pStyle w:val="ConsPlusNormal"/>
              <w:rPr>
                <w:szCs w:val="24"/>
              </w:rPr>
            </w:pPr>
          </w:p>
        </w:tc>
        <w:tc>
          <w:tcPr>
            <w:tcW w:w="2470" w:type="dxa"/>
          </w:tcPr>
          <w:p>
            <w:pPr>
              <w:pStyle w:val="ConsPlusNormal"/>
              <w:rPr>
                <w:szCs w:val="24"/>
              </w:rPr>
            </w:pPr>
          </w:p>
        </w:tc>
      </w:tr>
    </w:tbl>
    <w:p>
      <w:pPr>
        <w:pStyle w:val="ConsPlusNormal"/>
        <w:jc w:val="both"/>
        <w:rPr>
          <w:szCs w:val="24"/>
        </w:rPr>
      </w:pPr>
    </w:p>
    <w:tbl>
      <w:tblPr>
        <w:tblW w:w="14997" w:type="dxa"/>
        <w:tblLayout w:type="fixed"/>
        <w:tblCellMar>
          <w:top w:w="102" w:type="dxa"/>
          <w:left w:w="62" w:type="dxa"/>
          <w:bottom w:w="102" w:type="dxa"/>
          <w:right w:w="62" w:type="dxa"/>
        </w:tblCellMar>
        <w:tblLook w:val="04A0" w:firstRow="1" w:lastRow="0" w:firstColumn="1" w:lastColumn="0" w:noHBand="0" w:noVBand="1"/>
      </w:tblPr>
      <w:tblGrid>
        <w:gridCol w:w="14317"/>
        <w:gridCol w:w="680"/>
      </w:tblGrid>
      <w:tr>
        <w:tc>
          <w:tcPr>
            <w:tcW w:w="14317" w:type="dxa"/>
            <w:tcBorders>
              <w:top w:val="nil"/>
              <w:left w:val="nil"/>
              <w:bottom w:val="nil"/>
              <w:right w:val="nil"/>
            </w:tcBorders>
            <w:vAlign w:val="bottom"/>
          </w:tcPr>
          <w:p>
            <w:pPr>
              <w:pStyle w:val="ConsPlusNormal"/>
              <w:jc w:val="right"/>
              <w:rPr>
                <w:szCs w:val="24"/>
              </w:rPr>
            </w:pPr>
            <w:r>
              <w:rPr>
                <w:szCs w:val="24"/>
              </w:rPr>
              <w:t>Номер страницы</w:t>
            </w:r>
          </w:p>
        </w:tc>
        <w:tc>
          <w:tcPr>
            <w:tcW w:w="680" w:type="dxa"/>
            <w:tcBorders>
              <w:top w:val="nil"/>
              <w:left w:val="nil"/>
              <w:bottom w:val="single" w:sz="4" w:space="0" w:color="auto"/>
              <w:right w:val="nil"/>
            </w:tcBorders>
          </w:tcPr>
          <w:p>
            <w:pPr>
              <w:pStyle w:val="ConsPlusNormal"/>
              <w:jc w:val="right"/>
              <w:rPr>
                <w:szCs w:val="24"/>
              </w:rPr>
            </w:pPr>
          </w:p>
        </w:tc>
      </w:tr>
      <w:tr>
        <w:tc>
          <w:tcPr>
            <w:tcW w:w="14317" w:type="dxa"/>
            <w:tcBorders>
              <w:top w:val="nil"/>
              <w:left w:val="nil"/>
              <w:bottom w:val="nil"/>
              <w:right w:val="nil"/>
            </w:tcBorders>
            <w:vAlign w:val="bottom"/>
          </w:tcPr>
          <w:p>
            <w:pPr>
              <w:pStyle w:val="ConsPlusNormal"/>
              <w:jc w:val="right"/>
              <w:rPr>
                <w:szCs w:val="24"/>
              </w:rPr>
            </w:pPr>
            <w:r>
              <w:rPr>
                <w:szCs w:val="24"/>
              </w:rPr>
              <w:t>Всего страниц</w:t>
            </w:r>
          </w:p>
        </w:tc>
        <w:tc>
          <w:tcPr>
            <w:tcW w:w="680" w:type="dxa"/>
            <w:tcBorders>
              <w:top w:val="single" w:sz="4" w:space="0" w:color="auto"/>
              <w:left w:val="nil"/>
              <w:bottom w:val="single" w:sz="4" w:space="0" w:color="auto"/>
              <w:right w:val="nil"/>
            </w:tcBorders>
          </w:tcPr>
          <w:p>
            <w:pPr>
              <w:pStyle w:val="ConsPlusNormal"/>
              <w:jc w:val="right"/>
              <w:rPr>
                <w:szCs w:val="24"/>
              </w:rPr>
            </w:pPr>
          </w:p>
        </w:tc>
      </w:tr>
    </w:tbl>
    <w:p>
      <w:pPr>
        <w:pStyle w:val="ConsPlusNormal"/>
        <w:jc w:val="right"/>
        <w:rPr>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98"/>
        <w:gridCol w:w="340"/>
        <w:gridCol w:w="1474"/>
        <w:gridCol w:w="340"/>
        <w:gridCol w:w="1191"/>
        <w:gridCol w:w="1191"/>
        <w:gridCol w:w="340"/>
        <w:gridCol w:w="1587"/>
      </w:tblGrid>
      <w:tr>
        <w:tc>
          <w:tcPr>
            <w:tcW w:w="3798" w:type="dxa"/>
            <w:tcBorders>
              <w:top w:val="nil"/>
              <w:left w:val="nil"/>
              <w:bottom w:val="nil"/>
              <w:right w:val="nil"/>
            </w:tcBorders>
            <w:vAlign w:val="bottom"/>
          </w:tcPr>
          <w:p>
            <w:pPr>
              <w:pStyle w:val="ConsPlusNormal"/>
              <w:rPr>
                <w:szCs w:val="24"/>
              </w:rPr>
            </w:pPr>
            <w:r>
              <w:rPr>
                <w:szCs w:val="24"/>
              </w:rPr>
              <w:t>Руководитель органа Федерального казначейства (уполномоченное лицо)</w:t>
            </w:r>
          </w:p>
        </w:tc>
        <w:tc>
          <w:tcPr>
            <w:tcW w:w="340" w:type="dxa"/>
            <w:tcBorders>
              <w:top w:val="nil"/>
              <w:left w:val="nil"/>
              <w:bottom w:val="nil"/>
              <w:right w:val="nil"/>
            </w:tcBorders>
          </w:tcPr>
          <w:p>
            <w:pPr>
              <w:pStyle w:val="ConsPlusNormal"/>
              <w:rPr>
                <w:szCs w:val="24"/>
              </w:rPr>
            </w:pPr>
          </w:p>
        </w:tc>
        <w:tc>
          <w:tcPr>
            <w:tcW w:w="1474" w:type="dxa"/>
            <w:tcBorders>
              <w:top w:val="nil"/>
              <w:left w:val="nil"/>
              <w:bottom w:val="single" w:sz="4" w:space="0" w:color="auto"/>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191" w:type="dxa"/>
            <w:tcBorders>
              <w:top w:val="nil"/>
              <w:left w:val="nil"/>
              <w:bottom w:val="single" w:sz="4" w:space="0" w:color="auto"/>
              <w:right w:val="nil"/>
            </w:tcBorders>
          </w:tcPr>
          <w:p>
            <w:pPr>
              <w:pStyle w:val="ConsPlusNormal"/>
              <w:rPr>
                <w:szCs w:val="24"/>
              </w:rPr>
            </w:pPr>
          </w:p>
        </w:tc>
        <w:tc>
          <w:tcPr>
            <w:tcW w:w="1191" w:type="dxa"/>
            <w:tcBorders>
              <w:top w:val="nil"/>
              <w:left w:val="nil"/>
              <w:bottom w:val="single" w:sz="4" w:space="0" w:color="auto"/>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587" w:type="dxa"/>
            <w:tcBorders>
              <w:top w:val="nil"/>
              <w:left w:val="nil"/>
              <w:bottom w:val="single" w:sz="4" w:space="0" w:color="auto"/>
              <w:right w:val="nil"/>
            </w:tcBorders>
          </w:tcPr>
          <w:p>
            <w:pPr>
              <w:pStyle w:val="ConsPlusNormal"/>
              <w:rPr>
                <w:szCs w:val="24"/>
              </w:rPr>
            </w:pPr>
          </w:p>
        </w:tc>
      </w:tr>
      <w:tr>
        <w:tc>
          <w:tcPr>
            <w:tcW w:w="3798"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474" w:type="dxa"/>
            <w:tcBorders>
              <w:top w:val="single" w:sz="4" w:space="0" w:color="auto"/>
              <w:left w:val="nil"/>
              <w:bottom w:val="nil"/>
              <w:right w:val="nil"/>
            </w:tcBorders>
          </w:tcPr>
          <w:p>
            <w:pPr>
              <w:pStyle w:val="ConsPlusNormal"/>
              <w:jc w:val="center"/>
              <w:rPr>
                <w:szCs w:val="24"/>
              </w:rPr>
            </w:pPr>
            <w:r>
              <w:rPr>
                <w:szCs w:val="24"/>
              </w:rPr>
              <w:t>(</w:t>
            </w:r>
            <w:proofErr w:type="gramStart"/>
            <w:r>
              <w:rPr>
                <w:szCs w:val="24"/>
              </w:rPr>
              <w:t>должность</w:t>
            </w:r>
            <w:proofErr w:type="gramEnd"/>
            <w:r>
              <w:rPr>
                <w:szCs w:val="24"/>
              </w:rPr>
              <w:t>)</w:t>
            </w:r>
          </w:p>
        </w:tc>
        <w:tc>
          <w:tcPr>
            <w:tcW w:w="340" w:type="dxa"/>
            <w:tcBorders>
              <w:top w:val="nil"/>
              <w:left w:val="nil"/>
              <w:bottom w:val="nil"/>
              <w:right w:val="nil"/>
            </w:tcBorders>
          </w:tcPr>
          <w:p>
            <w:pPr>
              <w:pStyle w:val="ConsPlusNormal"/>
              <w:rPr>
                <w:szCs w:val="24"/>
              </w:rPr>
            </w:pPr>
          </w:p>
        </w:tc>
        <w:tc>
          <w:tcPr>
            <w:tcW w:w="1191" w:type="dxa"/>
            <w:tcBorders>
              <w:top w:val="single" w:sz="4" w:space="0" w:color="auto"/>
              <w:left w:val="nil"/>
              <w:bottom w:val="nil"/>
              <w:right w:val="nil"/>
            </w:tcBorders>
          </w:tcPr>
          <w:p>
            <w:pPr>
              <w:pStyle w:val="ConsPlusNormal"/>
              <w:jc w:val="center"/>
              <w:rPr>
                <w:szCs w:val="24"/>
              </w:rPr>
            </w:pPr>
          </w:p>
        </w:tc>
        <w:tc>
          <w:tcPr>
            <w:tcW w:w="1191" w:type="dxa"/>
            <w:tcBorders>
              <w:top w:val="single" w:sz="4" w:space="0" w:color="auto"/>
              <w:left w:val="nil"/>
              <w:bottom w:val="nil"/>
              <w:right w:val="nil"/>
            </w:tcBorders>
          </w:tcPr>
          <w:p>
            <w:pPr>
              <w:pStyle w:val="ConsPlusNormal"/>
              <w:jc w:val="center"/>
              <w:rPr>
                <w:szCs w:val="24"/>
              </w:rPr>
            </w:pPr>
            <w:r>
              <w:rPr>
                <w:szCs w:val="24"/>
              </w:rPr>
              <w:t>(</w:t>
            </w:r>
            <w:proofErr w:type="gramStart"/>
            <w:r>
              <w:rPr>
                <w:szCs w:val="24"/>
              </w:rPr>
              <w:t>подпись</w:t>
            </w:r>
            <w:proofErr w:type="gramEnd"/>
            <w:r>
              <w:rPr>
                <w:szCs w:val="24"/>
              </w:rPr>
              <w:t>)</w:t>
            </w:r>
          </w:p>
        </w:tc>
        <w:tc>
          <w:tcPr>
            <w:tcW w:w="340" w:type="dxa"/>
            <w:tcBorders>
              <w:top w:val="nil"/>
              <w:left w:val="nil"/>
              <w:bottom w:val="nil"/>
              <w:right w:val="nil"/>
            </w:tcBorders>
          </w:tcPr>
          <w:p>
            <w:pPr>
              <w:pStyle w:val="ConsPlusNormal"/>
              <w:rPr>
                <w:szCs w:val="24"/>
              </w:rPr>
            </w:pPr>
          </w:p>
        </w:tc>
        <w:tc>
          <w:tcPr>
            <w:tcW w:w="1587" w:type="dxa"/>
            <w:tcBorders>
              <w:top w:val="single" w:sz="4" w:space="0" w:color="auto"/>
              <w:left w:val="nil"/>
              <w:bottom w:val="nil"/>
              <w:right w:val="nil"/>
            </w:tcBorders>
          </w:tcPr>
          <w:p>
            <w:pPr>
              <w:pStyle w:val="ConsPlusNormal"/>
              <w:jc w:val="center"/>
              <w:rPr>
                <w:szCs w:val="24"/>
              </w:rPr>
            </w:pPr>
            <w:r>
              <w:rPr>
                <w:szCs w:val="24"/>
              </w:rPr>
              <w:t>(</w:t>
            </w:r>
            <w:proofErr w:type="gramStart"/>
            <w:r>
              <w:rPr>
                <w:szCs w:val="24"/>
              </w:rPr>
              <w:t>расшифровка</w:t>
            </w:r>
            <w:proofErr w:type="gramEnd"/>
            <w:r>
              <w:rPr>
                <w:szCs w:val="24"/>
              </w:rPr>
              <w:t xml:space="preserve"> подписи)</w:t>
            </w:r>
          </w:p>
        </w:tc>
      </w:tr>
      <w:tr>
        <w:tc>
          <w:tcPr>
            <w:tcW w:w="3798" w:type="dxa"/>
            <w:tcBorders>
              <w:top w:val="nil"/>
              <w:left w:val="nil"/>
              <w:bottom w:val="nil"/>
              <w:right w:val="nil"/>
            </w:tcBorders>
          </w:tcPr>
          <w:p>
            <w:pPr>
              <w:pStyle w:val="ConsPlusNormal"/>
              <w:rPr>
                <w:szCs w:val="24"/>
              </w:rPr>
            </w:pPr>
            <w:r>
              <w:rPr>
                <w:szCs w:val="24"/>
              </w:rPr>
              <w:t>"__" _____ 20__ г.</w:t>
            </w:r>
          </w:p>
        </w:tc>
        <w:tc>
          <w:tcPr>
            <w:tcW w:w="340" w:type="dxa"/>
            <w:tcBorders>
              <w:top w:val="nil"/>
              <w:left w:val="nil"/>
              <w:bottom w:val="nil"/>
              <w:right w:val="nil"/>
            </w:tcBorders>
          </w:tcPr>
          <w:p>
            <w:pPr>
              <w:pStyle w:val="ConsPlusNormal"/>
              <w:rPr>
                <w:szCs w:val="24"/>
              </w:rPr>
            </w:pPr>
          </w:p>
        </w:tc>
        <w:tc>
          <w:tcPr>
            <w:tcW w:w="1474"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191" w:type="dxa"/>
            <w:tcBorders>
              <w:top w:val="nil"/>
              <w:left w:val="nil"/>
              <w:bottom w:val="nil"/>
              <w:right w:val="nil"/>
            </w:tcBorders>
          </w:tcPr>
          <w:p>
            <w:pPr>
              <w:pStyle w:val="ConsPlusNormal"/>
              <w:rPr>
                <w:szCs w:val="24"/>
              </w:rPr>
            </w:pPr>
          </w:p>
        </w:tc>
        <w:tc>
          <w:tcPr>
            <w:tcW w:w="1191"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587" w:type="dxa"/>
            <w:tcBorders>
              <w:top w:val="nil"/>
              <w:left w:val="nil"/>
              <w:bottom w:val="nil"/>
              <w:right w:val="nil"/>
            </w:tcBorders>
          </w:tcPr>
          <w:p>
            <w:pPr>
              <w:pStyle w:val="ConsPlusNormal"/>
              <w:rPr>
                <w:szCs w:val="24"/>
              </w:rPr>
            </w:pPr>
          </w:p>
        </w:tc>
      </w:tr>
    </w:tbl>
    <w:p>
      <w:pPr>
        <w:pStyle w:val="ConsPlusNormal"/>
        <w:jc w:val="both"/>
        <w:rPr>
          <w:szCs w:val="24"/>
        </w:rPr>
        <w:sectPr>
          <w:headerReference w:type="even" r:id="rId22"/>
          <w:headerReference w:type="default" r:id="rId23"/>
          <w:footerReference w:type="default" r:id="rId24"/>
          <w:footerReference w:type="first" r:id="rId25"/>
          <w:pgSz w:w="16838" w:h="11906" w:orient="landscape"/>
          <w:pgMar w:top="1701" w:right="1134" w:bottom="567" w:left="1134" w:header="567" w:footer="454" w:gutter="0"/>
          <w:cols w:space="708"/>
          <w:titlePg/>
          <w:docGrid w:linePitch="360"/>
        </w:sectPr>
      </w:pPr>
    </w:p>
    <w:p>
      <w:pPr>
        <w:pStyle w:val="ConsPlusNormal"/>
        <w:ind w:firstLine="4536"/>
        <w:outlineLvl w:val="1"/>
        <w:rPr>
          <w:szCs w:val="24"/>
        </w:rPr>
      </w:pPr>
      <w:r>
        <w:rPr>
          <w:szCs w:val="24"/>
        </w:rPr>
        <w:t>Приложение № 2</w:t>
      </w:r>
    </w:p>
    <w:p>
      <w:pPr>
        <w:pStyle w:val="ConsPlusTitle"/>
        <w:ind w:firstLine="4536"/>
        <w:rPr>
          <w:b w:val="0"/>
          <w:szCs w:val="24"/>
        </w:rPr>
      </w:pPr>
      <w:proofErr w:type="gramStart"/>
      <w:r>
        <w:rPr>
          <w:b w:val="0"/>
          <w:szCs w:val="24"/>
        </w:rPr>
        <w:t>к</w:t>
      </w:r>
      <w:proofErr w:type="gramEnd"/>
      <w:r>
        <w:rPr>
          <w:b w:val="0"/>
          <w:szCs w:val="24"/>
        </w:rPr>
        <w:t xml:space="preserve"> Порядку санкционирования оплаты денежных </w:t>
      </w:r>
    </w:p>
    <w:p>
      <w:pPr>
        <w:pStyle w:val="ConsPlusTitle"/>
        <w:ind w:left="4536"/>
        <w:rPr>
          <w:b w:val="0"/>
          <w:bCs/>
          <w:szCs w:val="24"/>
        </w:rPr>
      </w:pPr>
      <w:proofErr w:type="gramStart"/>
      <w:r>
        <w:rPr>
          <w:b w:val="0"/>
          <w:szCs w:val="24"/>
        </w:rPr>
        <w:t>обязательств</w:t>
      </w:r>
      <w:proofErr w:type="gramEnd"/>
      <w:r>
        <w:rPr>
          <w:b w:val="0"/>
          <w:szCs w:val="24"/>
        </w:rPr>
        <w:t xml:space="preserve"> получателей средств бюджета </w:t>
      </w:r>
      <w:r>
        <w:rPr>
          <w:b w:val="0"/>
          <w:bCs/>
          <w:szCs w:val="24"/>
        </w:rPr>
        <w:t>городского округа закрытого</w:t>
      </w:r>
    </w:p>
    <w:p>
      <w:pPr>
        <w:pStyle w:val="ConsPlusTitle"/>
        <w:ind w:firstLine="4536"/>
        <w:rPr>
          <w:b w:val="0"/>
          <w:bCs/>
          <w:szCs w:val="24"/>
        </w:rPr>
      </w:pPr>
      <w:r>
        <w:rPr>
          <w:b w:val="0"/>
          <w:bCs/>
          <w:szCs w:val="24"/>
        </w:rPr>
        <w:t xml:space="preserve"> </w:t>
      </w:r>
      <w:proofErr w:type="gramStart"/>
      <w:r>
        <w:rPr>
          <w:b w:val="0"/>
          <w:bCs/>
          <w:szCs w:val="24"/>
        </w:rPr>
        <w:t>административно</w:t>
      </w:r>
      <w:proofErr w:type="gramEnd"/>
      <w:r>
        <w:rPr>
          <w:b w:val="0"/>
          <w:bCs/>
          <w:szCs w:val="24"/>
        </w:rPr>
        <w:t>-территориального</w:t>
      </w:r>
    </w:p>
    <w:p>
      <w:pPr>
        <w:pStyle w:val="ConsPlusTitle"/>
        <w:ind w:firstLine="4536"/>
        <w:rPr>
          <w:b w:val="0"/>
          <w:bCs/>
          <w:szCs w:val="24"/>
        </w:rPr>
      </w:pPr>
      <w:r>
        <w:rPr>
          <w:b w:val="0"/>
          <w:bCs/>
          <w:szCs w:val="24"/>
        </w:rPr>
        <w:t xml:space="preserve"> </w:t>
      </w:r>
      <w:proofErr w:type="gramStart"/>
      <w:r>
        <w:rPr>
          <w:b w:val="0"/>
          <w:bCs/>
          <w:szCs w:val="24"/>
        </w:rPr>
        <w:t>образования</w:t>
      </w:r>
      <w:proofErr w:type="gramEnd"/>
      <w:r>
        <w:rPr>
          <w:b w:val="0"/>
          <w:bCs/>
          <w:szCs w:val="24"/>
        </w:rPr>
        <w:t xml:space="preserve"> Северск Томской области</w:t>
      </w:r>
    </w:p>
    <w:p>
      <w:pPr>
        <w:pStyle w:val="ConsPlusTitle"/>
        <w:ind w:firstLine="4536"/>
        <w:rPr>
          <w:b w:val="0"/>
          <w:szCs w:val="24"/>
        </w:rPr>
      </w:pPr>
      <w:proofErr w:type="gramStart"/>
      <w:r>
        <w:rPr>
          <w:b w:val="0"/>
          <w:szCs w:val="24"/>
        </w:rPr>
        <w:t>и</w:t>
      </w:r>
      <w:proofErr w:type="gramEnd"/>
      <w:r>
        <w:rPr>
          <w:b w:val="0"/>
          <w:szCs w:val="24"/>
        </w:rPr>
        <w:t xml:space="preserve"> оплаты денежных обязательств, </w:t>
      </w:r>
    </w:p>
    <w:p>
      <w:pPr>
        <w:pStyle w:val="ConsPlusTitle"/>
        <w:ind w:firstLine="4536"/>
        <w:rPr>
          <w:b w:val="0"/>
          <w:szCs w:val="24"/>
        </w:rPr>
      </w:pPr>
      <w:proofErr w:type="gramStart"/>
      <w:r>
        <w:rPr>
          <w:b w:val="0"/>
          <w:szCs w:val="24"/>
        </w:rPr>
        <w:t>подлежащих</w:t>
      </w:r>
      <w:proofErr w:type="gramEnd"/>
      <w:r>
        <w:rPr>
          <w:b w:val="0"/>
          <w:szCs w:val="24"/>
        </w:rPr>
        <w:t xml:space="preserve"> исполнению за счет бюджетных</w:t>
      </w:r>
    </w:p>
    <w:p>
      <w:pPr>
        <w:pStyle w:val="ConsPlusTitle"/>
        <w:ind w:firstLine="4536"/>
        <w:rPr>
          <w:b w:val="0"/>
          <w:szCs w:val="24"/>
        </w:rPr>
      </w:pPr>
      <w:proofErr w:type="gramStart"/>
      <w:r>
        <w:rPr>
          <w:b w:val="0"/>
          <w:szCs w:val="24"/>
        </w:rPr>
        <w:t>ассигнований</w:t>
      </w:r>
      <w:proofErr w:type="gramEnd"/>
      <w:r>
        <w:rPr>
          <w:b w:val="0"/>
          <w:szCs w:val="24"/>
        </w:rPr>
        <w:t xml:space="preserve"> по источникам</w:t>
      </w:r>
    </w:p>
    <w:p>
      <w:pPr>
        <w:pStyle w:val="ConsPlusTitle"/>
        <w:ind w:firstLine="4536"/>
        <w:rPr>
          <w:b w:val="0"/>
          <w:szCs w:val="24"/>
        </w:rPr>
      </w:pPr>
      <w:r>
        <w:rPr>
          <w:b w:val="0"/>
          <w:szCs w:val="24"/>
        </w:rPr>
        <w:t xml:space="preserve"> </w:t>
      </w:r>
      <w:proofErr w:type="gramStart"/>
      <w:r>
        <w:rPr>
          <w:b w:val="0"/>
          <w:szCs w:val="24"/>
        </w:rPr>
        <w:t>финансирования</w:t>
      </w:r>
      <w:proofErr w:type="gramEnd"/>
      <w:r>
        <w:rPr>
          <w:b w:val="0"/>
          <w:szCs w:val="24"/>
        </w:rPr>
        <w:t xml:space="preserve"> дефицита</w:t>
      </w:r>
    </w:p>
    <w:p>
      <w:pPr>
        <w:autoSpaceDE w:val="0"/>
        <w:autoSpaceDN w:val="0"/>
        <w:adjustRightInd w:val="0"/>
        <w:ind w:firstLine="4536"/>
        <w:rPr>
          <w:rFonts w:ascii="Times New Roman" w:hAnsi="Times New Roman"/>
          <w:bCs/>
          <w:sz w:val="24"/>
          <w:szCs w:val="24"/>
        </w:rPr>
      </w:pPr>
      <w:proofErr w:type="gramStart"/>
      <w:r>
        <w:rPr>
          <w:rFonts w:ascii="Times New Roman" w:hAnsi="Times New Roman"/>
          <w:sz w:val="24"/>
          <w:szCs w:val="24"/>
        </w:rPr>
        <w:t>бюджета</w:t>
      </w:r>
      <w:proofErr w:type="gramEnd"/>
      <w:r>
        <w:rPr>
          <w:rFonts w:ascii="Times New Roman" w:hAnsi="Times New Roman"/>
          <w:sz w:val="24"/>
          <w:szCs w:val="24"/>
        </w:rPr>
        <w:t xml:space="preserve"> </w:t>
      </w:r>
      <w:r>
        <w:rPr>
          <w:rFonts w:ascii="Times New Roman" w:hAnsi="Times New Roman"/>
          <w:bCs/>
          <w:sz w:val="24"/>
          <w:szCs w:val="24"/>
        </w:rPr>
        <w:t xml:space="preserve">городского округа </w:t>
      </w:r>
    </w:p>
    <w:p>
      <w:pPr>
        <w:autoSpaceDE w:val="0"/>
        <w:autoSpaceDN w:val="0"/>
        <w:adjustRightInd w:val="0"/>
        <w:ind w:firstLine="4536"/>
        <w:rPr>
          <w:rFonts w:ascii="Times New Roman" w:hAnsi="Times New Roman"/>
          <w:bCs/>
          <w:sz w:val="24"/>
          <w:szCs w:val="24"/>
        </w:rPr>
      </w:pPr>
      <w:r>
        <w:rPr>
          <w:rFonts w:ascii="Times New Roman" w:hAnsi="Times New Roman"/>
          <w:bCs/>
          <w:sz w:val="24"/>
          <w:szCs w:val="24"/>
        </w:rPr>
        <w:t>закрытого административно-территориального</w:t>
      </w:r>
    </w:p>
    <w:p>
      <w:pPr>
        <w:autoSpaceDE w:val="0"/>
        <w:autoSpaceDN w:val="0"/>
        <w:adjustRightInd w:val="0"/>
        <w:ind w:firstLine="4536"/>
        <w:rPr>
          <w:rFonts w:ascii="Times New Roman" w:hAnsi="Times New Roman"/>
          <w:bCs/>
          <w:sz w:val="24"/>
          <w:szCs w:val="24"/>
        </w:rPr>
      </w:pPr>
      <w:proofErr w:type="gramStart"/>
      <w:r>
        <w:rPr>
          <w:rFonts w:ascii="Times New Roman" w:hAnsi="Times New Roman"/>
          <w:bCs/>
          <w:sz w:val="24"/>
          <w:szCs w:val="24"/>
        </w:rPr>
        <w:t>образования</w:t>
      </w:r>
      <w:proofErr w:type="gramEnd"/>
      <w:r>
        <w:rPr>
          <w:rFonts w:ascii="Times New Roman" w:hAnsi="Times New Roman"/>
          <w:bCs/>
          <w:sz w:val="24"/>
          <w:szCs w:val="24"/>
        </w:rPr>
        <w:t xml:space="preserve"> Северск Томской области</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tc>
          <w:tcPr>
            <w:tcW w:w="9071" w:type="dxa"/>
            <w:tcBorders>
              <w:top w:val="nil"/>
              <w:left w:val="nil"/>
              <w:bottom w:val="nil"/>
              <w:right w:val="nil"/>
            </w:tcBorders>
          </w:tcPr>
          <w:p>
            <w:pPr>
              <w:pStyle w:val="ConsPlusNormal"/>
              <w:jc w:val="center"/>
              <w:rPr>
                <w:szCs w:val="24"/>
              </w:rPr>
            </w:pPr>
            <w:bookmarkStart w:id="31" w:name="P356"/>
            <w:bookmarkEnd w:id="31"/>
          </w:p>
          <w:p>
            <w:pPr>
              <w:pStyle w:val="ConsPlusNormal"/>
              <w:jc w:val="center"/>
              <w:rPr>
                <w:szCs w:val="24"/>
              </w:rPr>
            </w:pPr>
          </w:p>
          <w:p>
            <w:pPr>
              <w:pStyle w:val="ConsPlusNormal"/>
              <w:jc w:val="center"/>
              <w:rPr>
                <w:szCs w:val="24"/>
              </w:rPr>
            </w:pPr>
            <w:r>
              <w:rPr>
                <w:szCs w:val="24"/>
              </w:rPr>
              <w:t>УВЕДОМЛЕНИЕ № _____</w:t>
            </w:r>
          </w:p>
          <w:p>
            <w:pPr>
              <w:pStyle w:val="ConsPlusNormal"/>
              <w:jc w:val="center"/>
              <w:rPr>
                <w:szCs w:val="24"/>
              </w:rPr>
            </w:pPr>
            <w:proofErr w:type="gramStart"/>
            <w:r>
              <w:rPr>
                <w:szCs w:val="24"/>
              </w:rPr>
              <w:t>о</w:t>
            </w:r>
            <w:proofErr w:type="gramEnd"/>
            <w:r>
              <w:rPr>
                <w:szCs w:val="24"/>
              </w:rPr>
              <w:t xml:space="preserve"> нарушении сроков внесения и размеров арендной платы</w:t>
            </w:r>
          </w:p>
        </w:tc>
      </w:tr>
    </w:tbl>
    <w:p>
      <w:pPr>
        <w:pStyle w:val="ConsPlusNormal"/>
        <w:jc w:val="both"/>
        <w:rPr>
          <w:szCs w:val="24"/>
        </w:rPr>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340"/>
        <w:gridCol w:w="2324"/>
        <w:gridCol w:w="340"/>
        <w:gridCol w:w="1928"/>
        <w:gridCol w:w="1020"/>
      </w:tblGrid>
      <w:tr>
        <w:tc>
          <w:tcPr>
            <w:tcW w:w="5725" w:type="dxa"/>
            <w:gridSpan w:val="3"/>
            <w:vMerge w:val="restart"/>
            <w:tcBorders>
              <w:top w:val="nil"/>
              <w:left w:val="nil"/>
              <w:bottom w:val="nil"/>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tcPr>
          <w:p>
            <w:pPr>
              <w:pStyle w:val="ConsPlusNormal"/>
              <w:rPr>
                <w:szCs w:val="24"/>
              </w:rPr>
            </w:pPr>
          </w:p>
        </w:tc>
        <w:tc>
          <w:tcPr>
            <w:tcW w:w="1020" w:type="dxa"/>
            <w:tcBorders>
              <w:top w:val="single" w:sz="4" w:space="0" w:color="auto"/>
              <w:left w:val="single" w:sz="4" w:space="0" w:color="auto"/>
              <w:bottom w:val="single" w:sz="4" w:space="0" w:color="auto"/>
              <w:right w:val="single" w:sz="4" w:space="0" w:color="auto"/>
            </w:tcBorders>
            <w:vAlign w:val="bottom"/>
          </w:tcPr>
          <w:p>
            <w:pPr>
              <w:pStyle w:val="ConsPlusNormal"/>
              <w:jc w:val="center"/>
              <w:rPr>
                <w:szCs w:val="24"/>
              </w:rPr>
            </w:pPr>
            <w:r>
              <w:rPr>
                <w:szCs w:val="24"/>
              </w:rPr>
              <w:t>Коды</w:t>
            </w:r>
          </w:p>
        </w:tc>
      </w:tr>
      <w:tr>
        <w:tc>
          <w:tcPr>
            <w:tcW w:w="5725" w:type="dxa"/>
            <w:gridSpan w:val="3"/>
            <w:vMerge/>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Форма по КФД</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r>
              <w:rPr>
                <w:szCs w:val="24"/>
              </w:rPr>
              <w:t>0504714</w:t>
            </w:r>
          </w:p>
        </w:tc>
      </w:tr>
      <w:tr>
        <w:tc>
          <w:tcPr>
            <w:tcW w:w="3061"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2324" w:type="dxa"/>
            <w:tcBorders>
              <w:top w:val="nil"/>
              <w:left w:val="nil"/>
              <w:bottom w:val="nil"/>
              <w:right w:val="nil"/>
            </w:tcBorders>
            <w:vAlign w:val="bottom"/>
          </w:tcPr>
          <w:p>
            <w:pPr>
              <w:pStyle w:val="ConsPlusNormal"/>
              <w:jc w:val="center"/>
              <w:rPr>
                <w:szCs w:val="24"/>
              </w:rPr>
            </w:pPr>
            <w:proofErr w:type="gramStart"/>
            <w:r>
              <w:rPr>
                <w:szCs w:val="24"/>
              </w:rPr>
              <w:t>от</w:t>
            </w:r>
            <w:proofErr w:type="gramEnd"/>
            <w:r>
              <w:rPr>
                <w:szCs w:val="24"/>
              </w:rPr>
              <w:t xml:space="preserve"> "__" _____ 20__ г.</w:t>
            </w: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Дата</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vAlign w:val="bottom"/>
          </w:tcPr>
          <w:p>
            <w:pPr>
              <w:pStyle w:val="ConsPlusNormal"/>
              <w:rPr>
                <w:szCs w:val="24"/>
              </w:rPr>
            </w:pPr>
            <w:r>
              <w:rPr>
                <w:szCs w:val="24"/>
              </w:rPr>
              <w:t>Наименование органа Федерального казначейства</w:t>
            </w:r>
          </w:p>
        </w:tc>
        <w:tc>
          <w:tcPr>
            <w:tcW w:w="340" w:type="dxa"/>
            <w:tcBorders>
              <w:top w:val="nil"/>
              <w:left w:val="nil"/>
              <w:bottom w:val="nil"/>
              <w:right w:val="nil"/>
            </w:tcBorders>
          </w:tcPr>
          <w:p>
            <w:pPr>
              <w:pStyle w:val="ConsPlusNormal"/>
              <w:rPr>
                <w:szCs w:val="24"/>
              </w:rPr>
            </w:pPr>
          </w:p>
        </w:tc>
        <w:tc>
          <w:tcPr>
            <w:tcW w:w="2324" w:type="dxa"/>
            <w:tcBorders>
              <w:top w:val="nil"/>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proofErr w:type="gramStart"/>
            <w:r>
              <w:rPr>
                <w:szCs w:val="24"/>
              </w:rPr>
              <w:t>по</w:t>
            </w:r>
            <w:proofErr w:type="gramEnd"/>
            <w:r>
              <w:rPr>
                <w:szCs w:val="24"/>
              </w:rPr>
              <w:t xml:space="preserve"> КОФК</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vMerge w:val="restart"/>
            <w:tcBorders>
              <w:top w:val="nil"/>
              <w:left w:val="nil"/>
              <w:bottom w:val="nil"/>
              <w:right w:val="nil"/>
            </w:tcBorders>
          </w:tcPr>
          <w:p>
            <w:pPr>
              <w:pStyle w:val="ConsPlusNormal"/>
              <w:rPr>
                <w:szCs w:val="24"/>
              </w:rPr>
            </w:pPr>
            <w:r>
              <w:rPr>
                <w:szCs w:val="24"/>
              </w:rPr>
              <w:t>Главный распорядитель (распорядитель) бюджетных средств</w:t>
            </w:r>
          </w:p>
        </w:tc>
        <w:tc>
          <w:tcPr>
            <w:tcW w:w="340" w:type="dxa"/>
            <w:vMerge w:val="restart"/>
            <w:tcBorders>
              <w:top w:val="nil"/>
              <w:left w:val="nil"/>
              <w:bottom w:val="nil"/>
              <w:right w:val="nil"/>
            </w:tcBorders>
          </w:tcPr>
          <w:p>
            <w:pPr>
              <w:pStyle w:val="ConsPlusNormal"/>
              <w:rPr>
                <w:szCs w:val="24"/>
              </w:rPr>
            </w:pPr>
          </w:p>
        </w:tc>
        <w:tc>
          <w:tcPr>
            <w:tcW w:w="2324" w:type="dxa"/>
            <w:tcBorders>
              <w:top w:val="single" w:sz="4" w:space="0" w:color="auto"/>
              <w:left w:val="nil"/>
              <w:bottom w:val="nil"/>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Глава по БК</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vMerge/>
            <w:tcBorders>
              <w:top w:val="nil"/>
              <w:left w:val="nil"/>
              <w:bottom w:val="nil"/>
              <w:right w:val="nil"/>
            </w:tcBorders>
          </w:tcPr>
          <w:p>
            <w:pPr>
              <w:pStyle w:val="ConsPlusNormal"/>
              <w:rPr>
                <w:szCs w:val="24"/>
              </w:rPr>
            </w:pPr>
          </w:p>
        </w:tc>
        <w:tc>
          <w:tcPr>
            <w:tcW w:w="340" w:type="dxa"/>
            <w:vMerge/>
            <w:tcBorders>
              <w:top w:val="nil"/>
              <w:left w:val="nil"/>
              <w:bottom w:val="nil"/>
              <w:right w:val="nil"/>
            </w:tcBorders>
          </w:tcPr>
          <w:p>
            <w:pPr>
              <w:pStyle w:val="ConsPlusNormal"/>
              <w:rPr>
                <w:szCs w:val="24"/>
              </w:rPr>
            </w:pPr>
          </w:p>
        </w:tc>
        <w:tc>
          <w:tcPr>
            <w:tcW w:w="2324" w:type="dxa"/>
            <w:tcBorders>
              <w:top w:val="nil"/>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proofErr w:type="gramStart"/>
            <w:r>
              <w:rPr>
                <w:szCs w:val="24"/>
              </w:rPr>
              <w:t>по</w:t>
            </w:r>
            <w:proofErr w:type="gramEnd"/>
            <w:r>
              <w:rPr>
                <w:szCs w:val="24"/>
              </w:rPr>
              <w:t xml:space="preserve"> Сводному реестру</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vAlign w:val="bottom"/>
          </w:tcPr>
          <w:p>
            <w:pPr>
              <w:pStyle w:val="ConsPlusNormal"/>
              <w:rPr>
                <w:szCs w:val="24"/>
              </w:rPr>
            </w:pPr>
            <w:r>
              <w:rPr>
                <w:szCs w:val="24"/>
              </w:rPr>
              <w:t>Получатель бюджетных средств</w:t>
            </w:r>
          </w:p>
        </w:tc>
        <w:tc>
          <w:tcPr>
            <w:tcW w:w="340" w:type="dxa"/>
            <w:tcBorders>
              <w:top w:val="nil"/>
              <w:left w:val="nil"/>
              <w:bottom w:val="nil"/>
              <w:right w:val="nil"/>
            </w:tcBorders>
          </w:tcPr>
          <w:p>
            <w:pPr>
              <w:pStyle w:val="ConsPlusNormal"/>
              <w:rPr>
                <w:szCs w:val="24"/>
              </w:rPr>
            </w:pPr>
          </w:p>
        </w:tc>
        <w:tc>
          <w:tcPr>
            <w:tcW w:w="2324" w:type="dxa"/>
            <w:tcBorders>
              <w:top w:val="single" w:sz="4" w:space="0" w:color="auto"/>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proofErr w:type="gramStart"/>
            <w:r>
              <w:rPr>
                <w:szCs w:val="24"/>
              </w:rPr>
              <w:t>по</w:t>
            </w:r>
            <w:proofErr w:type="gramEnd"/>
            <w:r>
              <w:rPr>
                <w:szCs w:val="24"/>
              </w:rPr>
              <w:t xml:space="preserve"> Сводному реестру</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2324" w:type="dxa"/>
            <w:tcBorders>
              <w:top w:val="single" w:sz="4" w:space="0" w:color="auto"/>
              <w:left w:val="nil"/>
              <w:bottom w:val="nil"/>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Номер лицевого счета получателя</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vAlign w:val="bottom"/>
          </w:tcPr>
          <w:p>
            <w:pPr>
              <w:pStyle w:val="ConsPlusNormal"/>
              <w:rPr>
                <w:szCs w:val="24"/>
              </w:rPr>
            </w:pPr>
            <w:r>
              <w:rPr>
                <w:szCs w:val="24"/>
              </w:rPr>
              <w:t>Наименование бюджета</w:t>
            </w:r>
          </w:p>
        </w:tc>
        <w:tc>
          <w:tcPr>
            <w:tcW w:w="340" w:type="dxa"/>
            <w:tcBorders>
              <w:top w:val="nil"/>
              <w:left w:val="nil"/>
              <w:bottom w:val="nil"/>
              <w:right w:val="nil"/>
            </w:tcBorders>
          </w:tcPr>
          <w:p>
            <w:pPr>
              <w:pStyle w:val="ConsPlusNormal"/>
              <w:rPr>
                <w:szCs w:val="24"/>
              </w:rPr>
            </w:pPr>
          </w:p>
        </w:tc>
        <w:tc>
          <w:tcPr>
            <w:tcW w:w="2324" w:type="dxa"/>
            <w:tcBorders>
              <w:top w:val="nil"/>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rPr>
                <w:szCs w:val="24"/>
              </w:rPr>
            </w:pP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vAlign w:val="bottom"/>
          </w:tcPr>
          <w:p>
            <w:pPr>
              <w:pStyle w:val="ConsPlusNormal"/>
              <w:rPr>
                <w:szCs w:val="24"/>
              </w:rPr>
            </w:pPr>
            <w:r>
              <w:rPr>
                <w:szCs w:val="24"/>
              </w:rPr>
              <w:t>Финансовый орган</w:t>
            </w:r>
          </w:p>
        </w:tc>
        <w:tc>
          <w:tcPr>
            <w:tcW w:w="340" w:type="dxa"/>
            <w:tcBorders>
              <w:top w:val="nil"/>
              <w:left w:val="nil"/>
              <w:bottom w:val="nil"/>
              <w:right w:val="nil"/>
            </w:tcBorders>
          </w:tcPr>
          <w:p>
            <w:pPr>
              <w:pStyle w:val="ConsPlusNormal"/>
              <w:rPr>
                <w:szCs w:val="24"/>
              </w:rPr>
            </w:pPr>
          </w:p>
        </w:tc>
        <w:tc>
          <w:tcPr>
            <w:tcW w:w="2324" w:type="dxa"/>
            <w:tcBorders>
              <w:top w:val="single" w:sz="4" w:space="0" w:color="auto"/>
              <w:left w:val="nil"/>
              <w:bottom w:val="single" w:sz="4" w:space="0" w:color="auto"/>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rPr>
                <w:szCs w:val="24"/>
              </w:rPr>
            </w:pP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3061"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2324" w:type="dxa"/>
            <w:tcBorders>
              <w:top w:val="single" w:sz="4" w:space="0" w:color="auto"/>
              <w:left w:val="nil"/>
              <w:bottom w:val="nil"/>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r>
              <w:rPr>
                <w:szCs w:val="24"/>
              </w:rPr>
              <w:t>Учетный номер обязательства</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rPr>
                <w:szCs w:val="24"/>
              </w:rPr>
            </w:pPr>
          </w:p>
        </w:tc>
      </w:tr>
      <w:tr>
        <w:tc>
          <w:tcPr>
            <w:tcW w:w="5725" w:type="dxa"/>
            <w:gridSpan w:val="3"/>
            <w:tcBorders>
              <w:top w:val="nil"/>
              <w:left w:val="nil"/>
              <w:bottom w:val="nil"/>
              <w:right w:val="nil"/>
            </w:tcBorders>
          </w:tcPr>
          <w:p>
            <w:pPr>
              <w:pStyle w:val="ConsPlusNormal"/>
              <w:rPr>
                <w:szCs w:val="24"/>
              </w:rPr>
            </w:pPr>
            <w:r>
              <w:rPr>
                <w:szCs w:val="24"/>
              </w:rPr>
              <w:t>Единица измерения: руб. (с точностью до второго десятичного знака)</w:t>
            </w:r>
          </w:p>
        </w:tc>
        <w:tc>
          <w:tcPr>
            <w:tcW w:w="340" w:type="dxa"/>
            <w:tcBorders>
              <w:top w:val="nil"/>
              <w:left w:val="nil"/>
              <w:bottom w:val="nil"/>
              <w:right w:val="nil"/>
            </w:tcBorders>
          </w:tcPr>
          <w:p>
            <w:pPr>
              <w:pStyle w:val="ConsPlusNormal"/>
              <w:rPr>
                <w:szCs w:val="24"/>
              </w:rPr>
            </w:pPr>
          </w:p>
        </w:tc>
        <w:tc>
          <w:tcPr>
            <w:tcW w:w="1928" w:type="dxa"/>
            <w:tcBorders>
              <w:top w:val="nil"/>
              <w:left w:val="nil"/>
              <w:bottom w:val="nil"/>
              <w:right w:val="single" w:sz="4" w:space="0" w:color="auto"/>
            </w:tcBorders>
            <w:vAlign w:val="center"/>
          </w:tcPr>
          <w:p>
            <w:pPr>
              <w:pStyle w:val="ConsPlusNormal"/>
              <w:jc w:val="right"/>
              <w:rPr>
                <w:szCs w:val="24"/>
              </w:rPr>
            </w:pPr>
            <w:proofErr w:type="gramStart"/>
            <w:r>
              <w:rPr>
                <w:szCs w:val="24"/>
              </w:rPr>
              <w:t>по</w:t>
            </w:r>
            <w:proofErr w:type="gramEnd"/>
            <w:r>
              <w:rPr>
                <w:szCs w:val="24"/>
              </w:rPr>
              <w:t xml:space="preserve"> ОКЕИ</w:t>
            </w:r>
          </w:p>
        </w:tc>
        <w:tc>
          <w:tcPr>
            <w:tcW w:w="102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hyperlink r:id="rId26">
              <w:r>
                <w:rPr>
                  <w:szCs w:val="24"/>
                </w:rPr>
                <w:t>383</w:t>
              </w:r>
            </w:hyperlink>
          </w:p>
        </w:tc>
      </w:tr>
    </w:tbl>
    <w:p>
      <w:pPr>
        <w:pStyle w:val="ConsPlusNormal"/>
        <w:jc w:val="both"/>
        <w:rPr>
          <w:szCs w:val="24"/>
        </w:rPr>
      </w:pPr>
    </w:p>
    <w:p>
      <w:pPr>
        <w:pStyle w:val="ConsPlusNormal"/>
        <w:jc w:val="both"/>
        <w:rPr>
          <w:szCs w:val="24"/>
        </w:rPr>
      </w:pPr>
    </w:p>
    <w:p>
      <w:pPr>
        <w:pStyle w:val="ConsPlusNormal"/>
        <w:jc w:val="both"/>
        <w:rPr>
          <w:szCs w:val="24"/>
        </w:rPr>
      </w:pPr>
    </w:p>
    <w:p>
      <w:pPr>
        <w:pStyle w:val="ConsPlusNormal"/>
        <w:jc w:val="both"/>
        <w:rPr>
          <w:szCs w:val="24"/>
        </w:rPr>
      </w:pPr>
    </w:p>
    <w:p>
      <w:pPr>
        <w:pStyle w:val="ConsPlusNormal"/>
        <w:jc w:val="both"/>
        <w:rPr>
          <w:szCs w:val="24"/>
        </w:rPr>
      </w:pPr>
    </w:p>
    <w:p>
      <w:pPr>
        <w:pStyle w:val="ConsPlusNormal"/>
        <w:jc w:val="both"/>
        <w:rPr>
          <w:szCs w:val="24"/>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6"/>
        <w:gridCol w:w="567"/>
        <w:gridCol w:w="1701"/>
        <w:gridCol w:w="1134"/>
        <w:gridCol w:w="1139"/>
        <w:gridCol w:w="1554"/>
        <w:gridCol w:w="1874"/>
        <w:gridCol w:w="917"/>
      </w:tblGrid>
      <w:tr>
        <w:trPr>
          <w:trHeight w:val="212"/>
        </w:trPr>
        <w:tc>
          <w:tcPr>
            <w:tcW w:w="5387" w:type="dxa"/>
            <w:gridSpan w:val="5"/>
          </w:tcPr>
          <w:p>
            <w:pPr>
              <w:pStyle w:val="ConsPlusNormal"/>
              <w:jc w:val="center"/>
              <w:rPr>
                <w:szCs w:val="24"/>
              </w:rPr>
            </w:pPr>
            <w:r>
              <w:rPr>
                <w:szCs w:val="24"/>
              </w:rPr>
              <w:t>Договор аренды</w:t>
            </w:r>
          </w:p>
        </w:tc>
        <w:tc>
          <w:tcPr>
            <w:tcW w:w="1554" w:type="dxa"/>
            <w:vMerge w:val="restart"/>
          </w:tcPr>
          <w:p>
            <w:pPr>
              <w:pStyle w:val="ConsPlusNormal"/>
              <w:jc w:val="center"/>
              <w:rPr>
                <w:szCs w:val="24"/>
              </w:rPr>
            </w:pPr>
            <w:r>
              <w:rPr>
                <w:szCs w:val="24"/>
              </w:rPr>
              <w:t>Фактическая дата внесения арендной платы</w:t>
            </w:r>
          </w:p>
        </w:tc>
        <w:tc>
          <w:tcPr>
            <w:tcW w:w="1874" w:type="dxa"/>
            <w:vMerge w:val="restart"/>
          </w:tcPr>
          <w:p>
            <w:pPr>
              <w:pStyle w:val="ConsPlusNormal"/>
              <w:jc w:val="center"/>
              <w:rPr>
                <w:szCs w:val="24"/>
              </w:rPr>
            </w:pPr>
            <w:r>
              <w:rPr>
                <w:szCs w:val="24"/>
              </w:rPr>
              <w:t>Сумма превышения размера арендной платы, установленной договором</w:t>
            </w:r>
          </w:p>
        </w:tc>
        <w:tc>
          <w:tcPr>
            <w:tcW w:w="917" w:type="dxa"/>
            <w:vMerge w:val="restart"/>
          </w:tcPr>
          <w:p>
            <w:pPr>
              <w:pStyle w:val="ConsPlusNormal"/>
              <w:jc w:val="center"/>
              <w:rPr>
                <w:szCs w:val="24"/>
              </w:rPr>
            </w:pPr>
            <w:r>
              <w:rPr>
                <w:szCs w:val="24"/>
              </w:rPr>
              <w:t>Примечание</w:t>
            </w:r>
          </w:p>
        </w:tc>
      </w:tr>
      <w:tr>
        <w:trPr>
          <w:trHeight w:val="938"/>
        </w:trPr>
        <w:tc>
          <w:tcPr>
            <w:tcW w:w="846" w:type="dxa"/>
          </w:tcPr>
          <w:p>
            <w:pPr>
              <w:pStyle w:val="ConsPlusNormal"/>
              <w:jc w:val="center"/>
              <w:rPr>
                <w:szCs w:val="24"/>
              </w:rPr>
            </w:pPr>
            <w:proofErr w:type="gramStart"/>
            <w:r>
              <w:rPr>
                <w:szCs w:val="24"/>
              </w:rPr>
              <w:t>номер</w:t>
            </w:r>
            <w:proofErr w:type="gramEnd"/>
          </w:p>
        </w:tc>
        <w:tc>
          <w:tcPr>
            <w:tcW w:w="567" w:type="dxa"/>
          </w:tcPr>
          <w:p>
            <w:pPr>
              <w:pStyle w:val="ConsPlusNormal"/>
              <w:jc w:val="center"/>
              <w:rPr>
                <w:szCs w:val="24"/>
              </w:rPr>
            </w:pPr>
            <w:proofErr w:type="gramStart"/>
            <w:r>
              <w:rPr>
                <w:szCs w:val="24"/>
              </w:rPr>
              <w:t>дата</w:t>
            </w:r>
            <w:proofErr w:type="gramEnd"/>
          </w:p>
        </w:tc>
        <w:tc>
          <w:tcPr>
            <w:tcW w:w="1701" w:type="dxa"/>
          </w:tcPr>
          <w:p>
            <w:pPr>
              <w:pStyle w:val="ConsPlusNormal"/>
              <w:jc w:val="center"/>
              <w:rPr>
                <w:szCs w:val="24"/>
              </w:rPr>
            </w:pPr>
            <w:proofErr w:type="gramStart"/>
            <w:r>
              <w:rPr>
                <w:szCs w:val="24"/>
              </w:rPr>
              <w:t>периодичность</w:t>
            </w:r>
            <w:proofErr w:type="gramEnd"/>
            <w:r>
              <w:rPr>
                <w:szCs w:val="24"/>
              </w:rPr>
              <w:t xml:space="preserve"> внесения арендной платы</w:t>
            </w:r>
          </w:p>
        </w:tc>
        <w:tc>
          <w:tcPr>
            <w:tcW w:w="1134" w:type="dxa"/>
          </w:tcPr>
          <w:p>
            <w:pPr>
              <w:pStyle w:val="ConsPlusNormal"/>
              <w:jc w:val="center"/>
              <w:rPr>
                <w:szCs w:val="24"/>
              </w:rPr>
            </w:pPr>
            <w:proofErr w:type="gramStart"/>
            <w:r>
              <w:rPr>
                <w:szCs w:val="24"/>
              </w:rPr>
              <w:t>срок</w:t>
            </w:r>
            <w:proofErr w:type="gramEnd"/>
            <w:r>
              <w:rPr>
                <w:szCs w:val="24"/>
              </w:rPr>
              <w:t xml:space="preserve"> внесения арендной платы</w:t>
            </w:r>
          </w:p>
        </w:tc>
        <w:tc>
          <w:tcPr>
            <w:tcW w:w="1139" w:type="dxa"/>
          </w:tcPr>
          <w:p>
            <w:pPr>
              <w:pStyle w:val="ConsPlusNormal"/>
              <w:jc w:val="center"/>
              <w:rPr>
                <w:szCs w:val="24"/>
              </w:rPr>
            </w:pPr>
            <w:proofErr w:type="gramStart"/>
            <w:r>
              <w:rPr>
                <w:szCs w:val="24"/>
              </w:rPr>
              <w:t>сумма</w:t>
            </w:r>
            <w:proofErr w:type="gramEnd"/>
            <w:r>
              <w:rPr>
                <w:szCs w:val="24"/>
              </w:rPr>
              <w:t xml:space="preserve"> арендной платы за период</w:t>
            </w:r>
          </w:p>
        </w:tc>
        <w:tc>
          <w:tcPr>
            <w:tcW w:w="1554" w:type="dxa"/>
            <w:vMerge/>
          </w:tcPr>
          <w:p>
            <w:pPr>
              <w:pStyle w:val="ConsPlusNormal"/>
              <w:rPr>
                <w:szCs w:val="24"/>
              </w:rPr>
            </w:pPr>
          </w:p>
        </w:tc>
        <w:tc>
          <w:tcPr>
            <w:tcW w:w="1874" w:type="dxa"/>
            <w:vMerge/>
          </w:tcPr>
          <w:p>
            <w:pPr>
              <w:pStyle w:val="ConsPlusNormal"/>
              <w:rPr>
                <w:szCs w:val="24"/>
              </w:rPr>
            </w:pPr>
          </w:p>
        </w:tc>
        <w:tc>
          <w:tcPr>
            <w:tcW w:w="917" w:type="dxa"/>
            <w:vMerge/>
          </w:tcPr>
          <w:p>
            <w:pPr>
              <w:pStyle w:val="ConsPlusNormal"/>
              <w:rPr>
                <w:szCs w:val="24"/>
              </w:rPr>
            </w:pPr>
          </w:p>
        </w:tc>
      </w:tr>
      <w:tr>
        <w:trPr>
          <w:trHeight w:val="212"/>
        </w:trPr>
        <w:tc>
          <w:tcPr>
            <w:tcW w:w="846" w:type="dxa"/>
          </w:tcPr>
          <w:p>
            <w:pPr>
              <w:pStyle w:val="ConsPlusNormal"/>
              <w:jc w:val="center"/>
              <w:rPr>
                <w:szCs w:val="24"/>
              </w:rPr>
            </w:pPr>
            <w:r>
              <w:rPr>
                <w:szCs w:val="24"/>
              </w:rPr>
              <w:t>1</w:t>
            </w:r>
          </w:p>
        </w:tc>
        <w:tc>
          <w:tcPr>
            <w:tcW w:w="567" w:type="dxa"/>
          </w:tcPr>
          <w:p>
            <w:pPr>
              <w:pStyle w:val="ConsPlusNormal"/>
              <w:jc w:val="center"/>
              <w:rPr>
                <w:szCs w:val="24"/>
              </w:rPr>
            </w:pPr>
            <w:r>
              <w:rPr>
                <w:szCs w:val="24"/>
              </w:rPr>
              <w:t>2</w:t>
            </w:r>
          </w:p>
        </w:tc>
        <w:tc>
          <w:tcPr>
            <w:tcW w:w="1701" w:type="dxa"/>
          </w:tcPr>
          <w:p>
            <w:pPr>
              <w:pStyle w:val="ConsPlusNormal"/>
              <w:jc w:val="center"/>
              <w:rPr>
                <w:szCs w:val="24"/>
              </w:rPr>
            </w:pPr>
            <w:r>
              <w:rPr>
                <w:szCs w:val="24"/>
              </w:rPr>
              <w:t>3</w:t>
            </w:r>
          </w:p>
        </w:tc>
        <w:tc>
          <w:tcPr>
            <w:tcW w:w="1134" w:type="dxa"/>
          </w:tcPr>
          <w:p>
            <w:pPr>
              <w:pStyle w:val="ConsPlusNormal"/>
              <w:jc w:val="center"/>
              <w:rPr>
                <w:szCs w:val="24"/>
              </w:rPr>
            </w:pPr>
            <w:r>
              <w:rPr>
                <w:szCs w:val="24"/>
              </w:rPr>
              <w:t>4</w:t>
            </w:r>
          </w:p>
        </w:tc>
        <w:tc>
          <w:tcPr>
            <w:tcW w:w="1139" w:type="dxa"/>
          </w:tcPr>
          <w:p>
            <w:pPr>
              <w:pStyle w:val="ConsPlusNormal"/>
              <w:jc w:val="center"/>
              <w:rPr>
                <w:szCs w:val="24"/>
              </w:rPr>
            </w:pPr>
            <w:r>
              <w:rPr>
                <w:szCs w:val="24"/>
              </w:rPr>
              <w:t>5</w:t>
            </w:r>
          </w:p>
        </w:tc>
        <w:tc>
          <w:tcPr>
            <w:tcW w:w="1554" w:type="dxa"/>
          </w:tcPr>
          <w:p>
            <w:pPr>
              <w:pStyle w:val="ConsPlusNormal"/>
              <w:jc w:val="center"/>
              <w:rPr>
                <w:szCs w:val="24"/>
              </w:rPr>
            </w:pPr>
            <w:r>
              <w:rPr>
                <w:szCs w:val="24"/>
              </w:rPr>
              <w:t>6</w:t>
            </w:r>
          </w:p>
        </w:tc>
        <w:tc>
          <w:tcPr>
            <w:tcW w:w="1874" w:type="dxa"/>
          </w:tcPr>
          <w:p>
            <w:pPr>
              <w:pStyle w:val="ConsPlusNormal"/>
              <w:jc w:val="center"/>
              <w:rPr>
                <w:szCs w:val="24"/>
              </w:rPr>
            </w:pPr>
            <w:r>
              <w:rPr>
                <w:szCs w:val="24"/>
              </w:rPr>
              <w:t>7</w:t>
            </w:r>
          </w:p>
        </w:tc>
        <w:tc>
          <w:tcPr>
            <w:tcW w:w="917" w:type="dxa"/>
          </w:tcPr>
          <w:p>
            <w:pPr>
              <w:pStyle w:val="ConsPlusNormal"/>
              <w:jc w:val="center"/>
              <w:rPr>
                <w:szCs w:val="24"/>
              </w:rPr>
            </w:pPr>
            <w:r>
              <w:rPr>
                <w:szCs w:val="24"/>
              </w:rPr>
              <w:t>8</w:t>
            </w:r>
          </w:p>
        </w:tc>
      </w:tr>
      <w:tr>
        <w:trPr>
          <w:trHeight w:val="212"/>
        </w:trPr>
        <w:tc>
          <w:tcPr>
            <w:tcW w:w="846" w:type="dxa"/>
          </w:tcPr>
          <w:p>
            <w:pPr>
              <w:pStyle w:val="ConsPlusNormal"/>
              <w:rPr>
                <w:szCs w:val="24"/>
              </w:rPr>
            </w:pPr>
          </w:p>
        </w:tc>
        <w:tc>
          <w:tcPr>
            <w:tcW w:w="567" w:type="dxa"/>
          </w:tcPr>
          <w:p>
            <w:pPr>
              <w:pStyle w:val="ConsPlusNormal"/>
              <w:rPr>
                <w:szCs w:val="24"/>
              </w:rPr>
            </w:pPr>
          </w:p>
        </w:tc>
        <w:tc>
          <w:tcPr>
            <w:tcW w:w="1701" w:type="dxa"/>
          </w:tcPr>
          <w:p>
            <w:pPr>
              <w:pStyle w:val="ConsPlusNormal"/>
              <w:rPr>
                <w:szCs w:val="24"/>
              </w:rPr>
            </w:pPr>
          </w:p>
        </w:tc>
        <w:tc>
          <w:tcPr>
            <w:tcW w:w="1134" w:type="dxa"/>
          </w:tcPr>
          <w:p>
            <w:pPr>
              <w:pStyle w:val="ConsPlusNormal"/>
              <w:rPr>
                <w:szCs w:val="24"/>
              </w:rPr>
            </w:pPr>
          </w:p>
        </w:tc>
        <w:tc>
          <w:tcPr>
            <w:tcW w:w="1139" w:type="dxa"/>
          </w:tcPr>
          <w:p>
            <w:pPr>
              <w:pStyle w:val="ConsPlusNormal"/>
              <w:rPr>
                <w:szCs w:val="24"/>
              </w:rPr>
            </w:pPr>
          </w:p>
        </w:tc>
        <w:tc>
          <w:tcPr>
            <w:tcW w:w="1554" w:type="dxa"/>
          </w:tcPr>
          <w:p>
            <w:pPr>
              <w:pStyle w:val="ConsPlusNormal"/>
              <w:rPr>
                <w:szCs w:val="24"/>
              </w:rPr>
            </w:pPr>
          </w:p>
        </w:tc>
        <w:tc>
          <w:tcPr>
            <w:tcW w:w="1874" w:type="dxa"/>
          </w:tcPr>
          <w:p>
            <w:pPr>
              <w:pStyle w:val="ConsPlusNormal"/>
              <w:rPr>
                <w:szCs w:val="24"/>
              </w:rPr>
            </w:pPr>
          </w:p>
        </w:tc>
        <w:tc>
          <w:tcPr>
            <w:tcW w:w="917" w:type="dxa"/>
          </w:tcPr>
          <w:p>
            <w:pPr>
              <w:pStyle w:val="ConsPlusNormal"/>
              <w:rPr>
                <w:szCs w:val="24"/>
              </w:rPr>
            </w:pPr>
          </w:p>
        </w:tc>
      </w:tr>
    </w:tbl>
    <w:p>
      <w:pPr>
        <w:pStyle w:val="ConsPlusNormal"/>
        <w:jc w:val="both"/>
        <w:rPr>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789"/>
        <w:gridCol w:w="737"/>
      </w:tblGrid>
      <w:tr>
        <w:tc>
          <w:tcPr>
            <w:tcW w:w="8789" w:type="dxa"/>
            <w:tcBorders>
              <w:top w:val="nil"/>
              <w:left w:val="nil"/>
              <w:bottom w:val="nil"/>
              <w:right w:val="nil"/>
            </w:tcBorders>
            <w:vAlign w:val="bottom"/>
          </w:tcPr>
          <w:p>
            <w:pPr>
              <w:pStyle w:val="ConsPlusNormal"/>
              <w:jc w:val="right"/>
              <w:rPr>
                <w:szCs w:val="24"/>
              </w:rPr>
            </w:pPr>
            <w:r>
              <w:rPr>
                <w:szCs w:val="24"/>
              </w:rPr>
              <w:t>Номер страницы</w:t>
            </w:r>
          </w:p>
        </w:tc>
        <w:tc>
          <w:tcPr>
            <w:tcW w:w="737" w:type="dxa"/>
            <w:tcBorders>
              <w:top w:val="nil"/>
              <w:left w:val="nil"/>
              <w:bottom w:val="single" w:sz="4" w:space="0" w:color="auto"/>
              <w:right w:val="nil"/>
            </w:tcBorders>
          </w:tcPr>
          <w:p>
            <w:pPr>
              <w:pStyle w:val="ConsPlusNormal"/>
              <w:rPr>
                <w:szCs w:val="24"/>
              </w:rPr>
            </w:pPr>
          </w:p>
        </w:tc>
      </w:tr>
      <w:tr>
        <w:tc>
          <w:tcPr>
            <w:tcW w:w="8789" w:type="dxa"/>
            <w:tcBorders>
              <w:top w:val="nil"/>
              <w:left w:val="nil"/>
              <w:bottom w:val="nil"/>
              <w:right w:val="nil"/>
            </w:tcBorders>
          </w:tcPr>
          <w:p>
            <w:pPr>
              <w:pStyle w:val="ConsPlusNormal"/>
              <w:jc w:val="right"/>
              <w:rPr>
                <w:szCs w:val="24"/>
              </w:rPr>
            </w:pPr>
            <w:r>
              <w:rPr>
                <w:szCs w:val="24"/>
              </w:rPr>
              <w:t>Всего страниц</w:t>
            </w:r>
          </w:p>
        </w:tc>
        <w:tc>
          <w:tcPr>
            <w:tcW w:w="737" w:type="dxa"/>
            <w:tcBorders>
              <w:top w:val="single" w:sz="4" w:space="0" w:color="auto"/>
              <w:left w:val="nil"/>
              <w:bottom w:val="single" w:sz="4" w:space="0" w:color="auto"/>
              <w:right w:val="nil"/>
            </w:tcBorders>
          </w:tcPr>
          <w:p>
            <w:pPr>
              <w:pStyle w:val="ConsPlusNormal"/>
              <w:rPr>
                <w:szCs w:val="24"/>
              </w:rPr>
            </w:pPr>
          </w:p>
        </w:tc>
      </w:tr>
    </w:tbl>
    <w:p>
      <w:pPr>
        <w:pStyle w:val="ConsPlusNormal"/>
        <w:jc w:val="both"/>
        <w:rPr>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98"/>
        <w:gridCol w:w="340"/>
        <w:gridCol w:w="1417"/>
        <w:gridCol w:w="340"/>
        <w:gridCol w:w="1247"/>
        <w:gridCol w:w="340"/>
        <w:gridCol w:w="1531"/>
      </w:tblGrid>
      <w:tr>
        <w:tc>
          <w:tcPr>
            <w:tcW w:w="3798" w:type="dxa"/>
            <w:tcBorders>
              <w:top w:val="nil"/>
              <w:left w:val="nil"/>
              <w:bottom w:val="nil"/>
              <w:right w:val="nil"/>
            </w:tcBorders>
            <w:vAlign w:val="bottom"/>
          </w:tcPr>
          <w:p>
            <w:pPr>
              <w:pStyle w:val="ConsPlusNormal"/>
              <w:rPr>
                <w:szCs w:val="24"/>
              </w:rPr>
            </w:pPr>
            <w:r>
              <w:rPr>
                <w:szCs w:val="24"/>
              </w:rPr>
              <w:t>Руководитель органа Федерального казначейства (уполномоченное лицо)</w:t>
            </w:r>
          </w:p>
        </w:tc>
        <w:tc>
          <w:tcPr>
            <w:tcW w:w="340" w:type="dxa"/>
            <w:tcBorders>
              <w:top w:val="nil"/>
              <w:left w:val="nil"/>
              <w:bottom w:val="nil"/>
              <w:right w:val="nil"/>
            </w:tcBorders>
          </w:tcPr>
          <w:p>
            <w:pPr>
              <w:pStyle w:val="ConsPlusNormal"/>
              <w:rPr>
                <w:szCs w:val="24"/>
              </w:rPr>
            </w:pPr>
          </w:p>
        </w:tc>
        <w:tc>
          <w:tcPr>
            <w:tcW w:w="1417" w:type="dxa"/>
            <w:tcBorders>
              <w:top w:val="nil"/>
              <w:left w:val="nil"/>
              <w:bottom w:val="single" w:sz="4" w:space="0" w:color="auto"/>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247" w:type="dxa"/>
            <w:tcBorders>
              <w:top w:val="nil"/>
              <w:left w:val="nil"/>
              <w:bottom w:val="single" w:sz="4" w:space="0" w:color="auto"/>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531" w:type="dxa"/>
            <w:tcBorders>
              <w:top w:val="nil"/>
              <w:left w:val="nil"/>
              <w:bottom w:val="single" w:sz="4" w:space="0" w:color="auto"/>
              <w:right w:val="nil"/>
            </w:tcBorders>
          </w:tcPr>
          <w:p>
            <w:pPr>
              <w:pStyle w:val="ConsPlusNormal"/>
              <w:rPr>
                <w:szCs w:val="24"/>
              </w:rPr>
            </w:pPr>
          </w:p>
        </w:tc>
      </w:tr>
      <w:tr>
        <w:tc>
          <w:tcPr>
            <w:tcW w:w="3798" w:type="dxa"/>
            <w:tcBorders>
              <w:top w:val="nil"/>
              <w:left w:val="nil"/>
              <w:bottom w:val="nil"/>
              <w:right w:val="nil"/>
            </w:tcBorders>
            <w:vAlign w:val="bottom"/>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417" w:type="dxa"/>
            <w:tcBorders>
              <w:top w:val="single" w:sz="4" w:space="0" w:color="auto"/>
              <w:left w:val="nil"/>
              <w:bottom w:val="nil"/>
              <w:right w:val="nil"/>
            </w:tcBorders>
          </w:tcPr>
          <w:p>
            <w:pPr>
              <w:pStyle w:val="ConsPlusNormal"/>
              <w:jc w:val="center"/>
              <w:rPr>
                <w:szCs w:val="24"/>
              </w:rPr>
            </w:pPr>
            <w:r>
              <w:rPr>
                <w:szCs w:val="24"/>
              </w:rPr>
              <w:t>(</w:t>
            </w:r>
            <w:proofErr w:type="gramStart"/>
            <w:r>
              <w:rPr>
                <w:szCs w:val="24"/>
              </w:rPr>
              <w:t>должность</w:t>
            </w:r>
            <w:proofErr w:type="gramEnd"/>
            <w:r>
              <w:rPr>
                <w:szCs w:val="24"/>
              </w:rPr>
              <w:t>)</w:t>
            </w:r>
          </w:p>
        </w:tc>
        <w:tc>
          <w:tcPr>
            <w:tcW w:w="340" w:type="dxa"/>
            <w:tcBorders>
              <w:top w:val="nil"/>
              <w:left w:val="nil"/>
              <w:bottom w:val="nil"/>
              <w:right w:val="nil"/>
            </w:tcBorders>
          </w:tcPr>
          <w:p>
            <w:pPr>
              <w:pStyle w:val="ConsPlusNormal"/>
              <w:rPr>
                <w:szCs w:val="24"/>
              </w:rPr>
            </w:pPr>
          </w:p>
        </w:tc>
        <w:tc>
          <w:tcPr>
            <w:tcW w:w="1247" w:type="dxa"/>
            <w:tcBorders>
              <w:top w:val="single" w:sz="4" w:space="0" w:color="auto"/>
              <w:left w:val="nil"/>
              <w:bottom w:val="nil"/>
              <w:right w:val="nil"/>
            </w:tcBorders>
          </w:tcPr>
          <w:p>
            <w:pPr>
              <w:pStyle w:val="ConsPlusNormal"/>
              <w:jc w:val="center"/>
              <w:rPr>
                <w:szCs w:val="24"/>
              </w:rPr>
            </w:pPr>
            <w:r>
              <w:rPr>
                <w:szCs w:val="24"/>
              </w:rPr>
              <w:t>(</w:t>
            </w:r>
            <w:proofErr w:type="gramStart"/>
            <w:r>
              <w:rPr>
                <w:szCs w:val="24"/>
              </w:rPr>
              <w:t>подпись</w:t>
            </w:r>
            <w:proofErr w:type="gramEnd"/>
            <w:r>
              <w:rPr>
                <w:szCs w:val="24"/>
              </w:rPr>
              <w:t>)</w:t>
            </w:r>
          </w:p>
        </w:tc>
        <w:tc>
          <w:tcPr>
            <w:tcW w:w="340" w:type="dxa"/>
            <w:tcBorders>
              <w:top w:val="nil"/>
              <w:left w:val="nil"/>
              <w:bottom w:val="nil"/>
              <w:right w:val="nil"/>
            </w:tcBorders>
          </w:tcPr>
          <w:p>
            <w:pPr>
              <w:pStyle w:val="ConsPlusNormal"/>
              <w:rPr>
                <w:szCs w:val="24"/>
              </w:rPr>
            </w:pPr>
          </w:p>
        </w:tc>
        <w:tc>
          <w:tcPr>
            <w:tcW w:w="1531" w:type="dxa"/>
            <w:tcBorders>
              <w:top w:val="single" w:sz="4" w:space="0" w:color="auto"/>
              <w:left w:val="nil"/>
              <w:bottom w:val="nil"/>
              <w:right w:val="nil"/>
            </w:tcBorders>
          </w:tcPr>
          <w:p>
            <w:pPr>
              <w:pStyle w:val="ConsPlusNormal"/>
              <w:jc w:val="center"/>
              <w:rPr>
                <w:szCs w:val="24"/>
              </w:rPr>
            </w:pPr>
            <w:r>
              <w:rPr>
                <w:szCs w:val="24"/>
              </w:rPr>
              <w:t>(</w:t>
            </w:r>
            <w:proofErr w:type="gramStart"/>
            <w:r>
              <w:rPr>
                <w:szCs w:val="24"/>
              </w:rPr>
              <w:t>расшифровка</w:t>
            </w:r>
            <w:proofErr w:type="gramEnd"/>
            <w:r>
              <w:rPr>
                <w:szCs w:val="24"/>
              </w:rPr>
              <w:t xml:space="preserve"> подписи)</w:t>
            </w:r>
          </w:p>
        </w:tc>
      </w:tr>
      <w:tr>
        <w:tc>
          <w:tcPr>
            <w:tcW w:w="3798" w:type="dxa"/>
            <w:tcBorders>
              <w:top w:val="nil"/>
              <w:left w:val="nil"/>
              <w:bottom w:val="nil"/>
              <w:right w:val="nil"/>
            </w:tcBorders>
          </w:tcPr>
          <w:p>
            <w:pPr>
              <w:pStyle w:val="ConsPlusNormal"/>
              <w:rPr>
                <w:szCs w:val="24"/>
              </w:rPr>
            </w:pPr>
            <w:r>
              <w:rPr>
                <w:szCs w:val="24"/>
              </w:rPr>
              <w:t>"__" _______ 20__ г.</w:t>
            </w:r>
          </w:p>
        </w:tc>
        <w:tc>
          <w:tcPr>
            <w:tcW w:w="340" w:type="dxa"/>
            <w:tcBorders>
              <w:top w:val="nil"/>
              <w:left w:val="nil"/>
              <w:bottom w:val="nil"/>
              <w:right w:val="nil"/>
            </w:tcBorders>
          </w:tcPr>
          <w:p>
            <w:pPr>
              <w:pStyle w:val="ConsPlusNormal"/>
              <w:rPr>
                <w:szCs w:val="24"/>
              </w:rPr>
            </w:pPr>
          </w:p>
        </w:tc>
        <w:tc>
          <w:tcPr>
            <w:tcW w:w="1417"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247" w:type="dxa"/>
            <w:tcBorders>
              <w:top w:val="nil"/>
              <w:left w:val="nil"/>
              <w:bottom w:val="nil"/>
              <w:right w:val="nil"/>
            </w:tcBorders>
          </w:tcPr>
          <w:p>
            <w:pPr>
              <w:pStyle w:val="ConsPlusNormal"/>
              <w:rPr>
                <w:szCs w:val="24"/>
              </w:rPr>
            </w:pPr>
          </w:p>
        </w:tc>
        <w:tc>
          <w:tcPr>
            <w:tcW w:w="340" w:type="dxa"/>
            <w:tcBorders>
              <w:top w:val="nil"/>
              <w:left w:val="nil"/>
              <w:bottom w:val="nil"/>
              <w:right w:val="nil"/>
            </w:tcBorders>
          </w:tcPr>
          <w:p>
            <w:pPr>
              <w:pStyle w:val="ConsPlusNormal"/>
              <w:rPr>
                <w:szCs w:val="24"/>
              </w:rPr>
            </w:pPr>
          </w:p>
        </w:tc>
        <w:tc>
          <w:tcPr>
            <w:tcW w:w="1531" w:type="dxa"/>
            <w:tcBorders>
              <w:top w:val="nil"/>
              <w:left w:val="nil"/>
              <w:bottom w:val="nil"/>
              <w:right w:val="nil"/>
            </w:tcBorders>
          </w:tcPr>
          <w:p>
            <w:pPr>
              <w:pStyle w:val="ConsPlusNormal"/>
              <w:rPr>
                <w:szCs w:val="24"/>
              </w:rPr>
            </w:pPr>
          </w:p>
        </w:tc>
      </w:tr>
    </w:tbl>
    <w:p>
      <w:pPr>
        <w:pStyle w:val="ConsPlusNormal"/>
        <w:pBdr>
          <w:bottom w:val="single" w:sz="6" w:space="0" w:color="auto"/>
        </w:pBdr>
        <w:spacing w:before="100" w:after="100"/>
        <w:jc w:val="both"/>
        <w:rPr>
          <w:szCs w:val="24"/>
        </w:rPr>
      </w:pPr>
    </w:p>
    <w:sectPr>
      <w:headerReference w:type="first" r:id="rId27"/>
      <w:pgSz w:w="11906" w:h="16838"/>
      <w:pgMar w:top="1134" w:right="567" w:bottom="1134" w:left="1701" w:header="567" w:footer="45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c"/>
    </w:pPr>
    <w:r>
      <w:t>Внутренний номер: 0311891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c"/>
    </w:pPr>
    <w:r>
      <w:t>Внутренний номер: 0311891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c"/>
    </w:pPr>
    <w:r>
      <w:t>Внутренний номер: 0311891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9678761"/>
      <w:docPartObj>
        <w:docPartGallery w:val="Page Numbers (Top of Page)"/>
        <w:docPartUnique/>
      </w:docPartObj>
    </w:sdtPr>
    <w:sdtContent>
      <w:p>
        <w:pPr>
          <w:pStyle w:val="a8"/>
          <w:jc w:val="center"/>
        </w:pPr>
        <w:r>
          <w:rPr>
            <w:sz w:val="24"/>
            <w:szCs w:val="24"/>
          </w:rPr>
          <w:fldChar w:fldCharType="begin"/>
        </w:r>
        <w:r>
          <w:rPr>
            <w:sz w:val="24"/>
            <w:szCs w:val="24"/>
          </w:rPr>
          <w:instrText>PAGE   \* MERGEFORMAT</w:instrText>
        </w:r>
        <w:r>
          <w:rPr>
            <w:sz w:val="24"/>
            <w:szCs w:val="24"/>
          </w:rPr>
          <w:fldChar w:fldCharType="separate"/>
        </w:r>
        <w:r>
          <w:rPr>
            <w:noProof/>
            <w:sz w:val="24"/>
            <w:szCs w:val="24"/>
          </w:rPr>
          <w:t>6</w:t>
        </w:r>
        <w:r>
          <w:rPr>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3618702"/>
      <w:docPartObj>
        <w:docPartGallery w:val="Page Numbers (Top of Page)"/>
        <w:docPartUnique/>
      </w:docPartObj>
    </w:sdtPr>
    <w:sdtEndPr>
      <w:rPr>
        <w:sz w:val="24"/>
        <w:szCs w:val="24"/>
      </w:rPr>
    </w:sdtEndPr>
    <w:sdtContent>
      <w:p>
        <w:pPr>
          <w:pStyle w:val="a8"/>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2</w:t>
        </w:r>
        <w:r>
          <w:rPr>
            <w:sz w:val="24"/>
            <w:szCs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8613725"/>
      <w:docPartObj>
        <w:docPartGallery w:val="Page Numbers (Top of Page)"/>
        <w:docPartUnique/>
      </w:docPartObj>
    </w:sdtPr>
    <w:sdtEndPr>
      <w:rPr>
        <w:sz w:val="24"/>
      </w:rPr>
    </w:sdtEndPr>
    <w:sdtContent>
      <w:p>
        <w:pPr>
          <w:pStyle w:val="a8"/>
          <w:jc w:val="center"/>
          <w:rPr>
            <w:sz w:val="24"/>
          </w:rPr>
        </w:pPr>
        <w:r>
          <w:rPr>
            <w:sz w:val="24"/>
          </w:rPr>
          <w:fldChar w:fldCharType="begin"/>
        </w:r>
        <w:r>
          <w:rPr>
            <w:sz w:val="24"/>
          </w:rPr>
          <w:instrText>PAGE   \* MERGEFORMAT</w:instrText>
        </w:r>
        <w:r>
          <w:rPr>
            <w:sz w:val="24"/>
          </w:rPr>
          <w:fldChar w:fldCharType="separate"/>
        </w:r>
        <w:r>
          <w:rPr>
            <w:noProof/>
            <w:sz w:val="24"/>
          </w:rPr>
          <w:t>2</w:t>
        </w:r>
        <w:r>
          <w:rPr>
            <w:sz w:val="24"/>
          </w:rPr>
          <w:fldChar w:fldCharType="end"/>
        </w:r>
      </w:p>
    </w:sdtContent>
  </w:sdt>
  <w:p>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8"/>
      <w:jc w:val="center"/>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A760AE"/>
    <w:multiLevelType w:val="singleLevel"/>
    <w:tmpl w:val="D000074C"/>
    <w:lvl w:ilvl="0">
      <w:start w:val="1"/>
      <w:numFmt w:val="decimal"/>
      <w:lvlText w:val="%1."/>
      <w:legacy w:legacy="1" w:legacySpace="0" w:legacyIndent="235"/>
      <w:lvlJc w:val="left"/>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F5A7AE8-37F2-472B-9119-028837197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CYR" w:eastAsia="Times New Roman" w:hAnsi="Times New Roman CYR" w:cs="Times New Roman"/>
      <w:sz w:val="20"/>
      <w:szCs w:val="20"/>
      <w:lang w:eastAsia="ru-RU"/>
    </w:rPr>
  </w:style>
  <w:style w:type="paragraph" w:styleId="1">
    <w:name w:val="heading 1"/>
    <w:basedOn w:val="a"/>
    <w:next w:val="a"/>
    <w:link w:val="10"/>
    <w:qFormat/>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CYR" w:eastAsia="Times New Roman" w:hAnsi="Times New Roman CYR" w:cs="Times New Roman"/>
      <w:b/>
      <w:sz w:val="28"/>
      <w:szCs w:val="20"/>
      <w:lang w:eastAsia="ru-RU"/>
    </w:rPr>
  </w:style>
  <w:style w:type="paragraph" w:customStyle="1" w:styleId="ConsPlusNormal">
    <w:name w:val="ConsPlusNormal"/>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styleId="a3">
    <w:name w:val="Hyperlink"/>
    <w:basedOn w:val="a0"/>
    <w:rPr>
      <w:color w:val="0000FF"/>
      <w:u w:val="single"/>
    </w:rPr>
  </w:style>
  <w:style w:type="paragraph" w:styleId="a4">
    <w:name w:val="Title"/>
    <w:basedOn w:val="a"/>
    <w:link w:val="a5"/>
    <w:qFormat/>
    <w:pPr>
      <w:jc w:val="center"/>
    </w:pPr>
    <w:rPr>
      <w:rFonts w:ascii="Times New Roman" w:hAnsi="Times New Roman"/>
      <w:sz w:val="28"/>
    </w:rPr>
  </w:style>
  <w:style w:type="character" w:customStyle="1" w:styleId="a5">
    <w:name w:val="Название Знак"/>
    <w:basedOn w:val="a0"/>
    <w:link w:val="a4"/>
    <w:rPr>
      <w:rFonts w:ascii="Times New Roman" w:eastAsia="Times New Roman" w:hAnsi="Times New Roman" w:cs="Times New Roman"/>
      <w:sz w:val="28"/>
      <w:szCs w:val="20"/>
      <w:lang w:eastAsia="ru-RU"/>
    </w:rPr>
  </w:style>
  <w:style w:type="paragraph" w:styleId="a6">
    <w:name w:val="Body Text Indent"/>
    <w:basedOn w:val="a"/>
    <w:link w:val="a7"/>
    <w:pPr>
      <w:ind w:firstLine="567"/>
      <w:jc w:val="both"/>
    </w:pPr>
    <w:rPr>
      <w:rFonts w:ascii="Times New Roman" w:hAnsi="Times New Roman"/>
      <w:sz w:val="28"/>
    </w:rPr>
  </w:style>
  <w:style w:type="character" w:customStyle="1" w:styleId="a7">
    <w:name w:val="Основной текст с отступом Знак"/>
    <w:basedOn w:val="a0"/>
    <w:link w:val="a6"/>
    <w:rPr>
      <w:rFonts w:ascii="Times New Roman" w:eastAsia="Times New Roman" w:hAnsi="Times New Roman" w:cs="Times New Roman"/>
      <w:sz w:val="28"/>
      <w:szCs w:val="20"/>
      <w:lang w:eastAsia="ru-RU"/>
    </w:rPr>
  </w:style>
  <w:style w:type="paragraph" w:styleId="a8">
    <w:name w:val="header"/>
    <w:basedOn w:val="a"/>
    <w:link w:val="a9"/>
    <w:uiPriority w:val="99"/>
    <w:pPr>
      <w:tabs>
        <w:tab w:val="center" w:pos="4677"/>
        <w:tab w:val="right" w:pos="9355"/>
      </w:tabs>
    </w:pPr>
  </w:style>
  <w:style w:type="character" w:customStyle="1" w:styleId="a9">
    <w:name w:val="Верхний колонтитул Знак"/>
    <w:basedOn w:val="a0"/>
    <w:link w:val="a8"/>
    <w:uiPriority w:val="99"/>
    <w:rPr>
      <w:rFonts w:ascii="Times New Roman CYR" w:eastAsia="Times New Roman" w:hAnsi="Times New Roman CYR" w:cs="Times New Roman"/>
      <w:sz w:val="20"/>
      <w:szCs w:val="20"/>
      <w:lang w:eastAsia="ru-RU"/>
    </w:rPr>
  </w:style>
  <w:style w:type="character" w:styleId="aa">
    <w:name w:val="page number"/>
    <w:basedOn w:val="a0"/>
  </w:style>
  <w:style w:type="paragraph" w:customStyle="1" w:styleId="11">
    <w:name w:val="Знак Знак1 Знак"/>
    <w:basedOn w:val="a"/>
    <w:pPr>
      <w:tabs>
        <w:tab w:val="num" w:pos="360"/>
      </w:tabs>
      <w:spacing w:after="160" w:line="240" w:lineRule="exact"/>
    </w:pPr>
    <w:rPr>
      <w:rFonts w:ascii="Verdana" w:hAnsi="Verdana" w:cs="Verdana"/>
      <w:lang w:val="en-US" w:eastAsia="en-US"/>
    </w:rPr>
  </w:style>
  <w:style w:type="paragraph" w:styleId="ab">
    <w:name w:val="List Paragraph"/>
    <w:basedOn w:val="a"/>
    <w:uiPriority w:val="34"/>
    <w:qFormat/>
    <w:pPr>
      <w:ind w:left="720"/>
      <w:contextualSpacing/>
    </w:pPr>
  </w:style>
  <w:style w:type="paragraph" w:customStyle="1" w:styleId="12">
    <w:name w:val="Знак Знак1 Знак"/>
    <w:basedOn w:val="a"/>
    <w:pPr>
      <w:tabs>
        <w:tab w:val="num" w:pos="360"/>
      </w:tabs>
      <w:spacing w:after="160" w:line="240" w:lineRule="exact"/>
    </w:pPr>
    <w:rPr>
      <w:rFonts w:ascii="Verdana" w:hAnsi="Verdana" w:cs="Verdana"/>
      <w:lang w:val="en-US" w:eastAsia="en-US"/>
    </w:rPr>
  </w:style>
  <w:style w:type="paragraph" w:styleId="ac">
    <w:name w:val="footer"/>
    <w:basedOn w:val="a"/>
    <w:link w:val="ad"/>
    <w:unhideWhenUsed/>
    <w:pPr>
      <w:tabs>
        <w:tab w:val="center" w:pos="4677"/>
        <w:tab w:val="right" w:pos="9355"/>
      </w:tabs>
    </w:pPr>
  </w:style>
  <w:style w:type="character" w:customStyle="1" w:styleId="ad">
    <w:name w:val="Нижний колонтитул Знак"/>
    <w:basedOn w:val="a0"/>
    <w:link w:val="ac"/>
    <w:rPr>
      <w:rFonts w:ascii="Times New Roman CYR" w:eastAsia="Times New Roman" w:hAnsi="Times New Roman CYR" w:cs="Times New Roman"/>
      <w:sz w:val="20"/>
      <w:szCs w:val="20"/>
      <w:lang w:eastAsia="ru-RU"/>
    </w:rPr>
  </w:style>
  <w:style w:type="paragraph" w:styleId="ae">
    <w:name w:val="No Spacing"/>
    <w:uiPriority w:val="1"/>
    <w:qFormat/>
    <w:pPr>
      <w:spacing w:after="0" w:line="240" w:lineRule="auto"/>
    </w:pPr>
    <w:rPr>
      <w:rFonts w:ascii="Times New Roman CYR" w:eastAsia="Times New Roman" w:hAnsi="Times New Roman CYR" w:cs="Times New Roman"/>
      <w:sz w:val="20"/>
      <w:szCs w:val="20"/>
      <w:lang w:eastAsia="ru-RU"/>
    </w:rPr>
  </w:style>
  <w:style w:type="paragraph" w:styleId="af">
    <w:name w:val="Balloon Text"/>
    <w:basedOn w:val="a"/>
    <w:link w:val="af0"/>
    <w:uiPriority w:val="99"/>
    <w:semiHidden/>
    <w:unhideWhenUsed/>
    <w:rPr>
      <w:rFonts w:ascii="Segoe UI" w:hAnsi="Segoe UI" w:cs="Segoe UI"/>
      <w:sz w:val="18"/>
      <w:szCs w:val="18"/>
    </w:rPr>
  </w:style>
  <w:style w:type="character" w:customStyle="1" w:styleId="af0">
    <w:name w:val="Текст выноски Знак"/>
    <w:basedOn w:val="a0"/>
    <w:link w:val="af"/>
    <w:uiPriority w:val="99"/>
    <w:semiHidden/>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808&amp;dst=3654" TargetMode="External"/><Relationship Id="rId13" Type="http://schemas.openxmlformats.org/officeDocument/2006/relationships/footer" Target="footer1.xml"/><Relationship Id="rId18" Type="http://schemas.openxmlformats.org/officeDocument/2006/relationships/header" Target="header1.xml"/><Relationship Id="rId26" Type="http://schemas.openxmlformats.org/officeDocument/2006/relationships/hyperlink" Target="https://login.consultant.ru/link/?req=doc&amp;base=LAW&amp;n=441135&amp;dst=101916"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hyperlink" Target="https://login.consultant.ru/link/?req=doc&amp;base=LAW&amp;n=284796" TargetMode="External"/><Relationship Id="rId17" Type="http://schemas.openxmlformats.org/officeDocument/2006/relationships/hyperlink" Target="https://login.consultant.ru/link/?req=doc&amp;base=LAW&amp;n=462703&amp;dst=58"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login.consultant.ru/link/?req=doc&amp;base=LAW&amp;n=462703&amp;dst=100367" TargetMode="External"/><Relationship Id="rId20" Type="http://schemas.openxmlformats.org/officeDocument/2006/relationships/header" Target="header2.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65808&amp;dst=103363"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login.consultant.ru/link/?req=doc&amp;base=LAW&amp;n=465808&amp;dst=103142"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https://login.consultant.ru/link/?req=doc&amp;base=LAW&amp;n=465808&amp;dst=4913" TargetMode="External"/><Relationship Id="rId19" Type="http://schemas.openxmlformats.org/officeDocument/2006/relationships/hyperlink" Target="https://login.consultant.ru/link/?req=doc&amp;base=LAW&amp;n=441135&amp;dst=101916"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5808&amp;dst=2592" TargetMode="External"/><Relationship Id="rId14" Type="http://schemas.openxmlformats.org/officeDocument/2006/relationships/hyperlink" Target="https://login.consultant.ru/link/?req=doc&amp;base=LAW&amp;n=456147" TargetMode="External"/><Relationship Id="rId22" Type="http://schemas.openxmlformats.org/officeDocument/2006/relationships/header" Target="header4.xml"/><Relationship Id="rId27"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4139</Words>
  <Characters>23593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litosh</dc:creator>
  <cp:lastModifiedBy>Купцова И.О.</cp:lastModifiedBy>
  <cp:revision>5</cp:revision>
  <cp:lastPrinted>2024-01-23T03:48:00Z</cp:lastPrinted>
  <dcterms:created xsi:type="dcterms:W3CDTF">2024-01-25T10:49:00Z</dcterms:created>
  <dcterms:modified xsi:type="dcterms:W3CDTF">2024-01-26T10:22:00Z</dcterms:modified>
</cp:coreProperties>
</file>