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264" w:lineRule="auto"/>
        <w:jc w:val="center"/>
        <w:rPr>
          <w:b/>
          <w:sz w:val="28"/>
          <w:szCs w:val="28"/>
        </w:rPr>
      </w:pPr>
      <w:r>
        <w:rPr>
          <w:b/>
          <w:sz w:val="28"/>
          <w:szCs w:val="28"/>
        </w:rPr>
        <w:t xml:space="preserve">ПОЯСНИТЕЛЬНАЯ ЗАПИСКА </w:t>
      </w:r>
    </w:p>
    <w:p>
      <w:pPr>
        <w:spacing w:line="264" w:lineRule="auto"/>
        <w:ind w:right="55"/>
        <w:jc w:val="center"/>
        <w:rPr>
          <w:b/>
          <w:bCs/>
          <w:sz w:val="28"/>
          <w:szCs w:val="28"/>
        </w:rPr>
      </w:pPr>
      <w:r>
        <w:rPr>
          <w:b/>
          <w:bCs/>
          <w:sz w:val="28"/>
          <w:szCs w:val="28"/>
        </w:rPr>
        <w:t>об исполнении бюджета ЗАТО Северск за 2020 год</w:t>
      </w:r>
    </w:p>
    <w:p>
      <w:pPr>
        <w:spacing w:line="264" w:lineRule="auto"/>
        <w:jc w:val="center"/>
        <w:rPr>
          <w:b/>
          <w:sz w:val="16"/>
          <w:szCs w:val="16"/>
        </w:rPr>
      </w:pPr>
    </w:p>
    <w:p>
      <w:pPr>
        <w:spacing w:line="264" w:lineRule="auto"/>
        <w:ind w:left="708" w:right="55" w:hanging="708"/>
        <w:jc w:val="center"/>
        <w:rPr>
          <w:b/>
          <w:bCs/>
          <w:sz w:val="24"/>
          <w:szCs w:val="24"/>
        </w:rPr>
      </w:pPr>
      <w:smartTag w:uri="urn:schemas-microsoft-com:office:smarttags" w:element="place">
        <w:r>
          <w:rPr>
            <w:b/>
            <w:bCs/>
            <w:sz w:val="24"/>
            <w:szCs w:val="24"/>
            <w:lang w:val="en-US"/>
          </w:rPr>
          <w:t>I</w:t>
        </w:r>
        <w:r>
          <w:rPr>
            <w:b/>
            <w:bCs/>
            <w:sz w:val="24"/>
            <w:szCs w:val="24"/>
          </w:rPr>
          <w:t>.</w:t>
        </w:r>
      </w:smartTag>
      <w:r>
        <w:rPr>
          <w:b/>
          <w:bCs/>
          <w:sz w:val="24"/>
          <w:szCs w:val="24"/>
        </w:rPr>
        <w:t xml:space="preserve"> ОБЩИЕ ПОЛОЖЕНИЯ</w:t>
      </w:r>
    </w:p>
    <w:p>
      <w:pPr>
        <w:pStyle w:val="20"/>
        <w:rPr>
          <w:sz w:val="16"/>
          <w:szCs w:val="16"/>
        </w:rPr>
      </w:pPr>
    </w:p>
    <w:p>
      <w:pPr>
        <w:pStyle w:val="20"/>
        <w:ind w:right="0" w:firstLine="709"/>
        <w:rPr>
          <w:rFonts w:eastAsia="Calibri" w:cs="Times New Roman CYR"/>
          <w:szCs w:val="24"/>
        </w:rPr>
      </w:pPr>
      <w:r>
        <w:t xml:space="preserve">Бюджет ЗАТО Северск на </w:t>
      </w:r>
      <w:r>
        <w:rPr>
          <w:rFonts w:eastAsia="Calibri" w:cs="Times New Roman CYR"/>
          <w:szCs w:val="24"/>
        </w:rPr>
        <w:t xml:space="preserve">2020 год был утвержден решением Думы ЗАТО Северск                  10.12.2019 № 58/1 по доходам в сумме 3 874 608,04 тыс. руб., по расходам в сумме </w:t>
      </w:r>
      <w:r>
        <w:rPr>
          <w:rFonts w:eastAsia="Calibri" w:cs="Times New Roman CYR"/>
          <w:szCs w:val="24"/>
        </w:rPr>
        <w:br/>
        <w:t>3 915 116,33 тыс. руб.; дефицит бюджета ЗАТО Северск в сумме 40 508,29 тыс. руб.</w:t>
      </w:r>
    </w:p>
    <w:p>
      <w:pPr>
        <w:pStyle w:val="20"/>
        <w:ind w:right="0" w:firstLine="709"/>
        <w:rPr>
          <w:szCs w:val="24"/>
        </w:rPr>
      </w:pPr>
      <w:r>
        <w:t xml:space="preserve">При исполнении бюджета ЗАТО Северск обеспечивалось выполнение обязательств, </w:t>
      </w:r>
      <w:r>
        <w:rPr>
          <w:szCs w:val="24"/>
        </w:rPr>
        <w:t>установленных:</w:t>
      </w:r>
    </w:p>
    <w:p>
      <w:pPr>
        <w:pStyle w:val="20"/>
        <w:tabs>
          <w:tab w:val="left" w:pos="851"/>
        </w:tabs>
        <w:ind w:right="0" w:firstLine="709"/>
        <w:rPr>
          <w:szCs w:val="24"/>
        </w:rPr>
      </w:pPr>
      <w:r>
        <w:rPr>
          <w:szCs w:val="24"/>
        </w:rPr>
        <w:t xml:space="preserve">1. Соглашением между Министерством финансов Российской Федерации, Администрацией Томской области и ЗАТО Северск от 13.06.2018 № 01-01-06/06-262 «О предоставлении и обеспечении </w:t>
      </w:r>
      <w:bookmarkStart w:id="0" w:name="_GoBack"/>
      <w:bookmarkEnd w:id="0"/>
      <w:r>
        <w:rPr>
          <w:szCs w:val="24"/>
        </w:rPr>
        <w:t>эффективного использования межбюджетных трансфертов, выделяемых из федерального бюджета бюджету Томской области</w:t>
      </w:r>
      <w:r>
        <w:rPr>
          <w:b/>
          <w:szCs w:val="24"/>
        </w:rPr>
        <w:t xml:space="preserve"> </w:t>
      </w:r>
      <w:r>
        <w:rPr>
          <w:szCs w:val="24"/>
        </w:rPr>
        <w:t>для предоставления бюджету закрытого административно – территориального образования Северск Томской области дотации на компенсацию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 (далее – трехсторонне Соглашение);</w:t>
      </w:r>
    </w:p>
    <w:p>
      <w:pPr>
        <w:ind w:firstLine="709"/>
        <w:jc w:val="both"/>
        <w:rPr>
          <w:sz w:val="24"/>
          <w:szCs w:val="24"/>
        </w:rPr>
      </w:pPr>
      <w:r>
        <w:rPr>
          <w:sz w:val="24"/>
          <w:szCs w:val="24"/>
        </w:rPr>
        <w:t>2. Соглашением с Департаментом финансов Томской области от 20.02.2020 № 20-С</w:t>
      </w:r>
      <w:r>
        <w:rPr>
          <w:b/>
          <w:sz w:val="24"/>
          <w:szCs w:val="24"/>
        </w:rPr>
        <w:t xml:space="preserve"> </w:t>
      </w:r>
      <w:r>
        <w:rPr>
          <w:sz w:val="24"/>
          <w:szCs w:val="24"/>
        </w:rPr>
        <w:t>«О мерах по социально-экономическому развитию и оздоровлению муниципальных финансов муниципального образования «Городской округ ЗАТО Северск»</w:t>
      </w:r>
    </w:p>
    <w:p>
      <w:pPr>
        <w:pStyle w:val="20"/>
        <w:ind w:right="0" w:firstLine="709"/>
        <w:rPr>
          <w:szCs w:val="24"/>
          <w:highlight w:val="yellow"/>
        </w:rPr>
      </w:pPr>
      <w:r>
        <w:rPr>
          <w:szCs w:val="24"/>
        </w:rPr>
        <w:t>3. Соглашениями с отраслевыми департаментами Администрации Томской области.</w:t>
      </w:r>
    </w:p>
    <w:p>
      <w:pPr>
        <w:pStyle w:val="20"/>
        <w:ind w:right="0" w:firstLine="709"/>
        <w:rPr>
          <w:szCs w:val="24"/>
        </w:rPr>
      </w:pPr>
      <w:r>
        <w:rPr>
          <w:szCs w:val="24"/>
        </w:rPr>
        <w:t>В целях обеспечения устойчивости и сбалансированности бюджета при его исполнении реализовывались мероприятия, установленные:</w:t>
      </w:r>
    </w:p>
    <w:p>
      <w:pPr>
        <w:tabs>
          <w:tab w:val="left" w:pos="993"/>
        </w:tabs>
        <w:ind w:firstLine="709"/>
        <w:jc w:val="both"/>
        <w:rPr>
          <w:sz w:val="24"/>
          <w:szCs w:val="24"/>
        </w:rPr>
      </w:pPr>
      <w:r>
        <w:rPr>
          <w:sz w:val="24"/>
          <w:szCs w:val="24"/>
        </w:rPr>
        <w:t xml:space="preserve">- постановлением Администрации ЗАТО Северск от 17.02.2014 № 304 </w:t>
      </w:r>
      <w:r>
        <w:rPr>
          <w:sz w:val="24"/>
          <w:szCs w:val="24"/>
        </w:rPr>
        <w:br/>
        <w:t>«Об утверждении Сводного плана мероприятий по мобилизации доходов в бюджет ЗАТО Северск»;</w:t>
      </w:r>
    </w:p>
    <w:p>
      <w:pPr>
        <w:pStyle w:val="20"/>
        <w:ind w:right="0" w:firstLine="709"/>
      </w:pPr>
      <w:r>
        <w:t>- планом мероприятий по повышению эффективности использования бюджетных средств, увеличения налоговых и неналоговых доходов и совершенствованию долговой политики бюджета ЗАТО Северск в 2018-2020 годах (утвержден в рамках трехстороннего Соглашения от 13.06.2018 № 01-01-06/06-262);</w:t>
      </w:r>
    </w:p>
    <w:p>
      <w:pPr>
        <w:pStyle w:val="20"/>
        <w:tabs>
          <w:tab w:val="left" w:pos="567"/>
        </w:tabs>
        <w:ind w:right="0" w:firstLine="709"/>
        <w:rPr>
          <w:szCs w:val="24"/>
        </w:rPr>
      </w:pPr>
      <w:r>
        <w:rPr>
          <w:szCs w:val="24"/>
        </w:rPr>
        <w:t>- распоряжением Администрации ЗАТО Северск от 31.01.2020 № 117-р «О мерах по исполнению бюджета ЗАТО Северск на 2020 год и на плановый период 2021 и 2022 годов»;</w:t>
      </w:r>
    </w:p>
    <w:p>
      <w:pPr>
        <w:pStyle w:val="20"/>
        <w:ind w:right="0" w:firstLine="709"/>
      </w:pPr>
      <w:r>
        <w:t>-</w:t>
      </w:r>
      <w:r>
        <w:rPr>
          <w:szCs w:val="24"/>
        </w:rPr>
        <w:t xml:space="preserve"> распоряжением Администрации ЗАТО Северск от 30.04.2020 № 513-р «О перераспределении расходов бюджета ЗАТО Северск на 2020 год»</w:t>
      </w:r>
      <w:r>
        <w:t>;</w:t>
      </w:r>
    </w:p>
    <w:p>
      <w:pPr>
        <w:tabs>
          <w:tab w:val="left" w:pos="993"/>
        </w:tabs>
        <w:ind w:firstLine="709"/>
        <w:jc w:val="both"/>
        <w:rPr>
          <w:sz w:val="24"/>
          <w:szCs w:val="24"/>
        </w:rPr>
      </w:pPr>
      <w:r>
        <w:rPr>
          <w:sz w:val="24"/>
          <w:szCs w:val="24"/>
        </w:rPr>
        <w:t>- распоряжением Администрации ЗАТО Северск от 28.05.2020 № 583-р «Об осуществлении муниципальных внутренних заимствований».</w:t>
      </w:r>
    </w:p>
    <w:p>
      <w:pPr>
        <w:pStyle w:val="31"/>
        <w:ind w:right="0" w:firstLine="709"/>
        <w:rPr>
          <w:sz w:val="24"/>
          <w:szCs w:val="24"/>
        </w:rPr>
      </w:pPr>
      <w:r>
        <w:rPr>
          <w:sz w:val="24"/>
          <w:szCs w:val="24"/>
        </w:rPr>
        <w:t>За 2020 год в бюджет ЗАТО Северск поступили доходы в сумме 4 679 645,19</w:t>
      </w:r>
      <w:r>
        <w:rPr>
          <w:sz w:val="24"/>
          <w:szCs w:val="24"/>
          <w:lang w:val="en-US"/>
        </w:rPr>
        <w:t> </w:t>
      </w:r>
      <w:r>
        <w:rPr>
          <w:sz w:val="24"/>
          <w:szCs w:val="24"/>
        </w:rPr>
        <w:t xml:space="preserve">тыс.руб. или 99,8% к годовому прогнозу поступлений; расходы составили 4 723 671,21 тыс.руб. или 98,4% к годовому плану. </w:t>
      </w:r>
    </w:p>
    <w:p>
      <w:pPr>
        <w:pStyle w:val="31"/>
        <w:spacing w:before="120"/>
        <w:ind w:right="0" w:firstLine="851"/>
        <w:rPr>
          <w:sz w:val="24"/>
          <w:szCs w:val="24"/>
        </w:rPr>
      </w:pPr>
      <w:r>
        <w:rPr>
          <w:noProof/>
        </w:rPr>
        <w:drawing>
          <wp:inline distT="0" distB="0" distL="0" distR="0">
            <wp:extent cx="4737100" cy="17526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hd w:val="clear" w:color="auto" w:fill="FFFFFF" w:themeFill="background1"/>
        <w:spacing w:after="120"/>
        <w:ind w:right="57"/>
        <w:jc w:val="center"/>
        <w:rPr>
          <w:spacing w:val="-4"/>
          <w:sz w:val="24"/>
          <w:szCs w:val="24"/>
        </w:rPr>
      </w:pPr>
      <w:r>
        <w:rPr>
          <w:spacing w:val="-4"/>
          <w:sz w:val="24"/>
          <w:szCs w:val="24"/>
        </w:rPr>
        <w:t>Рисунок 1. Динамика изменения основных параметров бюджета (млн руб.)</w:t>
      </w:r>
    </w:p>
    <w:p>
      <w:pPr>
        <w:pStyle w:val="31"/>
        <w:ind w:right="0" w:firstLine="709"/>
        <w:rPr>
          <w:spacing w:val="-4"/>
          <w:sz w:val="24"/>
          <w:szCs w:val="24"/>
        </w:rPr>
      </w:pPr>
      <w:r>
        <w:rPr>
          <w:sz w:val="24"/>
          <w:szCs w:val="24"/>
        </w:rPr>
        <w:lastRenderedPageBreak/>
        <w:t xml:space="preserve">Бюджет ЗАТО Северск за 2020 г. исполнен с дефицитом в сумме 44 026,02 тыс.руб. </w:t>
      </w:r>
    </w:p>
    <w:p>
      <w:pPr>
        <w:pStyle w:val="20"/>
        <w:ind w:right="0" w:firstLine="709"/>
        <w:rPr>
          <w:szCs w:val="24"/>
        </w:rPr>
      </w:pPr>
      <w:r>
        <w:rPr>
          <w:spacing w:val="-4"/>
          <w:szCs w:val="24"/>
        </w:rPr>
        <w:t>Для покрытия дефицита и погашения долговых обязательств в 2020 году в результате электронного аукциона осуществлены заимствования</w:t>
      </w:r>
      <w:r>
        <w:rPr>
          <w:spacing w:val="-1"/>
          <w:szCs w:val="24"/>
        </w:rPr>
        <w:t xml:space="preserve"> у коммерческого банка на сумму 126 508,29 тыс.руб. и у Департамента финансов Томской области в сумме 40 623,36 </w:t>
      </w:r>
      <w:r>
        <w:rPr>
          <w:szCs w:val="24"/>
        </w:rPr>
        <w:t>тыс.руб.</w:t>
      </w:r>
    </w:p>
    <w:p>
      <w:pPr>
        <w:ind w:firstLine="709"/>
        <w:jc w:val="both"/>
        <w:rPr>
          <w:sz w:val="24"/>
          <w:szCs w:val="24"/>
        </w:rPr>
      </w:pPr>
      <w:r>
        <w:rPr>
          <w:sz w:val="24"/>
          <w:szCs w:val="24"/>
        </w:rPr>
        <w:t>Муниципальный долг на 01.01.2021 составил 249 573,58 тыс.руб.</w:t>
      </w:r>
    </w:p>
    <w:p>
      <w:pPr>
        <w:pStyle w:val="31"/>
        <w:spacing w:before="120" w:after="60"/>
        <w:ind w:right="0" w:firstLine="567"/>
        <w:rPr>
          <w:spacing w:val="-4"/>
          <w:sz w:val="24"/>
          <w:szCs w:val="24"/>
        </w:rPr>
      </w:pPr>
      <w:r>
        <w:rPr>
          <w:spacing w:val="-4"/>
          <w:sz w:val="24"/>
          <w:szCs w:val="24"/>
        </w:rPr>
        <w:t>Таблица 1. Исполнение основных параметров бюджета ЗАТО Северск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01"/>
        <w:gridCol w:w="1560"/>
        <w:gridCol w:w="1559"/>
        <w:gridCol w:w="1417"/>
        <w:gridCol w:w="1406"/>
      </w:tblGrid>
      <w:tr>
        <w:tc>
          <w:tcPr>
            <w:tcW w:w="1701" w:type="dxa"/>
            <w:vAlign w:val="center"/>
          </w:tcPr>
          <w:p>
            <w:pPr>
              <w:jc w:val="center"/>
              <w:rPr>
                <w:spacing w:val="-4"/>
              </w:rPr>
            </w:pPr>
            <w:r>
              <w:rPr>
                <w:spacing w:val="-4"/>
              </w:rPr>
              <w:t>Наименование</w:t>
            </w:r>
          </w:p>
        </w:tc>
        <w:tc>
          <w:tcPr>
            <w:tcW w:w="1701" w:type="dxa"/>
            <w:vAlign w:val="center"/>
          </w:tcPr>
          <w:p>
            <w:pPr>
              <w:jc w:val="center"/>
              <w:rPr>
                <w:spacing w:val="-4"/>
              </w:rPr>
            </w:pPr>
            <w:r>
              <w:rPr>
                <w:spacing w:val="-4"/>
              </w:rPr>
              <w:t>Первоначальный план, тыс.руб.</w:t>
            </w:r>
          </w:p>
        </w:tc>
        <w:tc>
          <w:tcPr>
            <w:tcW w:w="1560" w:type="dxa"/>
            <w:vAlign w:val="center"/>
          </w:tcPr>
          <w:p>
            <w:pPr>
              <w:jc w:val="center"/>
              <w:rPr>
                <w:spacing w:val="-4"/>
              </w:rPr>
            </w:pPr>
            <w:r>
              <w:rPr>
                <w:spacing w:val="-4"/>
              </w:rPr>
              <w:t>Уточненный план, тыс.руб.</w:t>
            </w:r>
          </w:p>
        </w:tc>
        <w:tc>
          <w:tcPr>
            <w:tcW w:w="1559" w:type="dxa"/>
            <w:vAlign w:val="center"/>
          </w:tcPr>
          <w:p>
            <w:pPr>
              <w:jc w:val="center"/>
              <w:rPr>
                <w:spacing w:val="-4"/>
              </w:rPr>
            </w:pPr>
            <w:r>
              <w:rPr>
                <w:spacing w:val="-4"/>
              </w:rPr>
              <w:t>Исполнено, тыс.руб.</w:t>
            </w:r>
          </w:p>
        </w:tc>
        <w:tc>
          <w:tcPr>
            <w:tcW w:w="1417" w:type="dxa"/>
            <w:vAlign w:val="center"/>
          </w:tcPr>
          <w:p>
            <w:pPr>
              <w:jc w:val="center"/>
              <w:rPr>
                <w:spacing w:val="-4"/>
              </w:rPr>
            </w:pPr>
            <w:r>
              <w:rPr>
                <w:spacing w:val="-4"/>
              </w:rPr>
              <w:t>Отклонение, тыс.руб.</w:t>
            </w:r>
          </w:p>
        </w:tc>
        <w:tc>
          <w:tcPr>
            <w:tcW w:w="1406" w:type="dxa"/>
            <w:vAlign w:val="center"/>
          </w:tcPr>
          <w:p>
            <w:pPr>
              <w:jc w:val="center"/>
              <w:rPr>
                <w:spacing w:val="-4"/>
              </w:rPr>
            </w:pPr>
            <w:r>
              <w:rPr>
                <w:spacing w:val="-4"/>
              </w:rPr>
              <w:t>% исполнения</w:t>
            </w:r>
          </w:p>
        </w:tc>
      </w:tr>
      <w:tr>
        <w:trPr>
          <w:trHeight w:hRule="exact" w:val="284"/>
        </w:trPr>
        <w:tc>
          <w:tcPr>
            <w:tcW w:w="1701" w:type="dxa"/>
            <w:vAlign w:val="center"/>
          </w:tcPr>
          <w:p>
            <w:pPr>
              <w:jc w:val="both"/>
              <w:rPr>
                <w:spacing w:val="-4"/>
              </w:rPr>
            </w:pPr>
            <w:r>
              <w:rPr>
                <w:spacing w:val="-4"/>
              </w:rPr>
              <w:t>Доходы</w:t>
            </w:r>
          </w:p>
        </w:tc>
        <w:tc>
          <w:tcPr>
            <w:tcW w:w="1701" w:type="dxa"/>
            <w:vAlign w:val="center"/>
          </w:tcPr>
          <w:p>
            <w:pPr>
              <w:jc w:val="right"/>
              <w:rPr>
                <w:spacing w:val="-4"/>
              </w:rPr>
            </w:pPr>
            <w:r>
              <w:t>3 874 608,04</w:t>
            </w:r>
          </w:p>
        </w:tc>
        <w:tc>
          <w:tcPr>
            <w:tcW w:w="1560" w:type="dxa"/>
            <w:vAlign w:val="center"/>
          </w:tcPr>
          <w:p>
            <w:pPr>
              <w:jc w:val="right"/>
              <w:rPr>
                <w:spacing w:val="-4"/>
              </w:rPr>
            </w:pPr>
            <w:r>
              <w:t>4 689 498,88</w:t>
            </w:r>
          </w:p>
        </w:tc>
        <w:tc>
          <w:tcPr>
            <w:tcW w:w="1559" w:type="dxa"/>
            <w:vAlign w:val="center"/>
          </w:tcPr>
          <w:p>
            <w:pPr>
              <w:jc w:val="right"/>
              <w:rPr>
                <w:spacing w:val="-4"/>
              </w:rPr>
            </w:pPr>
            <w:r>
              <w:rPr>
                <w:spacing w:val="-4"/>
              </w:rPr>
              <w:t>4 679 645,19</w:t>
            </w:r>
          </w:p>
        </w:tc>
        <w:tc>
          <w:tcPr>
            <w:tcW w:w="1417" w:type="dxa"/>
            <w:vAlign w:val="center"/>
          </w:tcPr>
          <w:p>
            <w:pPr>
              <w:jc w:val="right"/>
              <w:rPr>
                <w:spacing w:val="-4"/>
              </w:rPr>
            </w:pPr>
            <w:r>
              <w:rPr>
                <w:spacing w:val="-4"/>
              </w:rPr>
              <w:t>-9 853,69</w:t>
            </w:r>
          </w:p>
        </w:tc>
        <w:tc>
          <w:tcPr>
            <w:tcW w:w="1406" w:type="dxa"/>
            <w:vAlign w:val="center"/>
          </w:tcPr>
          <w:p>
            <w:pPr>
              <w:jc w:val="center"/>
              <w:rPr>
                <w:spacing w:val="-4"/>
              </w:rPr>
            </w:pPr>
            <w:r>
              <w:rPr>
                <w:spacing w:val="-4"/>
              </w:rPr>
              <w:t>99,8</w:t>
            </w:r>
          </w:p>
        </w:tc>
      </w:tr>
      <w:tr>
        <w:tc>
          <w:tcPr>
            <w:tcW w:w="1701" w:type="dxa"/>
            <w:vAlign w:val="center"/>
          </w:tcPr>
          <w:p>
            <w:pPr>
              <w:rPr>
                <w:spacing w:val="-4"/>
              </w:rPr>
            </w:pPr>
            <w:r>
              <w:rPr>
                <w:spacing w:val="-4"/>
              </w:rPr>
              <w:t>в т.ч. налоговые и неналоговые</w:t>
            </w:r>
          </w:p>
        </w:tc>
        <w:tc>
          <w:tcPr>
            <w:tcW w:w="1701" w:type="dxa"/>
            <w:vAlign w:val="center"/>
          </w:tcPr>
          <w:p>
            <w:pPr>
              <w:jc w:val="right"/>
              <w:rPr>
                <w:spacing w:val="-4"/>
              </w:rPr>
            </w:pPr>
            <w:r>
              <w:t>1 139 142,84</w:t>
            </w:r>
          </w:p>
        </w:tc>
        <w:tc>
          <w:tcPr>
            <w:tcW w:w="1560" w:type="dxa"/>
            <w:vAlign w:val="center"/>
          </w:tcPr>
          <w:p>
            <w:pPr>
              <w:jc w:val="right"/>
              <w:rPr>
                <w:spacing w:val="-4"/>
              </w:rPr>
            </w:pPr>
            <w:r>
              <w:t>1 107 763,52</w:t>
            </w:r>
          </w:p>
        </w:tc>
        <w:tc>
          <w:tcPr>
            <w:tcW w:w="1559" w:type="dxa"/>
            <w:vAlign w:val="center"/>
          </w:tcPr>
          <w:p>
            <w:pPr>
              <w:jc w:val="right"/>
              <w:rPr>
                <w:spacing w:val="-4"/>
              </w:rPr>
            </w:pPr>
            <w:r>
              <w:rPr>
                <w:spacing w:val="-4"/>
              </w:rPr>
              <w:t>1 124 987,26</w:t>
            </w:r>
          </w:p>
        </w:tc>
        <w:tc>
          <w:tcPr>
            <w:tcW w:w="1417" w:type="dxa"/>
            <w:vAlign w:val="center"/>
          </w:tcPr>
          <w:p>
            <w:pPr>
              <w:jc w:val="right"/>
              <w:rPr>
                <w:spacing w:val="-4"/>
              </w:rPr>
            </w:pPr>
            <w:r>
              <w:rPr>
                <w:spacing w:val="-4"/>
              </w:rPr>
              <w:t>17 223,74</w:t>
            </w:r>
          </w:p>
        </w:tc>
        <w:tc>
          <w:tcPr>
            <w:tcW w:w="1406" w:type="dxa"/>
            <w:vAlign w:val="center"/>
          </w:tcPr>
          <w:p>
            <w:pPr>
              <w:jc w:val="center"/>
              <w:rPr>
                <w:spacing w:val="-4"/>
              </w:rPr>
            </w:pPr>
            <w:r>
              <w:rPr>
                <w:spacing w:val="-4"/>
              </w:rPr>
              <w:t>101,6</w:t>
            </w:r>
          </w:p>
        </w:tc>
      </w:tr>
      <w:tr>
        <w:tc>
          <w:tcPr>
            <w:tcW w:w="1701" w:type="dxa"/>
            <w:shd w:val="clear" w:color="auto" w:fill="auto"/>
            <w:vAlign w:val="center"/>
          </w:tcPr>
          <w:p>
            <w:pPr>
              <w:rPr>
                <w:spacing w:val="-4"/>
              </w:rPr>
            </w:pPr>
            <w:r>
              <w:rPr>
                <w:spacing w:val="-4"/>
              </w:rPr>
              <w:t>Безвозмездные поступления</w:t>
            </w:r>
          </w:p>
        </w:tc>
        <w:tc>
          <w:tcPr>
            <w:tcW w:w="1701" w:type="dxa"/>
            <w:shd w:val="clear" w:color="auto" w:fill="auto"/>
            <w:vAlign w:val="center"/>
          </w:tcPr>
          <w:p>
            <w:pPr>
              <w:jc w:val="right"/>
              <w:rPr>
                <w:spacing w:val="-4"/>
              </w:rPr>
            </w:pPr>
            <w:r>
              <w:rPr>
                <w:spacing w:val="-4"/>
              </w:rPr>
              <w:t>2 735 465,20</w:t>
            </w:r>
          </w:p>
        </w:tc>
        <w:tc>
          <w:tcPr>
            <w:tcW w:w="1560" w:type="dxa"/>
            <w:shd w:val="clear" w:color="auto" w:fill="auto"/>
            <w:vAlign w:val="center"/>
          </w:tcPr>
          <w:p>
            <w:pPr>
              <w:jc w:val="right"/>
              <w:rPr>
                <w:spacing w:val="-4"/>
              </w:rPr>
            </w:pPr>
            <w:r>
              <w:rPr>
                <w:spacing w:val="-4"/>
              </w:rPr>
              <w:t>3 581 735,36</w:t>
            </w:r>
          </w:p>
        </w:tc>
        <w:tc>
          <w:tcPr>
            <w:tcW w:w="1559" w:type="dxa"/>
            <w:shd w:val="clear" w:color="auto" w:fill="auto"/>
            <w:vAlign w:val="center"/>
          </w:tcPr>
          <w:p>
            <w:pPr>
              <w:jc w:val="right"/>
              <w:rPr>
                <w:spacing w:val="-4"/>
              </w:rPr>
            </w:pPr>
            <w:r>
              <w:rPr>
                <w:spacing w:val="-4"/>
              </w:rPr>
              <w:t>3 554 657,93</w:t>
            </w:r>
          </w:p>
        </w:tc>
        <w:tc>
          <w:tcPr>
            <w:tcW w:w="1417" w:type="dxa"/>
            <w:shd w:val="clear" w:color="auto" w:fill="auto"/>
            <w:vAlign w:val="center"/>
          </w:tcPr>
          <w:p>
            <w:pPr>
              <w:jc w:val="right"/>
              <w:rPr>
                <w:spacing w:val="-4"/>
              </w:rPr>
            </w:pPr>
            <w:r>
              <w:rPr>
                <w:spacing w:val="-4"/>
              </w:rPr>
              <w:t>-27 077,43</w:t>
            </w:r>
          </w:p>
        </w:tc>
        <w:tc>
          <w:tcPr>
            <w:tcW w:w="1406" w:type="dxa"/>
            <w:shd w:val="clear" w:color="auto" w:fill="auto"/>
            <w:vAlign w:val="center"/>
          </w:tcPr>
          <w:p>
            <w:pPr>
              <w:jc w:val="center"/>
              <w:rPr>
                <w:spacing w:val="-4"/>
              </w:rPr>
            </w:pPr>
            <w:r>
              <w:rPr>
                <w:spacing w:val="-4"/>
              </w:rPr>
              <w:t>99,2</w:t>
            </w:r>
          </w:p>
        </w:tc>
      </w:tr>
      <w:tr>
        <w:trPr>
          <w:trHeight w:hRule="exact" w:val="284"/>
        </w:trPr>
        <w:tc>
          <w:tcPr>
            <w:tcW w:w="1701" w:type="dxa"/>
            <w:shd w:val="clear" w:color="auto" w:fill="auto"/>
            <w:vAlign w:val="center"/>
          </w:tcPr>
          <w:p>
            <w:pPr>
              <w:rPr>
                <w:spacing w:val="-4"/>
              </w:rPr>
            </w:pPr>
            <w:r>
              <w:rPr>
                <w:spacing w:val="-4"/>
              </w:rPr>
              <w:t>Расходы</w:t>
            </w:r>
          </w:p>
        </w:tc>
        <w:tc>
          <w:tcPr>
            <w:tcW w:w="1701" w:type="dxa"/>
            <w:shd w:val="clear" w:color="auto" w:fill="auto"/>
            <w:vAlign w:val="center"/>
          </w:tcPr>
          <w:p>
            <w:pPr>
              <w:jc w:val="right"/>
              <w:rPr>
                <w:spacing w:val="-4"/>
              </w:rPr>
            </w:pPr>
            <w:r>
              <w:t>3 915 116,33</w:t>
            </w:r>
          </w:p>
        </w:tc>
        <w:tc>
          <w:tcPr>
            <w:tcW w:w="1560" w:type="dxa"/>
            <w:shd w:val="clear" w:color="auto" w:fill="auto"/>
            <w:vAlign w:val="center"/>
          </w:tcPr>
          <w:p>
            <w:pPr>
              <w:jc w:val="right"/>
              <w:rPr>
                <w:spacing w:val="-4"/>
              </w:rPr>
            </w:pPr>
            <w:r>
              <w:t>4 800 951,30</w:t>
            </w:r>
          </w:p>
        </w:tc>
        <w:tc>
          <w:tcPr>
            <w:tcW w:w="1559" w:type="dxa"/>
            <w:shd w:val="clear" w:color="auto" w:fill="auto"/>
            <w:vAlign w:val="center"/>
          </w:tcPr>
          <w:p>
            <w:pPr>
              <w:jc w:val="right"/>
              <w:rPr>
                <w:spacing w:val="-4"/>
              </w:rPr>
            </w:pPr>
            <w:r>
              <w:t>4 723 671,21</w:t>
            </w:r>
          </w:p>
        </w:tc>
        <w:tc>
          <w:tcPr>
            <w:tcW w:w="1417" w:type="dxa"/>
            <w:shd w:val="clear" w:color="auto" w:fill="auto"/>
            <w:vAlign w:val="center"/>
          </w:tcPr>
          <w:p>
            <w:pPr>
              <w:jc w:val="right"/>
              <w:rPr>
                <w:spacing w:val="-4"/>
              </w:rPr>
            </w:pPr>
            <w:r>
              <w:rPr>
                <w:spacing w:val="-4"/>
              </w:rPr>
              <w:t>- 77 280,09</w:t>
            </w:r>
          </w:p>
        </w:tc>
        <w:tc>
          <w:tcPr>
            <w:tcW w:w="1406" w:type="dxa"/>
            <w:shd w:val="clear" w:color="auto" w:fill="auto"/>
            <w:vAlign w:val="center"/>
          </w:tcPr>
          <w:p>
            <w:pPr>
              <w:jc w:val="center"/>
              <w:rPr>
                <w:spacing w:val="-4"/>
              </w:rPr>
            </w:pPr>
            <w:r>
              <w:rPr>
                <w:spacing w:val="-4"/>
              </w:rPr>
              <w:t>98,4</w:t>
            </w:r>
          </w:p>
        </w:tc>
      </w:tr>
      <w:tr>
        <w:trPr>
          <w:trHeight w:hRule="exact" w:val="284"/>
        </w:trPr>
        <w:tc>
          <w:tcPr>
            <w:tcW w:w="1701" w:type="dxa"/>
            <w:shd w:val="clear" w:color="auto" w:fill="auto"/>
            <w:vAlign w:val="center"/>
          </w:tcPr>
          <w:p>
            <w:pPr>
              <w:rPr>
                <w:spacing w:val="-4"/>
              </w:rPr>
            </w:pPr>
            <w:r>
              <w:rPr>
                <w:spacing w:val="-4"/>
              </w:rPr>
              <w:t xml:space="preserve">Дефицит </w:t>
            </w:r>
          </w:p>
        </w:tc>
        <w:tc>
          <w:tcPr>
            <w:tcW w:w="1701" w:type="dxa"/>
            <w:shd w:val="clear" w:color="auto" w:fill="auto"/>
            <w:vAlign w:val="center"/>
          </w:tcPr>
          <w:p>
            <w:pPr>
              <w:jc w:val="right"/>
              <w:rPr>
                <w:spacing w:val="-4"/>
              </w:rPr>
            </w:pPr>
            <w:r>
              <w:rPr>
                <w:spacing w:val="-4"/>
              </w:rPr>
              <w:t>-40 508,29</w:t>
            </w:r>
          </w:p>
        </w:tc>
        <w:tc>
          <w:tcPr>
            <w:tcW w:w="1560" w:type="dxa"/>
            <w:shd w:val="clear" w:color="auto" w:fill="auto"/>
            <w:vAlign w:val="center"/>
          </w:tcPr>
          <w:p>
            <w:pPr>
              <w:jc w:val="right"/>
              <w:rPr>
                <w:spacing w:val="-4"/>
              </w:rPr>
            </w:pPr>
            <w:r>
              <w:t>-111 452,42</w:t>
            </w:r>
          </w:p>
        </w:tc>
        <w:tc>
          <w:tcPr>
            <w:tcW w:w="1559" w:type="dxa"/>
            <w:shd w:val="clear" w:color="auto" w:fill="auto"/>
            <w:vAlign w:val="center"/>
          </w:tcPr>
          <w:p>
            <w:pPr>
              <w:jc w:val="right"/>
              <w:rPr>
                <w:spacing w:val="-4"/>
              </w:rPr>
            </w:pPr>
            <w:r>
              <w:t>- 44 026,02</w:t>
            </w:r>
          </w:p>
        </w:tc>
        <w:tc>
          <w:tcPr>
            <w:tcW w:w="1417" w:type="dxa"/>
            <w:shd w:val="clear" w:color="auto" w:fill="auto"/>
            <w:vAlign w:val="center"/>
          </w:tcPr>
          <w:p>
            <w:pPr>
              <w:jc w:val="right"/>
              <w:rPr>
                <w:spacing w:val="-4"/>
              </w:rPr>
            </w:pPr>
            <w:r>
              <w:rPr>
                <w:spacing w:val="-4"/>
              </w:rPr>
              <w:t>+ 67 426,40</w:t>
            </w:r>
          </w:p>
        </w:tc>
        <w:tc>
          <w:tcPr>
            <w:tcW w:w="1406" w:type="dxa"/>
            <w:shd w:val="clear" w:color="auto" w:fill="auto"/>
            <w:vAlign w:val="center"/>
          </w:tcPr>
          <w:p>
            <w:pPr>
              <w:jc w:val="center"/>
              <w:rPr>
                <w:spacing w:val="-4"/>
              </w:rPr>
            </w:pPr>
            <w:r>
              <w:rPr>
                <w:spacing w:val="-4"/>
              </w:rPr>
              <w:t>39,5</w:t>
            </w:r>
          </w:p>
        </w:tc>
      </w:tr>
    </w:tbl>
    <w:p>
      <w:pPr>
        <w:pStyle w:val="20"/>
        <w:rPr>
          <w:sz w:val="16"/>
          <w:szCs w:val="16"/>
          <w:highlight w:val="yellow"/>
        </w:rPr>
      </w:pPr>
    </w:p>
    <w:p>
      <w:pPr>
        <w:jc w:val="both"/>
        <w:rPr>
          <w:sz w:val="24"/>
          <w:szCs w:val="24"/>
          <w:highlight w:val="yellow"/>
          <w:shd w:val="clear" w:color="auto" w:fill="FFFFFF" w:themeFill="background1"/>
        </w:rPr>
      </w:pPr>
    </w:p>
    <w:p>
      <w:pPr>
        <w:pStyle w:val="af8"/>
        <w:numPr>
          <w:ilvl w:val="1"/>
          <w:numId w:val="17"/>
        </w:numPr>
        <w:jc w:val="center"/>
        <w:rPr>
          <w:b/>
          <w:sz w:val="24"/>
          <w:szCs w:val="24"/>
          <w:shd w:val="clear" w:color="auto" w:fill="FFFFFF" w:themeFill="background1"/>
        </w:rPr>
      </w:pPr>
      <w:r>
        <w:rPr>
          <w:b/>
          <w:sz w:val="24"/>
          <w:szCs w:val="24"/>
          <w:shd w:val="clear" w:color="auto" w:fill="FFFFFF" w:themeFill="background1"/>
        </w:rPr>
        <w:t>Консолидация бюджета ЗАТО Северск в бюджет Томской области</w:t>
      </w:r>
    </w:p>
    <w:p>
      <w:pPr>
        <w:pStyle w:val="af8"/>
        <w:ind w:left="1068"/>
        <w:rPr>
          <w:b/>
          <w:sz w:val="10"/>
          <w:szCs w:val="10"/>
          <w:highlight w:val="yellow"/>
          <w:shd w:val="clear" w:color="auto" w:fill="FFFFFF" w:themeFill="background1"/>
        </w:rPr>
      </w:pPr>
    </w:p>
    <w:p>
      <w:pPr>
        <w:ind w:firstLine="709"/>
        <w:jc w:val="both"/>
        <w:rPr>
          <w:sz w:val="24"/>
          <w:szCs w:val="24"/>
        </w:rPr>
      </w:pPr>
      <w:r>
        <w:rPr>
          <w:sz w:val="24"/>
          <w:szCs w:val="24"/>
          <w:shd w:val="clear" w:color="auto" w:fill="FFFFFF" w:themeFill="background1"/>
        </w:rPr>
        <w:t>Доля бюджета ЗАТО Северск в консолидированных доходах Томской области составляет 5,3 %, в консолидированных расходах Томской области – 4,8 %.</w:t>
      </w:r>
      <w:r>
        <w:rPr>
          <w:sz w:val="24"/>
          <w:szCs w:val="24"/>
        </w:rPr>
        <w:t xml:space="preserve"> </w:t>
      </w:r>
    </w:p>
    <w:p>
      <w:pPr>
        <w:ind w:firstLine="709"/>
        <w:jc w:val="both"/>
        <w:rPr>
          <w:spacing w:val="-4"/>
          <w:sz w:val="24"/>
          <w:szCs w:val="24"/>
        </w:rPr>
      </w:pPr>
      <w:r>
        <w:rPr>
          <w:sz w:val="24"/>
          <w:szCs w:val="24"/>
        </w:rPr>
        <w:t>Доходная часть консолидированного бюджета Томской области исполнена на 85,6 %, по бюджету ЗАТО Северск доходы исполнены на 99,8 %</w:t>
      </w:r>
      <w:r>
        <w:rPr>
          <w:spacing w:val="-4"/>
          <w:sz w:val="24"/>
          <w:szCs w:val="24"/>
        </w:rPr>
        <w:t xml:space="preserve">. </w:t>
      </w:r>
    </w:p>
    <w:p>
      <w:pPr>
        <w:ind w:firstLine="709"/>
        <w:jc w:val="both"/>
        <w:rPr>
          <w:spacing w:val="-4"/>
          <w:sz w:val="24"/>
          <w:szCs w:val="24"/>
        </w:rPr>
      </w:pPr>
      <w:r>
        <w:rPr>
          <w:sz w:val="24"/>
          <w:szCs w:val="24"/>
        </w:rPr>
        <w:t>Расходная часть консолидированного бюджета Томской области исполнена на 94,6 %, по бюджету ЗАТО Северск - на 98,4 %</w:t>
      </w:r>
      <w:r>
        <w:rPr>
          <w:spacing w:val="-4"/>
          <w:sz w:val="24"/>
          <w:szCs w:val="24"/>
        </w:rPr>
        <w:t xml:space="preserve">. </w:t>
      </w:r>
    </w:p>
    <w:p>
      <w:pPr>
        <w:ind w:firstLine="709"/>
        <w:jc w:val="both"/>
        <w:rPr>
          <w:spacing w:val="-4"/>
          <w:sz w:val="24"/>
          <w:szCs w:val="24"/>
        </w:rPr>
      </w:pPr>
      <w:r>
        <w:rPr>
          <w:spacing w:val="-4"/>
          <w:sz w:val="24"/>
          <w:szCs w:val="24"/>
        </w:rPr>
        <w:t>По сравнению с 2019 годом доля бюджета ЗАТО Северск в консолидированном бюджете Томской области сократилась:</w:t>
      </w:r>
    </w:p>
    <w:p>
      <w:pPr>
        <w:ind w:firstLine="709"/>
        <w:jc w:val="both"/>
        <w:rPr>
          <w:spacing w:val="-4"/>
          <w:sz w:val="24"/>
          <w:szCs w:val="24"/>
        </w:rPr>
      </w:pPr>
      <w:r>
        <w:rPr>
          <w:spacing w:val="-4"/>
          <w:sz w:val="24"/>
          <w:szCs w:val="24"/>
        </w:rPr>
        <w:t>-по доходам  с 5,7 % в 2019 году до 5,3 % в 2020 году;</w:t>
      </w:r>
    </w:p>
    <w:p>
      <w:pPr>
        <w:ind w:firstLine="709"/>
        <w:jc w:val="both"/>
        <w:rPr>
          <w:spacing w:val="-4"/>
          <w:sz w:val="24"/>
          <w:szCs w:val="24"/>
        </w:rPr>
      </w:pPr>
      <w:r>
        <w:rPr>
          <w:spacing w:val="-4"/>
          <w:sz w:val="24"/>
          <w:szCs w:val="24"/>
        </w:rPr>
        <w:t>-по расходам с 5,5 % в 2019 году до 4,8 % в 2020 году.</w:t>
      </w:r>
    </w:p>
    <w:p>
      <w:pPr>
        <w:ind w:firstLine="709"/>
        <w:jc w:val="both"/>
        <w:rPr>
          <w:sz w:val="24"/>
          <w:szCs w:val="24"/>
        </w:rPr>
      </w:pPr>
      <w:r>
        <w:rPr>
          <w:sz w:val="24"/>
          <w:szCs w:val="24"/>
        </w:rPr>
        <w:t xml:space="preserve">Сравнительный анализ исполнения консолидированного бюджета Томской области, бюджетов городских округов и бюджета ЗАТО Северск приведен в таблице 2. </w:t>
      </w:r>
    </w:p>
    <w:p>
      <w:pPr>
        <w:tabs>
          <w:tab w:val="left" w:pos="709"/>
        </w:tabs>
        <w:spacing w:before="120" w:after="60"/>
        <w:jc w:val="both"/>
        <w:rPr>
          <w:sz w:val="24"/>
          <w:szCs w:val="24"/>
        </w:rPr>
      </w:pPr>
      <w:r>
        <w:rPr>
          <w:sz w:val="24"/>
          <w:szCs w:val="24"/>
        </w:rPr>
        <w:tab/>
        <w:t>Таблица 2. Исполнение доходной и расходной частей консолидированного бюджета Томской области за 2020 год</w:t>
      </w:r>
    </w:p>
    <w:tbl>
      <w:tblPr>
        <w:tblStyle w:val="af7"/>
        <w:tblW w:w="9492" w:type="dxa"/>
        <w:tblInd w:w="108" w:type="dxa"/>
        <w:tblLayout w:type="fixed"/>
        <w:tblLook w:val="04A0" w:firstRow="1" w:lastRow="0" w:firstColumn="1" w:lastColumn="0" w:noHBand="0" w:noVBand="1"/>
      </w:tblPr>
      <w:tblGrid>
        <w:gridCol w:w="1985"/>
        <w:gridCol w:w="1134"/>
        <w:gridCol w:w="1276"/>
        <w:gridCol w:w="1134"/>
        <w:gridCol w:w="1021"/>
        <w:gridCol w:w="1134"/>
        <w:gridCol w:w="846"/>
        <w:gridCol w:w="962"/>
      </w:tblGrid>
      <w:tr>
        <w:trPr>
          <w:cantSplit/>
          <w:trHeight w:val="1240"/>
        </w:trPr>
        <w:tc>
          <w:tcPr>
            <w:tcW w:w="1985" w:type="dxa"/>
          </w:tcPr>
          <w:p>
            <w:pPr>
              <w:tabs>
                <w:tab w:val="left" w:pos="284"/>
              </w:tabs>
              <w:jc w:val="center"/>
            </w:pPr>
            <w:r>
              <w:t>Показатели</w:t>
            </w:r>
          </w:p>
        </w:tc>
        <w:tc>
          <w:tcPr>
            <w:tcW w:w="1134" w:type="dxa"/>
          </w:tcPr>
          <w:p>
            <w:pPr>
              <w:tabs>
                <w:tab w:val="left" w:pos="284"/>
              </w:tabs>
              <w:jc w:val="center"/>
            </w:pPr>
            <w:r>
              <w:t>1. Бюджет Томской области, всего</w:t>
            </w:r>
          </w:p>
        </w:tc>
        <w:tc>
          <w:tcPr>
            <w:tcW w:w="1276" w:type="dxa"/>
          </w:tcPr>
          <w:p>
            <w:pPr>
              <w:tabs>
                <w:tab w:val="left" w:pos="284"/>
              </w:tabs>
              <w:ind w:left="-108" w:firstLine="108"/>
              <w:jc w:val="center"/>
            </w:pPr>
            <w:r>
              <w:t>2.Мун. образования, всего</w:t>
            </w:r>
          </w:p>
        </w:tc>
        <w:tc>
          <w:tcPr>
            <w:tcW w:w="1134" w:type="dxa"/>
          </w:tcPr>
          <w:p>
            <w:pPr>
              <w:tabs>
                <w:tab w:val="left" w:pos="284"/>
              </w:tabs>
              <w:jc w:val="center"/>
            </w:pPr>
            <w:r>
              <w:t>3. Городс-кие округа, всего</w:t>
            </w:r>
          </w:p>
        </w:tc>
        <w:tc>
          <w:tcPr>
            <w:tcW w:w="1021" w:type="dxa"/>
            <w:textDirection w:val="btLr"/>
            <w:vAlign w:val="center"/>
          </w:tcPr>
          <w:p>
            <w:pPr>
              <w:tabs>
                <w:tab w:val="left" w:pos="284"/>
              </w:tabs>
              <w:ind w:left="113" w:right="113"/>
              <w:jc w:val="center"/>
            </w:pPr>
            <w:r>
              <w:t>3.1. Томск</w:t>
            </w:r>
          </w:p>
        </w:tc>
        <w:tc>
          <w:tcPr>
            <w:tcW w:w="1134" w:type="dxa"/>
            <w:textDirection w:val="btLr"/>
            <w:vAlign w:val="center"/>
          </w:tcPr>
          <w:p>
            <w:pPr>
              <w:tabs>
                <w:tab w:val="left" w:pos="284"/>
              </w:tabs>
              <w:ind w:left="113" w:right="113"/>
              <w:jc w:val="center"/>
            </w:pPr>
            <w:r>
              <w:t>3.2. Стрежевой</w:t>
            </w:r>
          </w:p>
        </w:tc>
        <w:tc>
          <w:tcPr>
            <w:tcW w:w="846" w:type="dxa"/>
            <w:textDirection w:val="btLr"/>
            <w:vAlign w:val="center"/>
          </w:tcPr>
          <w:p>
            <w:pPr>
              <w:ind w:left="113" w:right="113"/>
              <w:jc w:val="center"/>
            </w:pPr>
            <w:r>
              <w:t>3.3. Кедровый</w:t>
            </w:r>
          </w:p>
        </w:tc>
        <w:tc>
          <w:tcPr>
            <w:tcW w:w="962" w:type="dxa"/>
            <w:textDirection w:val="btLr"/>
            <w:vAlign w:val="center"/>
          </w:tcPr>
          <w:p>
            <w:pPr>
              <w:ind w:left="113" w:right="113"/>
              <w:jc w:val="center"/>
            </w:pPr>
            <w:r>
              <w:rPr>
                <w:b/>
              </w:rPr>
              <w:t>3.4. ЗАТО Северск</w:t>
            </w:r>
          </w:p>
        </w:tc>
      </w:tr>
      <w:tr>
        <w:tc>
          <w:tcPr>
            <w:tcW w:w="9492" w:type="dxa"/>
            <w:gridSpan w:val="8"/>
          </w:tcPr>
          <w:p>
            <w:pPr>
              <w:tabs>
                <w:tab w:val="left" w:pos="284"/>
              </w:tabs>
              <w:jc w:val="center"/>
              <w:rPr>
                <w:b/>
              </w:rPr>
            </w:pPr>
            <w:r>
              <w:rPr>
                <w:b/>
              </w:rPr>
              <w:t>Доходы</w:t>
            </w:r>
          </w:p>
        </w:tc>
      </w:tr>
      <w:tr>
        <w:tc>
          <w:tcPr>
            <w:tcW w:w="1985" w:type="dxa"/>
          </w:tcPr>
          <w:p>
            <w:r>
              <w:t>Факт 2019, млн руб.</w:t>
            </w:r>
          </w:p>
        </w:tc>
        <w:tc>
          <w:tcPr>
            <w:tcW w:w="1134" w:type="dxa"/>
            <w:vAlign w:val="center"/>
          </w:tcPr>
          <w:p>
            <w:pPr>
              <w:jc w:val="right"/>
              <w:rPr>
                <w:color w:val="000000"/>
              </w:rPr>
            </w:pPr>
            <w:r>
              <w:rPr>
                <w:color w:val="000000"/>
              </w:rPr>
              <w:t>79 919,24</w:t>
            </w:r>
          </w:p>
        </w:tc>
        <w:tc>
          <w:tcPr>
            <w:tcW w:w="1276" w:type="dxa"/>
            <w:vAlign w:val="center"/>
          </w:tcPr>
          <w:p>
            <w:pPr>
              <w:jc w:val="right"/>
              <w:rPr>
                <w:color w:val="000000"/>
              </w:rPr>
            </w:pPr>
            <w:r>
              <w:rPr>
                <w:color w:val="000000"/>
              </w:rPr>
              <w:t>43 183,52</w:t>
            </w:r>
          </w:p>
        </w:tc>
        <w:tc>
          <w:tcPr>
            <w:tcW w:w="1134" w:type="dxa"/>
            <w:vAlign w:val="center"/>
          </w:tcPr>
          <w:p>
            <w:pPr>
              <w:jc w:val="right"/>
              <w:rPr>
                <w:color w:val="000000"/>
              </w:rPr>
            </w:pPr>
            <w:r>
              <w:rPr>
                <w:color w:val="000000"/>
              </w:rPr>
              <w:t>25 303,04</w:t>
            </w:r>
          </w:p>
        </w:tc>
        <w:tc>
          <w:tcPr>
            <w:tcW w:w="1021" w:type="dxa"/>
            <w:vAlign w:val="center"/>
          </w:tcPr>
          <w:p>
            <w:pPr>
              <w:jc w:val="right"/>
              <w:rPr>
                <w:color w:val="000000"/>
              </w:rPr>
            </w:pPr>
            <w:r>
              <w:rPr>
                <w:color w:val="000000"/>
              </w:rPr>
              <w:t>18 413,79</w:t>
            </w:r>
          </w:p>
        </w:tc>
        <w:tc>
          <w:tcPr>
            <w:tcW w:w="1134" w:type="dxa"/>
            <w:vAlign w:val="center"/>
          </w:tcPr>
          <w:p>
            <w:pPr>
              <w:jc w:val="right"/>
              <w:rPr>
                <w:color w:val="000000"/>
              </w:rPr>
            </w:pPr>
            <w:r>
              <w:rPr>
                <w:color w:val="000000"/>
              </w:rPr>
              <w:t>2 136,92</w:t>
            </w:r>
          </w:p>
        </w:tc>
        <w:tc>
          <w:tcPr>
            <w:tcW w:w="846" w:type="dxa"/>
            <w:vAlign w:val="center"/>
          </w:tcPr>
          <w:p>
            <w:pPr>
              <w:jc w:val="right"/>
              <w:rPr>
                <w:color w:val="000000"/>
              </w:rPr>
            </w:pPr>
            <w:r>
              <w:rPr>
                <w:color w:val="000000"/>
              </w:rPr>
              <w:t>215,85</w:t>
            </w:r>
          </w:p>
        </w:tc>
        <w:tc>
          <w:tcPr>
            <w:tcW w:w="962" w:type="dxa"/>
            <w:vAlign w:val="center"/>
          </w:tcPr>
          <w:p>
            <w:pPr>
              <w:jc w:val="right"/>
              <w:rPr>
                <w:b/>
                <w:bCs/>
                <w:color w:val="000000"/>
              </w:rPr>
            </w:pPr>
            <w:r>
              <w:rPr>
                <w:b/>
                <w:bCs/>
                <w:color w:val="000000"/>
              </w:rPr>
              <w:t>4 536,47</w:t>
            </w:r>
          </w:p>
        </w:tc>
      </w:tr>
      <w:tr>
        <w:tc>
          <w:tcPr>
            <w:tcW w:w="1985" w:type="dxa"/>
          </w:tcPr>
          <w:p>
            <w:pPr>
              <w:tabs>
                <w:tab w:val="left" w:pos="284"/>
              </w:tabs>
              <w:jc w:val="both"/>
            </w:pPr>
            <w:r>
              <w:t>Темп роста 2019 к 2018,%</w:t>
            </w:r>
          </w:p>
        </w:tc>
        <w:tc>
          <w:tcPr>
            <w:tcW w:w="1134" w:type="dxa"/>
            <w:vAlign w:val="center"/>
          </w:tcPr>
          <w:p>
            <w:pPr>
              <w:jc w:val="right"/>
              <w:rPr>
                <w:color w:val="000000"/>
              </w:rPr>
            </w:pPr>
            <w:r>
              <w:rPr>
                <w:color w:val="000000"/>
              </w:rPr>
              <w:t>107,7</w:t>
            </w:r>
          </w:p>
        </w:tc>
        <w:tc>
          <w:tcPr>
            <w:tcW w:w="1276" w:type="dxa"/>
            <w:vAlign w:val="center"/>
          </w:tcPr>
          <w:p>
            <w:pPr>
              <w:jc w:val="right"/>
              <w:rPr>
                <w:color w:val="000000"/>
              </w:rPr>
            </w:pPr>
            <w:r>
              <w:rPr>
                <w:color w:val="000000"/>
              </w:rPr>
              <w:t>112,5</w:t>
            </w:r>
          </w:p>
        </w:tc>
        <w:tc>
          <w:tcPr>
            <w:tcW w:w="1134" w:type="dxa"/>
            <w:vAlign w:val="center"/>
          </w:tcPr>
          <w:p>
            <w:pPr>
              <w:jc w:val="right"/>
              <w:rPr>
                <w:color w:val="000000"/>
              </w:rPr>
            </w:pPr>
            <w:r>
              <w:rPr>
                <w:color w:val="000000"/>
              </w:rPr>
              <w:t>110,7</w:t>
            </w:r>
          </w:p>
        </w:tc>
        <w:tc>
          <w:tcPr>
            <w:tcW w:w="1021" w:type="dxa"/>
            <w:vAlign w:val="center"/>
          </w:tcPr>
          <w:p>
            <w:pPr>
              <w:jc w:val="right"/>
              <w:rPr>
                <w:color w:val="000000"/>
              </w:rPr>
            </w:pPr>
            <w:r>
              <w:rPr>
                <w:color w:val="000000"/>
              </w:rPr>
              <w:t>112,3</w:t>
            </w:r>
          </w:p>
        </w:tc>
        <w:tc>
          <w:tcPr>
            <w:tcW w:w="1134" w:type="dxa"/>
            <w:vAlign w:val="center"/>
          </w:tcPr>
          <w:p>
            <w:pPr>
              <w:jc w:val="right"/>
              <w:rPr>
                <w:color w:val="000000"/>
              </w:rPr>
            </w:pPr>
            <w:r>
              <w:rPr>
                <w:color w:val="000000"/>
              </w:rPr>
              <w:t>105,9</w:t>
            </w:r>
          </w:p>
        </w:tc>
        <w:tc>
          <w:tcPr>
            <w:tcW w:w="846" w:type="dxa"/>
            <w:vAlign w:val="center"/>
          </w:tcPr>
          <w:p>
            <w:pPr>
              <w:jc w:val="right"/>
              <w:rPr>
                <w:color w:val="000000"/>
              </w:rPr>
            </w:pPr>
            <w:r>
              <w:rPr>
                <w:color w:val="000000"/>
              </w:rPr>
              <w:t>116,4</w:t>
            </w:r>
          </w:p>
        </w:tc>
        <w:tc>
          <w:tcPr>
            <w:tcW w:w="962" w:type="dxa"/>
            <w:vAlign w:val="center"/>
          </w:tcPr>
          <w:p>
            <w:pPr>
              <w:jc w:val="right"/>
              <w:rPr>
                <w:b/>
                <w:bCs/>
                <w:color w:val="000000"/>
              </w:rPr>
            </w:pPr>
            <w:r>
              <w:rPr>
                <w:b/>
                <w:bCs/>
                <w:color w:val="000000"/>
              </w:rPr>
              <w:t>106,7</w:t>
            </w:r>
          </w:p>
        </w:tc>
      </w:tr>
      <w:tr>
        <w:tc>
          <w:tcPr>
            <w:tcW w:w="1985" w:type="dxa"/>
          </w:tcPr>
          <w:p>
            <w:r>
              <w:t>Факт 2020, млн руб.</w:t>
            </w:r>
          </w:p>
        </w:tc>
        <w:tc>
          <w:tcPr>
            <w:tcW w:w="1134" w:type="dxa"/>
            <w:vAlign w:val="center"/>
          </w:tcPr>
          <w:p>
            <w:pPr>
              <w:jc w:val="right"/>
              <w:rPr>
                <w:color w:val="000000"/>
              </w:rPr>
            </w:pPr>
            <w:r>
              <w:rPr>
                <w:color w:val="000000"/>
              </w:rPr>
              <w:t>88 212,21</w:t>
            </w:r>
          </w:p>
        </w:tc>
        <w:tc>
          <w:tcPr>
            <w:tcW w:w="1276" w:type="dxa"/>
            <w:vAlign w:val="center"/>
          </w:tcPr>
          <w:p>
            <w:pPr>
              <w:jc w:val="right"/>
              <w:rPr>
                <w:color w:val="000000"/>
              </w:rPr>
            </w:pPr>
            <w:r>
              <w:rPr>
                <w:color w:val="000000"/>
              </w:rPr>
              <w:t>43 413,15</w:t>
            </w:r>
          </w:p>
        </w:tc>
        <w:tc>
          <w:tcPr>
            <w:tcW w:w="1134" w:type="dxa"/>
            <w:vAlign w:val="center"/>
          </w:tcPr>
          <w:p>
            <w:pPr>
              <w:jc w:val="right"/>
              <w:rPr>
                <w:color w:val="000000"/>
              </w:rPr>
            </w:pPr>
            <w:r>
              <w:rPr>
                <w:color w:val="000000"/>
              </w:rPr>
              <w:t>23 666,84</w:t>
            </w:r>
          </w:p>
        </w:tc>
        <w:tc>
          <w:tcPr>
            <w:tcW w:w="1021" w:type="dxa"/>
            <w:vAlign w:val="center"/>
          </w:tcPr>
          <w:p>
            <w:pPr>
              <w:jc w:val="right"/>
              <w:rPr>
                <w:color w:val="000000"/>
              </w:rPr>
            </w:pPr>
            <w:r>
              <w:rPr>
                <w:color w:val="000000"/>
              </w:rPr>
              <w:t>16 603,30</w:t>
            </w:r>
          </w:p>
        </w:tc>
        <w:tc>
          <w:tcPr>
            <w:tcW w:w="1134" w:type="dxa"/>
            <w:vAlign w:val="center"/>
          </w:tcPr>
          <w:p>
            <w:pPr>
              <w:jc w:val="right"/>
              <w:rPr>
                <w:color w:val="000000"/>
              </w:rPr>
            </w:pPr>
            <w:r>
              <w:rPr>
                <w:color w:val="000000"/>
              </w:rPr>
              <w:t>2 144,19</w:t>
            </w:r>
          </w:p>
        </w:tc>
        <w:tc>
          <w:tcPr>
            <w:tcW w:w="846" w:type="dxa"/>
            <w:vAlign w:val="center"/>
          </w:tcPr>
          <w:p>
            <w:pPr>
              <w:jc w:val="right"/>
              <w:rPr>
                <w:color w:val="000000"/>
              </w:rPr>
            </w:pPr>
            <w:r>
              <w:rPr>
                <w:color w:val="000000"/>
              </w:rPr>
              <w:t>239,70</w:t>
            </w:r>
          </w:p>
        </w:tc>
        <w:tc>
          <w:tcPr>
            <w:tcW w:w="962" w:type="dxa"/>
            <w:vAlign w:val="center"/>
          </w:tcPr>
          <w:p>
            <w:pPr>
              <w:jc w:val="right"/>
              <w:rPr>
                <w:b/>
                <w:bCs/>
                <w:color w:val="000000"/>
              </w:rPr>
            </w:pPr>
            <w:r>
              <w:rPr>
                <w:b/>
                <w:bCs/>
                <w:color w:val="000000"/>
              </w:rPr>
              <w:t>4 679,65</w:t>
            </w:r>
          </w:p>
        </w:tc>
      </w:tr>
      <w:tr>
        <w:tc>
          <w:tcPr>
            <w:tcW w:w="1985" w:type="dxa"/>
          </w:tcPr>
          <w:p>
            <w:pPr>
              <w:tabs>
                <w:tab w:val="left" w:pos="284"/>
              </w:tabs>
              <w:jc w:val="both"/>
            </w:pPr>
            <w:r>
              <w:t>Темп роста 2020 к 2019,%</w:t>
            </w:r>
          </w:p>
        </w:tc>
        <w:tc>
          <w:tcPr>
            <w:tcW w:w="1134" w:type="dxa"/>
            <w:vAlign w:val="center"/>
          </w:tcPr>
          <w:p>
            <w:pPr>
              <w:jc w:val="right"/>
              <w:rPr>
                <w:color w:val="000000"/>
              </w:rPr>
            </w:pPr>
            <w:r>
              <w:rPr>
                <w:color w:val="000000"/>
              </w:rPr>
              <w:t>110,4</w:t>
            </w:r>
          </w:p>
        </w:tc>
        <w:tc>
          <w:tcPr>
            <w:tcW w:w="1276" w:type="dxa"/>
            <w:vAlign w:val="center"/>
          </w:tcPr>
          <w:p>
            <w:pPr>
              <w:jc w:val="right"/>
              <w:rPr>
                <w:color w:val="000000"/>
              </w:rPr>
            </w:pPr>
            <w:r>
              <w:rPr>
                <w:color w:val="000000"/>
              </w:rPr>
              <w:t>100,5</w:t>
            </w:r>
          </w:p>
        </w:tc>
        <w:tc>
          <w:tcPr>
            <w:tcW w:w="1134" w:type="dxa"/>
            <w:vAlign w:val="center"/>
          </w:tcPr>
          <w:p>
            <w:pPr>
              <w:jc w:val="right"/>
              <w:rPr>
                <w:color w:val="000000"/>
              </w:rPr>
            </w:pPr>
            <w:r>
              <w:rPr>
                <w:color w:val="000000"/>
              </w:rPr>
              <w:t>93,5</w:t>
            </w:r>
          </w:p>
        </w:tc>
        <w:tc>
          <w:tcPr>
            <w:tcW w:w="1021" w:type="dxa"/>
            <w:vAlign w:val="center"/>
          </w:tcPr>
          <w:p>
            <w:pPr>
              <w:jc w:val="right"/>
              <w:rPr>
                <w:color w:val="000000"/>
              </w:rPr>
            </w:pPr>
            <w:r>
              <w:rPr>
                <w:color w:val="000000"/>
              </w:rPr>
              <w:t>90,2</w:t>
            </w:r>
          </w:p>
        </w:tc>
        <w:tc>
          <w:tcPr>
            <w:tcW w:w="1134" w:type="dxa"/>
            <w:vAlign w:val="center"/>
          </w:tcPr>
          <w:p>
            <w:pPr>
              <w:jc w:val="right"/>
              <w:rPr>
                <w:color w:val="000000"/>
              </w:rPr>
            </w:pPr>
            <w:r>
              <w:rPr>
                <w:color w:val="000000"/>
              </w:rPr>
              <w:t>100,3</w:t>
            </w:r>
          </w:p>
        </w:tc>
        <w:tc>
          <w:tcPr>
            <w:tcW w:w="846" w:type="dxa"/>
            <w:vAlign w:val="center"/>
          </w:tcPr>
          <w:p>
            <w:pPr>
              <w:jc w:val="right"/>
              <w:rPr>
                <w:color w:val="000000"/>
              </w:rPr>
            </w:pPr>
            <w:r>
              <w:rPr>
                <w:color w:val="000000"/>
              </w:rPr>
              <w:t>111,0</w:t>
            </w:r>
          </w:p>
        </w:tc>
        <w:tc>
          <w:tcPr>
            <w:tcW w:w="962" w:type="dxa"/>
            <w:vAlign w:val="center"/>
          </w:tcPr>
          <w:p>
            <w:pPr>
              <w:jc w:val="right"/>
              <w:rPr>
                <w:b/>
                <w:bCs/>
                <w:color w:val="000000"/>
              </w:rPr>
            </w:pPr>
            <w:r>
              <w:rPr>
                <w:b/>
                <w:bCs/>
                <w:color w:val="000000"/>
              </w:rPr>
              <w:t>103,2</w:t>
            </w:r>
          </w:p>
        </w:tc>
      </w:tr>
      <w:tr>
        <w:tc>
          <w:tcPr>
            <w:tcW w:w="9492" w:type="dxa"/>
            <w:gridSpan w:val="8"/>
          </w:tcPr>
          <w:p>
            <w:pPr>
              <w:tabs>
                <w:tab w:val="left" w:pos="284"/>
              </w:tabs>
              <w:ind w:left="-108"/>
              <w:jc w:val="center"/>
              <w:rPr>
                <w:b/>
              </w:rPr>
            </w:pPr>
            <w:r>
              <w:rPr>
                <w:b/>
              </w:rPr>
              <w:t>Расходы</w:t>
            </w:r>
          </w:p>
        </w:tc>
      </w:tr>
      <w:tr>
        <w:tc>
          <w:tcPr>
            <w:tcW w:w="1985" w:type="dxa"/>
          </w:tcPr>
          <w:p>
            <w:r>
              <w:t>Факт 2019, млн руб.</w:t>
            </w:r>
          </w:p>
        </w:tc>
        <w:tc>
          <w:tcPr>
            <w:tcW w:w="1134" w:type="dxa"/>
            <w:vAlign w:val="center"/>
          </w:tcPr>
          <w:p>
            <w:pPr>
              <w:jc w:val="right"/>
              <w:rPr>
                <w:color w:val="000000"/>
              </w:rPr>
            </w:pPr>
            <w:r>
              <w:rPr>
                <w:color w:val="000000"/>
              </w:rPr>
              <w:t>83 406,47</w:t>
            </w:r>
          </w:p>
        </w:tc>
        <w:tc>
          <w:tcPr>
            <w:tcW w:w="1276" w:type="dxa"/>
            <w:vAlign w:val="center"/>
          </w:tcPr>
          <w:p>
            <w:pPr>
              <w:jc w:val="right"/>
              <w:rPr>
                <w:color w:val="000000"/>
              </w:rPr>
            </w:pPr>
            <w:r>
              <w:rPr>
                <w:color w:val="000000"/>
              </w:rPr>
              <w:t>43 262,93</w:t>
            </w:r>
          </w:p>
        </w:tc>
        <w:tc>
          <w:tcPr>
            <w:tcW w:w="1134" w:type="dxa"/>
            <w:vAlign w:val="center"/>
          </w:tcPr>
          <w:p>
            <w:pPr>
              <w:jc w:val="right"/>
              <w:rPr>
                <w:color w:val="000000"/>
              </w:rPr>
            </w:pPr>
            <w:r>
              <w:rPr>
                <w:color w:val="000000"/>
              </w:rPr>
              <w:t>25 492,58</w:t>
            </w:r>
          </w:p>
        </w:tc>
        <w:tc>
          <w:tcPr>
            <w:tcW w:w="1021" w:type="dxa"/>
            <w:vAlign w:val="center"/>
          </w:tcPr>
          <w:p>
            <w:pPr>
              <w:jc w:val="right"/>
              <w:rPr>
                <w:color w:val="000000"/>
              </w:rPr>
            </w:pPr>
            <w:r>
              <w:rPr>
                <w:color w:val="000000"/>
              </w:rPr>
              <w:t>18 600,31</w:t>
            </w:r>
          </w:p>
        </w:tc>
        <w:tc>
          <w:tcPr>
            <w:tcW w:w="1134" w:type="dxa"/>
            <w:vAlign w:val="center"/>
          </w:tcPr>
          <w:p>
            <w:pPr>
              <w:jc w:val="right"/>
              <w:rPr>
                <w:color w:val="000000"/>
              </w:rPr>
            </w:pPr>
            <w:r>
              <w:rPr>
                <w:color w:val="000000"/>
              </w:rPr>
              <w:t>2 087,41</w:t>
            </w:r>
          </w:p>
        </w:tc>
        <w:tc>
          <w:tcPr>
            <w:tcW w:w="846" w:type="dxa"/>
            <w:vAlign w:val="center"/>
          </w:tcPr>
          <w:p>
            <w:pPr>
              <w:jc w:val="right"/>
              <w:rPr>
                <w:color w:val="000000"/>
              </w:rPr>
            </w:pPr>
            <w:r>
              <w:rPr>
                <w:color w:val="000000"/>
              </w:rPr>
              <w:t>200,63</w:t>
            </w:r>
          </w:p>
        </w:tc>
        <w:tc>
          <w:tcPr>
            <w:tcW w:w="962" w:type="dxa"/>
            <w:vAlign w:val="center"/>
          </w:tcPr>
          <w:p>
            <w:pPr>
              <w:jc w:val="right"/>
              <w:rPr>
                <w:b/>
                <w:bCs/>
                <w:color w:val="000000"/>
              </w:rPr>
            </w:pPr>
            <w:r>
              <w:rPr>
                <w:b/>
                <w:bCs/>
                <w:color w:val="000000"/>
              </w:rPr>
              <w:t>4 604,22</w:t>
            </w:r>
          </w:p>
        </w:tc>
      </w:tr>
      <w:tr>
        <w:tc>
          <w:tcPr>
            <w:tcW w:w="1985" w:type="dxa"/>
          </w:tcPr>
          <w:p>
            <w:pPr>
              <w:tabs>
                <w:tab w:val="left" w:pos="284"/>
              </w:tabs>
              <w:jc w:val="both"/>
            </w:pPr>
            <w:r>
              <w:t>Темп роста 2019 к 2018,%</w:t>
            </w:r>
          </w:p>
        </w:tc>
        <w:tc>
          <w:tcPr>
            <w:tcW w:w="1134" w:type="dxa"/>
            <w:vAlign w:val="center"/>
          </w:tcPr>
          <w:p>
            <w:pPr>
              <w:jc w:val="right"/>
              <w:rPr>
                <w:color w:val="000000"/>
              </w:rPr>
            </w:pPr>
            <w:r>
              <w:rPr>
                <w:color w:val="000000"/>
              </w:rPr>
              <w:t>111,7</w:t>
            </w:r>
          </w:p>
        </w:tc>
        <w:tc>
          <w:tcPr>
            <w:tcW w:w="1276" w:type="dxa"/>
            <w:vAlign w:val="center"/>
          </w:tcPr>
          <w:p>
            <w:pPr>
              <w:jc w:val="right"/>
              <w:rPr>
                <w:color w:val="000000"/>
              </w:rPr>
            </w:pPr>
            <w:r>
              <w:rPr>
                <w:color w:val="000000"/>
              </w:rPr>
              <w:t>113,5</w:t>
            </w:r>
          </w:p>
        </w:tc>
        <w:tc>
          <w:tcPr>
            <w:tcW w:w="1134" w:type="dxa"/>
            <w:vAlign w:val="center"/>
          </w:tcPr>
          <w:p>
            <w:pPr>
              <w:jc w:val="right"/>
              <w:rPr>
                <w:color w:val="000000"/>
              </w:rPr>
            </w:pPr>
            <w:r>
              <w:rPr>
                <w:color w:val="000000"/>
              </w:rPr>
              <w:t>112,2</w:t>
            </w:r>
          </w:p>
        </w:tc>
        <w:tc>
          <w:tcPr>
            <w:tcW w:w="1021" w:type="dxa"/>
            <w:vAlign w:val="center"/>
          </w:tcPr>
          <w:p>
            <w:pPr>
              <w:jc w:val="right"/>
              <w:rPr>
                <w:color w:val="000000"/>
              </w:rPr>
            </w:pPr>
            <w:r>
              <w:rPr>
                <w:color w:val="000000"/>
              </w:rPr>
              <w:t>114,2</w:t>
            </w:r>
          </w:p>
        </w:tc>
        <w:tc>
          <w:tcPr>
            <w:tcW w:w="1134" w:type="dxa"/>
            <w:vAlign w:val="center"/>
          </w:tcPr>
          <w:p>
            <w:pPr>
              <w:jc w:val="right"/>
              <w:rPr>
                <w:color w:val="000000"/>
              </w:rPr>
            </w:pPr>
            <w:r>
              <w:rPr>
                <w:color w:val="000000"/>
              </w:rPr>
              <w:t>105,9</w:t>
            </w:r>
          </w:p>
        </w:tc>
        <w:tc>
          <w:tcPr>
            <w:tcW w:w="846" w:type="dxa"/>
            <w:vAlign w:val="center"/>
          </w:tcPr>
          <w:p>
            <w:pPr>
              <w:jc w:val="right"/>
              <w:rPr>
                <w:color w:val="000000"/>
              </w:rPr>
            </w:pPr>
            <w:r>
              <w:rPr>
                <w:color w:val="000000"/>
              </w:rPr>
              <w:t>110,7</w:t>
            </w:r>
          </w:p>
        </w:tc>
        <w:tc>
          <w:tcPr>
            <w:tcW w:w="962" w:type="dxa"/>
            <w:vAlign w:val="center"/>
          </w:tcPr>
          <w:p>
            <w:pPr>
              <w:jc w:val="right"/>
              <w:rPr>
                <w:b/>
                <w:bCs/>
                <w:color w:val="000000"/>
              </w:rPr>
            </w:pPr>
            <w:r>
              <w:rPr>
                <w:b/>
                <w:bCs/>
                <w:color w:val="000000"/>
              </w:rPr>
              <w:t>107,9</w:t>
            </w:r>
          </w:p>
        </w:tc>
      </w:tr>
      <w:tr>
        <w:tc>
          <w:tcPr>
            <w:tcW w:w="1985" w:type="dxa"/>
          </w:tcPr>
          <w:p>
            <w:r>
              <w:t>Факт 2020, млн руб.</w:t>
            </w:r>
          </w:p>
        </w:tc>
        <w:tc>
          <w:tcPr>
            <w:tcW w:w="1134" w:type="dxa"/>
            <w:vAlign w:val="center"/>
          </w:tcPr>
          <w:p>
            <w:pPr>
              <w:jc w:val="right"/>
              <w:rPr>
                <w:color w:val="000000"/>
              </w:rPr>
            </w:pPr>
            <w:r>
              <w:rPr>
                <w:color w:val="000000"/>
              </w:rPr>
              <w:t>98 472,61</w:t>
            </w:r>
          </w:p>
        </w:tc>
        <w:tc>
          <w:tcPr>
            <w:tcW w:w="1276" w:type="dxa"/>
            <w:vAlign w:val="center"/>
          </w:tcPr>
          <w:p>
            <w:pPr>
              <w:jc w:val="right"/>
              <w:rPr>
                <w:color w:val="000000"/>
              </w:rPr>
            </w:pPr>
            <w:r>
              <w:rPr>
                <w:color w:val="000000"/>
              </w:rPr>
              <w:t>43 654,20</w:t>
            </w:r>
          </w:p>
        </w:tc>
        <w:tc>
          <w:tcPr>
            <w:tcW w:w="1134" w:type="dxa"/>
            <w:vAlign w:val="center"/>
          </w:tcPr>
          <w:p>
            <w:pPr>
              <w:jc w:val="right"/>
              <w:rPr>
                <w:color w:val="000000"/>
              </w:rPr>
            </w:pPr>
            <w:r>
              <w:rPr>
                <w:color w:val="000000"/>
              </w:rPr>
              <w:t>24 152,80</w:t>
            </w:r>
          </w:p>
        </w:tc>
        <w:tc>
          <w:tcPr>
            <w:tcW w:w="1021" w:type="dxa"/>
            <w:vAlign w:val="center"/>
          </w:tcPr>
          <w:p>
            <w:pPr>
              <w:jc w:val="right"/>
              <w:rPr>
                <w:color w:val="000000"/>
              </w:rPr>
            </w:pPr>
            <w:r>
              <w:rPr>
                <w:color w:val="000000"/>
              </w:rPr>
              <w:t>17 044,36</w:t>
            </w:r>
          </w:p>
        </w:tc>
        <w:tc>
          <w:tcPr>
            <w:tcW w:w="1134" w:type="dxa"/>
            <w:vAlign w:val="center"/>
          </w:tcPr>
          <w:p>
            <w:pPr>
              <w:jc w:val="right"/>
              <w:rPr>
                <w:color w:val="000000"/>
              </w:rPr>
            </w:pPr>
            <w:r>
              <w:rPr>
                <w:color w:val="000000"/>
              </w:rPr>
              <w:t>2 139,77</w:t>
            </w:r>
          </w:p>
        </w:tc>
        <w:tc>
          <w:tcPr>
            <w:tcW w:w="846" w:type="dxa"/>
            <w:vAlign w:val="center"/>
          </w:tcPr>
          <w:p>
            <w:pPr>
              <w:jc w:val="right"/>
              <w:rPr>
                <w:color w:val="000000"/>
              </w:rPr>
            </w:pPr>
            <w:r>
              <w:rPr>
                <w:color w:val="000000"/>
              </w:rPr>
              <w:t>245,00</w:t>
            </w:r>
          </w:p>
        </w:tc>
        <w:tc>
          <w:tcPr>
            <w:tcW w:w="962" w:type="dxa"/>
            <w:vAlign w:val="center"/>
          </w:tcPr>
          <w:p>
            <w:pPr>
              <w:jc w:val="right"/>
              <w:rPr>
                <w:b/>
                <w:bCs/>
                <w:color w:val="000000"/>
              </w:rPr>
            </w:pPr>
            <w:r>
              <w:rPr>
                <w:b/>
                <w:bCs/>
                <w:color w:val="000000"/>
              </w:rPr>
              <w:t>4 723,67</w:t>
            </w:r>
          </w:p>
        </w:tc>
      </w:tr>
      <w:tr>
        <w:tc>
          <w:tcPr>
            <w:tcW w:w="1985" w:type="dxa"/>
          </w:tcPr>
          <w:p>
            <w:pPr>
              <w:tabs>
                <w:tab w:val="left" w:pos="284"/>
              </w:tabs>
              <w:jc w:val="both"/>
            </w:pPr>
            <w:r>
              <w:t>Темп роста 2020 к 2019,%</w:t>
            </w:r>
          </w:p>
        </w:tc>
        <w:tc>
          <w:tcPr>
            <w:tcW w:w="1134" w:type="dxa"/>
            <w:vAlign w:val="center"/>
          </w:tcPr>
          <w:p>
            <w:pPr>
              <w:jc w:val="right"/>
              <w:rPr>
                <w:color w:val="000000"/>
              </w:rPr>
            </w:pPr>
            <w:r>
              <w:rPr>
                <w:color w:val="000000"/>
              </w:rPr>
              <w:t>118,1</w:t>
            </w:r>
          </w:p>
        </w:tc>
        <w:tc>
          <w:tcPr>
            <w:tcW w:w="1276" w:type="dxa"/>
            <w:vAlign w:val="center"/>
          </w:tcPr>
          <w:p>
            <w:pPr>
              <w:jc w:val="right"/>
              <w:rPr>
                <w:color w:val="000000"/>
              </w:rPr>
            </w:pPr>
            <w:r>
              <w:rPr>
                <w:color w:val="000000"/>
              </w:rPr>
              <w:t>100,9</w:t>
            </w:r>
          </w:p>
        </w:tc>
        <w:tc>
          <w:tcPr>
            <w:tcW w:w="1134" w:type="dxa"/>
            <w:vAlign w:val="center"/>
          </w:tcPr>
          <w:p>
            <w:pPr>
              <w:jc w:val="right"/>
              <w:rPr>
                <w:color w:val="000000"/>
              </w:rPr>
            </w:pPr>
            <w:r>
              <w:rPr>
                <w:color w:val="000000"/>
              </w:rPr>
              <w:t>94,7</w:t>
            </w:r>
          </w:p>
        </w:tc>
        <w:tc>
          <w:tcPr>
            <w:tcW w:w="1021" w:type="dxa"/>
            <w:vAlign w:val="center"/>
          </w:tcPr>
          <w:p>
            <w:pPr>
              <w:jc w:val="right"/>
              <w:rPr>
                <w:color w:val="000000"/>
              </w:rPr>
            </w:pPr>
            <w:r>
              <w:rPr>
                <w:color w:val="000000"/>
              </w:rPr>
              <w:t>91,6</w:t>
            </w:r>
          </w:p>
        </w:tc>
        <w:tc>
          <w:tcPr>
            <w:tcW w:w="1134" w:type="dxa"/>
            <w:vAlign w:val="center"/>
          </w:tcPr>
          <w:p>
            <w:pPr>
              <w:jc w:val="right"/>
              <w:rPr>
                <w:color w:val="000000"/>
              </w:rPr>
            </w:pPr>
            <w:r>
              <w:rPr>
                <w:color w:val="000000"/>
              </w:rPr>
              <w:t>102,5</w:t>
            </w:r>
          </w:p>
        </w:tc>
        <w:tc>
          <w:tcPr>
            <w:tcW w:w="846" w:type="dxa"/>
            <w:vAlign w:val="center"/>
          </w:tcPr>
          <w:p>
            <w:pPr>
              <w:jc w:val="right"/>
              <w:rPr>
                <w:color w:val="000000"/>
              </w:rPr>
            </w:pPr>
            <w:r>
              <w:rPr>
                <w:color w:val="000000"/>
              </w:rPr>
              <w:t>122,1</w:t>
            </w:r>
          </w:p>
        </w:tc>
        <w:tc>
          <w:tcPr>
            <w:tcW w:w="962" w:type="dxa"/>
            <w:vAlign w:val="center"/>
          </w:tcPr>
          <w:p>
            <w:pPr>
              <w:jc w:val="right"/>
              <w:rPr>
                <w:b/>
                <w:bCs/>
                <w:color w:val="000000"/>
              </w:rPr>
            </w:pPr>
            <w:r>
              <w:rPr>
                <w:b/>
                <w:bCs/>
                <w:color w:val="000000"/>
              </w:rPr>
              <w:t>102,6</w:t>
            </w:r>
          </w:p>
        </w:tc>
      </w:tr>
    </w:tbl>
    <w:p>
      <w:pPr>
        <w:tabs>
          <w:tab w:val="left" w:pos="284"/>
        </w:tabs>
        <w:jc w:val="both"/>
        <w:rPr>
          <w:sz w:val="24"/>
          <w:szCs w:val="24"/>
          <w:highlight w:val="yellow"/>
        </w:rPr>
      </w:pPr>
    </w:p>
    <w:p>
      <w:pPr>
        <w:ind w:firstLine="709"/>
        <w:jc w:val="both"/>
        <w:rPr>
          <w:spacing w:val="-4"/>
          <w:sz w:val="24"/>
          <w:szCs w:val="24"/>
        </w:rPr>
      </w:pPr>
      <w:r>
        <w:rPr>
          <w:spacing w:val="-4"/>
          <w:sz w:val="24"/>
          <w:szCs w:val="24"/>
        </w:rPr>
        <w:t xml:space="preserve">В сравнении с 2019 годом в отчетном периоде доходная и расходная части бюджета ЗАТО Северск исполнены с ростом на 3,2 % и на 2,6 % соответственно. </w:t>
      </w:r>
    </w:p>
    <w:p>
      <w:pPr>
        <w:ind w:firstLine="709"/>
        <w:jc w:val="both"/>
        <w:rPr>
          <w:spacing w:val="-4"/>
          <w:sz w:val="24"/>
          <w:szCs w:val="24"/>
        </w:rPr>
      </w:pPr>
      <w:r>
        <w:rPr>
          <w:spacing w:val="-4"/>
          <w:sz w:val="24"/>
          <w:szCs w:val="24"/>
        </w:rPr>
        <w:lastRenderedPageBreak/>
        <w:t xml:space="preserve">В целом исполнение консолидированных бюджетов муниципальных образований Томской области отмечается на уровне 2019 года. Если анализировать в разрезе бюджетов городских округов, то снижение доходных и расходных частей обусловлено за счет сокращения показателей по бюджету г.Томска </w:t>
      </w:r>
    </w:p>
    <w:p>
      <w:pPr>
        <w:ind w:firstLine="709"/>
        <w:jc w:val="both"/>
        <w:rPr>
          <w:sz w:val="24"/>
          <w:szCs w:val="24"/>
        </w:rPr>
      </w:pPr>
      <w:r>
        <w:rPr>
          <w:sz w:val="24"/>
          <w:szCs w:val="24"/>
        </w:rPr>
        <w:t xml:space="preserve">Консолидированный бюджет Томской области за 2020 год исполнен с дефицитом 10 260,4 млн руб., превышение в сравнении с 2019 годом в 3 раза, причина: неисполнение налоговых и неналоговых доходов в условиях пандемии. </w:t>
      </w:r>
    </w:p>
    <w:p>
      <w:pPr>
        <w:ind w:firstLine="709"/>
        <w:jc w:val="both"/>
        <w:rPr>
          <w:sz w:val="24"/>
          <w:szCs w:val="24"/>
        </w:rPr>
      </w:pPr>
      <w:r>
        <w:rPr>
          <w:sz w:val="24"/>
          <w:szCs w:val="24"/>
        </w:rPr>
        <w:t xml:space="preserve">Дефицит бюджета ЗАТО Северск составил 44 026,02 тыс.руб. или 39,5% от утвержденного планового показателя. Снижение к уровню 2019 года на 35%.  </w:t>
      </w:r>
    </w:p>
    <w:p>
      <w:pPr>
        <w:ind w:firstLine="709"/>
        <w:jc w:val="both"/>
        <w:rPr>
          <w:sz w:val="24"/>
          <w:szCs w:val="24"/>
        </w:rPr>
      </w:pPr>
      <w:r>
        <w:rPr>
          <w:sz w:val="24"/>
          <w:szCs w:val="24"/>
        </w:rPr>
        <w:t xml:space="preserve">Из 20 муниципальных образований Томской области дефицит бюджета по итогам исполнения 2020 года получен по 10-ти, включая ЗАТО Северск. </w:t>
      </w:r>
    </w:p>
    <w:p>
      <w:pPr>
        <w:spacing w:before="120" w:after="60"/>
        <w:jc w:val="both"/>
        <w:rPr>
          <w:sz w:val="24"/>
          <w:szCs w:val="24"/>
        </w:rPr>
      </w:pPr>
      <w:r>
        <w:rPr>
          <w:sz w:val="24"/>
          <w:szCs w:val="24"/>
        </w:rPr>
        <w:tab/>
        <w:t xml:space="preserve">Таблица 3. Показатели дефицита/профицита консолидированного бюджета </w:t>
      </w:r>
    </w:p>
    <w:tbl>
      <w:tblPr>
        <w:tblStyle w:val="af7"/>
        <w:tblW w:w="9464" w:type="dxa"/>
        <w:tblLayout w:type="fixed"/>
        <w:tblLook w:val="04A0" w:firstRow="1" w:lastRow="0" w:firstColumn="1" w:lastColumn="0" w:noHBand="0" w:noVBand="1"/>
      </w:tblPr>
      <w:tblGrid>
        <w:gridCol w:w="2122"/>
        <w:gridCol w:w="1134"/>
        <w:gridCol w:w="1134"/>
        <w:gridCol w:w="1275"/>
        <w:gridCol w:w="1106"/>
        <w:gridCol w:w="964"/>
        <w:gridCol w:w="737"/>
        <w:gridCol w:w="992"/>
      </w:tblGrid>
      <w:tr>
        <w:trPr>
          <w:cantSplit/>
          <w:trHeight w:val="1213"/>
        </w:trPr>
        <w:tc>
          <w:tcPr>
            <w:tcW w:w="2122" w:type="dxa"/>
            <w:vAlign w:val="center"/>
          </w:tcPr>
          <w:p>
            <w:pPr>
              <w:tabs>
                <w:tab w:val="left" w:pos="284"/>
              </w:tabs>
              <w:jc w:val="center"/>
            </w:pPr>
            <w:r>
              <w:t>Показатели</w:t>
            </w:r>
          </w:p>
        </w:tc>
        <w:tc>
          <w:tcPr>
            <w:tcW w:w="1134" w:type="dxa"/>
            <w:vAlign w:val="center"/>
          </w:tcPr>
          <w:p>
            <w:pPr>
              <w:tabs>
                <w:tab w:val="left" w:pos="-108"/>
              </w:tabs>
              <w:ind w:right="-108" w:firstLine="34"/>
              <w:jc w:val="center"/>
            </w:pPr>
            <w:r>
              <w:t>1. Бюджет Томской области, всего</w:t>
            </w:r>
          </w:p>
        </w:tc>
        <w:tc>
          <w:tcPr>
            <w:tcW w:w="1134" w:type="dxa"/>
            <w:vAlign w:val="center"/>
          </w:tcPr>
          <w:p>
            <w:pPr>
              <w:tabs>
                <w:tab w:val="left" w:pos="284"/>
              </w:tabs>
              <w:ind w:left="-108" w:right="-108" w:firstLine="108"/>
              <w:jc w:val="center"/>
            </w:pPr>
            <w:r>
              <w:t>2.Мун. образования, всего</w:t>
            </w:r>
          </w:p>
        </w:tc>
        <w:tc>
          <w:tcPr>
            <w:tcW w:w="1275" w:type="dxa"/>
            <w:vAlign w:val="center"/>
          </w:tcPr>
          <w:p>
            <w:pPr>
              <w:tabs>
                <w:tab w:val="left" w:pos="284"/>
              </w:tabs>
              <w:ind w:right="-108"/>
              <w:jc w:val="center"/>
            </w:pPr>
            <w:r>
              <w:t xml:space="preserve">3. Городские округа, </w:t>
            </w:r>
          </w:p>
          <w:p>
            <w:pPr>
              <w:tabs>
                <w:tab w:val="left" w:pos="284"/>
              </w:tabs>
              <w:ind w:right="-108"/>
              <w:jc w:val="center"/>
            </w:pPr>
            <w:r>
              <w:t>всего</w:t>
            </w:r>
          </w:p>
        </w:tc>
        <w:tc>
          <w:tcPr>
            <w:tcW w:w="1106" w:type="dxa"/>
            <w:textDirection w:val="btLr"/>
            <w:vAlign w:val="center"/>
          </w:tcPr>
          <w:p>
            <w:pPr>
              <w:tabs>
                <w:tab w:val="left" w:pos="284"/>
              </w:tabs>
              <w:ind w:left="113" w:right="113"/>
              <w:jc w:val="center"/>
            </w:pPr>
            <w:r>
              <w:t>3.1. Томск</w:t>
            </w:r>
          </w:p>
        </w:tc>
        <w:tc>
          <w:tcPr>
            <w:tcW w:w="964" w:type="dxa"/>
            <w:textDirection w:val="btLr"/>
            <w:vAlign w:val="center"/>
          </w:tcPr>
          <w:p>
            <w:pPr>
              <w:tabs>
                <w:tab w:val="left" w:pos="284"/>
              </w:tabs>
              <w:ind w:left="113" w:right="113"/>
            </w:pPr>
            <w:r>
              <w:t>3.2.Стре-жевой</w:t>
            </w:r>
          </w:p>
        </w:tc>
        <w:tc>
          <w:tcPr>
            <w:tcW w:w="737" w:type="dxa"/>
            <w:textDirection w:val="btLr"/>
            <w:vAlign w:val="center"/>
          </w:tcPr>
          <w:p>
            <w:pPr>
              <w:ind w:left="113" w:right="113"/>
            </w:pPr>
            <w:r>
              <w:t>3.3.Кед-ровый</w:t>
            </w:r>
          </w:p>
        </w:tc>
        <w:tc>
          <w:tcPr>
            <w:tcW w:w="992" w:type="dxa"/>
            <w:textDirection w:val="btLr"/>
            <w:vAlign w:val="center"/>
          </w:tcPr>
          <w:p>
            <w:pPr>
              <w:ind w:left="113" w:right="113"/>
              <w:jc w:val="center"/>
            </w:pPr>
            <w:r>
              <w:t>3.4. ЗАТО Северск</w:t>
            </w:r>
          </w:p>
        </w:tc>
      </w:tr>
      <w:tr>
        <w:tc>
          <w:tcPr>
            <w:tcW w:w="9464" w:type="dxa"/>
            <w:gridSpan w:val="8"/>
            <w:vAlign w:val="center"/>
          </w:tcPr>
          <w:p>
            <w:pPr>
              <w:tabs>
                <w:tab w:val="left" w:pos="284"/>
              </w:tabs>
              <w:jc w:val="center"/>
            </w:pPr>
            <w:r>
              <w:t>Дефицит (-)/профицит (+)</w:t>
            </w:r>
          </w:p>
        </w:tc>
      </w:tr>
      <w:tr>
        <w:tc>
          <w:tcPr>
            <w:tcW w:w="2122" w:type="dxa"/>
            <w:vAlign w:val="center"/>
          </w:tcPr>
          <w:p>
            <w:pPr>
              <w:rPr>
                <w:color w:val="000000"/>
              </w:rPr>
            </w:pPr>
            <w:r>
              <w:rPr>
                <w:color w:val="000000"/>
              </w:rPr>
              <w:t>Факт 2019г., млн руб.</w:t>
            </w:r>
          </w:p>
        </w:tc>
        <w:tc>
          <w:tcPr>
            <w:tcW w:w="1134" w:type="dxa"/>
            <w:vAlign w:val="center"/>
          </w:tcPr>
          <w:p>
            <w:pPr>
              <w:jc w:val="right"/>
              <w:rPr>
                <w:color w:val="000000"/>
              </w:rPr>
            </w:pPr>
            <w:r>
              <w:rPr>
                <w:color w:val="000000"/>
              </w:rPr>
              <w:t>-3487,23</w:t>
            </w:r>
          </w:p>
        </w:tc>
        <w:tc>
          <w:tcPr>
            <w:tcW w:w="1134" w:type="dxa"/>
            <w:vAlign w:val="center"/>
          </w:tcPr>
          <w:p>
            <w:pPr>
              <w:jc w:val="center"/>
              <w:rPr>
                <w:color w:val="000000"/>
              </w:rPr>
            </w:pPr>
            <w:r>
              <w:rPr>
                <w:color w:val="000000"/>
              </w:rPr>
              <w:t>-79,41</w:t>
            </w:r>
          </w:p>
        </w:tc>
        <w:tc>
          <w:tcPr>
            <w:tcW w:w="1275" w:type="dxa"/>
            <w:vAlign w:val="center"/>
          </w:tcPr>
          <w:p>
            <w:pPr>
              <w:jc w:val="center"/>
              <w:rPr>
                <w:color w:val="000000"/>
              </w:rPr>
            </w:pPr>
            <w:r>
              <w:rPr>
                <w:color w:val="000000"/>
              </w:rPr>
              <w:t>-189,54</w:t>
            </w:r>
          </w:p>
        </w:tc>
        <w:tc>
          <w:tcPr>
            <w:tcW w:w="1106" w:type="dxa"/>
            <w:vAlign w:val="center"/>
          </w:tcPr>
          <w:p>
            <w:pPr>
              <w:jc w:val="center"/>
              <w:rPr>
                <w:color w:val="000000"/>
              </w:rPr>
            </w:pPr>
            <w:r>
              <w:rPr>
                <w:color w:val="000000"/>
                <w:spacing w:val="-4"/>
              </w:rPr>
              <w:t>-186,52</w:t>
            </w:r>
          </w:p>
        </w:tc>
        <w:tc>
          <w:tcPr>
            <w:tcW w:w="964" w:type="dxa"/>
            <w:vAlign w:val="center"/>
          </w:tcPr>
          <w:p>
            <w:pPr>
              <w:jc w:val="center"/>
              <w:rPr>
                <w:color w:val="000000"/>
              </w:rPr>
            </w:pPr>
            <w:r>
              <w:rPr>
                <w:color w:val="000000"/>
                <w:spacing w:val="-4"/>
              </w:rPr>
              <w:t>49,51</w:t>
            </w:r>
          </w:p>
        </w:tc>
        <w:tc>
          <w:tcPr>
            <w:tcW w:w="737" w:type="dxa"/>
            <w:vAlign w:val="center"/>
          </w:tcPr>
          <w:p>
            <w:pPr>
              <w:jc w:val="center"/>
              <w:rPr>
                <w:color w:val="000000"/>
              </w:rPr>
            </w:pPr>
            <w:r>
              <w:rPr>
                <w:color w:val="000000"/>
                <w:spacing w:val="-4"/>
              </w:rPr>
              <w:t>15,23</w:t>
            </w:r>
          </w:p>
        </w:tc>
        <w:tc>
          <w:tcPr>
            <w:tcW w:w="992" w:type="dxa"/>
            <w:vAlign w:val="center"/>
          </w:tcPr>
          <w:p>
            <w:pPr>
              <w:jc w:val="center"/>
              <w:rPr>
                <w:bCs/>
                <w:color w:val="000000"/>
              </w:rPr>
            </w:pPr>
            <w:r>
              <w:rPr>
                <w:bCs/>
                <w:color w:val="000000"/>
              </w:rPr>
              <w:t>-67,75</w:t>
            </w:r>
          </w:p>
        </w:tc>
      </w:tr>
      <w:tr>
        <w:tc>
          <w:tcPr>
            <w:tcW w:w="2122" w:type="dxa"/>
            <w:vAlign w:val="center"/>
          </w:tcPr>
          <w:p>
            <w:pPr>
              <w:jc w:val="both"/>
              <w:rPr>
                <w:color w:val="000000"/>
              </w:rPr>
            </w:pPr>
            <w:r>
              <w:rPr>
                <w:color w:val="000000"/>
              </w:rPr>
              <w:t xml:space="preserve">Темп роста 2019 </w:t>
            </w:r>
          </w:p>
          <w:p>
            <w:pPr>
              <w:jc w:val="both"/>
              <w:rPr>
                <w:color w:val="000000"/>
              </w:rPr>
            </w:pPr>
            <w:r>
              <w:rPr>
                <w:color w:val="000000"/>
              </w:rPr>
              <w:t>к 2018,</w:t>
            </w:r>
            <w:r>
              <w:rPr>
                <w:color w:val="000000"/>
                <w:lang w:val="en-US"/>
              </w:rPr>
              <w:t> </w:t>
            </w:r>
            <w:r>
              <w:rPr>
                <w:color w:val="000000"/>
              </w:rPr>
              <w:t>%</w:t>
            </w:r>
          </w:p>
        </w:tc>
        <w:tc>
          <w:tcPr>
            <w:tcW w:w="1134" w:type="dxa"/>
            <w:vAlign w:val="center"/>
          </w:tcPr>
          <w:p>
            <w:pPr>
              <w:ind w:left="-108" w:right="-108"/>
              <w:jc w:val="both"/>
              <w:rPr>
                <w:color w:val="000000"/>
              </w:rPr>
            </w:pPr>
            <w:r>
              <w:rPr>
                <w:noProof/>
                <w:color w:val="000000"/>
              </w:rPr>
              <w:pict>
                <v:shapetype id="_x0000_t32" coordsize="21600,21600" o:spt="32" o:oned="t" path="m,l21600,21600e" filled="f">
                  <v:path arrowok="t" fillok="f" o:connecttype="none"/>
                  <o:lock v:ext="edit" shapetype="t"/>
                </v:shapetype>
                <v:shape id="_x0000_s1088" type="#_x0000_t32" style="position:absolute;left:0;text-align:left;margin-left:26.8pt;margin-top:-2.65pt;width:.5pt;height:12pt;flip:y;z-index:251667456;mso-position-horizontal-relative:text;mso-position-vertical-relative:text" o:connectortype="straight">
                  <v:stroke endarrow="block"/>
                </v:shape>
              </w:pict>
            </w:r>
            <w:r>
              <w:rPr>
                <w:color w:val="000000"/>
              </w:rPr>
              <w:t xml:space="preserve">  в 8раз</w:t>
            </w:r>
          </w:p>
        </w:tc>
        <w:tc>
          <w:tcPr>
            <w:tcW w:w="1134" w:type="dxa"/>
            <w:vAlign w:val="center"/>
          </w:tcPr>
          <w:p>
            <w:pPr>
              <w:jc w:val="center"/>
              <w:rPr>
                <w:color w:val="000000"/>
              </w:rPr>
            </w:pPr>
            <w:r>
              <w:rPr>
                <w:color w:val="000000"/>
              </w:rPr>
              <w:t>-</w:t>
            </w:r>
          </w:p>
        </w:tc>
        <w:tc>
          <w:tcPr>
            <w:tcW w:w="1275" w:type="dxa"/>
            <w:vAlign w:val="center"/>
          </w:tcPr>
          <w:p>
            <w:pPr>
              <w:jc w:val="center"/>
              <w:rPr>
                <w:color w:val="000000"/>
              </w:rPr>
            </w:pPr>
            <w:r>
              <w:rPr>
                <w:color w:val="000000"/>
              </w:rPr>
              <w:t>-</w:t>
            </w:r>
          </w:p>
        </w:tc>
        <w:tc>
          <w:tcPr>
            <w:tcW w:w="1106" w:type="dxa"/>
            <w:vAlign w:val="center"/>
          </w:tcPr>
          <w:p>
            <w:pPr>
              <w:jc w:val="center"/>
              <w:rPr>
                <w:color w:val="000000"/>
              </w:rPr>
            </w:pPr>
            <w:r>
              <w:rPr>
                <w:color w:val="000000"/>
              </w:rPr>
              <w:t>-</w:t>
            </w:r>
          </w:p>
        </w:tc>
        <w:tc>
          <w:tcPr>
            <w:tcW w:w="964" w:type="dxa"/>
            <w:vAlign w:val="center"/>
          </w:tcPr>
          <w:p>
            <w:pPr>
              <w:jc w:val="center"/>
              <w:rPr>
                <w:color w:val="000000"/>
              </w:rPr>
            </w:pPr>
            <w:r>
              <w:rPr>
                <w:color w:val="000000"/>
              </w:rPr>
              <w:t>-</w:t>
            </w:r>
          </w:p>
        </w:tc>
        <w:tc>
          <w:tcPr>
            <w:tcW w:w="737" w:type="dxa"/>
            <w:vAlign w:val="center"/>
          </w:tcPr>
          <w:p>
            <w:pPr>
              <w:jc w:val="center"/>
              <w:rPr>
                <w:color w:val="000000"/>
              </w:rPr>
            </w:pPr>
            <w:r>
              <w:rPr>
                <w:color w:val="000000"/>
              </w:rPr>
              <w:t>-</w:t>
            </w:r>
          </w:p>
        </w:tc>
        <w:tc>
          <w:tcPr>
            <w:tcW w:w="992" w:type="dxa"/>
            <w:vAlign w:val="center"/>
          </w:tcPr>
          <w:p>
            <w:pPr>
              <w:ind w:left="-103" w:right="-2"/>
              <w:jc w:val="center"/>
              <w:rPr>
                <w:bCs/>
                <w:color w:val="000000"/>
              </w:rPr>
            </w:pPr>
            <w:r>
              <w:rPr>
                <w:noProof/>
                <w:color w:val="000000"/>
              </w:rPr>
              <w:pict>
                <v:shape id="_x0000_s1087" type="#_x0000_t32" style="position:absolute;left:0;text-align:left;margin-left:33.2pt;margin-top:-2.35pt;width:.5pt;height:12pt;flip:y;z-index:251666432;mso-position-horizontal-relative:text;mso-position-vertical-relative:text" o:connectortype="straight">
                  <v:stroke endarrow="block"/>
                </v:shape>
              </w:pict>
            </w:r>
            <w:r>
              <w:rPr>
                <w:bCs/>
                <w:color w:val="000000"/>
              </w:rPr>
              <w:t xml:space="preserve">4,2раза </w:t>
            </w:r>
          </w:p>
        </w:tc>
      </w:tr>
      <w:tr>
        <w:tc>
          <w:tcPr>
            <w:tcW w:w="2122" w:type="dxa"/>
            <w:vAlign w:val="center"/>
          </w:tcPr>
          <w:p>
            <w:pPr>
              <w:rPr>
                <w:color w:val="000000"/>
              </w:rPr>
            </w:pPr>
            <w:r>
              <w:rPr>
                <w:color w:val="000000"/>
              </w:rPr>
              <w:t>Факт 2020г., млн руб.</w:t>
            </w:r>
          </w:p>
        </w:tc>
        <w:tc>
          <w:tcPr>
            <w:tcW w:w="1134" w:type="dxa"/>
            <w:vAlign w:val="center"/>
          </w:tcPr>
          <w:p>
            <w:pPr>
              <w:jc w:val="right"/>
              <w:rPr>
                <w:color w:val="000000"/>
              </w:rPr>
            </w:pPr>
            <w:r>
              <w:rPr>
                <w:color w:val="000000"/>
              </w:rPr>
              <w:t>-10260,40</w:t>
            </w:r>
          </w:p>
        </w:tc>
        <w:tc>
          <w:tcPr>
            <w:tcW w:w="1134" w:type="dxa"/>
            <w:vAlign w:val="center"/>
          </w:tcPr>
          <w:p>
            <w:pPr>
              <w:jc w:val="center"/>
              <w:rPr>
                <w:color w:val="000000"/>
              </w:rPr>
            </w:pPr>
            <w:r>
              <w:rPr>
                <w:color w:val="000000"/>
              </w:rPr>
              <w:t>-241,06</w:t>
            </w:r>
          </w:p>
        </w:tc>
        <w:tc>
          <w:tcPr>
            <w:tcW w:w="1275" w:type="dxa"/>
            <w:vAlign w:val="center"/>
          </w:tcPr>
          <w:p>
            <w:pPr>
              <w:jc w:val="center"/>
              <w:rPr>
                <w:color w:val="000000"/>
              </w:rPr>
            </w:pPr>
            <w:r>
              <w:rPr>
                <w:color w:val="000000"/>
              </w:rPr>
              <w:t>-485,96</w:t>
            </w:r>
          </w:p>
        </w:tc>
        <w:tc>
          <w:tcPr>
            <w:tcW w:w="1106" w:type="dxa"/>
            <w:vAlign w:val="center"/>
          </w:tcPr>
          <w:p>
            <w:pPr>
              <w:jc w:val="center"/>
              <w:rPr>
                <w:color w:val="000000"/>
              </w:rPr>
            </w:pPr>
            <w:r>
              <w:rPr>
                <w:color w:val="000000"/>
                <w:spacing w:val="-4"/>
              </w:rPr>
              <w:t>-441,06</w:t>
            </w:r>
          </w:p>
        </w:tc>
        <w:tc>
          <w:tcPr>
            <w:tcW w:w="964" w:type="dxa"/>
            <w:vAlign w:val="center"/>
          </w:tcPr>
          <w:p>
            <w:pPr>
              <w:jc w:val="center"/>
              <w:rPr>
                <w:color w:val="000000"/>
              </w:rPr>
            </w:pPr>
            <w:r>
              <w:rPr>
                <w:color w:val="000000"/>
                <w:spacing w:val="-4"/>
              </w:rPr>
              <w:t>4,42</w:t>
            </w:r>
          </w:p>
        </w:tc>
        <w:tc>
          <w:tcPr>
            <w:tcW w:w="737" w:type="dxa"/>
            <w:vAlign w:val="center"/>
          </w:tcPr>
          <w:p>
            <w:pPr>
              <w:jc w:val="center"/>
              <w:rPr>
                <w:color w:val="000000"/>
              </w:rPr>
            </w:pPr>
            <w:r>
              <w:rPr>
                <w:color w:val="000000"/>
                <w:spacing w:val="-4"/>
              </w:rPr>
              <w:t>-5,30</w:t>
            </w:r>
          </w:p>
        </w:tc>
        <w:tc>
          <w:tcPr>
            <w:tcW w:w="992" w:type="dxa"/>
            <w:vAlign w:val="center"/>
          </w:tcPr>
          <w:p>
            <w:pPr>
              <w:jc w:val="center"/>
              <w:rPr>
                <w:bCs/>
                <w:color w:val="000000"/>
              </w:rPr>
            </w:pPr>
            <w:r>
              <w:rPr>
                <w:bCs/>
                <w:color w:val="000000"/>
              </w:rPr>
              <w:t>-44,03</w:t>
            </w:r>
          </w:p>
        </w:tc>
      </w:tr>
      <w:tr>
        <w:tc>
          <w:tcPr>
            <w:tcW w:w="2122" w:type="dxa"/>
            <w:vAlign w:val="center"/>
          </w:tcPr>
          <w:p>
            <w:pPr>
              <w:jc w:val="both"/>
              <w:rPr>
                <w:color w:val="000000"/>
              </w:rPr>
            </w:pPr>
            <w:r>
              <w:rPr>
                <w:color w:val="000000"/>
              </w:rPr>
              <w:t xml:space="preserve">Темп роста 2020 </w:t>
            </w:r>
          </w:p>
          <w:p>
            <w:pPr>
              <w:jc w:val="both"/>
              <w:rPr>
                <w:color w:val="000000"/>
              </w:rPr>
            </w:pPr>
            <w:r>
              <w:rPr>
                <w:color w:val="000000"/>
              </w:rPr>
              <w:t>к 2019,%</w:t>
            </w:r>
          </w:p>
        </w:tc>
        <w:tc>
          <w:tcPr>
            <w:tcW w:w="1134" w:type="dxa"/>
            <w:vAlign w:val="center"/>
          </w:tcPr>
          <w:p>
            <w:pPr>
              <w:ind w:left="-108" w:right="-108"/>
              <w:jc w:val="both"/>
              <w:rPr>
                <w:color w:val="000000"/>
              </w:rPr>
            </w:pPr>
            <w:r>
              <w:rPr>
                <w:noProof/>
                <w:color w:val="000000"/>
              </w:rPr>
              <w:pict>
                <v:shape id="_x0000_s1085" type="#_x0000_t32" style="position:absolute;left:0;text-align:left;margin-left:34.3pt;margin-top:-2.45pt;width:.5pt;height:12pt;flip:y;z-index:251664384;mso-position-horizontal-relative:text;mso-position-vertical-relative:text" o:connectortype="straight">
                  <v:stroke endarrow="block"/>
                </v:shape>
              </w:pict>
            </w:r>
            <w:r>
              <w:rPr>
                <w:color w:val="000000"/>
              </w:rPr>
              <w:t xml:space="preserve">  в 3раза</w:t>
            </w:r>
          </w:p>
        </w:tc>
        <w:tc>
          <w:tcPr>
            <w:tcW w:w="1134" w:type="dxa"/>
            <w:vAlign w:val="center"/>
          </w:tcPr>
          <w:p>
            <w:pPr>
              <w:jc w:val="center"/>
              <w:rPr>
                <w:color w:val="000000"/>
              </w:rPr>
            </w:pPr>
            <w:r>
              <w:rPr>
                <w:noProof/>
                <w:color w:val="000000"/>
              </w:rPr>
              <w:pict>
                <v:shape id="_x0000_s1086" type="#_x0000_t32" style="position:absolute;left:0;text-align:left;margin-left:41.8pt;margin-top:-2.45pt;width:.5pt;height:12pt;flip:y;z-index:251665408;mso-position-horizontal-relative:text;mso-position-vertical-relative:text" o:connectortype="straight">
                  <v:stroke endarrow="block"/>
                </v:shape>
              </w:pict>
            </w:r>
            <w:r>
              <w:rPr>
                <w:color w:val="000000"/>
              </w:rPr>
              <w:t xml:space="preserve">в 3раза </w:t>
            </w:r>
          </w:p>
        </w:tc>
        <w:tc>
          <w:tcPr>
            <w:tcW w:w="1275" w:type="dxa"/>
            <w:vAlign w:val="center"/>
          </w:tcPr>
          <w:p>
            <w:pPr>
              <w:jc w:val="center"/>
              <w:rPr>
                <w:color w:val="000000"/>
              </w:rPr>
            </w:pPr>
            <w:r>
              <w:rPr>
                <w:noProof/>
                <w:color w:val="000000"/>
              </w:rPr>
              <w:pict>
                <v:shape id="_x0000_s1089" type="#_x0000_t32" style="position:absolute;left:0;text-align:left;margin-left:49.3pt;margin-top:-1.7pt;width:.5pt;height:12pt;flip:y;z-index:251668480;mso-position-horizontal-relative:text;mso-position-vertical-relative:text" o:connectortype="straight">
                  <v:stroke endarrow="block"/>
                </v:shape>
              </w:pict>
            </w:r>
            <w:r>
              <w:rPr>
                <w:color w:val="000000"/>
              </w:rPr>
              <w:t>в 2,6 раза</w:t>
            </w:r>
          </w:p>
        </w:tc>
        <w:tc>
          <w:tcPr>
            <w:tcW w:w="1106" w:type="dxa"/>
            <w:vAlign w:val="center"/>
          </w:tcPr>
          <w:p>
            <w:pPr>
              <w:jc w:val="center"/>
              <w:rPr>
                <w:color w:val="000000"/>
              </w:rPr>
            </w:pPr>
            <w:r>
              <w:rPr>
                <w:noProof/>
                <w:color w:val="000000"/>
              </w:rPr>
              <w:pict>
                <v:shape id="_x0000_s1084" type="#_x0000_t32" style="position:absolute;left:0;text-align:left;margin-left:42.3pt;margin-top:-1.9pt;width:.5pt;height:12pt;flip:y;z-index:251663360;mso-position-horizontal-relative:text;mso-position-vertical-relative:text" o:connectortype="straight">
                  <v:stroke endarrow="block"/>
                </v:shape>
              </w:pict>
            </w:r>
            <w:r>
              <w:rPr>
                <w:color w:val="000000"/>
              </w:rPr>
              <w:t>в 2,4 раза</w:t>
            </w:r>
          </w:p>
        </w:tc>
        <w:tc>
          <w:tcPr>
            <w:tcW w:w="964" w:type="dxa"/>
            <w:vAlign w:val="center"/>
          </w:tcPr>
          <w:p>
            <w:pPr>
              <w:jc w:val="center"/>
              <w:rPr>
                <w:color w:val="000000"/>
              </w:rPr>
            </w:pPr>
            <w:r>
              <w:rPr>
                <w:noProof/>
              </w:rPr>
              <w:pict>
                <v:shape id="_x0000_s1083" type="#_x0000_t32" style="position:absolute;left:0;text-align:left;margin-left:29.8pt;margin-top:11.2pt;width:0;height:11.5pt;z-index:251662336;mso-position-horizontal-relative:text;mso-position-vertical-relative:text" o:connectortype="straight">
                  <v:stroke endarrow="block"/>
                </v:shape>
              </w:pict>
            </w:r>
            <w:r>
              <w:rPr>
                <w:color w:val="000000"/>
              </w:rPr>
              <w:t>в 11,2 раза</w:t>
            </w:r>
          </w:p>
        </w:tc>
        <w:tc>
          <w:tcPr>
            <w:tcW w:w="737" w:type="dxa"/>
            <w:vAlign w:val="center"/>
          </w:tcPr>
          <w:p>
            <w:pPr>
              <w:jc w:val="center"/>
              <w:rPr>
                <w:color w:val="000000"/>
              </w:rPr>
            </w:pPr>
            <w:r>
              <w:rPr>
                <w:color w:val="000000"/>
              </w:rPr>
              <w:t>-</w:t>
            </w:r>
          </w:p>
        </w:tc>
        <w:tc>
          <w:tcPr>
            <w:tcW w:w="992" w:type="dxa"/>
            <w:vAlign w:val="center"/>
          </w:tcPr>
          <w:p>
            <w:pPr>
              <w:ind w:left="-103" w:right="-2"/>
              <w:jc w:val="center"/>
              <w:rPr>
                <w:bCs/>
                <w:color w:val="000000"/>
              </w:rPr>
            </w:pPr>
            <w:r>
              <w:rPr>
                <w:bCs/>
                <w:noProof/>
                <w:color w:val="000000"/>
              </w:rPr>
              <w:pict>
                <v:shape id="_x0000_s1091" type="#_x0000_t32" style="position:absolute;left:0;text-align:left;margin-left:37.2pt;margin-top:1.55pt;width:0;height:11.5pt;z-index:251669504;mso-position-horizontal-relative:text;mso-position-vertical-relative:text" o:connectortype="straight">
                  <v:stroke endarrow="block"/>
                </v:shape>
              </w:pict>
            </w:r>
            <w:r>
              <w:rPr>
                <w:bCs/>
                <w:color w:val="000000"/>
              </w:rPr>
              <w:t xml:space="preserve">в 1,5 раза </w:t>
            </w:r>
          </w:p>
        </w:tc>
      </w:tr>
    </w:tbl>
    <w:p>
      <w:pPr>
        <w:pStyle w:val="a5"/>
        <w:tabs>
          <w:tab w:val="left" w:pos="6946"/>
        </w:tabs>
        <w:spacing w:after="0"/>
        <w:ind w:firstLine="567"/>
        <w:jc w:val="both"/>
        <w:rPr>
          <w:color w:val="000000"/>
          <w:sz w:val="24"/>
          <w:szCs w:val="24"/>
        </w:rPr>
      </w:pPr>
    </w:p>
    <w:p>
      <w:pPr>
        <w:pStyle w:val="a5"/>
        <w:tabs>
          <w:tab w:val="left" w:pos="6946"/>
        </w:tabs>
        <w:spacing w:after="0"/>
        <w:ind w:firstLine="709"/>
        <w:jc w:val="both"/>
        <w:rPr>
          <w:sz w:val="24"/>
          <w:szCs w:val="24"/>
        </w:rPr>
      </w:pPr>
      <w:r>
        <w:rPr>
          <w:sz w:val="24"/>
          <w:szCs w:val="24"/>
        </w:rPr>
        <w:t xml:space="preserve">По состоянию на 01.01.2021 остатки на единых счетах бюджетов муниципальных образований Томской области составили 1 883 335,00 тыс.руб., из которых 912 897,70 тыс.руб. – целевые средства; 970 437,30 тыс.руб. – нецелевые. </w:t>
      </w:r>
    </w:p>
    <w:p>
      <w:pPr>
        <w:pStyle w:val="a5"/>
        <w:tabs>
          <w:tab w:val="left" w:pos="6946"/>
        </w:tabs>
        <w:spacing w:after="0"/>
        <w:ind w:firstLine="709"/>
        <w:jc w:val="both"/>
        <w:rPr>
          <w:color w:val="000000"/>
          <w:sz w:val="24"/>
          <w:szCs w:val="24"/>
        </w:rPr>
      </w:pPr>
      <w:r>
        <w:rPr>
          <w:sz w:val="24"/>
          <w:szCs w:val="24"/>
        </w:rPr>
        <w:t xml:space="preserve">При исполнении бюджета ЗАТО Северск </w:t>
      </w:r>
      <w:r>
        <w:rPr>
          <w:color w:val="000000"/>
          <w:sz w:val="24"/>
          <w:szCs w:val="24"/>
        </w:rPr>
        <w:t>остатки средств на едином счете бюджета ЗАТО Северск составили 47 426,40 тыс. руб., в том числе целевые средства 21 055,56 тыс.руб. Удельный вес остатков бюджета ЗАТО Северск от общей суммы остатков консолидированного бюджета Томской области составляет 2,5 %, в т.ч. целевых – 2,3 %.</w:t>
      </w:r>
    </w:p>
    <w:p>
      <w:pPr>
        <w:pStyle w:val="a5"/>
        <w:tabs>
          <w:tab w:val="left" w:pos="6946"/>
        </w:tabs>
        <w:spacing w:after="0"/>
        <w:jc w:val="both"/>
        <w:rPr>
          <w:color w:val="000000"/>
          <w:sz w:val="24"/>
          <w:szCs w:val="24"/>
        </w:rPr>
      </w:pPr>
      <w:r>
        <w:rPr>
          <w:noProof/>
        </w:rPr>
        <w:drawing>
          <wp:inline distT="0" distB="0" distL="0" distR="0">
            <wp:extent cx="5939790" cy="240665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rPr>
          <w:sz w:val="10"/>
          <w:szCs w:val="10"/>
          <w:highlight w:val="yellow"/>
        </w:rPr>
      </w:pPr>
      <w:r>
        <w:rPr>
          <w:sz w:val="10"/>
          <w:szCs w:val="10"/>
          <w:highlight w:val="yellow"/>
        </w:rPr>
        <w:t xml:space="preserve">     </w:t>
      </w:r>
    </w:p>
    <w:p>
      <w:pPr>
        <w:jc w:val="center"/>
        <w:rPr>
          <w:sz w:val="24"/>
          <w:szCs w:val="24"/>
        </w:rPr>
      </w:pPr>
      <w:r>
        <w:rPr>
          <w:sz w:val="24"/>
          <w:szCs w:val="24"/>
        </w:rPr>
        <w:t>Рисунок 2. Остатки на единых счетах бюджетов Томской области</w:t>
      </w:r>
    </w:p>
    <w:p>
      <w:pPr>
        <w:ind w:right="55"/>
        <w:rPr>
          <w:b/>
          <w:bCs/>
          <w:sz w:val="24"/>
          <w:szCs w:val="24"/>
          <w:highlight w:val="yellow"/>
        </w:rPr>
      </w:pPr>
    </w:p>
    <w:p>
      <w:pPr>
        <w:ind w:left="708" w:right="55"/>
        <w:jc w:val="center"/>
        <w:rPr>
          <w:b/>
          <w:bCs/>
          <w:sz w:val="24"/>
          <w:szCs w:val="24"/>
        </w:rPr>
      </w:pPr>
    </w:p>
    <w:p>
      <w:pPr>
        <w:ind w:left="708" w:right="55"/>
        <w:jc w:val="center"/>
        <w:rPr>
          <w:b/>
          <w:bCs/>
          <w:sz w:val="24"/>
          <w:szCs w:val="24"/>
        </w:rPr>
      </w:pPr>
    </w:p>
    <w:p>
      <w:pPr>
        <w:ind w:left="708" w:right="55"/>
        <w:jc w:val="center"/>
        <w:rPr>
          <w:b/>
          <w:bCs/>
          <w:sz w:val="24"/>
          <w:szCs w:val="24"/>
        </w:rPr>
      </w:pPr>
    </w:p>
    <w:p>
      <w:pPr>
        <w:ind w:left="708" w:right="55"/>
        <w:jc w:val="center"/>
        <w:rPr>
          <w:b/>
          <w:bCs/>
          <w:sz w:val="24"/>
          <w:szCs w:val="24"/>
        </w:rPr>
      </w:pPr>
    </w:p>
    <w:p>
      <w:pPr>
        <w:ind w:left="708" w:right="55"/>
        <w:jc w:val="center"/>
        <w:rPr>
          <w:b/>
          <w:bCs/>
          <w:sz w:val="24"/>
          <w:szCs w:val="24"/>
        </w:rPr>
      </w:pPr>
    </w:p>
    <w:p>
      <w:pPr>
        <w:ind w:left="708" w:right="55"/>
        <w:jc w:val="center"/>
        <w:rPr>
          <w:b/>
          <w:bCs/>
          <w:sz w:val="24"/>
          <w:szCs w:val="24"/>
        </w:rPr>
      </w:pPr>
    </w:p>
    <w:p>
      <w:pPr>
        <w:ind w:left="708" w:right="55"/>
        <w:jc w:val="center"/>
        <w:rPr>
          <w:b/>
          <w:bCs/>
          <w:sz w:val="24"/>
          <w:szCs w:val="24"/>
        </w:rPr>
      </w:pPr>
      <w:r>
        <w:rPr>
          <w:b/>
          <w:bCs/>
          <w:sz w:val="24"/>
          <w:szCs w:val="24"/>
          <w:lang w:val="en-US"/>
        </w:rPr>
        <w:lastRenderedPageBreak/>
        <w:t>II</w:t>
      </w:r>
      <w:r>
        <w:rPr>
          <w:b/>
          <w:bCs/>
          <w:sz w:val="24"/>
          <w:szCs w:val="24"/>
        </w:rPr>
        <w:t>. РЕАЛИЗАЦИЯ БЮДЖЕТНОЙ И НАЛОГОВОЙ ПОЛИТИКИ</w:t>
      </w:r>
    </w:p>
    <w:p>
      <w:pPr>
        <w:ind w:left="708" w:right="55"/>
        <w:jc w:val="center"/>
        <w:rPr>
          <w:b/>
          <w:bCs/>
          <w:sz w:val="24"/>
          <w:szCs w:val="24"/>
        </w:rPr>
      </w:pPr>
      <w:r>
        <w:rPr>
          <w:b/>
          <w:bCs/>
          <w:sz w:val="24"/>
          <w:szCs w:val="24"/>
        </w:rPr>
        <w:t>НА ТЕРРИТОРИИ ЗАТО СЕВЕРСК В 2020 ГОДУ</w:t>
      </w:r>
    </w:p>
    <w:p>
      <w:pPr>
        <w:pStyle w:val="a5"/>
        <w:spacing w:after="0"/>
        <w:jc w:val="both"/>
        <w:rPr>
          <w:sz w:val="24"/>
          <w:szCs w:val="24"/>
        </w:rPr>
      </w:pPr>
    </w:p>
    <w:p>
      <w:pPr>
        <w:pStyle w:val="a5"/>
        <w:spacing w:after="0"/>
        <w:ind w:firstLine="709"/>
        <w:jc w:val="both"/>
        <w:rPr>
          <w:sz w:val="24"/>
          <w:szCs w:val="24"/>
        </w:rPr>
      </w:pPr>
      <w:r>
        <w:rPr>
          <w:sz w:val="24"/>
          <w:szCs w:val="24"/>
        </w:rPr>
        <w:t xml:space="preserve">Проведение взвешенной бюджетной и налоговой политики на территории ЗАТО Северск в 2020 году осложнялось кризисом в экономике, обусловленном распространением новой коронавирусной инфекции.  </w:t>
      </w:r>
    </w:p>
    <w:p>
      <w:pPr>
        <w:pStyle w:val="a5"/>
        <w:spacing w:after="0"/>
        <w:ind w:firstLine="709"/>
        <w:jc w:val="both"/>
        <w:rPr>
          <w:sz w:val="24"/>
          <w:szCs w:val="24"/>
        </w:rPr>
      </w:pPr>
      <w:r>
        <w:rPr>
          <w:sz w:val="24"/>
          <w:szCs w:val="24"/>
        </w:rPr>
        <w:t>В течение отчетного года существовали риски в необеспечение сбалансированности и устойчивости бюджета ЗАТО Северск, которые были обусловлены необходимостью выполнения несвойственных для муниципального образования мероприятий, направленных на ликвидацию и предупреждение распространения новой коронавирусной инфекции, при сохранении текущих расходов бюджета и в условиях пессимистичного прогноза исполнения налоговых и неналоговых доходов.</w:t>
      </w:r>
    </w:p>
    <w:p>
      <w:pPr>
        <w:pStyle w:val="a5"/>
        <w:spacing w:after="0"/>
        <w:ind w:firstLine="709"/>
        <w:jc w:val="both"/>
        <w:rPr>
          <w:sz w:val="24"/>
          <w:szCs w:val="24"/>
        </w:rPr>
      </w:pPr>
      <w:r>
        <w:rPr>
          <w:sz w:val="24"/>
          <w:szCs w:val="24"/>
        </w:rPr>
        <w:t xml:space="preserve"> И, тем не менее, в непростых условиях 2020 года были реализованы все основные направления бюджетной и налоговой политики, бюджет по итогам года сбалансирован.</w:t>
      </w:r>
    </w:p>
    <w:p>
      <w:pPr>
        <w:pStyle w:val="a5"/>
        <w:spacing w:after="0"/>
        <w:ind w:firstLine="709"/>
        <w:jc w:val="both"/>
        <w:rPr>
          <w:sz w:val="16"/>
          <w:szCs w:val="16"/>
        </w:rPr>
      </w:pPr>
    </w:p>
    <w:p>
      <w:pPr>
        <w:jc w:val="center"/>
        <w:rPr>
          <w:b/>
          <w:sz w:val="24"/>
          <w:szCs w:val="24"/>
        </w:rPr>
      </w:pPr>
      <w:r>
        <w:rPr>
          <w:b/>
          <w:sz w:val="24"/>
          <w:szCs w:val="24"/>
        </w:rPr>
        <w:t>2.1. Оценка основных итогов в области бюджетной политики</w:t>
      </w:r>
    </w:p>
    <w:p>
      <w:pPr>
        <w:tabs>
          <w:tab w:val="left" w:pos="851"/>
          <w:tab w:val="left" w:pos="993"/>
        </w:tabs>
        <w:ind w:firstLine="709"/>
        <w:jc w:val="both"/>
        <w:rPr>
          <w:sz w:val="24"/>
          <w:szCs w:val="24"/>
        </w:rPr>
      </w:pPr>
      <w:r>
        <w:rPr>
          <w:sz w:val="24"/>
          <w:szCs w:val="24"/>
        </w:rPr>
        <w:t>1. Обеспечена устойчивость бюджета.</w:t>
      </w:r>
    </w:p>
    <w:p>
      <w:pPr>
        <w:tabs>
          <w:tab w:val="left" w:pos="567"/>
          <w:tab w:val="left" w:pos="993"/>
        </w:tabs>
        <w:ind w:firstLine="709"/>
        <w:jc w:val="both"/>
        <w:rPr>
          <w:sz w:val="24"/>
          <w:szCs w:val="24"/>
        </w:rPr>
      </w:pPr>
      <w:r>
        <w:rPr>
          <w:sz w:val="24"/>
          <w:szCs w:val="24"/>
        </w:rPr>
        <w:t xml:space="preserve">Увеличения нагрузки на бюджет по выплатам из источников финансирования дефицита сверх установленных Программой муниципальных заимствований ЗАТО Северск на 2020 год не допущено. </w:t>
      </w:r>
    </w:p>
    <w:p>
      <w:pPr>
        <w:pStyle w:val="a5"/>
        <w:spacing w:after="0"/>
        <w:ind w:firstLine="708"/>
        <w:jc w:val="both"/>
        <w:rPr>
          <w:sz w:val="24"/>
          <w:szCs w:val="24"/>
        </w:rPr>
      </w:pPr>
      <w:r>
        <w:rPr>
          <w:sz w:val="24"/>
          <w:szCs w:val="24"/>
        </w:rPr>
        <w:t xml:space="preserve">Для достижения цели по обеспечению сбалансированности местного бюджета в 2020 году ставилась задача по проведению оптимальной долговой политики: </w:t>
      </w:r>
    </w:p>
    <w:p>
      <w:pPr>
        <w:pStyle w:val="a5"/>
        <w:spacing w:after="0"/>
        <w:ind w:firstLine="709"/>
        <w:jc w:val="both"/>
        <w:rPr>
          <w:sz w:val="24"/>
          <w:szCs w:val="24"/>
        </w:rPr>
      </w:pPr>
      <w:r>
        <w:rPr>
          <w:sz w:val="24"/>
          <w:szCs w:val="24"/>
        </w:rPr>
        <w:t>-  в рамках заключенного с Управлением Федерального казначейства Соглашения от 02.09.2013 активно использовался механизм заимствования свободных остатков денежных средств с лицевых счетов муниципальных учреждений, что позволило до декабря 2020 года для покрытия кассовых разрывов бюджета ЗАТО Северск не привлекать кредитные ресурсы. Бюджетный эффект составил 4 738,03 тыс.руб.;</w:t>
      </w:r>
    </w:p>
    <w:p>
      <w:pPr>
        <w:pStyle w:val="a5"/>
        <w:spacing w:after="0"/>
        <w:ind w:firstLine="709"/>
        <w:jc w:val="both"/>
        <w:rPr>
          <w:sz w:val="24"/>
          <w:szCs w:val="24"/>
        </w:rPr>
      </w:pPr>
      <w:r>
        <w:rPr>
          <w:sz w:val="24"/>
          <w:szCs w:val="24"/>
        </w:rPr>
        <w:t>-  досрочное исполнение обязательств по бюджетным кредитам позволило сократить расходы на обслуживание муниципального долга на 5 365,14 тыс.руб. Доля расходов на обслуживание муниципального долга в общих расходах (без учета расходов за счет субвенций) бюджета составляет 0,3%;</w:t>
      </w:r>
    </w:p>
    <w:p>
      <w:pPr>
        <w:pStyle w:val="20"/>
        <w:ind w:firstLine="708"/>
        <w:rPr>
          <w:spacing w:val="-4"/>
          <w:szCs w:val="24"/>
        </w:rPr>
      </w:pPr>
      <w:r>
        <w:rPr>
          <w:spacing w:val="-4"/>
          <w:szCs w:val="24"/>
        </w:rPr>
        <w:t xml:space="preserve">- на сокращение муниципального долга в 2020 году было направлено 20 000 тыс.руб. </w:t>
      </w:r>
    </w:p>
    <w:p>
      <w:pPr>
        <w:pStyle w:val="20"/>
        <w:ind w:firstLine="708"/>
        <w:rPr>
          <w:spacing w:val="-4"/>
          <w:szCs w:val="24"/>
        </w:rPr>
      </w:pPr>
      <w:r>
        <w:rPr>
          <w:spacing w:val="-4"/>
          <w:szCs w:val="24"/>
        </w:rPr>
        <w:t xml:space="preserve">В соответствии с положениями ст. 106 Бюджетного кодекса Российской Федерации сложившаяся по итогам 2020 года сумма превышения объема муниципальных заимствований над суммой финансирования дефицита отчетного года и погашения долговых обязательств ЗАТО Северск должна быть направлена на уменьшение объема заимствований текущего финансового года. При исполнении бюджета ЗАТО Северск в 2020 году указанное превышение составило 17 105,6 тыс.руб., которое будет направлено на сокращение заимствований 2021 года.   </w:t>
      </w:r>
    </w:p>
    <w:p>
      <w:pPr>
        <w:tabs>
          <w:tab w:val="left" w:pos="993"/>
        </w:tabs>
        <w:ind w:left="709"/>
        <w:jc w:val="both"/>
        <w:rPr>
          <w:sz w:val="16"/>
          <w:szCs w:val="16"/>
          <w:highlight w:val="yellow"/>
        </w:rPr>
      </w:pPr>
    </w:p>
    <w:p>
      <w:pPr>
        <w:tabs>
          <w:tab w:val="left" w:pos="709"/>
        </w:tabs>
        <w:jc w:val="both"/>
        <w:rPr>
          <w:sz w:val="24"/>
          <w:szCs w:val="24"/>
        </w:rPr>
      </w:pPr>
      <w:r>
        <w:rPr>
          <w:sz w:val="24"/>
          <w:szCs w:val="24"/>
        </w:rPr>
        <w:tab/>
        <w:t xml:space="preserve">2. Обеспечена реализация мероприятий по предотвращению распространения новой коронавирусной инфекции. </w:t>
      </w:r>
    </w:p>
    <w:p>
      <w:pPr>
        <w:tabs>
          <w:tab w:val="left" w:pos="709"/>
        </w:tabs>
        <w:jc w:val="both"/>
        <w:rPr>
          <w:sz w:val="24"/>
          <w:szCs w:val="24"/>
        </w:rPr>
      </w:pPr>
      <w:r>
        <w:rPr>
          <w:rFonts w:ascii="Calibri" w:eastAsia="Calibri" w:hAnsi="Calibri"/>
          <w:sz w:val="24"/>
          <w:szCs w:val="24"/>
          <w:lang w:eastAsia="en-US"/>
        </w:rPr>
        <w:tab/>
      </w:r>
      <w:r>
        <w:rPr>
          <w:sz w:val="24"/>
          <w:szCs w:val="24"/>
        </w:rPr>
        <w:t>В отчетном году при исполнении бюджета муниципальное образование ЗАТО Северск столкнулось с необходимостью финансировать, как ранее принятые расходные обязательства, так и новые: и, в первую очередь, расходы, направленные на предупреждение распространения новой коронавирусной инфекции в области здравоохранения, жилищно-коммунального хозяйства.</w:t>
      </w:r>
    </w:p>
    <w:p>
      <w:pPr>
        <w:tabs>
          <w:tab w:val="left" w:pos="993"/>
        </w:tabs>
        <w:ind w:firstLine="709"/>
        <w:jc w:val="both"/>
        <w:rPr>
          <w:sz w:val="24"/>
          <w:szCs w:val="24"/>
        </w:rPr>
      </w:pPr>
      <w:r>
        <w:rPr>
          <w:sz w:val="24"/>
          <w:szCs w:val="24"/>
        </w:rPr>
        <w:t xml:space="preserve">В целях финансового обеспечения мероприятий по предотвращению распространения новой коронавирусной инфекции принято распоряжение Администрации ЗАТО Северск от 30.04.2020 № 513-р «О перераспределении расходов бюджета ЗАТО Северск на 2020 год», предусматривающее уменьшение отдельных видов расходов с целью их направления на вышеуказанные мероприятия. </w:t>
      </w:r>
    </w:p>
    <w:p>
      <w:pPr>
        <w:tabs>
          <w:tab w:val="left" w:pos="993"/>
        </w:tabs>
        <w:ind w:firstLine="709"/>
        <w:jc w:val="both"/>
        <w:rPr>
          <w:sz w:val="24"/>
          <w:szCs w:val="24"/>
        </w:rPr>
      </w:pPr>
      <w:r>
        <w:rPr>
          <w:sz w:val="24"/>
          <w:szCs w:val="24"/>
        </w:rPr>
        <w:t>В 2020 году на реализацию мероприятий по предотвращению распространения новой коронавирусной инфекции направлено 18 088,23 тыс.руб. (в т.ч. за счет средств местного бюджета без учета расходов на организацию обсерватора – 10 897,50 тыс.руб.).</w:t>
      </w:r>
    </w:p>
    <w:p>
      <w:pPr>
        <w:tabs>
          <w:tab w:val="left" w:pos="851"/>
        </w:tabs>
        <w:ind w:firstLine="709"/>
        <w:jc w:val="both"/>
        <w:rPr>
          <w:sz w:val="16"/>
          <w:szCs w:val="16"/>
        </w:rPr>
      </w:pPr>
    </w:p>
    <w:p>
      <w:pPr>
        <w:tabs>
          <w:tab w:val="left" w:pos="851"/>
        </w:tabs>
        <w:ind w:firstLine="709"/>
        <w:jc w:val="both"/>
        <w:rPr>
          <w:sz w:val="24"/>
          <w:szCs w:val="24"/>
        </w:rPr>
      </w:pPr>
      <w:r>
        <w:rPr>
          <w:sz w:val="24"/>
          <w:szCs w:val="24"/>
        </w:rPr>
        <w:t>3. Обеспечено выполнение условий предоставления дотации из федерального бюджета.</w:t>
      </w:r>
    </w:p>
    <w:p>
      <w:pPr>
        <w:tabs>
          <w:tab w:val="left" w:pos="851"/>
        </w:tabs>
        <w:ind w:firstLine="709"/>
        <w:jc w:val="both"/>
        <w:rPr>
          <w:sz w:val="24"/>
          <w:szCs w:val="24"/>
        </w:rPr>
      </w:pPr>
      <w:r>
        <w:rPr>
          <w:sz w:val="24"/>
          <w:szCs w:val="24"/>
        </w:rPr>
        <w:t xml:space="preserve">Для решения данной задачи в рамках заключенного между Министерством финансов Российской Федерации, Администрацией Томской области и ЗАТО Северск трехстороннего Соглашения от 13.06.2018 № 01-01-06/06-262 «О предоставлении и обеспечении эффективного использования межбюджетных трансфертов, выделяемых из федерального бюджета бюджету Томской области для предоставления бюджету ЗАТО Северск дотации на компенсацию дополнительных расходов и (или) потерь бюджетов ЗАТО, связанных с особым режимом безопасного функционирования» (далее – трехстороннего Соглашения), реализовывался  План мероприятий по повышению эффективности использования бюджетных средств, увеличению налоговых и неналоговых доходов и совершенствованию долговой политики бюджета ЗАТО Северск в 2018-2020 годах. </w:t>
      </w:r>
    </w:p>
    <w:p>
      <w:pPr>
        <w:autoSpaceDE w:val="0"/>
        <w:autoSpaceDN w:val="0"/>
        <w:adjustRightInd w:val="0"/>
        <w:jc w:val="both"/>
        <w:rPr>
          <w:sz w:val="24"/>
          <w:szCs w:val="24"/>
        </w:rPr>
      </w:pPr>
      <w:r>
        <w:rPr>
          <w:sz w:val="24"/>
          <w:szCs w:val="24"/>
        </w:rPr>
        <w:tab/>
        <w:t xml:space="preserve">Среди неотмененных льгот, предусмотренных решением Думы ЗАТО Северск, одной из бюджетоёмких остается льготная скидка по оплате коммунальных услуг для жителей внегородских территорий ЗАТО Северск, установленная решением Думы ЗАТО Северск от 23.12.2010 № 7/6 «О дополнительных мерах социальной поддержки граждан в ЗАТО Северск». </w:t>
      </w:r>
    </w:p>
    <w:p>
      <w:pPr>
        <w:spacing w:line="269" w:lineRule="exact"/>
        <w:ind w:left="20" w:right="40" w:firstLine="700"/>
        <w:jc w:val="both"/>
        <w:rPr>
          <w:sz w:val="24"/>
          <w:szCs w:val="24"/>
        </w:rPr>
      </w:pPr>
      <w:r>
        <w:rPr>
          <w:sz w:val="24"/>
          <w:szCs w:val="24"/>
        </w:rPr>
        <w:t>Во избежание социального напряжения на внегородских территориях ЗАТО Северск, решение об отмене установленной льготы на местном уровне не принято.</w:t>
      </w:r>
    </w:p>
    <w:p>
      <w:pPr>
        <w:pStyle w:val="a5"/>
        <w:spacing w:after="0"/>
        <w:jc w:val="both"/>
        <w:rPr>
          <w:sz w:val="10"/>
          <w:szCs w:val="10"/>
          <w:highlight w:val="yellow"/>
        </w:rPr>
      </w:pPr>
    </w:p>
    <w:p>
      <w:pPr>
        <w:pStyle w:val="a5"/>
        <w:spacing w:after="0"/>
        <w:ind w:firstLine="709"/>
        <w:jc w:val="both"/>
        <w:rPr>
          <w:sz w:val="24"/>
          <w:szCs w:val="24"/>
        </w:rPr>
      </w:pPr>
      <w:r>
        <w:rPr>
          <w:sz w:val="24"/>
          <w:szCs w:val="24"/>
        </w:rPr>
        <w:t>4. Обеспечено выполнение Указов Президента Российской Федерации (далее – Указов):</w:t>
      </w:r>
    </w:p>
    <w:p>
      <w:pPr>
        <w:pStyle w:val="a5"/>
        <w:spacing w:after="0"/>
        <w:jc w:val="both"/>
        <w:rPr>
          <w:sz w:val="24"/>
          <w:szCs w:val="24"/>
        </w:rPr>
      </w:pPr>
      <w:r>
        <w:rPr>
          <w:sz w:val="24"/>
          <w:szCs w:val="24"/>
        </w:rPr>
        <w:t xml:space="preserve"> </w:t>
      </w:r>
      <w:r>
        <w:rPr>
          <w:sz w:val="24"/>
          <w:szCs w:val="24"/>
        </w:rPr>
        <w:tab/>
        <w:t>4.1. От 7 мая 2012 года в целях реализации:</w:t>
      </w:r>
    </w:p>
    <w:p>
      <w:pPr>
        <w:autoSpaceDE w:val="0"/>
        <w:autoSpaceDN w:val="0"/>
        <w:adjustRightInd w:val="0"/>
        <w:ind w:firstLine="708"/>
        <w:jc w:val="both"/>
        <w:outlineLvl w:val="1"/>
        <w:rPr>
          <w:sz w:val="24"/>
          <w:szCs w:val="24"/>
        </w:rPr>
      </w:pPr>
      <w:r>
        <w:rPr>
          <w:sz w:val="24"/>
          <w:szCs w:val="24"/>
        </w:rPr>
        <w:t>4.1.1. Указа № 597 «О мероприятиях по реализации государственной социальной политики»  по обеспечению достижения уровня заработной платы работников бюджетной сферы и иных целевых индикаторов, предусмотренных «дорожными картами» повышена средняя заработная плата педагогических работников -  в общеобразовательных организациях она составила 41,2 тыс.руб.; в дошкольных образовательных организациях -  36,6 тыс.руб.; в организациях дополнительного образования детей спортивной направленности -  40,5 тыс.руб., художественно-эстетической направленности - 36,7 тыс.руб.; в учреждениях культуры -  34,3 тыс.руб.;</w:t>
      </w:r>
    </w:p>
    <w:p>
      <w:pPr>
        <w:autoSpaceDE w:val="0"/>
        <w:autoSpaceDN w:val="0"/>
        <w:adjustRightInd w:val="0"/>
        <w:ind w:firstLine="708"/>
        <w:jc w:val="both"/>
        <w:outlineLvl w:val="1"/>
        <w:rPr>
          <w:sz w:val="24"/>
          <w:szCs w:val="24"/>
        </w:rPr>
      </w:pPr>
      <w:r>
        <w:rPr>
          <w:sz w:val="24"/>
          <w:szCs w:val="24"/>
        </w:rPr>
        <w:t>4.1.2. Указа № 600 «О мерах по обеспечению граждан Российской Федерации доступным и комфортным жильем и повышению качества жилищно-коммунальных услуг»:</w:t>
      </w:r>
    </w:p>
    <w:p>
      <w:pPr>
        <w:autoSpaceDE w:val="0"/>
        <w:autoSpaceDN w:val="0"/>
        <w:adjustRightInd w:val="0"/>
        <w:ind w:firstLine="708"/>
        <w:jc w:val="both"/>
        <w:outlineLvl w:val="1"/>
        <w:rPr>
          <w:sz w:val="24"/>
          <w:szCs w:val="24"/>
        </w:rPr>
      </w:pPr>
      <w:r>
        <w:rPr>
          <w:sz w:val="24"/>
          <w:szCs w:val="24"/>
        </w:rPr>
        <w:t xml:space="preserve">- оказана поддержка молодым семьям в приобретении жилья в общей сумме 12 096 тыс.руб. (из которых 4 111,88 тыс.руб. - средства местного бюджета), </w:t>
      </w:r>
    </w:p>
    <w:p>
      <w:pPr>
        <w:autoSpaceDE w:val="0"/>
        <w:autoSpaceDN w:val="0"/>
        <w:adjustRightInd w:val="0"/>
        <w:ind w:firstLine="708"/>
        <w:jc w:val="both"/>
        <w:outlineLvl w:val="1"/>
        <w:rPr>
          <w:sz w:val="24"/>
          <w:szCs w:val="24"/>
        </w:rPr>
      </w:pPr>
      <w:r>
        <w:rPr>
          <w:sz w:val="24"/>
          <w:szCs w:val="24"/>
        </w:rPr>
        <w:t>- оказана поддержка в ремонте жилых помещений ветеранам Великой Отечественной войны и приравненных к ним категорий в общей сумме 4 037,87 тыс.руб., (из которых 2 018,85 тыс.руб. - средства местного бюджета),</w:t>
      </w:r>
    </w:p>
    <w:p>
      <w:pPr>
        <w:autoSpaceDE w:val="0"/>
        <w:autoSpaceDN w:val="0"/>
        <w:adjustRightInd w:val="0"/>
        <w:ind w:firstLine="708"/>
        <w:jc w:val="both"/>
        <w:outlineLvl w:val="1"/>
        <w:rPr>
          <w:sz w:val="24"/>
          <w:szCs w:val="24"/>
        </w:rPr>
      </w:pPr>
      <w:r>
        <w:rPr>
          <w:sz w:val="24"/>
          <w:szCs w:val="24"/>
        </w:rPr>
        <w:t>- произведены выплаты по взносам за капитальный ремонт жилых помещений за муниципальное жилье в общей сумме 8 775,89 тыс.руб.,</w:t>
      </w:r>
    </w:p>
    <w:p>
      <w:pPr>
        <w:autoSpaceDE w:val="0"/>
        <w:autoSpaceDN w:val="0"/>
        <w:adjustRightInd w:val="0"/>
        <w:ind w:firstLine="708"/>
        <w:jc w:val="both"/>
        <w:outlineLvl w:val="1"/>
        <w:rPr>
          <w:sz w:val="24"/>
          <w:szCs w:val="24"/>
        </w:rPr>
      </w:pPr>
      <w:r>
        <w:rPr>
          <w:sz w:val="24"/>
          <w:szCs w:val="24"/>
        </w:rPr>
        <w:t>- осуществлен капитальный и текущий ремонт муниципального жилищного фонда в сумме 1 467,5 тыс. руб.</w:t>
      </w:r>
    </w:p>
    <w:p>
      <w:pPr>
        <w:autoSpaceDE w:val="0"/>
        <w:autoSpaceDN w:val="0"/>
        <w:adjustRightInd w:val="0"/>
        <w:ind w:firstLine="708"/>
        <w:jc w:val="both"/>
        <w:outlineLvl w:val="1"/>
        <w:rPr>
          <w:sz w:val="10"/>
          <w:szCs w:val="10"/>
          <w:highlight w:val="yellow"/>
        </w:rPr>
      </w:pPr>
    </w:p>
    <w:p>
      <w:pPr>
        <w:tabs>
          <w:tab w:val="left" w:pos="0"/>
        </w:tabs>
        <w:jc w:val="both"/>
        <w:rPr>
          <w:sz w:val="24"/>
          <w:szCs w:val="24"/>
        </w:rPr>
      </w:pPr>
      <w:r>
        <w:rPr>
          <w:sz w:val="24"/>
          <w:szCs w:val="24"/>
        </w:rPr>
        <w:tab/>
        <w:t xml:space="preserve">4.2. от 7 мая 2018 года № 204 «О национальных целях и стратегических задачах развития РФ на период до 2024 года»: </w:t>
      </w:r>
    </w:p>
    <w:p>
      <w:pPr>
        <w:tabs>
          <w:tab w:val="left" w:pos="0"/>
        </w:tabs>
        <w:jc w:val="both"/>
        <w:rPr>
          <w:sz w:val="24"/>
          <w:szCs w:val="24"/>
        </w:rPr>
      </w:pPr>
      <w:r>
        <w:rPr>
          <w:sz w:val="24"/>
          <w:szCs w:val="24"/>
        </w:rPr>
        <w:tab/>
        <w:t xml:space="preserve">В 2020 году бюджет ЗАТО Северск участвовал в семи национальных проектах через семь интегрированных региональных проектов таких, как «Спорт – норма жизни»,  «Цифровая образовательная среда», «Формирование комфортной городской среды», «Дорожная сеть», «Культурная среда», «Акселерация субъектов малого и среднего предпринимательства», «Кадры для цифровой экономики». </w:t>
      </w:r>
    </w:p>
    <w:p>
      <w:pPr>
        <w:tabs>
          <w:tab w:val="left" w:pos="0"/>
        </w:tabs>
        <w:jc w:val="both"/>
        <w:rPr>
          <w:sz w:val="24"/>
          <w:szCs w:val="24"/>
        </w:rPr>
      </w:pPr>
      <w:r>
        <w:rPr>
          <w:sz w:val="24"/>
          <w:szCs w:val="24"/>
        </w:rPr>
        <w:tab/>
        <w:t>За отчетный год по указанным проектам реализовано мероприятий на общую сумму 329 316,49 тыс.руб.,</w:t>
      </w:r>
      <w:r>
        <w:rPr>
          <w:sz w:val="28"/>
          <w:szCs w:val="28"/>
        </w:rPr>
        <w:t xml:space="preserve"> </w:t>
      </w:r>
      <w:r>
        <w:rPr>
          <w:sz w:val="24"/>
          <w:szCs w:val="24"/>
        </w:rPr>
        <w:t xml:space="preserve">в т.ч. за счет средств федерального бюджета на </w:t>
      </w:r>
      <w:r>
        <w:rPr>
          <w:sz w:val="24"/>
          <w:szCs w:val="24"/>
        </w:rPr>
        <w:lastRenderedPageBreak/>
        <w:t>212 358,7 тыс.руб. или 64%; областного бюджета – 54</w:t>
      </w:r>
      <w:r>
        <w:rPr>
          <w:sz w:val="24"/>
          <w:szCs w:val="24"/>
          <w:lang w:val="en-US"/>
        </w:rPr>
        <w:t> </w:t>
      </w:r>
      <w:r>
        <w:rPr>
          <w:sz w:val="24"/>
          <w:szCs w:val="24"/>
        </w:rPr>
        <w:t xml:space="preserve">926,79 тыс.руб. или 17% и местного бюджета – 62 031,0 тыс.руб. или 19%. </w:t>
      </w:r>
    </w:p>
    <w:p>
      <w:pPr>
        <w:tabs>
          <w:tab w:val="left" w:pos="0"/>
        </w:tabs>
        <w:jc w:val="both"/>
        <w:rPr>
          <w:sz w:val="24"/>
          <w:szCs w:val="24"/>
        </w:rPr>
      </w:pPr>
    </w:p>
    <w:p>
      <w:pPr>
        <w:tabs>
          <w:tab w:val="left" w:pos="0"/>
        </w:tabs>
        <w:jc w:val="both"/>
        <w:rPr>
          <w:sz w:val="24"/>
          <w:szCs w:val="24"/>
        </w:rPr>
      </w:pPr>
    </w:p>
    <w:p>
      <w:pPr>
        <w:tabs>
          <w:tab w:val="left" w:pos="0"/>
        </w:tabs>
        <w:jc w:val="both"/>
        <w:rPr>
          <w:sz w:val="24"/>
          <w:szCs w:val="24"/>
        </w:rPr>
      </w:pPr>
    </w:p>
    <w:p>
      <w:pPr>
        <w:tabs>
          <w:tab w:val="left" w:pos="0"/>
        </w:tabs>
        <w:jc w:val="both"/>
        <w:rPr>
          <w:sz w:val="24"/>
          <w:szCs w:val="24"/>
        </w:rPr>
      </w:pPr>
      <w:r>
        <w:rPr>
          <w:noProof/>
          <w:sz w:val="24"/>
          <w:szCs w:val="24"/>
        </w:rPr>
        <w:drawing>
          <wp:inline distT="0" distB="0" distL="0" distR="0">
            <wp:extent cx="7240270" cy="1988185"/>
            <wp:effectExtent l="0" t="0" r="0" b="0"/>
            <wp:docPr id="1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tabs>
          <w:tab w:val="left" w:pos="0"/>
        </w:tabs>
        <w:jc w:val="both"/>
        <w:rPr>
          <w:sz w:val="24"/>
          <w:szCs w:val="24"/>
        </w:rPr>
      </w:pPr>
    </w:p>
    <w:p>
      <w:pPr>
        <w:tabs>
          <w:tab w:val="left" w:pos="0"/>
        </w:tabs>
        <w:jc w:val="both"/>
        <w:rPr>
          <w:sz w:val="24"/>
          <w:szCs w:val="24"/>
          <w:highlight w:val="yellow"/>
        </w:rPr>
      </w:pPr>
    </w:p>
    <w:p>
      <w:pPr>
        <w:tabs>
          <w:tab w:val="left" w:pos="0"/>
        </w:tabs>
        <w:jc w:val="both"/>
        <w:rPr>
          <w:sz w:val="24"/>
          <w:szCs w:val="24"/>
          <w:highlight w:val="yellow"/>
        </w:rPr>
      </w:pPr>
    </w:p>
    <w:p>
      <w:pPr>
        <w:tabs>
          <w:tab w:val="left" w:pos="0"/>
        </w:tabs>
        <w:jc w:val="center"/>
        <w:rPr>
          <w:sz w:val="24"/>
          <w:szCs w:val="24"/>
        </w:rPr>
      </w:pPr>
      <w:r>
        <w:rPr>
          <w:sz w:val="24"/>
          <w:szCs w:val="24"/>
        </w:rPr>
        <w:t>Рисунок 3. Структура расходов бюджета ЗАТО Северск на реализацию национальных проектов по источникам финансирования в 2020 году</w:t>
      </w:r>
    </w:p>
    <w:p>
      <w:pPr>
        <w:tabs>
          <w:tab w:val="left" w:pos="0"/>
        </w:tabs>
        <w:jc w:val="center"/>
        <w:rPr>
          <w:sz w:val="24"/>
          <w:szCs w:val="24"/>
          <w:highlight w:val="yellow"/>
        </w:rPr>
      </w:pPr>
    </w:p>
    <w:p>
      <w:pPr>
        <w:pStyle w:val="ConsPlusNormal"/>
        <w:ind w:firstLine="709"/>
        <w:jc w:val="both"/>
      </w:pPr>
      <w:r>
        <w:t xml:space="preserve">5.  Реализован механизм исполнения бюджета ЗАТО Северск по программно-целевому принципу на базе 18 программ, в т.ч. 17 муниципальных программ и Программы комплексного развития систем коммунальной и инженерной инфраструктуры. </w:t>
      </w:r>
    </w:p>
    <w:p>
      <w:pPr>
        <w:pStyle w:val="ConsPlusNormal"/>
        <w:ind w:firstLine="709"/>
        <w:jc w:val="both"/>
        <w:rPr>
          <w:highlight w:val="yellow"/>
        </w:rPr>
      </w:pPr>
      <w:r>
        <w:t xml:space="preserve">Доля программных расходов бюджета ЗАТО Северск составила 93,2 %. </w:t>
      </w:r>
    </w:p>
    <w:p>
      <w:pPr>
        <w:autoSpaceDE w:val="0"/>
        <w:autoSpaceDN w:val="0"/>
        <w:adjustRightInd w:val="0"/>
        <w:ind w:firstLine="709"/>
        <w:jc w:val="both"/>
        <w:rPr>
          <w:sz w:val="10"/>
          <w:szCs w:val="10"/>
          <w:highlight w:val="yellow"/>
        </w:rPr>
      </w:pPr>
    </w:p>
    <w:p>
      <w:pPr>
        <w:autoSpaceDE w:val="0"/>
        <w:autoSpaceDN w:val="0"/>
        <w:adjustRightInd w:val="0"/>
        <w:ind w:firstLine="709"/>
        <w:jc w:val="both"/>
        <w:rPr>
          <w:sz w:val="24"/>
          <w:szCs w:val="24"/>
        </w:rPr>
      </w:pPr>
      <w:r>
        <w:rPr>
          <w:sz w:val="24"/>
          <w:szCs w:val="24"/>
        </w:rPr>
        <w:t xml:space="preserve">6. Финансовое обеспечение выполнения муниципальных заданий осуществлялось в соответствии с расчетными нормативными затратами, на основании базовых нормативных затрат и корректирующих коэффициентов к ним. </w:t>
      </w:r>
    </w:p>
    <w:p>
      <w:pPr>
        <w:pStyle w:val="af8"/>
        <w:tabs>
          <w:tab w:val="left" w:pos="993"/>
        </w:tabs>
        <w:ind w:left="0" w:firstLine="709"/>
        <w:jc w:val="both"/>
        <w:rPr>
          <w:sz w:val="24"/>
          <w:szCs w:val="24"/>
        </w:rPr>
      </w:pPr>
      <w:r>
        <w:rPr>
          <w:sz w:val="24"/>
          <w:szCs w:val="24"/>
        </w:rPr>
        <w:t xml:space="preserve">В соответствии с требованиями части 3 статьи 69.2 Бюджетного кодекса РФ муниципальные задания в 2020 году формировались на услуги и работы, вошедшие в общегосударственные перечни (классификаторы) государственных (муниципальных) услуг и работ и региональный перечень (классификатор) государственных (муниципальных) услуг и работ, утвержденный распоряжением Администрации Томской области от 28.12.2017 № 821-ра «Об утверждении регионального перечня (классификатора) государственных (муниципальных) услуг и работ». </w:t>
      </w:r>
    </w:p>
    <w:p>
      <w:pPr>
        <w:pStyle w:val="af8"/>
        <w:tabs>
          <w:tab w:val="left" w:pos="993"/>
        </w:tabs>
        <w:ind w:left="0" w:firstLine="709"/>
        <w:jc w:val="both"/>
        <w:rPr>
          <w:sz w:val="10"/>
          <w:szCs w:val="10"/>
        </w:rPr>
      </w:pPr>
    </w:p>
    <w:p>
      <w:pPr>
        <w:pStyle w:val="a5"/>
        <w:spacing w:after="0"/>
        <w:ind w:firstLine="709"/>
        <w:jc w:val="both"/>
        <w:rPr>
          <w:sz w:val="24"/>
          <w:szCs w:val="24"/>
        </w:rPr>
      </w:pPr>
      <w:r>
        <w:rPr>
          <w:sz w:val="24"/>
          <w:szCs w:val="24"/>
        </w:rPr>
        <w:t>7.</w:t>
      </w:r>
      <w:r>
        <w:rPr>
          <w:sz w:val="24"/>
          <w:szCs w:val="24"/>
          <w:lang w:val="en-US"/>
        </w:rPr>
        <w:t> </w:t>
      </w:r>
      <w:r>
        <w:rPr>
          <w:sz w:val="24"/>
          <w:szCs w:val="24"/>
        </w:rPr>
        <w:t>Для решения задачи по обеспечению высокого качества управления бюджетным процессом:</w:t>
      </w:r>
    </w:p>
    <w:p>
      <w:pPr>
        <w:tabs>
          <w:tab w:val="left" w:pos="284"/>
          <w:tab w:val="left" w:pos="567"/>
          <w:tab w:val="left" w:pos="709"/>
          <w:tab w:val="left" w:pos="993"/>
        </w:tabs>
        <w:jc w:val="both"/>
        <w:rPr>
          <w:sz w:val="24"/>
          <w:szCs w:val="24"/>
        </w:rPr>
      </w:pPr>
      <w:r>
        <w:rPr>
          <w:sz w:val="24"/>
          <w:szCs w:val="24"/>
        </w:rPr>
        <w:tab/>
      </w:r>
      <w:r>
        <w:rPr>
          <w:sz w:val="24"/>
          <w:szCs w:val="24"/>
        </w:rPr>
        <w:tab/>
      </w:r>
      <w:r>
        <w:rPr>
          <w:sz w:val="24"/>
          <w:szCs w:val="24"/>
        </w:rPr>
        <w:tab/>
        <w:t>7.1. Соблюдены требования бюджетного законодательства Российской Федерации и Томской области в части не принятия новых расходных обязательств, не обеспеченных реальными источниками финансирования;</w:t>
      </w:r>
    </w:p>
    <w:p>
      <w:pPr>
        <w:ind w:firstLine="709"/>
        <w:jc w:val="both"/>
        <w:rPr>
          <w:sz w:val="24"/>
          <w:szCs w:val="24"/>
        </w:rPr>
      </w:pPr>
      <w:r>
        <w:rPr>
          <w:sz w:val="24"/>
          <w:szCs w:val="24"/>
        </w:rPr>
        <w:t xml:space="preserve">7.2. В соответствии с требованиями статьи 160.2-1 Бюджетного кодекса Российской Федерации в 2020 году оценка финансового менеджмента осуществлена в отношении главных администраторов средств бюджета ЗАТО Северск (далее – ГАБС) на основании приказа начальника Финансового управления Администрации ЗАТО Северск от 25.12.2019 № 119 «О мониторинге качества финансового менеджмента». Выполнен мониторинг качества финансового менеджмента одиннадцати ГАБС. Результаты рейтинга ГАБС по качеству финансового менеджмента за 2019 год размещены на официальном сайте Администрации ЗАТО Северск в сети Интернет. </w:t>
      </w:r>
    </w:p>
    <w:p>
      <w:pPr>
        <w:ind w:firstLine="709"/>
        <w:jc w:val="both"/>
        <w:rPr>
          <w:sz w:val="10"/>
          <w:szCs w:val="10"/>
          <w:highlight w:val="yellow"/>
        </w:rPr>
      </w:pPr>
    </w:p>
    <w:p>
      <w:pPr>
        <w:ind w:firstLine="709"/>
        <w:jc w:val="both"/>
        <w:rPr>
          <w:color w:val="000000"/>
          <w:sz w:val="24"/>
          <w:szCs w:val="24"/>
        </w:rPr>
      </w:pPr>
      <w:r>
        <w:rPr>
          <w:sz w:val="24"/>
          <w:szCs w:val="24"/>
        </w:rPr>
        <w:t xml:space="preserve">8. Для устойчивого финансового обеспечения дорожной деятельности в отношении автомобильных дорог общего пользования в составе бюджета ЗАТО Северск с 2012 года консолидирован муниципальный дорожный фонд. Бюджетные ассигнования Дорожного фонда составили 341 747,44 тыс.руб., что на </w:t>
      </w:r>
      <w:r>
        <w:rPr>
          <w:color w:val="000000"/>
          <w:sz w:val="24"/>
          <w:szCs w:val="24"/>
        </w:rPr>
        <w:t xml:space="preserve">6,5% меньше, чем в 2019 году. </w:t>
      </w:r>
    </w:p>
    <w:p>
      <w:pPr>
        <w:ind w:firstLine="709"/>
        <w:jc w:val="both"/>
        <w:rPr>
          <w:sz w:val="10"/>
          <w:szCs w:val="10"/>
          <w:highlight w:val="yellow"/>
        </w:rPr>
      </w:pPr>
    </w:p>
    <w:p>
      <w:pPr>
        <w:pStyle w:val="a5"/>
        <w:tabs>
          <w:tab w:val="left" w:pos="709"/>
        </w:tabs>
        <w:spacing w:after="0"/>
        <w:jc w:val="both"/>
        <w:rPr>
          <w:sz w:val="24"/>
          <w:szCs w:val="24"/>
        </w:rPr>
      </w:pPr>
      <w:r>
        <w:rPr>
          <w:color w:val="000000"/>
          <w:sz w:val="24"/>
          <w:szCs w:val="24"/>
        </w:rPr>
        <w:tab/>
      </w:r>
      <w:r>
        <w:rPr>
          <w:sz w:val="24"/>
          <w:szCs w:val="24"/>
        </w:rPr>
        <w:t>9.</w:t>
      </w:r>
      <w:r>
        <w:rPr>
          <w:sz w:val="24"/>
          <w:szCs w:val="24"/>
          <w:lang w:val="en-US"/>
        </w:rPr>
        <w:t> </w:t>
      </w:r>
      <w:r>
        <w:rPr>
          <w:sz w:val="24"/>
          <w:szCs w:val="24"/>
        </w:rPr>
        <w:t xml:space="preserve">Для решения задачи по повышению уровня автоматизации финансового и управленческого учета продолжена промышленная эксплуатация информационных систем «АЦК-Финансы», «АЦК-Планирование». В 2020 году в рамках программного модуля «АЦК-Планирование» реализованы функции формирования форм отчетности по приложениям к бюджету. </w:t>
      </w:r>
    </w:p>
    <w:p>
      <w:pPr>
        <w:ind w:firstLine="709"/>
        <w:jc w:val="both"/>
        <w:rPr>
          <w:sz w:val="24"/>
          <w:szCs w:val="24"/>
        </w:rPr>
      </w:pPr>
      <w:r>
        <w:rPr>
          <w:sz w:val="24"/>
          <w:szCs w:val="24"/>
        </w:rPr>
        <w:t>10. В целях повышения прозрачности и открытости информации о бюджете и бюджетном процессе ЗАТО Северск:</w:t>
      </w:r>
    </w:p>
    <w:p>
      <w:pPr>
        <w:ind w:firstLine="709"/>
        <w:jc w:val="both"/>
        <w:rPr>
          <w:sz w:val="24"/>
          <w:szCs w:val="24"/>
        </w:rPr>
      </w:pPr>
      <w:r>
        <w:rPr>
          <w:sz w:val="24"/>
          <w:szCs w:val="24"/>
        </w:rPr>
        <w:t xml:space="preserve">10.1. В соответствии с приказом Минфина России от 28.12.2016 № 243н «О составе и порядке размещения и предоставления информации на едином портале бюджетной системы Российской Федерации» в 2020 году в тестовом режиме осуществлялось размещение информации на официальном портале «Электронный бюджет» обо всех этапах бюджетного процесса. </w:t>
      </w:r>
    </w:p>
    <w:p>
      <w:pPr>
        <w:pStyle w:val="ConsPlusNormal"/>
        <w:ind w:firstLine="709"/>
        <w:jc w:val="both"/>
      </w:pPr>
      <w:r>
        <w:t>10.2. Для населения на официальном сайте Финансового управления Администрации ЗАТО Северск бюджет для граждан размещался, как по отчету об исполнении бюджета за 2019 год, так и по утвержденному бюджету на 2020-2022 годы, а также по проекту и утвержденному бюджету на 2021-2023 годы.</w:t>
      </w:r>
    </w:p>
    <w:p>
      <w:pPr>
        <w:ind w:firstLine="709"/>
        <w:jc w:val="both"/>
        <w:rPr>
          <w:sz w:val="24"/>
          <w:szCs w:val="24"/>
        </w:rPr>
      </w:pPr>
      <w:r>
        <w:rPr>
          <w:sz w:val="24"/>
          <w:szCs w:val="24"/>
        </w:rPr>
        <w:t xml:space="preserve">10.3. На официальном сайте Администрации ЗАТО Северск ежемесячно публиковалась информация об исполнении местного бюджета. </w:t>
      </w:r>
    </w:p>
    <w:p>
      <w:pPr>
        <w:ind w:firstLine="709"/>
        <w:jc w:val="both"/>
        <w:rPr>
          <w:sz w:val="24"/>
          <w:szCs w:val="24"/>
        </w:rPr>
      </w:pPr>
      <w:r>
        <w:rPr>
          <w:sz w:val="24"/>
          <w:szCs w:val="24"/>
        </w:rPr>
        <w:t>11. Бюджет ЗАТО Северск в 2020 году исполнен с учетом реализации мер, направленных на рост доходной части бюджета, в пределах полномочий органов местного самоуправления:</w:t>
      </w:r>
    </w:p>
    <w:p>
      <w:pPr>
        <w:ind w:firstLine="709"/>
        <w:jc w:val="both"/>
        <w:rPr>
          <w:sz w:val="24"/>
          <w:szCs w:val="24"/>
        </w:rPr>
      </w:pPr>
      <w:r>
        <w:rPr>
          <w:sz w:val="24"/>
          <w:szCs w:val="24"/>
        </w:rPr>
        <w:t xml:space="preserve">11.1. По налогу на имущество физических лиц решением Думы ЗАТО Северск 30.08.2018 № 41/3 увеличены значения ставок </w:t>
      </w:r>
      <w:r>
        <w:rPr>
          <w:color w:val="000000"/>
          <w:sz w:val="24"/>
          <w:szCs w:val="24"/>
        </w:rPr>
        <w:t xml:space="preserve">НИФЛ, исчисленного от инвентаризационной стоимости, по двум категориям жилых помещений (стоимостью от 300 до 500 тыс.руб. и свыше 500 тыс.руб.). Бюджетный эффект оценен в 513,0 тыс.руб. </w:t>
      </w:r>
    </w:p>
    <w:p>
      <w:pPr>
        <w:ind w:firstLine="709"/>
        <w:jc w:val="both"/>
        <w:rPr>
          <w:sz w:val="24"/>
          <w:szCs w:val="24"/>
        </w:rPr>
      </w:pPr>
      <w:r>
        <w:rPr>
          <w:color w:val="000000"/>
          <w:sz w:val="24"/>
          <w:szCs w:val="24"/>
        </w:rPr>
        <w:t>11.2. По единому налогу на вмененный доход решением Думы ЗАТО Северск от 23.08.2019 № 54/2 корректирующий коэффициент К2, по которым не достигнуты максимальные значения увеличен на индекс роста потребительских цен. Бюджетный эффект оценен в 536,6 тыс.руб.</w:t>
      </w:r>
      <w:r>
        <w:rPr>
          <w:sz w:val="24"/>
          <w:szCs w:val="24"/>
        </w:rPr>
        <w:t>;</w:t>
      </w:r>
    </w:p>
    <w:p>
      <w:pPr>
        <w:ind w:firstLine="709"/>
        <w:jc w:val="both"/>
        <w:rPr>
          <w:color w:val="000000"/>
          <w:sz w:val="24"/>
          <w:szCs w:val="24"/>
        </w:rPr>
      </w:pPr>
      <w:r>
        <w:rPr>
          <w:sz w:val="24"/>
          <w:szCs w:val="24"/>
        </w:rPr>
        <w:t xml:space="preserve">11.3. По </w:t>
      </w:r>
      <w:r>
        <w:rPr>
          <w:rFonts w:ascii="Times New Roman CYR" w:hAnsi="Times New Roman CYR"/>
          <w:sz w:val="24"/>
          <w:szCs w:val="24"/>
        </w:rPr>
        <w:t xml:space="preserve">арендной плате </w:t>
      </w:r>
      <w:r>
        <w:rPr>
          <w:sz w:val="24"/>
          <w:szCs w:val="24"/>
        </w:rPr>
        <w:t>за пользование муниципальным имуществом</w:t>
      </w:r>
      <w:r>
        <w:rPr>
          <w:rFonts w:ascii="Times New Roman CYR" w:hAnsi="Times New Roman CYR"/>
          <w:sz w:val="24"/>
          <w:szCs w:val="24"/>
        </w:rPr>
        <w:t xml:space="preserve"> решением </w:t>
      </w:r>
      <w:r>
        <w:rPr>
          <w:sz w:val="24"/>
          <w:szCs w:val="24"/>
        </w:rPr>
        <w:t>Думы ЗАТО Северск</w:t>
      </w:r>
      <w:r>
        <w:rPr>
          <w:rFonts w:ascii="Times New Roman CYR" w:hAnsi="Times New Roman CYR"/>
          <w:sz w:val="24"/>
          <w:szCs w:val="24"/>
        </w:rPr>
        <w:t xml:space="preserve"> от 29.08.2019 изменены ставки арендной платы</w:t>
      </w:r>
      <w:r>
        <w:rPr>
          <w:sz w:val="24"/>
          <w:szCs w:val="24"/>
        </w:rPr>
        <w:t>.</w:t>
      </w:r>
      <w:r>
        <w:t xml:space="preserve"> </w:t>
      </w:r>
    </w:p>
    <w:p>
      <w:pPr>
        <w:spacing w:before="120"/>
        <w:ind w:firstLine="709"/>
        <w:jc w:val="both"/>
        <w:rPr>
          <w:color w:val="000000"/>
          <w:sz w:val="24"/>
          <w:szCs w:val="24"/>
        </w:rPr>
      </w:pPr>
      <w:r>
        <w:rPr>
          <w:color w:val="000000"/>
          <w:sz w:val="24"/>
          <w:szCs w:val="24"/>
        </w:rPr>
        <w:t xml:space="preserve"> 12. В условиях ухудшения экономической ситуации в связи с распространением новой коронавирусной инфекции приоритетным направлением налоговой политики в 2020 году стали меры оказания поддержки наиболее пострадавшим секторам экономики, определенным Постановлением Правительства Российской Федерации от 03.04.2020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(далее Перечень Правительства Российской Федерации).</w:t>
      </w:r>
    </w:p>
    <w:p>
      <w:pPr>
        <w:ind w:firstLine="709"/>
        <w:jc w:val="both"/>
        <w:rPr>
          <w:color w:val="000000"/>
          <w:sz w:val="24"/>
          <w:szCs w:val="24"/>
        </w:rPr>
      </w:pPr>
      <w:r>
        <w:rPr>
          <w:color w:val="000000"/>
          <w:sz w:val="24"/>
          <w:szCs w:val="24"/>
        </w:rPr>
        <w:t>Для снижения налоговой нагрузки на 2020 год, в целях сохранения занятости населения и восстановления деловой активности субъектов малого и среднего предпринимательства, ведущих деятельность в пострадавших отраслях российской экономики, были приняты следующие меры муниципальной поддержки:</w:t>
      </w:r>
    </w:p>
    <w:p>
      <w:pPr>
        <w:ind w:firstLine="709"/>
        <w:jc w:val="both"/>
        <w:rPr>
          <w:color w:val="000000"/>
          <w:sz w:val="24"/>
          <w:szCs w:val="24"/>
        </w:rPr>
      </w:pPr>
      <w:r>
        <w:rPr>
          <w:color w:val="000000"/>
          <w:sz w:val="24"/>
          <w:szCs w:val="24"/>
        </w:rPr>
        <w:t>12.1. По налогу на имущество физических лиц предоставлена льгота в размере 50% в отношении собственников коммерческой недвижимости при условии снижения ими арендной платы субъектам предпринимательской деятельности, определенным Перечнем Правительства Российской Федерации (льгота не может превышать величину снижения арендной платы) (Решение Думы ЗАТО Северск от 27.08.2020 № 66/2);</w:t>
      </w:r>
    </w:p>
    <w:p>
      <w:pPr>
        <w:ind w:firstLine="709"/>
        <w:jc w:val="both"/>
        <w:rPr>
          <w:color w:val="000000"/>
          <w:sz w:val="24"/>
          <w:szCs w:val="24"/>
        </w:rPr>
      </w:pPr>
      <w:r>
        <w:rPr>
          <w:color w:val="000000"/>
          <w:sz w:val="24"/>
          <w:szCs w:val="24"/>
        </w:rPr>
        <w:t>12.2. По единому налогу на вмененный доход установлен пониженный размер налоговой ставки 7,5% величины вмененного дохода для отдельных видов предпринимательской деятельности (Решение Думы ЗАТО Северск от 23.06.2020 № 65/7);</w:t>
      </w:r>
    </w:p>
    <w:p>
      <w:pPr>
        <w:ind w:firstLine="709"/>
        <w:jc w:val="both"/>
        <w:rPr>
          <w:sz w:val="24"/>
          <w:szCs w:val="24"/>
        </w:rPr>
      </w:pPr>
      <w:r>
        <w:rPr>
          <w:color w:val="000000"/>
          <w:sz w:val="24"/>
          <w:szCs w:val="24"/>
        </w:rPr>
        <w:t xml:space="preserve">12.3. По арендной плате предоставлена отсрочка по уплате платежей по договорам аренды недвижимого имущества и земельных участков, находящегося в муниципальной собственности ЗАТО Северск (распоряжение Администрации ЗАТО Северск от 13.04.2020 </w:t>
      </w:r>
      <w:r>
        <w:rPr>
          <w:color w:val="000000"/>
          <w:sz w:val="24"/>
          <w:szCs w:val="24"/>
        </w:rPr>
        <w:lastRenderedPageBreak/>
        <w:t xml:space="preserve">№ 445-р): с отсрочкой по арендной плате за землю с уплатой в 2021 году; по аренде объектов недвижимого имущества - с уплатой до 2023 года. Общая сумма выпадающих доходов с учетом принятого распоряжения в 2020 году оценена в 6 086,1 тыс.руб. </w:t>
      </w:r>
    </w:p>
    <w:p>
      <w:pPr>
        <w:ind w:firstLine="709"/>
        <w:jc w:val="both"/>
        <w:rPr>
          <w:color w:val="000000"/>
          <w:sz w:val="10"/>
          <w:szCs w:val="10"/>
        </w:rPr>
      </w:pPr>
      <w:r>
        <w:rPr>
          <w:color w:val="000000"/>
          <w:sz w:val="28"/>
          <w:szCs w:val="28"/>
        </w:rPr>
        <w:t xml:space="preserve">    </w:t>
      </w:r>
      <w:r>
        <w:rPr>
          <w:color w:val="000000"/>
          <w:sz w:val="10"/>
          <w:szCs w:val="10"/>
        </w:rPr>
        <w:t xml:space="preserve">                                                                                                                                                                    </w:t>
      </w:r>
    </w:p>
    <w:p>
      <w:pPr>
        <w:shd w:val="clear" w:color="auto" w:fill="FFFFFF" w:themeFill="background1"/>
        <w:autoSpaceDE w:val="0"/>
        <w:autoSpaceDN w:val="0"/>
        <w:adjustRightInd w:val="0"/>
        <w:ind w:firstLine="709"/>
        <w:jc w:val="both"/>
        <w:rPr>
          <w:sz w:val="24"/>
          <w:szCs w:val="24"/>
        </w:rPr>
      </w:pPr>
      <w:r>
        <w:rPr>
          <w:sz w:val="24"/>
          <w:szCs w:val="24"/>
        </w:rPr>
        <w:t xml:space="preserve">13. В 2020 году сохранены льготы по земельному налогу для социально-значимых категорий населения. </w:t>
      </w:r>
    </w:p>
    <w:p>
      <w:pPr>
        <w:shd w:val="clear" w:color="auto" w:fill="FFFFFF" w:themeFill="background1"/>
        <w:autoSpaceDE w:val="0"/>
        <w:autoSpaceDN w:val="0"/>
        <w:adjustRightInd w:val="0"/>
        <w:ind w:firstLine="709"/>
        <w:jc w:val="both"/>
        <w:rPr>
          <w:rFonts w:ascii="Times New Roman CYR" w:hAnsi="Times New Roman CYR"/>
          <w:sz w:val="24"/>
          <w:szCs w:val="24"/>
        </w:rPr>
      </w:pPr>
      <w:r>
        <w:rPr>
          <w:rFonts w:ascii="Times New Roman CYR" w:hAnsi="Times New Roman CYR"/>
          <w:sz w:val="24"/>
          <w:szCs w:val="24"/>
        </w:rPr>
        <w:t xml:space="preserve">В соответствии с </w:t>
      </w:r>
      <w:r>
        <w:rPr>
          <w:sz w:val="24"/>
          <w:szCs w:val="24"/>
        </w:rPr>
        <w:t xml:space="preserve">решением Думы ЗАТО Северск от 07.11.2014 № 57/4 «О земельном налоге на территории ЗАТО Северск» для отдельных категорий граждан ЗАТО Северск предоставляются льготы </w:t>
      </w:r>
      <w:r>
        <w:rPr>
          <w:rFonts w:ascii="Times New Roman CYR" w:hAnsi="Times New Roman CYR"/>
          <w:sz w:val="24"/>
          <w:szCs w:val="24"/>
        </w:rPr>
        <w:t>в виде полного освобождения от уплаты земельного налога (инвалиды, чернобыльцы, ветераны и инвалиды Великой Отечественной войны</w:t>
      </w:r>
      <w:r>
        <w:rPr>
          <w:rFonts w:ascii="Times New Roman CYR" w:hAnsi="Times New Roman CYR" w:cs="Times New Roman CYR"/>
          <w:sz w:val="24"/>
          <w:szCs w:val="24"/>
        </w:rPr>
        <w:t xml:space="preserve"> и другие социальные категории граждан). </w:t>
      </w:r>
      <w:r>
        <w:rPr>
          <w:rFonts w:ascii="Times New Roman CYR" w:hAnsi="Times New Roman CYR"/>
          <w:sz w:val="24"/>
          <w:szCs w:val="24"/>
        </w:rPr>
        <w:t>Сумма налоговых льгот, установленных представительным органом местного самоуправления, для физических лиц за 2019 год, согласно отчету ИФНС России по ЗАТО Северск по форме 5-МН, составила 291,0 тыс.руб.</w:t>
      </w:r>
    </w:p>
    <w:p>
      <w:pPr>
        <w:autoSpaceDE w:val="0"/>
        <w:autoSpaceDN w:val="0"/>
        <w:adjustRightInd w:val="0"/>
        <w:spacing w:before="120" w:after="120"/>
        <w:ind w:firstLine="709"/>
        <w:jc w:val="both"/>
        <w:rPr>
          <w:sz w:val="24"/>
          <w:szCs w:val="24"/>
        </w:rPr>
      </w:pPr>
      <w:r>
        <w:rPr>
          <w:sz w:val="24"/>
          <w:szCs w:val="24"/>
        </w:rPr>
        <w:t xml:space="preserve">14. Проведена оценка налоговых расходов в соответствии с общими требованиями к оценке налоговых расходов муниципальных образований, утвержденными постановлением Правительства Российской Федерации от 22.06.2019 № 796 «Об общих требованиях к оценке налоговых расходов субъектов Российской Федерации и муниципальных образований» и постановлением Администрации ЗАТО Северск от 02.03.2020 № 363, льготы по местным налогам за 2019 год признаны бюджетно- и социально эффективными. </w:t>
      </w:r>
    </w:p>
    <w:p>
      <w:pPr>
        <w:ind w:firstLine="709"/>
        <w:jc w:val="both"/>
        <w:rPr>
          <w:sz w:val="24"/>
          <w:szCs w:val="24"/>
        </w:rPr>
      </w:pPr>
      <w:r>
        <w:rPr>
          <w:sz w:val="24"/>
          <w:szCs w:val="24"/>
        </w:rPr>
        <w:t xml:space="preserve">15. С учетом ограничительных мер в связи с новой коронавирусной инфекцией в 2020 году проведено 1 заседание комиссии по мобилизации доходов, результатом которой отмечен эффект в части дополнительных поступлений в бюджет ЗАТО Северск за 2020 год в сумме 2 424,0 тыс.руб. </w:t>
      </w:r>
    </w:p>
    <w:p>
      <w:pPr>
        <w:rPr>
          <w:b/>
          <w:sz w:val="24"/>
          <w:szCs w:val="24"/>
          <w:highlight w:val="yellow"/>
        </w:rPr>
      </w:pPr>
    </w:p>
    <w:p>
      <w:pPr>
        <w:jc w:val="center"/>
        <w:rPr>
          <w:b/>
          <w:sz w:val="24"/>
          <w:szCs w:val="24"/>
        </w:rPr>
      </w:pPr>
      <w:r>
        <w:rPr>
          <w:b/>
          <w:sz w:val="24"/>
          <w:szCs w:val="24"/>
          <w:lang w:val="en-US"/>
        </w:rPr>
        <w:t>III</w:t>
      </w:r>
      <w:r>
        <w:rPr>
          <w:b/>
          <w:sz w:val="24"/>
          <w:szCs w:val="24"/>
        </w:rPr>
        <w:t>. ДОХОДЫ</w:t>
      </w:r>
    </w:p>
    <w:p>
      <w:pPr>
        <w:jc w:val="center"/>
        <w:rPr>
          <w:b/>
          <w:sz w:val="16"/>
          <w:szCs w:val="16"/>
        </w:rPr>
      </w:pPr>
    </w:p>
    <w:p>
      <w:pPr>
        <w:ind w:right="-2" w:firstLine="720"/>
        <w:jc w:val="both"/>
        <w:rPr>
          <w:sz w:val="24"/>
          <w:szCs w:val="24"/>
        </w:rPr>
      </w:pPr>
      <w:r>
        <w:rPr>
          <w:sz w:val="24"/>
          <w:szCs w:val="24"/>
        </w:rPr>
        <w:t xml:space="preserve">Прогноз 2020 года по доходам выполнен в целом на 99,8%, в том числе по налоговым и неналоговым доходам на 101,6%, по безвозмездным поступлениям – на 99,2%. </w:t>
      </w:r>
    </w:p>
    <w:p>
      <w:pPr>
        <w:ind w:right="-2" w:firstLine="720"/>
        <w:jc w:val="both"/>
        <w:rPr>
          <w:bCs/>
          <w:sz w:val="24"/>
          <w:szCs w:val="24"/>
        </w:rPr>
      </w:pPr>
      <w:r>
        <w:rPr>
          <w:sz w:val="24"/>
          <w:szCs w:val="24"/>
        </w:rPr>
        <w:t>Налоговые и неналоговые доходы поступили в сумме 1 124 987,26</w:t>
      </w:r>
      <w:r>
        <w:rPr>
          <w:bCs/>
          <w:sz w:val="24"/>
          <w:szCs w:val="24"/>
        </w:rPr>
        <w:t> тыс.руб.</w:t>
      </w:r>
    </w:p>
    <w:p>
      <w:pPr>
        <w:ind w:right="-2" w:firstLine="720"/>
        <w:jc w:val="both"/>
        <w:rPr>
          <w:sz w:val="24"/>
          <w:szCs w:val="24"/>
        </w:rPr>
      </w:pPr>
      <w:r>
        <w:rPr>
          <w:sz w:val="24"/>
          <w:szCs w:val="24"/>
        </w:rPr>
        <w:t>В 2020 году, в сравнении с предыдущим годом, доля налоговых и неналоговых доходов в общей структуре доходов бюджета сократилась с 25% до 24%.</w:t>
      </w:r>
    </w:p>
    <w:p>
      <w:pPr>
        <w:spacing w:before="120" w:after="60"/>
        <w:ind w:firstLine="720"/>
        <w:jc w:val="both"/>
        <w:rPr>
          <w:sz w:val="24"/>
          <w:szCs w:val="24"/>
        </w:rPr>
      </w:pPr>
    </w:p>
    <w:p>
      <w:pPr>
        <w:spacing w:before="120" w:after="60"/>
        <w:ind w:firstLine="720"/>
        <w:jc w:val="both"/>
        <w:rPr>
          <w:sz w:val="24"/>
          <w:szCs w:val="24"/>
        </w:rPr>
      </w:pPr>
      <w:r>
        <w:rPr>
          <w:sz w:val="24"/>
          <w:szCs w:val="24"/>
        </w:rPr>
        <w:t>Таблица 4. Сравнительный анализ исполнения бюджета ЗАТО Северск по доходам за 2019-2020 гг.</w:t>
      </w:r>
    </w:p>
    <w:tbl>
      <w:tblPr>
        <w:tblW w:w="9510" w:type="dxa"/>
        <w:tblInd w:w="96" w:type="dxa"/>
        <w:tblLayout w:type="fixed"/>
        <w:tblLook w:val="0000" w:firstRow="0" w:lastRow="0" w:firstColumn="0" w:lastColumn="0" w:noHBand="0" w:noVBand="0"/>
      </w:tblPr>
      <w:tblGrid>
        <w:gridCol w:w="1572"/>
        <w:gridCol w:w="1275"/>
        <w:gridCol w:w="1276"/>
        <w:gridCol w:w="1276"/>
        <w:gridCol w:w="1276"/>
        <w:gridCol w:w="708"/>
        <w:gridCol w:w="1276"/>
        <w:gridCol w:w="851"/>
      </w:tblGrid>
      <w:tr>
        <w:trPr>
          <w:cantSplit/>
          <w:trHeight w:val="352"/>
        </w:trPr>
        <w:tc>
          <w:tcPr>
            <w:tcW w:w="1572" w:type="dxa"/>
            <w:vMerge w:val="restart"/>
            <w:tcBorders>
              <w:top w:val="single" w:sz="4" w:space="0" w:color="auto"/>
              <w:left w:val="single" w:sz="4" w:space="0" w:color="auto"/>
              <w:right w:val="single" w:sz="4" w:space="0" w:color="auto"/>
            </w:tcBorders>
            <w:shd w:val="clear" w:color="auto" w:fill="auto"/>
            <w:vAlign w:val="center"/>
          </w:tcPr>
          <w:p>
            <w:pPr>
              <w:ind w:left="-57" w:right="-57"/>
              <w:jc w:val="center"/>
            </w:pPr>
            <w:r>
              <w:t>Наименование</w:t>
            </w:r>
          </w:p>
        </w:tc>
        <w:tc>
          <w:tcPr>
            <w:tcW w:w="1275" w:type="dxa"/>
            <w:vMerge w:val="restart"/>
            <w:tcBorders>
              <w:top w:val="single" w:sz="4" w:space="0" w:color="auto"/>
              <w:left w:val="nil"/>
              <w:right w:val="single" w:sz="4" w:space="0" w:color="auto"/>
            </w:tcBorders>
            <w:vAlign w:val="center"/>
          </w:tcPr>
          <w:p>
            <w:pPr>
              <w:ind w:left="-57" w:right="-57"/>
              <w:jc w:val="center"/>
            </w:pPr>
            <w:r>
              <w:t xml:space="preserve">Факт </w:t>
            </w:r>
          </w:p>
          <w:p>
            <w:pPr>
              <w:ind w:left="-57" w:right="-57"/>
              <w:jc w:val="center"/>
            </w:pPr>
            <w:r>
              <w:t>2019 год, тыс.руб.</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2020 год</w:t>
            </w:r>
          </w:p>
        </w:tc>
        <w:tc>
          <w:tcPr>
            <w:tcW w:w="2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pPr>
            <w:r>
              <w:t>Отклонение</w:t>
            </w:r>
          </w:p>
          <w:p>
            <w:pPr>
              <w:ind w:left="-108" w:right="-108"/>
              <w:jc w:val="center"/>
            </w:pPr>
            <w:r>
              <w:t>(факт 2020 – факт 2019)</w:t>
            </w:r>
          </w:p>
        </w:tc>
      </w:tr>
      <w:tr>
        <w:trPr>
          <w:cantSplit/>
          <w:trHeight w:val="264"/>
        </w:trPr>
        <w:tc>
          <w:tcPr>
            <w:tcW w:w="1572" w:type="dxa"/>
            <w:vMerge/>
            <w:tcBorders>
              <w:left w:val="single" w:sz="4" w:space="0" w:color="auto"/>
              <w:right w:val="single" w:sz="4" w:space="0" w:color="auto"/>
            </w:tcBorders>
            <w:shd w:val="clear" w:color="auto" w:fill="auto"/>
            <w:vAlign w:val="center"/>
          </w:tcPr>
          <w:p>
            <w:pPr>
              <w:ind w:left="-57" w:right="-57"/>
              <w:jc w:val="center"/>
            </w:pPr>
          </w:p>
        </w:tc>
        <w:tc>
          <w:tcPr>
            <w:tcW w:w="1275" w:type="dxa"/>
            <w:vMerge/>
            <w:tcBorders>
              <w:left w:val="nil"/>
              <w:right w:val="single" w:sz="4" w:space="0" w:color="auto"/>
            </w:tcBorders>
            <w:vAlign w:val="center"/>
          </w:tcPr>
          <w:p>
            <w:pPr>
              <w:ind w:left="-57" w:right="-57"/>
              <w:jc w:val="cente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Прогноз, тыс.руб.</w:t>
            </w:r>
          </w:p>
        </w:tc>
        <w:tc>
          <w:tcPr>
            <w:tcW w:w="1276" w:type="dxa"/>
            <w:vMerge w:val="restart"/>
            <w:tcBorders>
              <w:top w:val="single" w:sz="4" w:space="0" w:color="auto"/>
              <w:left w:val="nil"/>
              <w:right w:val="single" w:sz="4" w:space="0" w:color="auto"/>
            </w:tcBorders>
            <w:shd w:val="clear" w:color="auto" w:fill="auto"/>
            <w:vAlign w:val="center"/>
          </w:tcPr>
          <w:p>
            <w:pPr>
              <w:ind w:left="-57" w:right="-57"/>
              <w:jc w:val="center"/>
            </w:pPr>
            <w:r>
              <w:t>Факт, тыс.руб.</w:t>
            </w:r>
          </w:p>
        </w:tc>
        <w:tc>
          <w:tcPr>
            <w:tcW w:w="708" w:type="dxa"/>
            <w:vMerge w:val="restart"/>
            <w:tcBorders>
              <w:top w:val="single" w:sz="4" w:space="0" w:color="auto"/>
              <w:left w:val="nil"/>
              <w:right w:val="single" w:sz="4" w:space="0" w:color="auto"/>
            </w:tcBorders>
            <w:vAlign w:val="center"/>
          </w:tcPr>
          <w:p>
            <w:pPr>
              <w:ind w:left="-108" w:right="-108"/>
              <w:jc w:val="center"/>
            </w:pPr>
            <w:r>
              <w:t xml:space="preserve">% исп. </w:t>
            </w:r>
          </w:p>
          <w:p>
            <w:pPr>
              <w:ind w:left="-108" w:right="-108"/>
              <w:jc w:val="center"/>
            </w:pPr>
            <w:r>
              <w:t>к уточн.</w:t>
            </w:r>
          </w:p>
          <w:p>
            <w:pPr>
              <w:ind w:left="-57" w:right="-57"/>
              <w:jc w:val="center"/>
            </w:pPr>
            <w:r>
              <w:t>плану</w:t>
            </w:r>
          </w:p>
        </w:tc>
        <w:tc>
          <w:tcPr>
            <w:tcW w:w="1276"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pPr>
            <w:r>
              <w:t>абсолютное,  тыс.руб.</w:t>
            </w:r>
          </w:p>
        </w:tc>
        <w:tc>
          <w:tcPr>
            <w:tcW w:w="851"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pPr>
            <w:r>
              <w:t xml:space="preserve">относи-тельное, </w:t>
            </w:r>
          </w:p>
          <w:p>
            <w:pPr>
              <w:ind w:left="-108" w:right="-108"/>
              <w:jc w:val="center"/>
            </w:pPr>
            <w:r>
              <w:t>%</w:t>
            </w:r>
          </w:p>
        </w:tc>
      </w:tr>
      <w:tr>
        <w:trPr>
          <w:trHeight w:val="468"/>
        </w:trPr>
        <w:tc>
          <w:tcPr>
            <w:tcW w:w="1572" w:type="dxa"/>
            <w:vMerge/>
            <w:tcBorders>
              <w:left w:val="single" w:sz="4" w:space="0" w:color="auto"/>
              <w:bottom w:val="single" w:sz="4" w:space="0" w:color="auto"/>
              <w:right w:val="single" w:sz="4" w:space="0" w:color="auto"/>
            </w:tcBorders>
            <w:shd w:val="clear" w:color="auto" w:fill="auto"/>
            <w:vAlign w:val="center"/>
          </w:tcPr>
          <w:p>
            <w:pPr>
              <w:rPr>
                <w:b/>
                <w:bCs/>
              </w:rPr>
            </w:pPr>
          </w:p>
        </w:tc>
        <w:tc>
          <w:tcPr>
            <w:tcW w:w="1275" w:type="dxa"/>
            <w:vMerge/>
            <w:tcBorders>
              <w:left w:val="nil"/>
              <w:bottom w:val="single" w:sz="4" w:space="0" w:color="auto"/>
              <w:right w:val="single" w:sz="4" w:space="0" w:color="auto"/>
            </w:tcBorders>
          </w:tcPr>
          <w:p>
            <w:pPr>
              <w:ind w:left="-57" w:right="-57"/>
              <w:jc w:val="center"/>
              <w:rPr>
                <w:bCs/>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center"/>
              <w:rPr>
                <w:bCs/>
                <w:color w:val="000000"/>
              </w:rPr>
            </w:pPr>
            <w:r>
              <w:t>Первона-чальный</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57" w:right="-57"/>
              <w:jc w:val="center"/>
              <w:rPr>
                <w:bCs/>
                <w:color w:val="000000"/>
              </w:rPr>
            </w:pPr>
            <w:r>
              <w:t>Уточненный</w:t>
            </w:r>
          </w:p>
        </w:tc>
        <w:tc>
          <w:tcPr>
            <w:tcW w:w="1276" w:type="dxa"/>
            <w:vMerge/>
            <w:tcBorders>
              <w:left w:val="nil"/>
              <w:bottom w:val="single" w:sz="4" w:space="0" w:color="auto"/>
              <w:right w:val="single" w:sz="4" w:space="0" w:color="auto"/>
            </w:tcBorders>
            <w:shd w:val="clear" w:color="auto" w:fill="auto"/>
            <w:noWrap/>
            <w:vAlign w:val="center"/>
          </w:tcPr>
          <w:p>
            <w:pPr>
              <w:ind w:left="-57" w:right="-57"/>
              <w:jc w:val="center"/>
              <w:rPr>
                <w:bCs/>
                <w:color w:val="000000"/>
              </w:rPr>
            </w:pPr>
          </w:p>
        </w:tc>
        <w:tc>
          <w:tcPr>
            <w:tcW w:w="708" w:type="dxa"/>
            <w:vMerge/>
            <w:tcBorders>
              <w:left w:val="nil"/>
              <w:bottom w:val="single" w:sz="4" w:space="0" w:color="auto"/>
              <w:right w:val="single" w:sz="4" w:space="0" w:color="auto"/>
            </w:tcBorders>
          </w:tcPr>
          <w:p>
            <w:pPr>
              <w:ind w:left="-57" w:right="-57"/>
              <w:jc w:val="center"/>
              <w:rPr>
                <w:bCs/>
                <w:color w:val="000000"/>
              </w:rPr>
            </w:pPr>
          </w:p>
        </w:tc>
        <w:tc>
          <w:tcPr>
            <w:tcW w:w="1276" w:type="dxa"/>
            <w:vMerge/>
            <w:tcBorders>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p>
        </w:tc>
        <w:tc>
          <w:tcPr>
            <w:tcW w:w="851" w:type="dxa"/>
            <w:vMerge/>
            <w:tcBorders>
              <w:left w:val="single" w:sz="4" w:space="0" w:color="auto"/>
              <w:bottom w:val="single" w:sz="4" w:space="0" w:color="auto"/>
              <w:right w:val="single" w:sz="4" w:space="0" w:color="auto"/>
            </w:tcBorders>
            <w:shd w:val="clear" w:color="auto" w:fill="auto"/>
            <w:noWrap/>
            <w:vAlign w:val="center"/>
          </w:tcPr>
          <w:p>
            <w:pPr>
              <w:ind w:left="-57" w:right="-57"/>
              <w:jc w:val="center"/>
              <w:rPr>
                <w:bCs/>
                <w:color w:val="000000"/>
              </w:rPr>
            </w:pPr>
          </w:p>
        </w:tc>
      </w:tr>
      <w:tr>
        <w:trPr>
          <w:trHeight w:val="180"/>
        </w:trPr>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rPr>
            </w:pPr>
            <w:r>
              <w:rPr>
                <w:bCs/>
              </w:rPr>
              <w:t>1</w:t>
            </w:r>
          </w:p>
        </w:tc>
        <w:tc>
          <w:tcPr>
            <w:tcW w:w="1275" w:type="dxa"/>
            <w:tcBorders>
              <w:top w:val="single" w:sz="4" w:space="0" w:color="auto"/>
              <w:left w:val="nil"/>
              <w:bottom w:val="single" w:sz="4" w:space="0" w:color="auto"/>
              <w:right w:val="single" w:sz="4" w:space="0" w:color="auto"/>
            </w:tcBorders>
            <w:vAlign w:val="center"/>
          </w:tcPr>
          <w:p>
            <w:pPr>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center"/>
              <w:rPr>
                <w:bCs/>
                <w:color w:val="000000"/>
              </w:rPr>
            </w:pPr>
            <w:r>
              <w:rPr>
                <w:bCs/>
                <w:color w:val="000000"/>
              </w:rPr>
              <w:t>3</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center"/>
              <w:rPr>
                <w:bCs/>
                <w:color w:val="000000"/>
              </w:rPr>
            </w:pPr>
            <w:r>
              <w:rPr>
                <w:bCs/>
                <w:color w:val="000000"/>
              </w:rPr>
              <w:t>4</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center"/>
              <w:rPr>
                <w:bCs/>
                <w:color w:val="000000"/>
              </w:rPr>
            </w:pPr>
            <w:r>
              <w:rPr>
                <w:bCs/>
                <w:color w:val="000000"/>
              </w:rPr>
              <w:t>5</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Cs/>
                <w:color w:val="000000"/>
              </w:rPr>
            </w:pPr>
            <w:r>
              <w:rPr>
                <w:bCs/>
                <w:color w:val="000000"/>
              </w:rPr>
              <w:t>6=5/4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center"/>
              <w:rPr>
                <w:bCs/>
                <w:color w:val="000000"/>
              </w:rPr>
            </w:pPr>
            <w:r>
              <w:rPr>
                <w:bCs/>
                <w:color w:val="000000"/>
              </w:rPr>
              <w:t>7=5-2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r>
              <w:rPr>
                <w:bCs/>
                <w:color w:val="000000"/>
              </w:rPr>
              <w:t>8=5/2</w:t>
            </w:r>
          </w:p>
        </w:tc>
      </w:tr>
      <w:tr>
        <w:trPr>
          <w:trHeight w:val="468"/>
        </w:trPr>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pPr>
              <w:rPr>
                <w:bCs/>
              </w:rPr>
            </w:pPr>
            <w:r>
              <w:rPr>
                <w:bCs/>
              </w:rPr>
              <w:t>Налоговые и неналоговые доходы</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108"/>
              <w:jc w:val="right"/>
              <w:rPr>
                <w:bCs/>
                <w:color w:val="000000"/>
              </w:rPr>
            </w:pPr>
            <w:r>
              <w:rPr>
                <w:bCs/>
                <w:color w:val="000000"/>
              </w:rPr>
              <w:t>1 131 056,62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1 139 142,84</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1 107 763,52</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1 124 987,26</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Cs/>
                <w:color w:val="000000"/>
              </w:rPr>
            </w:pPr>
            <w:r>
              <w:rPr>
                <w:bCs/>
                <w:color w:val="000000"/>
              </w:rPr>
              <w:t>101,6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-6 069,36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r>
              <w:rPr>
                <w:bCs/>
                <w:color w:val="000000"/>
              </w:rPr>
              <w:t>99,5</w:t>
            </w:r>
          </w:p>
        </w:tc>
      </w:tr>
      <w:tr>
        <w:trPr>
          <w:trHeight w:val="480"/>
        </w:trPr>
        <w:tc>
          <w:tcPr>
            <w:tcW w:w="1572" w:type="dxa"/>
            <w:tcBorders>
              <w:top w:val="nil"/>
              <w:left w:val="single" w:sz="4" w:space="0" w:color="auto"/>
              <w:bottom w:val="single" w:sz="4" w:space="0" w:color="auto"/>
              <w:right w:val="single" w:sz="4" w:space="0" w:color="auto"/>
            </w:tcBorders>
            <w:shd w:val="clear" w:color="auto" w:fill="auto"/>
            <w:vAlign w:val="center"/>
          </w:tcPr>
          <w:p>
            <w:pPr>
              <w:rPr>
                <w:bCs/>
              </w:rPr>
            </w:pPr>
            <w:r>
              <w:rPr>
                <w:bCs/>
              </w:rPr>
              <w:t xml:space="preserve">Безвозмездные поступления </w:t>
            </w:r>
          </w:p>
        </w:tc>
        <w:tc>
          <w:tcPr>
            <w:tcW w:w="1275" w:type="dxa"/>
            <w:tcBorders>
              <w:top w:val="nil"/>
              <w:left w:val="nil"/>
              <w:bottom w:val="single" w:sz="4" w:space="0" w:color="auto"/>
              <w:right w:val="single" w:sz="4" w:space="0" w:color="auto"/>
            </w:tcBorders>
            <w:shd w:val="clear" w:color="auto" w:fill="auto"/>
            <w:vAlign w:val="center"/>
          </w:tcPr>
          <w:p>
            <w:pPr>
              <w:ind w:left="-108"/>
              <w:jc w:val="right"/>
              <w:rPr>
                <w:bCs/>
                <w:color w:val="000000"/>
              </w:rPr>
            </w:pPr>
            <w:r>
              <w:rPr>
                <w:bCs/>
                <w:color w:val="000000"/>
              </w:rPr>
              <w:t>3 405 413,15</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2 735 465,20</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3 581 735,36</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3 554 657,93</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Cs/>
                <w:color w:val="000000"/>
              </w:rPr>
            </w:pPr>
            <w:r>
              <w:rPr>
                <w:bCs/>
                <w:color w:val="000000"/>
              </w:rPr>
              <w:t>99,2</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149 244,78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r>
              <w:rPr>
                <w:bCs/>
                <w:color w:val="000000"/>
              </w:rPr>
              <w:t>104,4</w:t>
            </w:r>
          </w:p>
        </w:tc>
      </w:tr>
      <w:tr>
        <w:trPr>
          <w:trHeight w:val="339"/>
        </w:trPr>
        <w:tc>
          <w:tcPr>
            <w:tcW w:w="1572" w:type="dxa"/>
            <w:tcBorders>
              <w:top w:val="nil"/>
              <w:left w:val="single" w:sz="4" w:space="0" w:color="auto"/>
              <w:bottom w:val="single" w:sz="4" w:space="0" w:color="auto"/>
              <w:right w:val="single" w:sz="4" w:space="0" w:color="auto"/>
            </w:tcBorders>
            <w:shd w:val="clear" w:color="auto" w:fill="auto"/>
            <w:noWrap/>
            <w:vAlign w:val="center"/>
          </w:tcPr>
          <w:p>
            <w:pPr>
              <w:rPr>
                <w:b/>
                <w:bCs/>
              </w:rPr>
            </w:pPr>
            <w:r>
              <w:rPr>
                <w:b/>
                <w:bCs/>
              </w:rPr>
              <w:t>ИТОГО ДОХОДОВ</w:t>
            </w:r>
          </w:p>
        </w:tc>
        <w:tc>
          <w:tcPr>
            <w:tcW w:w="1275" w:type="dxa"/>
            <w:tcBorders>
              <w:top w:val="nil"/>
              <w:left w:val="nil"/>
              <w:bottom w:val="single" w:sz="4" w:space="0" w:color="auto"/>
              <w:right w:val="single" w:sz="4" w:space="0" w:color="auto"/>
            </w:tcBorders>
            <w:shd w:val="clear" w:color="auto" w:fill="auto"/>
            <w:vAlign w:val="center"/>
          </w:tcPr>
          <w:p>
            <w:pPr>
              <w:ind w:left="-108"/>
              <w:jc w:val="right"/>
              <w:rPr>
                <w:b/>
                <w:bCs/>
                <w:color w:val="000000"/>
              </w:rPr>
            </w:pPr>
            <w:r>
              <w:rPr>
                <w:b/>
                <w:bCs/>
                <w:color w:val="000000"/>
              </w:rPr>
              <w:t>4 536 469,77</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3 874 608,04</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4 689 498,88</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4 679 645,19</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
                <w:bCs/>
                <w:color w:val="000000"/>
              </w:rPr>
            </w:pPr>
            <w:r>
              <w:rPr>
                <w:b/>
                <w:bCs/>
                <w:color w:val="000000"/>
              </w:rPr>
              <w:t>99,8</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143 175,42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
                <w:bCs/>
                <w:color w:val="000000"/>
              </w:rPr>
            </w:pPr>
            <w:r>
              <w:rPr>
                <w:b/>
                <w:bCs/>
                <w:color w:val="000000"/>
              </w:rPr>
              <w:t>103,2</w:t>
            </w:r>
          </w:p>
        </w:tc>
      </w:tr>
    </w:tbl>
    <w:p>
      <w:pPr>
        <w:spacing w:before="120"/>
        <w:ind w:firstLine="709"/>
        <w:jc w:val="both"/>
        <w:rPr>
          <w:sz w:val="24"/>
          <w:szCs w:val="24"/>
        </w:rPr>
      </w:pPr>
      <w:r>
        <w:rPr>
          <w:sz w:val="24"/>
          <w:szCs w:val="24"/>
        </w:rPr>
        <w:t xml:space="preserve">По сравнению с первоначальным прогнозом 2020 года по группе «Налоговые и неналоговые доходы» уточненный прогноз уменьшен на 31 379,32 тыс.руб. в основном по таким статьям, как «Налог, взимаемый в связи с применением упрощенной системы </w:t>
      </w:r>
      <w:r>
        <w:rPr>
          <w:sz w:val="24"/>
          <w:szCs w:val="24"/>
        </w:rPr>
        <w:lastRenderedPageBreak/>
        <w:t>налогообложения», «Налог на имущество физических лиц», «Платежи при пользовании природными ресурсами», «Доходы от продажи материальных активов».</w:t>
      </w:r>
    </w:p>
    <w:p>
      <w:pPr>
        <w:ind w:firstLine="720"/>
        <w:jc w:val="both"/>
        <w:rPr>
          <w:sz w:val="24"/>
          <w:szCs w:val="24"/>
        </w:rPr>
      </w:pPr>
      <w:r>
        <w:rPr>
          <w:sz w:val="24"/>
          <w:szCs w:val="24"/>
        </w:rPr>
        <w:t xml:space="preserve">В общей структуре доходов бюджета ЗАТО Северск </w:t>
      </w:r>
      <w:r>
        <w:rPr>
          <w:bCs/>
          <w:sz w:val="24"/>
          <w:szCs w:val="24"/>
        </w:rPr>
        <w:t>доля</w:t>
      </w:r>
      <w:r>
        <w:rPr>
          <w:sz w:val="24"/>
          <w:szCs w:val="24"/>
        </w:rPr>
        <w:t xml:space="preserve"> налоговых доходов составляет 21,5%, неналоговых – 2,5%, безвозмездных поступлений – 76,0%. </w:t>
      </w:r>
    </w:p>
    <w:p>
      <w:pPr>
        <w:ind w:firstLine="720"/>
        <w:jc w:val="both"/>
        <w:rPr>
          <w:sz w:val="24"/>
          <w:szCs w:val="24"/>
        </w:rPr>
      </w:pPr>
    </w:p>
    <w:p>
      <w:pPr>
        <w:jc w:val="center"/>
        <w:rPr>
          <w:noProof/>
          <w:sz w:val="24"/>
          <w:szCs w:val="24"/>
        </w:rPr>
      </w:pPr>
      <w:r>
        <w:rPr>
          <w:noProof/>
        </w:rPr>
        <w:drawing>
          <wp:inline distT="0" distB="0" distL="0" distR="0">
            <wp:extent cx="4744995" cy="1532238"/>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ind w:left="708" w:firstLine="708"/>
        <w:rPr>
          <w:sz w:val="24"/>
          <w:szCs w:val="24"/>
        </w:rPr>
      </w:pPr>
    </w:p>
    <w:p>
      <w:pPr>
        <w:ind w:left="708" w:firstLine="708"/>
        <w:rPr>
          <w:sz w:val="24"/>
          <w:szCs w:val="24"/>
        </w:rPr>
      </w:pPr>
      <w:r>
        <w:rPr>
          <w:sz w:val="24"/>
          <w:szCs w:val="24"/>
        </w:rPr>
        <w:t>Рисунок 4. Структура доходов бюджета ЗАТО Северск в 2020 году</w:t>
      </w:r>
    </w:p>
    <w:p>
      <w:pPr>
        <w:spacing w:before="120"/>
        <w:ind w:firstLine="709"/>
        <w:jc w:val="both"/>
        <w:rPr>
          <w:sz w:val="10"/>
          <w:szCs w:val="10"/>
          <w:highlight w:val="yellow"/>
        </w:rPr>
      </w:pPr>
    </w:p>
    <w:p>
      <w:pPr>
        <w:spacing w:before="120"/>
        <w:ind w:firstLine="709"/>
        <w:jc w:val="both"/>
        <w:rPr>
          <w:sz w:val="24"/>
          <w:szCs w:val="24"/>
        </w:rPr>
      </w:pPr>
      <w:r>
        <w:rPr>
          <w:sz w:val="24"/>
          <w:szCs w:val="24"/>
        </w:rPr>
        <w:t xml:space="preserve">Сумма задолженности по налоговым и неналоговым доходам по состоянию на 01.01.2021 составила 56 648,1 тыс.руб.. По сравнению с 01.01.2020 положительная динамика по снижению задолженности на 1 221,5 тыс.руб. или на 2,1%: </w:t>
      </w:r>
    </w:p>
    <w:p>
      <w:pPr>
        <w:spacing w:before="120" w:after="60"/>
        <w:ind w:right="45" w:firstLine="720"/>
        <w:jc w:val="both"/>
        <w:rPr>
          <w:sz w:val="24"/>
          <w:szCs w:val="24"/>
        </w:rPr>
      </w:pPr>
      <w:r>
        <w:rPr>
          <w:sz w:val="24"/>
          <w:szCs w:val="24"/>
        </w:rPr>
        <w:t>Таблица 5. Задолженность по налоговым и неналоговым платежам в бюджет ЗАТО Северск за 2019 - 2020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234"/>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1</w:t>
            </w:r>
          </w:p>
        </w:tc>
        <w:tc>
          <w:tcPr>
            <w:tcW w:w="1418" w:type="dxa"/>
            <w:tcBorders>
              <w:top w:val="single" w:sz="4" w:space="0" w:color="auto"/>
              <w:left w:val="nil"/>
              <w:bottom w:val="single" w:sz="4" w:space="0" w:color="auto"/>
              <w:right w:val="single" w:sz="4" w:space="0" w:color="auto"/>
            </w:tcBorders>
            <w:vAlign w:val="center"/>
          </w:tcPr>
          <w:p>
            <w:pPr>
              <w:jc w:val="cente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center"/>
            </w:pPr>
            <w:r>
              <w:t>3</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center"/>
            </w:pPr>
            <w:r>
              <w:t>4=3-2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5=3/2</w:t>
            </w:r>
          </w:p>
        </w:tc>
      </w:tr>
      <w:tr>
        <w:trPr>
          <w:cantSplit/>
          <w:trHeight w:val="361"/>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firstLine="57"/>
            </w:pPr>
            <w:r>
              <w:t>Налоговые доходы</w:t>
            </w:r>
          </w:p>
        </w:tc>
        <w:tc>
          <w:tcPr>
            <w:tcW w:w="1418" w:type="dxa"/>
            <w:tcBorders>
              <w:top w:val="single" w:sz="4" w:space="0" w:color="auto"/>
              <w:left w:val="nil"/>
              <w:bottom w:val="single" w:sz="4" w:space="0" w:color="auto"/>
              <w:right w:val="single" w:sz="4" w:space="0" w:color="auto"/>
            </w:tcBorders>
            <w:vAlign w:val="center"/>
          </w:tcPr>
          <w:p>
            <w:pPr>
              <w:jc w:val="right"/>
            </w:pPr>
            <w:r>
              <w:t>30 946,3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28 270,1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-2 676,2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91,4</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rPr>
                <w:bCs/>
              </w:rPr>
            </w:pPr>
            <w:r>
              <w:rPr>
                <w:bCs/>
              </w:rPr>
              <w:t>Неналоговые доходы</w:t>
            </w:r>
          </w:p>
        </w:tc>
        <w:tc>
          <w:tcPr>
            <w:tcW w:w="1418" w:type="dxa"/>
            <w:tcBorders>
              <w:top w:val="single" w:sz="4" w:space="0" w:color="auto"/>
              <w:left w:val="nil"/>
              <w:bottom w:val="single" w:sz="4" w:space="0" w:color="auto"/>
              <w:right w:val="single" w:sz="4" w:space="0" w:color="auto"/>
            </w:tcBorders>
            <w:vAlign w:val="center"/>
          </w:tcPr>
          <w:p>
            <w:pPr>
              <w:ind w:left="-113" w:right="34"/>
              <w:jc w:val="right"/>
            </w:pPr>
            <w:r>
              <w:t>26 923,3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33"/>
              <w:jc w:val="right"/>
              <w:rPr>
                <w:bCs/>
              </w:rPr>
            </w:pPr>
            <w:r>
              <w:rPr>
                <w:bCs/>
              </w:rPr>
              <w:t>28 378,0</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113" w:right="34"/>
              <w:jc w:val="right"/>
              <w:rPr>
                <w:bCs/>
              </w:rPr>
            </w:pPr>
            <w:r>
              <w:rPr>
                <w:bCs/>
              </w:rPr>
              <w:t>1 454,7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rPr>
            </w:pPr>
            <w:r>
              <w:rPr>
                <w:bCs/>
              </w:rPr>
              <w:t>104,4</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firstLine="57"/>
            </w:pPr>
            <w:r>
              <w:t>Всего:</w:t>
            </w:r>
          </w:p>
        </w:tc>
        <w:tc>
          <w:tcPr>
            <w:tcW w:w="1418" w:type="dxa"/>
            <w:tcBorders>
              <w:top w:val="single" w:sz="4" w:space="0" w:color="auto"/>
              <w:left w:val="nil"/>
              <w:bottom w:val="single" w:sz="4" w:space="0" w:color="auto"/>
              <w:right w:val="single" w:sz="4" w:space="0" w:color="auto"/>
            </w:tcBorders>
            <w:vAlign w:val="center"/>
          </w:tcPr>
          <w:p>
            <w:pPr>
              <w:jc w:val="right"/>
            </w:pPr>
            <w:r>
              <w:t>57 869,6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56 648,1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-1 221,5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97,9</w:t>
            </w:r>
          </w:p>
        </w:tc>
      </w:tr>
    </w:tbl>
    <w:p>
      <w:pPr>
        <w:spacing w:after="120"/>
        <w:ind w:right="45"/>
        <w:rPr>
          <w:b/>
          <w:sz w:val="16"/>
          <w:szCs w:val="16"/>
        </w:rPr>
      </w:pPr>
    </w:p>
    <w:p>
      <w:pPr>
        <w:spacing w:after="120"/>
        <w:ind w:right="45" w:firstLine="720"/>
        <w:jc w:val="center"/>
        <w:rPr>
          <w:b/>
          <w:sz w:val="24"/>
          <w:szCs w:val="24"/>
        </w:rPr>
      </w:pPr>
      <w:r>
        <w:rPr>
          <w:b/>
          <w:sz w:val="24"/>
          <w:szCs w:val="24"/>
        </w:rPr>
        <w:t>3.1. НАЛОГОВЫЕ ДОХОДЫ БЮДЖЕТА ЗАТО СЕВЕРСК</w:t>
      </w:r>
    </w:p>
    <w:p>
      <w:pPr>
        <w:ind w:firstLine="720"/>
        <w:jc w:val="both"/>
        <w:rPr>
          <w:sz w:val="24"/>
          <w:szCs w:val="24"/>
        </w:rPr>
      </w:pPr>
      <w:r>
        <w:rPr>
          <w:sz w:val="24"/>
          <w:szCs w:val="24"/>
        </w:rPr>
        <w:t>Налоговые доходы при уточненном прогнозе 991 348,06 тыс.руб. поступили в сумме 1 005 084,18 тыс.руб., исполнение составило 101,4%, перевыполнение в сумме 13 736,12 тыс.руб.</w:t>
      </w:r>
    </w:p>
    <w:p>
      <w:pPr>
        <w:ind w:firstLine="720"/>
        <w:jc w:val="both"/>
        <w:rPr>
          <w:sz w:val="24"/>
          <w:szCs w:val="24"/>
        </w:rPr>
      </w:pPr>
      <w:r>
        <w:rPr>
          <w:sz w:val="24"/>
          <w:szCs w:val="24"/>
        </w:rPr>
        <w:t xml:space="preserve">Удельный вес фактически поступивших налоговых доходов в общей структуре доходов бюджета ЗАТО Северск составляет 21,5%, в налоговых и неналоговых доходах 89,3%.  </w:t>
      </w:r>
    </w:p>
    <w:p>
      <w:pPr>
        <w:spacing w:before="120" w:after="60"/>
        <w:ind w:right="45" w:firstLine="720"/>
        <w:jc w:val="both"/>
        <w:rPr>
          <w:sz w:val="24"/>
          <w:szCs w:val="24"/>
        </w:rPr>
      </w:pPr>
      <w:r>
        <w:rPr>
          <w:sz w:val="24"/>
          <w:szCs w:val="24"/>
        </w:rPr>
        <w:t>Таблица 6. Сравнительный анализ поступления налоговых доходов бюджета ЗАТО Северск за 2019 - 2020гг.</w:t>
      </w:r>
    </w:p>
    <w:tbl>
      <w:tblPr>
        <w:tblW w:w="9651" w:type="dxa"/>
        <w:tblInd w:w="96" w:type="dxa"/>
        <w:tblLayout w:type="fixed"/>
        <w:tblLook w:val="0000" w:firstRow="0" w:lastRow="0" w:firstColumn="0" w:lastColumn="0" w:noHBand="0" w:noVBand="0"/>
      </w:tblPr>
      <w:tblGrid>
        <w:gridCol w:w="2280"/>
        <w:gridCol w:w="1134"/>
        <w:gridCol w:w="1134"/>
        <w:gridCol w:w="1134"/>
        <w:gridCol w:w="1134"/>
        <w:gridCol w:w="993"/>
        <w:gridCol w:w="991"/>
        <w:gridCol w:w="851"/>
      </w:tblGrid>
      <w:tr>
        <w:trPr>
          <w:cantSplit/>
          <w:trHeight w:val="324"/>
        </w:trPr>
        <w:tc>
          <w:tcPr>
            <w:tcW w:w="2280"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2019 год, тыс.руб.</w:t>
            </w:r>
          </w:p>
        </w:tc>
        <w:tc>
          <w:tcPr>
            <w:tcW w:w="43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 xml:space="preserve">2020 год, </w:t>
            </w:r>
            <w:r>
              <w:rPr>
                <w:bCs/>
              </w:rPr>
              <w:t>тыс.руб.</w:t>
            </w:r>
          </w:p>
        </w:tc>
        <w:tc>
          <w:tcPr>
            <w:tcW w:w="184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 xml:space="preserve">Отклонение </w:t>
            </w:r>
          </w:p>
          <w:p>
            <w:pPr>
              <w:ind w:left="-108" w:right="-108"/>
              <w:jc w:val="center"/>
              <w:rPr>
                <w:color w:val="000000"/>
              </w:rPr>
            </w:pPr>
            <w:r>
              <w:rPr>
                <w:color w:val="000000"/>
              </w:rPr>
              <w:t>(факт 2020г. - 2019г.)</w:t>
            </w:r>
          </w:p>
        </w:tc>
      </w:tr>
      <w:tr>
        <w:trPr>
          <w:cantSplit/>
          <w:trHeight w:val="652"/>
        </w:trPr>
        <w:tc>
          <w:tcPr>
            <w:tcW w:w="2280"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Перво-начальный прогноз</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Уточненный  прогноз</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 xml:space="preserve">Факт </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Откло- нение </w:t>
            </w:r>
          </w:p>
        </w:tc>
        <w:tc>
          <w:tcPr>
            <w:tcW w:w="991" w:type="dxa"/>
            <w:tcBorders>
              <w:top w:val="single" w:sz="4" w:space="0" w:color="auto"/>
              <w:left w:val="nil"/>
              <w:bottom w:val="single" w:sz="4" w:space="0" w:color="auto"/>
              <w:right w:val="single" w:sz="4" w:space="0" w:color="auto"/>
            </w:tcBorders>
            <w:shd w:val="clear" w:color="auto" w:fill="auto"/>
            <w:vAlign w:val="center"/>
          </w:tcPr>
          <w:p>
            <w:pPr>
              <w:jc w:val="center"/>
              <w:rPr>
                <w:color w:val="000000"/>
                <w:sz w:val="18"/>
                <w:szCs w:val="18"/>
              </w:rPr>
            </w:pPr>
            <w:r>
              <w:rPr>
                <w:color w:val="000000"/>
                <w:sz w:val="18"/>
                <w:szCs w:val="18"/>
              </w:rPr>
              <w:t>абсолют-ное, тыс.руб.</w:t>
            </w:r>
          </w:p>
        </w:tc>
        <w:tc>
          <w:tcPr>
            <w:tcW w:w="851" w:type="dxa"/>
            <w:tcBorders>
              <w:top w:val="single" w:sz="4" w:space="0" w:color="auto"/>
              <w:left w:val="nil"/>
              <w:bottom w:val="single" w:sz="4" w:space="0" w:color="auto"/>
              <w:right w:val="single" w:sz="4" w:space="0" w:color="auto"/>
            </w:tcBorders>
            <w:tcMar>
              <w:left w:w="28" w:type="dxa"/>
              <w:right w:w="28" w:type="dxa"/>
            </w:tcMar>
            <w:vAlign w:val="center"/>
          </w:tcPr>
          <w:p>
            <w:pPr>
              <w:ind w:left="57" w:right="57"/>
              <w:jc w:val="center"/>
              <w:rPr>
                <w:color w:val="000000"/>
                <w:sz w:val="18"/>
                <w:szCs w:val="18"/>
              </w:rPr>
            </w:pPr>
            <w:r>
              <w:rPr>
                <w:color w:val="000000"/>
                <w:sz w:val="18"/>
                <w:szCs w:val="18"/>
              </w:rPr>
              <w:t>относи-тельное, %</w:t>
            </w:r>
          </w:p>
        </w:tc>
      </w:tr>
      <w:tr>
        <w:trPr>
          <w:cantSplit/>
          <w:trHeight w:val="199"/>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108"/>
              <w:jc w:val="center"/>
              <w:rPr>
                <w:sz w:val="16"/>
                <w:szCs w:val="16"/>
              </w:rPr>
            </w:pPr>
            <w:r>
              <w:rPr>
                <w:sz w:val="16"/>
                <w:szCs w:val="16"/>
              </w:rPr>
              <w:t>1</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bCs/>
                <w:color w:val="000000"/>
                <w:sz w:val="16"/>
                <w:szCs w:val="16"/>
              </w:rPr>
            </w:pPr>
            <w:r>
              <w:rPr>
                <w:bCs/>
                <w:color w:val="000000"/>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6=5-4</w:t>
            </w:r>
          </w:p>
        </w:tc>
        <w:tc>
          <w:tcPr>
            <w:tcW w:w="991" w:type="dxa"/>
            <w:tcBorders>
              <w:top w:val="single" w:sz="4" w:space="0" w:color="auto"/>
              <w:left w:val="nil"/>
              <w:bottom w:val="single" w:sz="4" w:space="0" w:color="auto"/>
              <w:right w:val="single" w:sz="4" w:space="0" w:color="auto"/>
            </w:tcBorders>
            <w:shd w:val="clear" w:color="auto" w:fill="auto"/>
            <w:vAlign w:val="center"/>
          </w:tcPr>
          <w:p>
            <w:pPr>
              <w:ind w:left="-108" w:right="-57"/>
              <w:jc w:val="center"/>
              <w:rPr>
                <w:bCs/>
                <w:color w:val="000000"/>
                <w:sz w:val="16"/>
                <w:szCs w:val="16"/>
              </w:rPr>
            </w:pPr>
            <w:r>
              <w:rPr>
                <w:bCs/>
                <w:color w:val="000000"/>
                <w:sz w:val="16"/>
                <w:szCs w:val="16"/>
              </w:rPr>
              <w:t>7=5-2</w:t>
            </w:r>
          </w:p>
        </w:tc>
        <w:tc>
          <w:tcPr>
            <w:tcW w:w="851" w:type="dxa"/>
            <w:tcBorders>
              <w:top w:val="single" w:sz="4" w:space="0" w:color="auto"/>
              <w:left w:val="nil"/>
              <w:bottom w:val="single" w:sz="4" w:space="0" w:color="auto"/>
              <w:right w:val="single" w:sz="4" w:space="0" w:color="auto"/>
            </w:tcBorders>
            <w:vAlign w:val="center"/>
          </w:tcPr>
          <w:p>
            <w:pPr>
              <w:ind w:left="-57" w:right="-57"/>
              <w:jc w:val="center"/>
              <w:rPr>
                <w:bCs/>
                <w:color w:val="000000"/>
                <w:sz w:val="16"/>
                <w:szCs w:val="16"/>
              </w:rPr>
            </w:pPr>
            <w:r>
              <w:rPr>
                <w:bCs/>
                <w:color w:val="000000"/>
                <w:sz w:val="16"/>
                <w:szCs w:val="16"/>
              </w:rPr>
              <w:t>8=5/2</w:t>
            </w:r>
          </w:p>
        </w:tc>
      </w:tr>
      <w:tr>
        <w:trPr>
          <w:cantSplit/>
          <w:trHeight w:val="39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108"/>
              <w:rPr>
                <w:b/>
                <w:sz w:val="18"/>
                <w:szCs w:val="18"/>
              </w:rPr>
            </w:pPr>
            <w:r>
              <w:rPr>
                <w:b/>
                <w:sz w:val="18"/>
                <w:szCs w:val="18"/>
              </w:rPr>
              <w:t>НАЛОГОВЫЕ ДОХОДЫ</w:t>
            </w:r>
          </w:p>
        </w:tc>
        <w:tc>
          <w:tcPr>
            <w:tcW w:w="1134" w:type="dxa"/>
            <w:tcBorders>
              <w:top w:val="single" w:sz="4" w:space="0" w:color="auto"/>
              <w:left w:val="nil"/>
              <w:bottom w:val="single" w:sz="4" w:space="0" w:color="auto"/>
              <w:right w:val="single" w:sz="4" w:space="0" w:color="auto"/>
            </w:tcBorders>
            <w:vAlign w:val="center"/>
          </w:tcPr>
          <w:p>
            <w:pPr>
              <w:jc w:val="right"/>
            </w:pPr>
            <w:r>
              <w:t>970 500,72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991 541,78</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991 348,06</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1 005 084,18</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13 736,12</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34 583,46</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103,6</w:t>
            </w:r>
          </w:p>
        </w:tc>
      </w:tr>
      <w:tr>
        <w:trPr>
          <w:cantSplit/>
          <w:trHeight w:val="296"/>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НДФЛ</w:t>
            </w:r>
          </w:p>
        </w:tc>
        <w:tc>
          <w:tcPr>
            <w:tcW w:w="1134" w:type="dxa"/>
            <w:tcBorders>
              <w:top w:val="single" w:sz="4" w:space="0" w:color="auto"/>
              <w:left w:val="nil"/>
              <w:bottom w:val="single" w:sz="4" w:space="0" w:color="auto"/>
              <w:right w:val="single" w:sz="4" w:space="0" w:color="auto"/>
            </w:tcBorders>
            <w:vAlign w:val="center"/>
          </w:tcPr>
          <w:p>
            <w:pPr>
              <w:jc w:val="right"/>
            </w:pPr>
            <w:r>
              <w:t>704 442,68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724 442,08</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738 197,74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747 716,04</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9 518,30</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43 273,36</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106,1</w:t>
            </w:r>
          </w:p>
        </w:tc>
      </w:tr>
      <w:tr>
        <w:trPr>
          <w:cantSplit/>
          <w:trHeight w:val="28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Акцизы</w:t>
            </w:r>
          </w:p>
        </w:tc>
        <w:tc>
          <w:tcPr>
            <w:tcW w:w="1134" w:type="dxa"/>
            <w:tcBorders>
              <w:top w:val="single" w:sz="4" w:space="0" w:color="auto"/>
              <w:left w:val="nil"/>
              <w:bottom w:val="single" w:sz="4" w:space="0" w:color="auto"/>
              <w:right w:val="single" w:sz="4" w:space="0" w:color="auto"/>
            </w:tcBorders>
            <w:vAlign w:val="center"/>
          </w:tcPr>
          <w:p>
            <w:pPr>
              <w:jc w:val="right"/>
            </w:pPr>
            <w:r>
              <w:t>8 870,65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9 421,00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8 692,68</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8 533,32</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-159,36</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-337,33</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96,2</w:t>
            </w:r>
          </w:p>
        </w:tc>
      </w:tr>
      <w:tr>
        <w:trPr>
          <w:cantSplit/>
          <w:trHeight w:val="284"/>
        </w:trPr>
        <w:tc>
          <w:tcPr>
            <w:tcW w:w="2280" w:type="dxa"/>
            <w:tcBorders>
              <w:top w:val="single" w:sz="4" w:space="0" w:color="auto"/>
              <w:left w:val="single" w:sz="4" w:space="0" w:color="auto"/>
              <w:bottom w:val="single" w:sz="4" w:space="0" w:color="auto"/>
              <w:right w:val="single" w:sz="4" w:space="0" w:color="auto"/>
            </w:tcBorders>
            <w:shd w:val="clear" w:color="auto" w:fill="auto"/>
            <w:tcMar>
              <w:left w:w="57" w:type="dxa"/>
            </w:tcMar>
            <w:vAlign w:val="center"/>
          </w:tcPr>
          <w:p>
            <w:pPr>
              <w:ind w:right="-57"/>
            </w:pPr>
            <w:r>
              <w:t>Налоги на совокупный доход</w:t>
            </w:r>
          </w:p>
        </w:tc>
        <w:tc>
          <w:tcPr>
            <w:tcW w:w="1134" w:type="dxa"/>
            <w:tcBorders>
              <w:top w:val="single" w:sz="4" w:space="0" w:color="auto"/>
              <w:left w:val="nil"/>
              <w:bottom w:val="single" w:sz="4" w:space="0" w:color="auto"/>
              <w:right w:val="single" w:sz="4" w:space="0" w:color="auto"/>
            </w:tcBorders>
            <w:vAlign w:val="center"/>
          </w:tcPr>
          <w:p>
            <w:pPr>
              <w:jc w:val="right"/>
            </w:pPr>
            <w:r>
              <w:t>102 812,29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97 305,90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95 262,84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96 538,39</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1 275,55</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-6 273,90</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93,9</w:t>
            </w:r>
          </w:p>
        </w:tc>
      </w:tr>
      <w:tr>
        <w:trPr>
          <w:cantSplit/>
          <w:trHeight w:val="361"/>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Налоги на имущество</w:t>
            </w:r>
          </w:p>
        </w:tc>
        <w:tc>
          <w:tcPr>
            <w:tcW w:w="1134" w:type="dxa"/>
            <w:tcBorders>
              <w:top w:val="single" w:sz="4" w:space="0" w:color="auto"/>
              <w:left w:val="nil"/>
              <w:bottom w:val="single" w:sz="4" w:space="0" w:color="auto"/>
              <w:right w:val="single" w:sz="4" w:space="0" w:color="auto"/>
            </w:tcBorders>
            <w:vAlign w:val="center"/>
          </w:tcPr>
          <w:p>
            <w:pPr>
              <w:jc w:val="right"/>
            </w:pPr>
            <w:r>
              <w:t>140 889,74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146 376,00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135 198,00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138 430,29</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3 232,29</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-2 459,45</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98,3</w:t>
            </w:r>
          </w:p>
        </w:tc>
      </w:tr>
      <w:tr>
        <w:trPr>
          <w:cantSplit/>
          <w:trHeight w:val="29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Госпошлина</w:t>
            </w:r>
          </w:p>
        </w:tc>
        <w:tc>
          <w:tcPr>
            <w:tcW w:w="1134" w:type="dxa"/>
            <w:tcBorders>
              <w:top w:val="single" w:sz="4" w:space="0" w:color="auto"/>
              <w:left w:val="nil"/>
              <w:bottom w:val="single" w:sz="4" w:space="0" w:color="auto"/>
              <w:right w:val="single" w:sz="4" w:space="0" w:color="auto"/>
            </w:tcBorders>
            <w:vAlign w:val="center"/>
          </w:tcPr>
          <w:p>
            <w:pPr>
              <w:jc w:val="right"/>
            </w:pPr>
            <w:r>
              <w:t>13 485,36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13 996,80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13 996,80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13 866,14</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-130,66</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380,78</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102,8</w:t>
            </w:r>
          </w:p>
        </w:tc>
      </w:tr>
    </w:tbl>
    <w:p>
      <w:pPr>
        <w:ind w:firstLine="720"/>
        <w:jc w:val="both"/>
        <w:rPr>
          <w:sz w:val="16"/>
          <w:szCs w:val="16"/>
        </w:rPr>
      </w:pPr>
    </w:p>
    <w:p>
      <w:pPr>
        <w:ind w:firstLine="720"/>
        <w:jc w:val="both"/>
        <w:rPr>
          <w:sz w:val="24"/>
          <w:szCs w:val="24"/>
        </w:rPr>
      </w:pPr>
      <w:r>
        <w:rPr>
          <w:sz w:val="24"/>
          <w:szCs w:val="24"/>
        </w:rPr>
        <w:t>По сравнению с 2019 годом поступление налоговых доходов в бюджет ЗАТО Северск увеличилось на 34 583,46 тыс.руб., что составило 103,6%. Рост налоговых доходов к уровню 2019 года произошел по налогу на доходы физических лиц.</w:t>
      </w:r>
    </w:p>
    <w:p>
      <w:pPr>
        <w:ind w:firstLine="720"/>
        <w:jc w:val="both"/>
        <w:rPr>
          <w:sz w:val="24"/>
          <w:szCs w:val="24"/>
          <w:highlight w:val="yellow"/>
        </w:rPr>
      </w:pPr>
    </w:p>
    <w:p>
      <w:pPr>
        <w:jc w:val="center"/>
        <w:rPr>
          <w:color w:val="FF0000"/>
          <w:sz w:val="24"/>
          <w:szCs w:val="24"/>
          <w:highlight w:val="yellow"/>
        </w:rPr>
      </w:pPr>
      <w:r>
        <w:rPr>
          <w:noProof/>
          <w:highlight w:val="yellow"/>
        </w:rPr>
        <w:drawing>
          <wp:inline distT="0" distB="0" distL="0" distR="0">
            <wp:extent cx="5313045" cy="2487827"/>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jc w:val="center"/>
        <w:rPr>
          <w:sz w:val="24"/>
          <w:szCs w:val="24"/>
        </w:rPr>
      </w:pPr>
      <w:r>
        <w:rPr>
          <w:sz w:val="24"/>
          <w:szCs w:val="24"/>
        </w:rPr>
        <w:t xml:space="preserve">Рисунок 5. Динамика поступлений налоговых доходов в 2019 и 2020 годах </w:t>
      </w:r>
    </w:p>
    <w:p>
      <w:pPr>
        <w:jc w:val="center"/>
        <w:rPr>
          <w:sz w:val="24"/>
          <w:szCs w:val="24"/>
        </w:rPr>
      </w:pPr>
    </w:p>
    <w:p>
      <w:pPr>
        <w:ind w:firstLine="708"/>
        <w:jc w:val="both"/>
        <w:rPr>
          <w:sz w:val="24"/>
          <w:szCs w:val="24"/>
        </w:rPr>
      </w:pPr>
      <w:r>
        <w:rPr>
          <w:sz w:val="24"/>
          <w:szCs w:val="24"/>
        </w:rPr>
        <w:t>По налоговым доходам отмечается положительная динамика сокращения задолженности по сравнению с 2019 годом по всем видам налоговых доходов бюджета ЗАТО Северск (основное сокращение – по налогам на совокупный доход). Сокращение задолженности обусловлено частичной оплатой налогоплательщиками, а также списанием по основаниям, предусмотренным статьей 59 Налогового кодекса Российской Федерации.</w:t>
      </w:r>
    </w:p>
    <w:p>
      <w:pPr>
        <w:spacing w:before="120" w:after="60"/>
        <w:ind w:right="45" w:firstLine="720"/>
        <w:jc w:val="both"/>
        <w:rPr>
          <w:sz w:val="24"/>
          <w:szCs w:val="24"/>
        </w:rPr>
      </w:pPr>
      <w:r>
        <w:rPr>
          <w:sz w:val="24"/>
          <w:szCs w:val="24"/>
        </w:rPr>
        <w:t>Таблица 7. Задолженность по налоговым платежам в бюджет ЗАТО Северск за 2019 - 2020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61"/>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1</w:t>
            </w:r>
          </w:p>
        </w:tc>
        <w:tc>
          <w:tcPr>
            <w:tcW w:w="1418" w:type="dxa"/>
            <w:tcBorders>
              <w:top w:val="single" w:sz="4" w:space="0" w:color="auto"/>
              <w:left w:val="nil"/>
              <w:bottom w:val="single" w:sz="4" w:space="0" w:color="auto"/>
              <w:right w:val="single" w:sz="4" w:space="0" w:color="auto"/>
            </w:tcBorders>
            <w:vAlign w:val="center"/>
          </w:tcPr>
          <w:p>
            <w:pPr>
              <w:jc w:val="cente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center"/>
            </w:pPr>
            <w:r>
              <w:t>3</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center"/>
            </w:pPr>
            <w: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5</w:t>
            </w:r>
          </w:p>
        </w:tc>
      </w:tr>
      <w:tr>
        <w:trPr>
          <w:cantSplit/>
          <w:trHeight w:val="361"/>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Всего по налоговым доходам, из них:</w:t>
            </w:r>
          </w:p>
        </w:tc>
        <w:tc>
          <w:tcPr>
            <w:tcW w:w="1418" w:type="dxa"/>
            <w:tcBorders>
              <w:top w:val="single" w:sz="4" w:space="0" w:color="auto"/>
              <w:left w:val="nil"/>
              <w:bottom w:val="single" w:sz="4" w:space="0" w:color="auto"/>
              <w:right w:val="single" w:sz="4" w:space="0" w:color="auto"/>
            </w:tcBorders>
            <w:vAlign w:val="center"/>
          </w:tcPr>
          <w:p>
            <w:pPr>
              <w:jc w:val="right"/>
            </w:pPr>
            <w:r>
              <w:t>30 946,3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28 270,1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-2 676,2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91,4</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НДФЛ (по нормативу 25%)</w:t>
            </w:r>
          </w:p>
        </w:tc>
        <w:tc>
          <w:tcPr>
            <w:tcW w:w="1418" w:type="dxa"/>
            <w:tcBorders>
              <w:top w:val="single" w:sz="4" w:space="0" w:color="auto"/>
              <w:left w:val="nil"/>
              <w:bottom w:val="single" w:sz="4" w:space="0" w:color="auto"/>
              <w:right w:val="single" w:sz="4" w:space="0" w:color="auto"/>
            </w:tcBorders>
            <w:vAlign w:val="center"/>
          </w:tcPr>
          <w:p>
            <w:pPr>
              <w:jc w:val="right"/>
            </w:pPr>
            <w:r>
              <w:t>11 584,5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11 265,4</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-319,1</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97,2</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Налоги на совокупный доход</w:t>
            </w:r>
          </w:p>
        </w:tc>
        <w:tc>
          <w:tcPr>
            <w:tcW w:w="1418" w:type="dxa"/>
            <w:tcBorders>
              <w:top w:val="single" w:sz="4" w:space="0" w:color="auto"/>
              <w:left w:val="nil"/>
              <w:bottom w:val="single" w:sz="4" w:space="0" w:color="auto"/>
              <w:right w:val="single" w:sz="4" w:space="0" w:color="auto"/>
            </w:tcBorders>
            <w:vAlign w:val="center"/>
          </w:tcPr>
          <w:p>
            <w:pPr>
              <w:jc w:val="right"/>
            </w:pPr>
            <w:r>
              <w:t>4 739,9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3 141,2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-1 598,7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66,3</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Налоги на имущество</w:t>
            </w:r>
          </w:p>
        </w:tc>
        <w:tc>
          <w:tcPr>
            <w:tcW w:w="1418" w:type="dxa"/>
            <w:tcBorders>
              <w:top w:val="single" w:sz="4" w:space="0" w:color="auto"/>
              <w:left w:val="nil"/>
              <w:bottom w:val="single" w:sz="4" w:space="0" w:color="auto"/>
              <w:right w:val="single" w:sz="4" w:space="0" w:color="auto"/>
            </w:tcBorders>
            <w:vAlign w:val="center"/>
          </w:tcPr>
          <w:p>
            <w:pPr>
              <w:jc w:val="right"/>
            </w:pPr>
            <w:r>
              <w:t>14 617,0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13 858,6</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-758,4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94,8</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Задолженность и перерасчеты по налогам…</w:t>
            </w:r>
          </w:p>
        </w:tc>
        <w:tc>
          <w:tcPr>
            <w:tcW w:w="1418" w:type="dxa"/>
            <w:tcBorders>
              <w:top w:val="single" w:sz="4" w:space="0" w:color="auto"/>
              <w:left w:val="nil"/>
              <w:bottom w:val="single" w:sz="4" w:space="0" w:color="auto"/>
              <w:right w:val="single" w:sz="4" w:space="0" w:color="auto"/>
            </w:tcBorders>
            <w:vAlign w:val="center"/>
          </w:tcPr>
          <w:p>
            <w:pPr>
              <w:jc w:val="right"/>
            </w:pPr>
            <w:r>
              <w:t>4,9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4,9</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0,0</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100,0</w:t>
            </w:r>
          </w:p>
        </w:tc>
      </w:tr>
    </w:tbl>
    <w:p>
      <w:pPr>
        <w:spacing w:after="120"/>
        <w:jc w:val="center"/>
        <w:rPr>
          <w:b/>
        </w:rPr>
      </w:pPr>
    </w:p>
    <w:p>
      <w:pPr>
        <w:spacing w:after="240"/>
        <w:jc w:val="center"/>
        <w:rPr>
          <w:b/>
          <w:sz w:val="24"/>
          <w:szCs w:val="24"/>
        </w:rPr>
      </w:pPr>
      <w:r>
        <w:rPr>
          <w:b/>
          <w:sz w:val="24"/>
          <w:szCs w:val="24"/>
        </w:rPr>
        <w:t>3.1.1. Налог на доходы физических лиц</w:t>
      </w:r>
    </w:p>
    <w:p>
      <w:pPr>
        <w:ind w:firstLine="720"/>
        <w:jc w:val="both"/>
        <w:rPr>
          <w:sz w:val="24"/>
          <w:szCs w:val="24"/>
        </w:rPr>
      </w:pPr>
      <w:r>
        <w:rPr>
          <w:sz w:val="24"/>
          <w:szCs w:val="24"/>
        </w:rPr>
        <w:t>Налог на доходы физических лиц – один из основных источников доходов бюджета с территории ЗАТО Северск. Удельный вес статьи в общей структуре фактически поступивших доходов составляет 16,0%, налоговых и неналоговых доходах – 66,5%.</w:t>
      </w:r>
    </w:p>
    <w:p>
      <w:pPr>
        <w:shd w:val="clear" w:color="auto" w:fill="FFFFFF"/>
        <w:ind w:firstLine="720"/>
        <w:jc w:val="both"/>
        <w:rPr>
          <w:sz w:val="24"/>
          <w:szCs w:val="24"/>
        </w:rPr>
      </w:pPr>
      <w:r>
        <w:rPr>
          <w:sz w:val="24"/>
          <w:szCs w:val="24"/>
        </w:rPr>
        <w:t>При прогнозной сумме поступлений 738 197,74 тыс.руб., фактически в бюджет поступило 747 716,04 тыс.руб., перевыполнение на 9 518,30 тыс.руб. или на 1,3%.</w:t>
      </w:r>
    </w:p>
    <w:p>
      <w:pPr>
        <w:spacing w:before="120" w:after="60"/>
        <w:ind w:firstLine="720"/>
        <w:jc w:val="both"/>
        <w:rPr>
          <w:sz w:val="24"/>
          <w:szCs w:val="24"/>
        </w:rPr>
      </w:pPr>
    </w:p>
    <w:p>
      <w:pPr>
        <w:spacing w:before="120" w:after="60"/>
        <w:ind w:firstLine="720"/>
        <w:jc w:val="both"/>
        <w:rPr>
          <w:sz w:val="24"/>
          <w:szCs w:val="24"/>
        </w:rPr>
      </w:pPr>
    </w:p>
    <w:p>
      <w:pPr>
        <w:spacing w:before="120" w:after="60"/>
        <w:ind w:firstLine="720"/>
        <w:jc w:val="both"/>
        <w:rPr>
          <w:sz w:val="24"/>
          <w:szCs w:val="24"/>
        </w:rPr>
      </w:pPr>
    </w:p>
    <w:p>
      <w:pPr>
        <w:spacing w:before="120" w:after="60"/>
        <w:ind w:firstLine="720"/>
        <w:jc w:val="both"/>
        <w:rPr>
          <w:sz w:val="24"/>
          <w:szCs w:val="24"/>
        </w:rPr>
      </w:pPr>
    </w:p>
    <w:p>
      <w:pPr>
        <w:spacing w:before="120" w:after="60"/>
        <w:ind w:firstLine="720"/>
        <w:jc w:val="both"/>
        <w:rPr>
          <w:sz w:val="24"/>
          <w:szCs w:val="24"/>
        </w:rPr>
      </w:pPr>
    </w:p>
    <w:p>
      <w:pPr>
        <w:spacing w:before="120" w:after="60"/>
        <w:ind w:firstLine="720"/>
        <w:jc w:val="both"/>
        <w:rPr>
          <w:sz w:val="24"/>
          <w:szCs w:val="24"/>
        </w:rPr>
      </w:pPr>
      <w:r>
        <w:rPr>
          <w:sz w:val="24"/>
          <w:szCs w:val="24"/>
        </w:rPr>
        <w:lastRenderedPageBreak/>
        <w:t>Таблица 8. Анализ поступления доходов по подстатьям НДФЛ за 2019 - 2020 гг.</w:t>
      </w:r>
    </w:p>
    <w:tbl>
      <w:tblPr>
        <w:tblW w:w="9510" w:type="dxa"/>
        <w:tblInd w:w="96" w:type="dxa"/>
        <w:tblLayout w:type="fixed"/>
        <w:tblLook w:val="0000" w:firstRow="0" w:lastRow="0" w:firstColumn="0" w:lastColumn="0" w:noHBand="0" w:noVBand="0"/>
      </w:tblPr>
      <w:tblGrid>
        <w:gridCol w:w="3414"/>
        <w:gridCol w:w="1134"/>
        <w:gridCol w:w="993"/>
        <w:gridCol w:w="1134"/>
        <w:gridCol w:w="1134"/>
        <w:gridCol w:w="992"/>
        <w:gridCol w:w="709"/>
      </w:tblGrid>
      <w:tr>
        <w:trPr>
          <w:trHeight w:val="274"/>
        </w:trPr>
        <w:tc>
          <w:tcPr>
            <w:tcW w:w="3414" w:type="dxa"/>
            <w:vMerge w:val="restart"/>
            <w:tcBorders>
              <w:top w:val="single" w:sz="4" w:space="0" w:color="auto"/>
              <w:left w:val="single" w:sz="4" w:space="0" w:color="auto"/>
              <w:right w:val="single" w:sz="4" w:space="0" w:color="auto"/>
            </w:tcBorders>
            <w:shd w:val="clear" w:color="auto" w:fill="auto"/>
            <w:vAlign w:val="center"/>
          </w:tcPr>
          <w:p>
            <w:pPr>
              <w:jc w:val="center"/>
              <w:rPr>
                <w:bCs/>
                <w:iCs/>
              </w:rPr>
            </w:pPr>
            <w:r>
              <w:rPr>
                <w:bCs/>
                <w:iCs/>
              </w:rPr>
              <w:t>Наименование</w:t>
            </w:r>
          </w:p>
        </w:tc>
        <w:tc>
          <w:tcPr>
            <w:tcW w:w="1134" w:type="dxa"/>
            <w:vMerge w:val="restart"/>
            <w:tcBorders>
              <w:top w:val="single" w:sz="4" w:space="0" w:color="auto"/>
              <w:left w:val="single" w:sz="4" w:space="0" w:color="auto"/>
              <w:right w:val="single" w:sz="4" w:space="0" w:color="auto"/>
            </w:tcBorders>
            <w:vAlign w:val="center"/>
          </w:tcPr>
          <w:p>
            <w:pPr>
              <w:ind w:left="-158" w:right="-108"/>
              <w:jc w:val="center"/>
            </w:pPr>
            <w:r>
              <w:t xml:space="preserve">Факт </w:t>
            </w:r>
          </w:p>
          <w:p>
            <w:pPr>
              <w:ind w:left="-158" w:right="-108"/>
              <w:jc w:val="center"/>
            </w:pPr>
            <w:r>
              <w:t>2019 год, тыс.руб.</w:t>
            </w:r>
          </w:p>
        </w:tc>
        <w:tc>
          <w:tcPr>
            <w:tcW w:w="4962" w:type="dxa"/>
            <w:gridSpan w:val="5"/>
            <w:tcBorders>
              <w:top w:val="single" w:sz="4" w:space="0" w:color="auto"/>
              <w:left w:val="single" w:sz="4" w:space="0" w:color="auto"/>
              <w:bottom w:val="single" w:sz="4" w:space="0" w:color="auto"/>
              <w:right w:val="single" w:sz="4" w:space="0" w:color="auto"/>
            </w:tcBorders>
            <w:vAlign w:val="center"/>
          </w:tcPr>
          <w:p>
            <w:pPr>
              <w:tabs>
                <w:tab w:val="left" w:pos="-192"/>
                <w:tab w:val="left" w:pos="-77"/>
              </w:tabs>
              <w:ind w:left="-108" w:right="-108"/>
              <w:jc w:val="center"/>
            </w:pPr>
            <w:r>
              <w:t>2020 год</w:t>
            </w:r>
          </w:p>
        </w:tc>
      </w:tr>
      <w:tr>
        <w:trPr>
          <w:trHeight w:val="871"/>
        </w:trPr>
        <w:tc>
          <w:tcPr>
            <w:tcW w:w="3414" w:type="dxa"/>
            <w:vMerge/>
            <w:tcBorders>
              <w:left w:val="single" w:sz="4" w:space="0" w:color="auto"/>
              <w:bottom w:val="single" w:sz="4" w:space="0" w:color="auto"/>
              <w:right w:val="single" w:sz="4" w:space="0" w:color="auto"/>
            </w:tcBorders>
            <w:shd w:val="clear" w:color="auto" w:fill="auto"/>
            <w:vAlign w:val="center"/>
          </w:tcPr>
          <w:p>
            <w:pPr>
              <w:jc w:val="center"/>
              <w:rPr>
                <w:bCs/>
                <w:iCs/>
              </w:rPr>
            </w:pPr>
          </w:p>
        </w:tc>
        <w:tc>
          <w:tcPr>
            <w:tcW w:w="1134" w:type="dxa"/>
            <w:vMerge/>
            <w:tcBorders>
              <w:left w:val="single" w:sz="4" w:space="0" w:color="auto"/>
              <w:bottom w:val="single" w:sz="4" w:space="0" w:color="auto"/>
              <w:right w:val="single" w:sz="4" w:space="0" w:color="auto"/>
            </w:tcBorders>
            <w:vAlign w:val="center"/>
          </w:tcPr>
          <w:p>
            <w:pPr>
              <w:ind w:left="-158" w:right="-108"/>
              <w:jc w:val="center"/>
            </w:pPr>
          </w:p>
        </w:tc>
        <w:tc>
          <w:tcPr>
            <w:tcW w:w="993" w:type="dxa"/>
            <w:tcBorders>
              <w:top w:val="single" w:sz="4" w:space="0" w:color="auto"/>
              <w:left w:val="single" w:sz="4" w:space="0" w:color="auto"/>
              <w:bottom w:val="single" w:sz="4" w:space="0" w:color="auto"/>
              <w:right w:val="single" w:sz="4" w:space="0" w:color="auto"/>
            </w:tcBorders>
          </w:tcPr>
          <w:p>
            <w:pPr>
              <w:ind w:left="-158" w:right="-108"/>
              <w:jc w:val="center"/>
            </w:pPr>
            <w:r>
              <w:t>Первона-чальный прогноз, 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992"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709"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trHeight w:val="209"/>
        </w:trPr>
        <w:tc>
          <w:tcPr>
            <w:tcW w:w="3414" w:type="dxa"/>
            <w:tcBorders>
              <w:top w:val="nil"/>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ind w:left="-158" w:right="-108"/>
              <w:jc w:val="center"/>
              <w:rPr>
                <w:sz w:val="16"/>
                <w:szCs w:val="16"/>
              </w:rPr>
            </w:pPr>
            <w:r>
              <w:rPr>
                <w:sz w:val="16"/>
                <w:szCs w:val="16"/>
              </w:rPr>
              <w:t>2</w:t>
            </w:r>
          </w:p>
        </w:tc>
        <w:tc>
          <w:tcPr>
            <w:tcW w:w="993" w:type="dxa"/>
            <w:tcBorders>
              <w:top w:val="single" w:sz="4" w:space="0" w:color="auto"/>
              <w:left w:val="single" w:sz="4" w:space="0" w:color="auto"/>
              <w:bottom w:val="single" w:sz="4" w:space="0" w:color="auto"/>
              <w:right w:val="single" w:sz="4" w:space="0" w:color="auto"/>
            </w:tcBorders>
            <w:vAlign w:val="center"/>
          </w:tcPr>
          <w:p>
            <w:pPr>
              <w:ind w:left="-158" w:right="-108"/>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58" w:right="-108"/>
              <w:jc w:val="center"/>
              <w:rPr>
                <w:sz w:val="16"/>
                <w:szCs w:val="16"/>
              </w:rPr>
            </w:pPr>
            <w:r>
              <w:rPr>
                <w:sz w:val="16"/>
                <w:szCs w:val="16"/>
              </w:rPr>
              <w:t>4</w:t>
            </w:r>
          </w:p>
        </w:tc>
        <w:tc>
          <w:tcPr>
            <w:tcW w:w="1134" w:type="dxa"/>
            <w:tcBorders>
              <w:top w:val="nil"/>
              <w:left w:val="nil"/>
              <w:bottom w:val="single" w:sz="4" w:space="0" w:color="auto"/>
              <w:right w:val="single" w:sz="4" w:space="0" w:color="auto"/>
            </w:tcBorders>
            <w:shd w:val="clear" w:color="auto" w:fill="auto"/>
            <w:noWrap/>
            <w:vAlign w:val="center"/>
          </w:tcPr>
          <w:p>
            <w:pPr>
              <w:ind w:left="-108" w:right="-108"/>
              <w:jc w:val="center"/>
              <w:rPr>
                <w:sz w:val="16"/>
                <w:szCs w:val="16"/>
              </w:rPr>
            </w:pPr>
            <w:r>
              <w:rPr>
                <w:sz w:val="16"/>
                <w:szCs w:val="16"/>
              </w:rPr>
              <w:t>5</w:t>
            </w:r>
          </w:p>
        </w:tc>
        <w:tc>
          <w:tcPr>
            <w:tcW w:w="992" w:type="dxa"/>
            <w:tcBorders>
              <w:top w:val="nil"/>
              <w:left w:val="nil"/>
              <w:bottom w:val="single" w:sz="4" w:space="0" w:color="auto"/>
              <w:right w:val="single" w:sz="4" w:space="0" w:color="auto"/>
            </w:tcBorders>
            <w:shd w:val="clear" w:color="auto" w:fill="auto"/>
            <w:noWrap/>
            <w:vAlign w:val="center"/>
          </w:tcPr>
          <w:p>
            <w:pPr>
              <w:ind w:left="-76" w:right="-148"/>
              <w:jc w:val="center"/>
              <w:rPr>
                <w:sz w:val="16"/>
                <w:szCs w:val="16"/>
              </w:rPr>
            </w:pPr>
            <w:r>
              <w:rPr>
                <w:sz w:val="16"/>
                <w:szCs w:val="16"/>
              </w:rPr>
              <w:t>6=5-4</w:t>
            </w:r>
          </w:p>
        </w:tc>
        <w:tc>
          <w:tcPr>
            <w:tcW w:w="709" w:type="dxa"/>
            <w:tcBorders>
              <w:top w:val="nil"/>
              <w:left w:val="nil"/>
              <w:bottom w:val="single" w:sz="4" w:space="0" w:color="auto"/>
              <w:right w:val="single" w:sz="4" w:space="0" w:color="auto"/>
            </w:tcBorders>
            <w:shd w:val="clear" w:color="auto" w:fill="auto"/>
            <w:noWrap/>
            <w:vAlign w:val="center"/>
          </w:tcPr>
          <w:p>
            <w:pPr>
              <w:ind w:right="-108"/>
              <w:jc w:val="center"/>
              <w:rPr>
                <w:sz w:val="16"/>
                <w:szCs w:val="16"/>
              </w:rPr>
            </w:pPr>
            <w:r>
              <w:rPr>
                <w:sz w:val="16"/>
                <w:szCs w:val="16"/>
              </w:rPr>
              <w:t>7=5/4</w:t>
            </w:r>
          </w:p>
        </w:tc>
      </w:tr>
      <w:tr>
        <w:trPr>
          <w:trHeight w:val="516"/>
        </w:trPr>
        <w:tc>
          <w:tcPr>
            <w:tcW w:w="3414" w:type="dxa"/>
            <w:tcBorders>
              <w:top w:val="nil"/>
              <w:left w:val="single" w:sz="4" w:space="0" w:color="auto"/>
              <w:bottom w:val="single" w:sz="4" w:space="0" w:color="auto"/>
              <w:right w:val="single" w:sz="4" w:space="0" w:color="auto"/>
            </w:tcBorders>
            <w:shd w:val="clear" w:color="auto" w:fill="auto"/>
            <w:vAlign w:val="center"/>
          </w:tcPr>
          <w:p>
            <w:pPr>
              <w:jc w:val="both"/>
              <w:rPr>
                <w:b/>
              </w:rPr>
            </w:pPr>
            <w:r>
              <w:rPr>
                <w:b/>
                <w:bCs/>
              </w:rPr>
              <w:t>Налог на доходы физических лиц (НДФЛ) - всего</w:t>
            </w:r>
          </w:p>
        </w:tc>
        <w:tc>
          <w:tcPr>
            <w:tcW w:w="1134" w:type="dxa"/>
            <w:tcBorders>
              <w:top w:val="single" w:sz="4" w:space="0" w:color="auto"/>
              <w:left w:val="nil"/>
              <w:bottom w:val="single" w:sz="4" w:space="0" w:color="auto"/>
              <w:right w:val="single" w:sz="4" w:space="0" w:color="auto"/>
            </w:tcBorders>
            <w:vAlign w:val="center"/>
          </w:tcPr>
          <w:p>
            <w:pPr>
              <w:jc w:val="right"/>
              <w:rPr>
                <w:b/>
              </w:rPr>
            </w:pPr>
            <w:r>
              <w:rPr>
                <w:b/>
              </w:rPr>
              <w:t>704 442,68</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rPr>
                <w:b/>
              </w:rPr>
            </w:pPr>
            <w:r>
              <w:rPr>
                <w:b/>
              </w:rPr>
              <w:t>724 442,08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59" w:right="-57"/>
              <w:jc w:val="right"/>
              <w:rPr>
                <w:b/>
              </w:rPr>
            </w:pPr>
            <w:r>
              <w:rPr>
                <w:b/>
              </w:rPr>
              <w:t>738 197,74</w:t>
            </w:r>
          </w:p>
        </w:tc>
        <w:tc>
          <w:tcPr>
            <w:tcW w:w="1134" w:type="dxa"/>
            <w:tcBorders>
              <w:top w:val="nil"/>
              <w:left w:val="nil"/>
              <w:bottom w:val="single" w:sz="4" w:space="0" w:color="auto"/>
              <w:right w:val="single" w:sz="4" w:space="0" w:color="auto"/>
            </w:tcBorders>
            <w:shd w:val="clear" w:color="auto" w:fill="auto"/>
            <w:noWrap/>
            <w:vAlign w:val="center"/>
          </w:tcPr>
          <w:p>
            <w:pPr>
              <w:ind w:left="-159" w:right="-57"/>
              <w:jc w:val="right"/>
              <w:rPr>
                <w:b/>
              </w:rPr>
            </w:pPr>
            <w:r>
              <w:rPr>
                <w:b/>
              </w:rPr>
              <w:t>747 716,04</w:t>
            </w:r>
          </w:p>
        </w:tc>
        <w:tc>
          <w:tcPr>
            <w:tcW w:w="992" w:type="dxa"/>
            <w:tcBorders>
              <w:top w:val="nil"/>
              <w:left w:val="nil"/>
              <w:bottom w:val="single" w:sz="4" w:space="0" w:color="auto"/>
              <w:right w:val="single" w:sz="4" w:space="0" w:color="auto"/>
            </w:tcBorders>
            <w:shd w:val="clear" w:color="auto" w:fill="auto"/>
            <w:noWrap/>
            <w:vAlign w:val="center"/>
          </w:tcPr>
          <w:p>
            <w:pPr>
              <w:ind w:left="-159" w:right="-57"/>
              <w:jc w:val="right"/>
              <w:rPr>
                <w:b/>
              </w:rPr>
            </w:pPr>
            <w:r>
              <w:rPr>
                <w:b/>
              </w:rPr>
              <w:t>9 518,30</w:t>
            </w:r>
          </w:p>
        </w:tc>
        <w:tc>
          <w:tcPr>
            <w:tcW w:w="709" w:type="dxa"/>
            <w:tcBorders>
              <w:top w:val="nil"/>
              <w:left w:val="nil"/>
              <w:bottom w:val="single" w:sz="4" w:space="0" w:color="auto"/>
              <w:right w:val="single" w:sz="4" w:space="0" w:color="auto"/>
            </w:tcBorders>
            <w:shd w:val="clear" w:color="auto" w:fill="auto"/>
            <w:noWrap/>
            <w:vAlign w:val="center"/>
          </w:tcPr>
          <w:p>
            <w:pPr>
              <w:ind w:left="-57" w:right="-57"/>
              <w:jc w:val="center"/>
              <w:rPr>
                <w:b/>
              </w:rPr>
            </w:pPr>
            <w:r>
              <w:rPr>
                <w:b/>
              </w:rPr>
              <w:t>101,3</w:t>
            </w:r>
          </w:p>
        </w:tc>
      </w:tr>
      <w:tr>
        <w:trPr>
          <w:trHeight w:val="382"/>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pPr>
              <w:jc w:val="both"/>
            </w:pPr>
            <w:r>
              <w:t>НДФЛ с доходов в соответствии со статьями 227, 227.1 и 228 НК РФ</w:t>
            </w:r>
          </w:p>
        </w:tc>
        <w:tc>
          <w:tcPr>
            <w:tcW w:w="1134" w:type="dxa"/>
            <w:tcBorders>
              <w:top w:val="single" w:sz="4" w:space="0" w:color="auto"/>
              <w:left w:val="nil"/>
              <w:bottom w:val="single" w:sz="4" w:space="0" w:color="auto"/>
              <w:right w:val="single" w:sz="4" w:space="0" w:color="auto"/>
            </w:tcBorders>
            <w:vAlign w:val="center"/>
          </w:tcPr>
          <w:p>
            <w:pPr>
              <w:jc w:val="right"/>
            </w:pPr>
            <w:r>
              <w:t>695 134,28</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pPr>
            <w:r>
              <w:t>715 754,91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59" w:right="-57"/>
              <w:jc w:val="right"/>
            </w:pPr>
            <w:r>
              <w:t>728 938,51</w:t>
            </w:r>
          </w:p>
        </w:tc>
        <w:tc>
          <w:tcPr>
            <w:tcW w:w="1134"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738 516,09</w:t>
            </w:r>
          </w:p>
        </w:tc>
        <w:tc>
          <w:tcPr>
            <w:tcW w:w="992"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9 577,58</w:t>
            </w:r>
          </w:p>
        </w:tc>
        <w:tc>
          <w:tcPr>
            <w:tcW w:w="709" w:type="dxa"/>
            <w:tcBorders>
              <w:top w:val="single" w:sz="4" w:space="0" w:color="auto"/>
              <w:left w:val="nil"/>
              <w:bottom w:val="single" w:sz="4" w:space="0" w:color="auto"/>
              <w:right w:val="single" w:sz="4" w:space="0" w:color="auto"/>
            </w:tcBorders>
            <w:shd w:val="clear" w:color="auto" w:fill="auto"/>
            <w:noWrap/>
            <w:vAlign w:val="center"/>
          </w:tcPr>
          <w:p>
            <w:pPr>
              <w:ind w:left="-57" w:right="-57"/>
              <w:jc w:val="center"/>
            </w:pPr>
            <w:r>
              <w:t>101,3</w:t>
            </w:r>
          </w:p>
        </w:tc>
      </w:tr>
      <w:tr>
        <w:trPr>
          <w:trHeight w:val="468"/>
        </w:trPr>
        <w:tc>
          <w:tcPr>
            <w:tcW w:w="3414" w:type="dxa"/>
            <w:tcBorders>
              <w:top w:val="nil"/>
              <w:left w:val="single" w:sz="4" w:space="0" w:color="auto"/>
              <w:bottom w:val="single" w:sz="4" w:space="0" w:color="auto"/>
              <w:right w:val="single" w:sz="4" w:space="0" w:color="auto"/>
            </w:tcBorders>
            <w:shd w:val="clear" w:color="auto" w:fill="auto"/>
            <w:vAlign w:val="center"/>
          </w:tcPr>
          <w:p>
            <w:pPr>
              <w:jc w:val="both"/>
            </w:pPr>
            <w:r>
              <w:t xml:space="preserve">НДФЛ с доходов… индивидуальных предпринимателей, нотариусов… </w:t>
            </w:r>
          </w:p>
        </w:tc>
        <w:tc>
          <w:tcPr>
            <w:tcW w:w="1134" w:type="dxa"/>
            <w:tcBorders>
              <w:top w:val="single" w:sz="4" w:space="0" w:color="auto"/>
              <w:left w:val="nil"/>
              <w:bottom w:val="single" w:sz="4" w:space="0" w:color="auto"/>
              <w:right w:val="single" w:sz="4" w:space="0" w:color="auto"/>
            </w:tcBorders>
            <w:vAlign w:val="center"/>
          </w:tcPr>
          <w:p>
            <w:pPr>
              <w:jc w:val="right"/>
            </w:pPr>
            <w:r>
              <w:t>2 551,73</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pPr>
            <w:r>
              <w:t>2 621,40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59" w:right="-57"/>
              <w:jc w:val="right"/>
            </w:pPr>
            <w:r>
              <w:t>4 385,46</w:t>
            </w:r>
          </w:p>
        </w:tc>
        <w:tc>
          <w:tcPr>
            <w:tcW w:w="1134" w:type="dxa"/>
            <w:tcBorders>
              <w:top w:val="nil"/>
              <w:left w:val="nil"/>
              <w:bottom w:val="single" w:sz="4" w:space="0" w:color="auto"/>
              <w:right w:val="single" w:sz="4" w:space="0" w:color="auto"/>
            </w:tcBorders>
            <w:shd w:val="clear" w:color="auto" w:fill="auto"/>
            <w:noWrap/>
            <w:vAlign w:val="center"/>
          </w:tcPr>
          <w:p>
            <w:pPr>
              <w:ind w:left="-159" w:right="-57"/>
              <w:jc w:val="right"/>
            </w:pPr>
            <w:r>
              <w:t>4 421,29</w:t>
            </w:r>
          </w:p>
        </w:tc>
        <w:tc>
          <w:tcPr>
            <w:tcW w:w="992" w:type="dxa"/>
            <w:tcBorders>
              <w:top w:val="nil"/>
              <w:left w:val="nil"/>
              <w:bottom w:val="single" w:sz="4" w:space="0" w:color="auto"/>
              <w:right w:val="single" w:sz="4" w:space="0" w:color="auto"/>
            </w:tcBorders>
            <w:shd w:val="clear" w:color="auto" w:fill="auto"/>
            <w:noWrap/>
            <w:vAlign w:val="center"/>
          </w:tcPr>
          <w:p>
            <w:pPr>
              <w:ind w:left="-159" w:right="-57"/>
              <w:jc w:val="right"/>
            </w:pPr>
            <w:r>
              <w:t>35,83</w:t>
            </w:r>
          </w:p>
        </w:tc>
        <w:tc>
          <w:tcPr>
            <w:tcW w:w="709" w:type="dxa"/>
            <w:tcBorders>
              <w:top w:val="nil"/>
              <w:left w:val="nil"/>
              <w:bottom w:val="single" w:sz="4" w:space="0" w:color="auto"/>
              <w:right w:val="single" w:sz="4" w:space="0" w:color="auto"/>
            </w:tcBorders>
            <w:shd w:val="clear" w:color="auto" w:fill="auto"/>
            <w:noWrap/>
            <w:vAlign w:val="center"/>
          </w:tcPr>
          <w:p>
            <w:pPr>
              <w:ind w:left="-57" w:right="-57"/>
              <w:jc w:val="center"/>
            </w:pPr>
            <w:r>
              <w:t>100,8</w:t>
            </w:r>
          </w:p>
        </w:tc>
      </w:tr>
      <w:tr>
        <w:trPr>
          <w:trHeight w:val="424"/>
        </w:trPr>
        <w:tc>
          <w:tcPr>
            <w:tcW w:w="3414" w:type="dxa"/>
            <w:tcBorders>
              <w:top w:val="nil"/>
              <w:left w:val="single" w:sz="4" w:space="0" w:color="auto"/>
              <w:bottom w:val="single" w:sz="4" w:space="0" w:color="auto"/>
              <w:right w:val="single" w:sz="4" w:space="0" w:color="auto"/>
            </w:tcBorders>
            <w:shd w:val="clear" w:color="auto" w:fill="auto"/>
            <w:vAlign w:val="center"/>
          </w:tcPr>
          <w:p>
            <w:pPr>
              <w:jc w:val="both"/>
            </w:pPr>
            <w:r>
              <w:t>НДФЛ с доходов в соответствии со статьей 228 НК РФ</w:t>
            </w:r>
          </w:p>
        </w:tc>
        <w:tc>
          <w:tcPr>
            <w:tcW w:w="1134" w:type="dxa"/>
            <w:tcBorders>
              <w:top w:val="single" w:sz="4" w:space="0" w:color="auto"/>
              <w:left w:val="nil"/>
              <w:bottom w:val="single" w:sz="4" w:space="0" w:color="auto"/>
              <w:right w:val="single" w:sz="4" w:space="0" w:color="auto"/>
            </w:tcBorders>
            <w:vAlign w:val="center"/>
          </w:tcPr>
          <w:p>
            <w:pPr>
              <w:jc w:val="right"/>
            </w:pPr>
            <w:r>
              <w:t>6 764,16</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pPr>
            <w:r>
              <w:t>6 065,77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59" w:right="-57"/>
              <w:jc w:val="right"/>
            </w:pPr>
            <w:r>
              <w:t>4 873,77</w:t>
            </w:r>
          </w:p>
        </w:tc>
        <w:tc>
          <w:tcPr>
            <w:tcW w:w="1134" w:type="dxa"/>
            <w:tcBorders>
              <w:top w:val="nil"/>
              <w:left w:val="nil"/>
              <w:bottom w:val="single" w:sz="4" w:space="0" w:color="auto"/>
              <w:right w:val="single" w:sz="4" w:space="0" w:color="auto"/>
            </w:tcBorders>
            <w:shd w:val="clear" w:color="auto" w:fill="auto"/>
            <w:noWrap/>
            <w:vAlign w:val="center"/>
          </w:tcPr>
          <w:p>
            <w:pPr>
              <w:ind w:left="-159" w:right="-57"/>
              <w:jc w:val="right"/>
            </w:pPr>
            <w:r>
              <w:t>4 777,08</w:t>
            </w:r>
          </w:p>
        </w:tc>
        <w:tc>
          <w:tcPr>
            <w:tcW w:w="992" w:type="dxa"/>
            <w:tcBorders>
              <w:top w:val="nil"/>
              <w:left w:val="nil"/>
              <w:bottom w:val="single" w:sz="4" w:space="0" w:color="auto"/>
              <w:right w:val="single" w:sz="4" w:space="0" w:color="auto"/>
            </w:tcBorders>
            <w:shd w:val="clear" w:color="auto" w:fill="auto"/>
            <w:noWrap/>
            <w:vAlign w:val="center"/>
          </w:tcPr>
          <w:p>
            <w:pPr>
              <w:ind w:left="-159" w:right="-57"/>
              <w:jc w:val="right"/>
            </w:pPr>
            <w:r>
              <w:t>-96,69</w:t>
            </w:r>
          </w:p>
        </w:tc>
        <w:tc>
          <w:tcPr>
            <w:tcW w:w="709" w:type="dxa"/>
            <w:tcBorders>
              <w:top w:val="nil"/>
              <w:left w:val="nil"/>
              <w:bottom w:val="single" w:sz="4" w:space="0" w:color="auto"/>
              <w:right w:val="single" w:sz="4" w:space="0" w:color="auto"/>
            </w:tcBorders>
            <w:shd w:val="clear" w:color="auto" w:fill="auto"/>
            <w:noWrap/>
            <w:vAlign w:val="center"/>
          </w:tcPr>
          <w:p>
            <w:pPr>
              <w:ind w:left="-57" w:right="-57"/>
              <w:jc w:val="center"/>
            </w:pPr>
            <w:r>
              <w:t>98,0</w:t>
            </w:r>
          </w:p>
        </w:tc>
      </w:tr>
      <w:tr>
        <w:trPr>
          <w:trHeight w:val="574"/>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pPr>
              <w:jc w:val="both"/>
            </w:pPr>
            <w:r>
              <w:t>НДФЛ с доходов, полученных физическими лицами, являющимися иностранными гражданами…</w:t>
            </w:r>
          </w:p>
        </w:tc>
        <w:tc>
          <w:tcPr>
            <w:tcW w:w="1134" w:type="dxa"/>
            <w:tcBorders>
              <w:top w:val="single" w:sz="4" w:space="0" w:color="auto"/>
              <w:left w:val="nil"/>
              <w:bottom w:val="single" w:sz="4" w:space="0" w:color="auto"/>
              <w:right w:val="single" w:sz="4" w:space="0" w:color="auto"/>
            </w:tcBorders>
            <w:vAlign w:val="center"/>
          </w:tcPr>
          <w:p>
            <w:pPr>
              <w:jc w:val="right"/>
            </w:pPr>
            <w:r>
              <w:t>-7,49</w:t>
            </w:r>
          </w:p>
        </w:tc>
        <w:tc>
          <w:tcPr>
            <w:tcW w:w="993" w:type="dxa"/>
            <w:tcBorders>
              <w:top w:val="single" w:sz="4" w:space="0" w:color="auto"/>
              <w:left w:val="single" w:sz="4" w:space="0" w:color="auto"/>
              <w:bottom w:val="single" w:sz="4" w:space="0" w:color="auto"/>
              <w:right w:val="single" w:sz="4" w:space="0" w:color="auto"/>
            </w:tcBorders>
            <w:vAlign w:val="center"/>
          </w:tcPr>
          <w:p>
            <w:pPr>
              <w:jc w:val="right"/>
            </w:pPr>
            <w: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pPr>
            <w: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1,58</w:t>
            </w:r>
          </w:p>
        </w:tc>
        <w:tc>
          <w:tcPr>
            <w:tcW w:w="992"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1,58</w:t>
            </w:r>
          </w:p>
        </w:tc>
        <w:tc>
          <w:tcPr>
            <w:tcW w:w="709" w:type="dxa"/>
            <w:tcBorders>
              <w:top w:val="single" w:sz="4" w:space="0" w:color="auto"/>
              <w:left w:val="nil"/>
              <w:bottom w:val="single" w:sz="4" w:space="0" w:color="auto"/>
              <w:right w:val="single" w:sz="4" w:space="0" w:color="auto"/>
            </w:tcBorders>
            <w:shd w:val="clear" w:color="auto" w:fill="auto"/>
            <w:noWrap/>
            <w:vAlign w:val="center"/>
          </w:tcPr>
          <w:p>
            <w:pPr>
              <w:jc w:val="center"/>
            </w:pPr>
            <w:r>
              <w:t>-</w:t>
            </w:r>
          </w:p>
        </w:tc>
      </w:tr>
    </w:tbl>
    <w:p>
      <w:pPr>
        <w:spacing w:before="240"/>
        <w:ind w:firstLine="709"/>
        <w:jc w:val="both"/>
        <w:rPr>
          <w:sz w:val="24"/>
          <w:szCs w:val="24"/>
        </w:rPr>
      </w:pPr>
      <w:r>
        <w:rPr>
          <w:sz w:val="24"/>
          <w:szCs w:val="24"/>
        </w:rPr>
        <w:t>Главный администратор доходов по НДФЛ – ИФНС России по ЗАТО Северск Томской области.</w:t>
      </w:r>
    </w:p>
    <w:p>
      <w:pPr>
        <w:ind w:firstLine="720"/>
        <w:jc w:val="both"/>
        <w:rPr>
          <w:sz w:val="24"/>
          <w:szCs w:val="24"/>
        </w:rPr>
      </w:pPr>
      <w:r>
        <w:rPr>
          <w:sz w:val="24"/>
          <w:szCs w:val="24"/>
        </w:rPr>
        <w:t xml:space="preserve">Платежи по статье «Налог на доходы физических лиц» в 2020 году в бюджет ЗАТО Северск распределялись по нормативу 37,26% от контингента налога, в том числе 12,26% – дополнительный норматив отчислений согласно Закону Томской области от 25.12.2019 № 164-ОЗ «Об областном бюджете на 2020 год и на плановый период 2021 и 2022 годов». </w:t>
      </w:r>
    </w:p>
    <w:p>
      <w:pPr>
        <w:ind w:firstLine="708"/>
        <w:jc w:val="both"/>
        <w:rPr>
          <w:sz w:val="24"/>
          <w:szCs w:val="24"/>
        </w:rPr>
      </w:pPr>
      <w:r>
        <w:rPr>
          <w:sz w:val="24"/>
          <w:szCs w:val="24"/>
        </w:rPr>
        <w:t>Структура поступления НДФЛ по отраслевому признаку традиционна для ЗАТО Северск. Наибольший удельный вес занимает промышленность – 27%, в которой доминирующая позиция за АО «Сибирский химический комбинат» и организаций Росатома – 23%. На втором месте - воинские части, учреждений правоохранительной отрасли и МЧС.</w:t>
      </w:r>
    </w:p>
    <w:p>
      <w:pPr>
        <w:spacing w:before="120" w:after="60"/>
        <w:ind w:left="284" w:firstLine="425"/>
        <w:rPr>
          <w:sz w:val="24"/>
          <w:szCs w:val="24"/>
        </w:rPr>
      </w:pPr>
      <w:r>
        <w:rPr>
          <w:sz w:val="24"/>
          <w:szCs w:val="24"/>
        </w:rPr>
        <w:t xml:space="preserve">Таблица 9. Структура поступления НДФЛ в 2020 году по отраслевому признаку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3"/>
        <w:gridCol w:w="1843"/>
      </w:tblGrid>
      <w:tr>
        <w:trPr>
          <w:trHeight w:val="340"/>
        </w:trPr>
        <w:tc>
          <w:tcPr>
            <w:tcW w:w="7513" w:type="dxa"/>
            <w:vAlign w:val="center"/>
          </w:tcPr>
          <w:p>
            <w:pPr>
              <w:ind w:left="283"/>
              <w:jc w:val="center"/>
            </w:pPr>
            <w:r>
              <w:t>Наименование отрасли</w:t>
            </w:r>
          </w:p>
        </w:tc>
        <w:tc>
          <w:tcPr>
            <w:tcW w:w="1843" w:type="dxa"/>
            <w:vAlign w:val="center"/>
          </w:tcPr>
          <w:p>
            <w:pPr>
              <w:ind w:left="-108" w:right="-108"/>
              <w:jc w:val="center"/>
            </w:pPr>
            <w:r>
              <w:t>Удельный вес, %</w:t>
            </w:r>
          </w:p>
        </w:tc>
      </w:tr>
      <w:tr>
        <w:trPr>
          <w:trHeight w:val="340"/>
        </w:trPr>
        <w:tc>
          <w:tcPr>
            <w:tcW w:w="7513" w:type="dxa"/>
            <w:vAlign w:val="center"/>
          </w:tcPr>
          <w:p>
            <w:pPr>
              <w:ind w:left="34"/>
            </w:pPr>
            <w:r>
              <w:t>Промышленность</w:t>
            </w:r>
          </w:p>
        </w:tc>
        <w:tc>
          <w:tcPr>
            <w:tcW w:w="1843" w:type="dxa"/>
            <w:vAlign w:val="center"/>
          </w:tcPr>
          <w:p>
            <w:pPr>
              <w:ind w:left="284"/>
              <w:jc w:val="center"/>
            </w:pPr>
            <w:r>
              <w:t>27</w:t>
            </w:r>
          </w:p>
        </w:tc>
      </w:tr>
      <w:tr>
        <w:trPr>
          <w:trHeight w:val="340"/>
        </w:trPr>
        <w:tc>
          <w:tcPr>
            <w:tcW w:w="7513" w:type="dxa"/>
            <w:vAlign w:val="center"/>
          </w:tcPr>
          <w:p>
            <w:pPr>
              <w:ind w:left="34" w:firstLine="284"/>
              <w:rPr>
                <w:i/>
              </w:rPr>
            </w:pPr>
            <w:r>
              <w:rPr>
                <w:i/>
              </w:rPr>
              <w:t>в т.ч. АО «СХК» и другие организации «Росатом»</w:t>
            </w:r>
          </w:p>
        </w:tc>
        <w:tc>
          <w:tcPr>
            <w:tcW w:w="1843" w:type="dxa"/>
            <w:vAlign w:val="center"/>
          </w:tcPr>
          <w:p>
            <w:pPr>
              <w:ind w:left="284"/>
              <w:jc w:val="center"/>
              <w:rPr>
                <w:i/>
              </w:rPr>
            </w:pPr>
            <w:r>
              <w:rPr>
                <w:i/>
              </w:rPr>
              <w:t>23</w:t>
            </w:r>
          </w:p>
        </w:tc>
      </w:tr>
      <w:tr>
        <w:trPr>
          <w:trHeight w:val="340"/>
        </w:trPr>
        <w:tc>
          <w:tcPr>
            <w:tcW w:w="7513" w:type="dxa"/>
            <w:vAlign w:val="center"/>
          </w:tcPr>
          <w:p>
            <w:pPr>
              <w:ind w:left="34"/>
            </w:pPr>
            <w:r>
              <w:t>Воинские части, правоохранительные органы, МЧС, Атом-охрана</w:t>
            </w:r>
          </w:p>
        </w:tc>
        <w:tc>
          <w:tcPr>
            <w:tcW w:w="1843" w:type="dxa"/>
            <w:vAlign w:val="center"/>
          </w:tcPr>
          <w:p>
            <w:pPr>
              <w:ind w:left="284"/>
              <w:jc w:val="center"/>
            </w:pPr>
            <w:r>
              <w:t>21</w:t>
            </w:r>
          </w:p>
        </w:tc>
      </w:tr>
      <w:tr>
        <w:trPr>
          <w:trHeight w:val="340"/>
        </w:trPr>
        <w:tc>
          <w:tcPr>
            <w:tcW w:w="7513" w:type="dxa"/>
            <w:vAlign w:val="center"/>
          </w:tcPr>
          <w:p>
            <w:pPr>
              <w:ind w:left="34"/>
            </w:pPr>
            <w:r>
              <w:t>Образование (дошкольное, общее, высшее)</w:t>
            </w:r>
          </w:p>
        </w:tc>
        <w:tc>
          <w:tcPr>
            <w:tcW w:w="1843" w:type="dxa"/>
            <w:vAlign w:val="center"/>
          </w:tcPr>
          <w:p>
            <w:pPr>
              <w:ind w:left="284"/>
              <w:jc w:val="center"/>
            </w:pPr>
            <w:r>
              <w:t>12</w:t>
            </w:r>
          </w:p>
        </w:tc>
      </w:tr>
      <w:tr>
        <w:trPr>
          <w:trHeight w:val="340"/>
        </w:trPr>
        <w:tc>
          <w:tcPr>
            <w:tcW w:w="7513" w:type="dxa"/>
            <w:vAlign w:val="center"/>
          </w:tcPr>
          <w:p>
            <w:pPr>
              <w:ind w:left="34"/>
            </w:pPr>
            <w:r>
              <w:t>Здравоохранение, физическая культура и социальное обеспечение</w:t>
            </w:r>
          </w:p>
        </w:tc>
        <w:tc>
          <w:tcPr>
            <w:tcW w:w="1843" w:type="dxa"/>
            <w:vAlign w:val="center"/>
          </w:tcPr>
          <w:p>
            <w:pPr>
              <w:ind w:left="284"/>
              <w:jc w:val="center"/>
            </w:pPr>
            <w:r>
              <w:t>10</w:t>
            </w:r>
          </w:p>
        </w:tc>
      </w:tr>
      <w:tr>
        <w:trPr>
          <w:trHeight w:val="340"/>
        </w:trPr>
        <w:tc>
          <w:tcPr>
            <w:tcW w:w="7513" w:type="dxa"/>
            <w:vAlign w:val="center"/>
          </w:tcPr>
          <w:p>
            <w:pPr>
              <w:ind w:left="34"/>
            </w:pPr>
            <w:r>
              <w:t>ЖКХ, ОАО ОТЭК</w:t>
            </w:r>
          </w:p>
        </w:tc>
        <w:tc>
          <w:tcPr>
            <w:tcW w:w="1843" w:type="dxa"/>
            <w:vAlign w:val="center"/>
          </w:tcPr>
          <w:p>
            <w:pPr>
              <w:ind w:left="284"/>
              <w:jc w:val="center"/>
            </w:pPr>
            <w:r>
              <w:t>8</w:t>
            </w:r>
          </w:p>
        </w:tc>
      </w:tr>
      <w:tr>
        <w:trPr>
          <w:trHeight w:val="340"/>
        </w:trPr>
        <w:tc>
          <w:tcPr>
            <w:tcW w:w="7513" w:type="dxa"/>
            <w:vAlign w:val="center"/>
          </w:tcPr>
          <w:p>
            <w:pPr>
              <w:ind w:left="34"/>
            </w:pPr>
            <w:r>
              <w:t>Транспорт, связь</w:t>
            </w:r>
          </w:p>
        </w:tc>
        <w:tc>
          <w:tcPr>
            <w:tcW w:w="1843" w:type="dxa"/>
            <w:vAlign w:val="center"/>
          </w:tcPr>
          <w:p>
            <w:pPr>
              <w:ind w:left="284"/>
              <w:jc w:val="center"/>
            </w:pPr>
            <w:r>
              <w:t>2</w:t>
            </w:r>
          </w:p>
        </w:tc>
      </w:tr>
      <w:tr>
        <w:trPr>
          <w:trHeight w:val="340"/>
        </w:trPr>
        <w:tc>
          <w:tcPr>
            <w:tcW w:w="7513" w:type="dxa"/>
            <w:vAlign w:val="center"/>
          </w:tcPr>
          <w:p>
            <w:pPr>
              <w:ind w:left="34"/>
            </w:pPr>
            <w:r>
              <w:t xml:space="preserve">Торговля </w:t>
            </w:r>
          </w:p>
        </w:tc>
        <w:tc>
          <w:tcPr>
            <w:tcW w:w="1843" w:type="dxa"/>
            <w:vAlign w:val="center"/>
          </w:tcPr>
          <w:p>
            <w:pPr>
              <w:ind w:left="284"/>
              <w:jc w:val="center"/>
            </w:pPr>
            <w:r>
              <w:t>3</w:t>
            </w:r>
          </w:p>
        </w:tc>
      </w:tr>
      <w:tr>
        <w:trPr>
          <w:trHeight w:val="340"/>
        </w:trPr>
        <w:tc>
          <w:tcPr>
            <w:tcW w:w="7513" w:type="dxa"/>
            <w:vAlign w:val="center"/>
          </w:tcPr>
          <w:p>
            <w:pPr>
              <w:ind w:left="34"/>
            </w:pPr>
            <w:r>
              <w:t>Строительство</w:t>
            </w:r>
          </w:p>
        </w:tc>
        <w:tc>
          <w:tcPr>
            <w:tcW w:w="1843" w:type="dxa"/>
            <w:vAlign w:val="center"/>
          </w:tcPr>
          <w:p>
            <w:pPr>
              <w:ind w:left="284"/>
              <w:jc w:val="center"/>
            </w:pPr>
            <w:r>
              <w:t>2</w:t>
            </w:r>
          </w:p>
        </w:tc>
      </w:tr>
      <w:tr>
        <w:trPr>
          <w:trHeight w:val="340"/>
        </w:trPr>
        <w:tc>
          <w:tcPr>
            <w:tcW w:w="7513" w:type="dxa"/>
            <w:vAlign w:val="center"/>
          </w:tcPr>
          <w:p>
            <w:pPr>
              <w:ind w:left="34"/>
            </w:pPr>
            <w:r>
              <w:t>Органы местного самоуправления</w:t>
            </w:r>
          </w:p>
        </w:tc>
        <w:tc>
          <w:tcPr>
            <w:tcW w:w="1843" w:type="dxa"/>
            <w:vAlign w:val="center"/>
          </w:tcPr>
          <w:p>
            <w:pPr>
              <w:ind w:left="284"/>
              <w:jc w:val="center"/>
            </w:pPr>
            <w:r>
              <w:t>3</w:t>
            </w:r>
          </w:p>
        </w:tc>
      </w:tr>
      <w:tr>
        <w:trPr>
          <w:trHeight w:val="340"/>
        </w:trPr>
        <w:tc>
          <w:tcPr>
            <w:tcW w:w="7513" w:type="dxa"/>
            <w:vAlign w:val="center"/>
          </w:tcPr>
          <w:p>
            <w:pPr>
              <w:ind w:left="34"/>
            </w:pPr>
            <w:r>
              <w:t>Культура</w:t>
            </w:r>
          </w:p>
        </w:tc>
        <w:tc>
          <w:tcPr>
            <w:tcW w:w="1843" w:type="dxa"/>
            <w:vAlign w:val="center"/>
          </w:tcPr>
          <w:p>
            <w:pPr>
              <w:ind w:left="284"/>
              <w:jc w:val="center"/>
            </w:pPr>
            <w:r>
              <w:t>2</w:t>
            </w:r>
          </w:p>
        </w:tc>
      </w:tr>
      <w:tr>
        <w:trPr>
          <w:trHeight w:val="340"/>
        </w:trPr>
        <w:tc>
          <w:tcPr>
            <w:tcW w:w="7513" w:type="dxa"/>
            <w:vAlign w:val="center"/>
          </w:tcPr>
          <w:p>
            <w:pPr>
              <w:ind w:left="34"/>
            </w:pPr>
            <w:r>
              <w:t>Прочие</w:t>
            </w:r>
          </w:p>
        </w:tc>
        <w:tc>
          <w:tcPr>
            <w:tcW w:w="1843" w:type="dxa"/>
            <w:vAlign w:val="center"/>
          </w:tcPr>
          <w:p>
            <w:pPr>
              <w:ind w:left="284"/>
              <w:jc w:val="center"/>
            </w:pPr>
            <w:r>
              <w:t>10</w:t>
            </w:r>
          </w:p>
        </w:tc>
      </w:tr>
    </w:tbl>
    <w:p>
      <w:pPr>
        <w:spacing w:before="120"/>
        <w:ind w:firstLine="709"/>
        <w:jc w:val="both"/>
        <w:rPr>
          <w:sz w:val="24"/>
          <w:szCs w:val="24"/>
        </w:rPr>
      </w:pPr>
      <w:r>
        <w:rPr>
          <w:sz w:val="24"/>
          <w:szCs w:val="24"/>
        </w:rPr>
        <w:t xml:space="preserve">Анализ поступлений НДФЛ в 2020 году показывает, что наибольшая интенсивность поступлений отмечалась в </w:t>
      </w:r>
      <w:r>
        <w:rPr>
          <w:sz w:val="24"/>
          <w:szCs w:val="24"/>
          <w:lang w:val="en-US"/>
        </w:rPr>
        <w:t>IV</w:t>
      </w:r>
      <w:r>
        <w:rPr>
          <w:sz w:val="24"/>
          <w:szCs w:val="24"/>
        </w:rPr>
        <w:t xml:space="preserve"> квартале – 31% от годовой суммы, обусловленная выплатами заработной платы в декабре за декабрь. В </w:t>
      </w:r>
      <w:r>
        <w:rPr>
          <w:sz w:val="24"/>
          <w:szCs w:val="24"/>
          <w:lang w:val="en-US"/>
        </w:rPr>
        <w:t>I</w:t>
      </w:r>
      <w:r>
        <w:rPr>
          <w:sz w:val="24"/>
          <w:szCs w:val="24"/>
        </w:rPr>
        <w:t xml:space="preserve"> – </w:t>
      </w:r>
      <w:r>
        <w:rPr>
          <w:sz w:val="24"/>
          <w:szCs w:val="24"/>
          <w:lang w:val="en-US"/>
        </w:rPr>
        <w:t>III</w:t>
      </w:r>
      <w:r>
        <w:rPr>
          <w:sz w:val="24"/>
          <w:szCs w:val="24"/>
        </w:rPr>
        <w:t xml:space="preserve"> кварталах поступления 22% – 24%. </w:t>
      </w:r>
    </w:p>
    <w:tbl>
      <w:tblPr>
        <w:tblStyle w:val="af7"/>
        <w:tblW w:w="9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18"/>
      </w:tblGrid>
      <w:tr>
        <w:tc>
          <w:tcPr>
            <w:tcW w:w="4077" w:type="dxa"/>
          </w:tcPr>
          <w:p>
            <w:pPr>
              <w:spacing w:before="120"/>
              <w:ind w:right="-153"/>
              <w:rPr>
                <w:sz w:val="10"/>
                <w:szCs w:val="10"/>
              </w:rPr>
            </w:pPr>
          </w:p>
          <w:p>
            <w:pPr>
              <w:spacing w:before="120"/>
              <w:ind w:right="-153"/>
              <w:rPr>
                <w:sz w:val="10"/>
                <w:szCs w:val="10"/>
              </w:rPr>
            </w:pPr>
          </w:p>
          <w:p>
            <w:pPr>
              <w:spacing w:before="120"/>
              <w:ind w:right="-153"/>
              <w:rPr>
                <w:sz w:val="10"/>
                <w:szCs w:val="10"/>
              </w:rPr>
            </w:pPr>
          </w:p>
          <w:p>
            <w:pPr>
              <w:spacing w:before="120"/>
              <w:ind w:right="-153"/>
              <w:rPr>
                <w:sz w:val="24"/>
                <w:szCs w:val="24"/>
              </w:rPr>
            </w:pPr>
            <w:r>
              <w:rPr>
                <w:sz w:val="24"/>
                <w:szCs w:val="24"/>
              </w:rPr>
              <w:lastRenderedPageBreak/>
              <w:t xml:space="preserve">Таблица 10. Поступление НДФЛ </w:t>
            </w:r>
          </w:p>
          <w:p>
            <w:pPr>
              <w:ind w:right="-153"/>
              <w:rPr>
                <w:sz w:val="24"/>
                <w:szCs w:val="24"/>
              </w:rPr>
            </w:pPr>
            <w:r>
              <w:rPr>
                <w:sz w:val="24"/>
                <w:szCs w:val="24"/>
              </w:rPr>
              <w:t>в 2020 году по месяцам</w:t>
            </w:r>
          </w:p>
        </w:tc>
        <w:tc>
          <w:tcPr>
            <w:tcW w:w="5518" w:type="dxa"/>
          </w:tcPr>
          <w:p>
            <w:pPr>
              <w:ind w:left="-284"/>
              <w:jc w:val="both"/>
              <w:rPr>
                <w:noProof/>
                <w:sz w:val="24"/>
                <w:szCs w:val="24"/>
              </w:rPr>
            </w:pPr>
          </w:p>
        </w:tc>
      </w:tr>
      <w:tr>
        <w:tc>
          <w:tcPr>
            <w:tcW w:w="4077" w:type="dxa"/>
          </w:tcPr>
          <w:tbl>
            <w:tblPr>
              <w:tblW w:w="3755" w:type="dxa"/>
              <w:tblLayout w:type="fixed"/>
              <w:tblLook w:val="04A0" w:firstRow="1" w:lastRow="0" w:firstColumn="1" w:lastColumn="0" w:noHBand="0" w:noVBand="1"/>
            </w:tblPr>
            <w:tblGrid>
              <w:gridCol w:w="1129"/>
              <w:gridCol w:w="1276"/>
              <w:gridCol w:w="1350"/>
            </w:tblGrid>
            <w:tr>
              <w:trPr>
                <w:trHeight w:val="429"/>
              </w:trPr>
              <w:tc>
                <w:tcPr>
                  <w:tcW w:w="1129" w:type="dxa"/>
                  <w:tcBorders>
                    <w:top w:val="single" w:sz="4" w:space="0" w:color="auto"/>
                    <w:left w:val="single" w:sz="4" w:space="0" w:color="auto"/>
                    <w:bottom w:val="single" w:sz="4" w:space="0" w:color="auto"/>
                    <w:right w:val="nil"/>
                  </w:tcBorders>
                  <w:shd w:val="clear" w:color="auto" w:fill="auto"/>
                  <w:noWrap/>
                  <w:vAlign w:val="center"/>
                  <w:hideMark/>
                </w:tcPr>
                <w:p>
                  <w:pPr>
                    <w:jc w:val="center"/>
                    <w:rPr>
                      <w:color w:val="000000"/>
                    </w:rPr>
                  </w:pPr>
                  <w:r>
                    <w:rPr>
                      <w:color w:val="000000"/>
                    </w:rPr>
                    <w:lastRenderedPageBreak/>
                    <w:t>Месяц</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color w:val="000000"/>
                    </w:rPr>
                  </w:pPr>
                  <w:r>
                    <w:rPr>
                      <w:color w:val="000000"/>
                    </w:rPr>
                    <w:t>Сумма,</w:t>
                  </w:r>
                </w:p>
                <w:p>
                  <w:pPr>
                    <w:jc w:val="center"/>
                    <w:rPr>
                      <w:color w:val="000000"/>
                    </w:rPr>
                  </w:pPr>
                  <w:r>
                    <w:rPr>
                      <w:color w:val="000000"/>
                    </w:rPr>
                    <w:t>тыс.руб.</w:t>
                  </w:r>
                </w:p>
              </w:tc>
              <w:tc>
                <w:tcPr>
                  <w:tcW w:w="135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pPr>
                    <w:jc w:val="center"/>
                    <w:rPr>
                      <w:color w:val="000000"/>
                    </w:rPr>
                  </w:pPr>
                  <w:r>
                    <w:rPr>
                      <w:color w:val="000000"/>
                    </w:rPr>
                    <w:t>Уд. вес, %</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январь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pPr>
                    <w:jc w:val="right"/>
                  </w:pPr>
                  <w:r>
                    <w:t>39 769,99</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5,32%</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февраль</w:t>
                  </w:r>
                </w:p>
              </w:tc>
              <w:tc>
                <w:tcPr>
                  <w:tcW w:w="1276" w:type="dxa"/>
                  <w:tcBorders>
                    <w:top w:val="nil"/>
                    <w:left w:val="nil"/>
                    <w:bottom w:val="single" w:sz="4" w:space="0" w:color="auto"/>
                    <w:right w:val="single" w:sz="4" w:space="0" w:color="auto"/>
                  </w:tcBorders>
                  <w:shd w:val="clear" w:color="auto" w:fill="auto"/>
                  <w:noWrap/>
                  <w:vAlign w:val="center"/>
                  <w:hideMark/>
                </w:tcPr>
                <w:p>
                  <w:pPr>
                    <w:ind w:left="-108"/>
                    <w:jc w:val="right"/>
                  </w:pPr>
                  <w:r>
                    <w:t>67 453,85</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9,02%</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март</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63 154,02</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8,45%</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апрель</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49 923,90</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6,68%</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май</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59 397,07</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7,94%</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июнь</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57 884,87</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7,74%</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июль</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66 295,82</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8,87%</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август</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59 252,29</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7,92%</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сентябрь</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55 810,36</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7,46%</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октябрь</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60 104,28</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8,04%</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ноябрь</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62 407,99</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8,35%</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декабрь</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pPr>
                  <w:r>
                    <w:t>106 261,60</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r>
                    <w:t>14,21%</w:t>
                  </w:r>
                </w:p>
              </w:tc>
            </w:tr>
            <w:tr>
              <w:trPr>
                <w:trHeight w:val="361"/>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b/>
                      <w:bCs/>
                      <w:color w:val="000000"/>
                    </w:rPr>
                  </w:pPr>
                  <w:r>
                    <w:rPr>
                      <w:b/>
                      <w:bCs/>
                      <w:color w:val="000000"/>
                    </w:rPr>
                    <w:t>Всего</w:t>
                  </w:r>
                </w:p>
              </w:tc>
              <w:tc>
                <w:tcPr>
                  <w:tcW w:w="1276" w:type="dxa"/>
                  <w:tcBorders>
                    <w:top w:val="nil"/>
                    <w:left w:val="nil"/>
                    <w:bottom w:val="single" w:sz="4" w:space="0" w:color="auto"/>
                    <w:right w:val="single" w:sz="4" w:space="0" w:color="auto"/>
                  </w:tcBorders>
                  <w:shd w:val="clear" w:color="auto" w:fill="auto"/>
                  <w:noWrap/>
                  <w:vAlign w:val="center"/>
                  <w:hideMark/>
                </w:tcPr>
                <w:p>
                  <w:pPr>
                    <w:jc w:val="right"/>
                    <w:rPr>
                      <w:b/>
                    </w:rPr>
                  </w:pPr>
                  <w:r>
                    <w:rPr>
                      <w:b/>
                    </w:rPr>
                    <w:t>747 716,04</w:t>
                  </w:r>
                </w:p>
              </w:tc>
              <w:tc>
                <w:tcPr>
                  <w:tcW w:w="1350" w:type="dxa"/>
                  <w:tcBorders>
                    <w:top w:val="nil"/>
                    <w:left w:val="nil"/>
                    <w:bottom w:val="single" w:sz="4" w:space="0" w:color="auto"/>
                    <w:right w:val="single" w:sz="4" w:space="0" w:color="auto"/>
                  </w:tcBorders>
                  <w:shd w:val="clear" w:color="auto" w:fill="auto"/>
                  <w:noWrap/>
                  <w:vAlign w:val="center"/>
                  <w:hideMark/>
                </w:tcPr>
                <w:p>
                  <w:pPr>
                    <w:jc w:val="center"/>
                  </w:pPr>
                </w:p>
              </w:tc>
            </w:tr>
          </w:tbl>
          <w:p>
            <w:pPr>
              <w:spacing w:after="120"/>
              <w:ind w:right="-2"/>
              <w:rPr>
                <w:sz w:val="24"/>
                <w:szCs w:val="24"/>
              </w:rPr>
            </w:pPr>
          </w:p>
        </w:tc>
        <w:tc>
          <w:tcPr>
            <w:tcW w:w="5518" w:type="dxa"/>
          </w:tcPr>
          <w:p>
            <w:pPr>
              <w:ind w:left="-260" w:firstLine="142"/>
              <w:jc w:val="both"/>
              <w:rPr>
                <w:sz w:val="12"/>
                <w:szCs w:val="12"/>
              </w:rPr>
            </w:pPr>
            <w:r>
              <w:rPr>
                <w:noProof/>
              </w:rPr>
              <w:drawing>
                <wp:inline distT="0" distB="0" distL="0" distR="0">
                  <wp:extent cx="3488055" cy="24638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ind w:left="-1276"/>
              <w:jc w:val="both"/>
              <w:rPr>
                <w:sz w:val="24"/>
                <w:szCs w:val="24"/>
              </w:rPr>
            </w:pPr>
          </w:p>
          <w:p>
            <w:pPr>
              <w:ind w:right="232" w:firstLine="709"/>
              <w:jc w:val="center"/>
              <w:rPr>
                <w:sz w:val="24"/>
                <w:szCs w:val="24"/>
              </w:rPr>
            </w:pPr>
            <w:r>
              <w:rPr>
                <w:sz w:val="24"/>
                <w:szCs w:val="24"/>
              </w:rPr>
              <w:t>Рисунок 6. Поступление НДФЛ в 2020 году по месяцам</w:t>
            </w:r>
          </w:p>
        </w:tc>
      </w:tr>
    </w:tbl>
    <w:p>
      <w:pPr>
        <w:spacing w:before="120"/>
        <w:ind w:firstLine="709"/>
        <w:jc w:val="both"/>
        <w:rPr>
          <w:sz w:val="24"/>
          <w:szCs w:val="24"/>
          <w:highlight w:val="yellow"/>
        </w:rPr>
      </w:pPr>
    </w:p>
    <w:p>
      <w:pPr>
        <w:spacing w:before="120"/>
        <w:ind w:firstLine="709"/>
        <w:jc w:val="both"/>
        <w:rPr>
          <w:sz w:val="24"/>
          <w:szCs w:val="24"/>
        </w:rPr>
      </w:pPr>
      <w:r>
        <w:rPr>
          <w:sz w:val="24"/>
          <w:szCs w:val="24"/>
        </w:rPr>
        <w:t>Объем поступлений НДФЛ за 2020 год, по сравнению с 2019 годом, увеличился в целом на 43 273,36 тыс.руб., в том числе на 19 238,22 тыс.руб. за счет роста дополнительного норматива отчислений от НДФЛ взамен части дотации на выравнивание бюджетной обеспеченности муниципальных образований с 11,87% в 2019 году до 12,26% в 2020 году.</w:t>
      </w:r>
    </w:p>
    <w:p>
      <w:pPr>
        <w:spacing w:before="120"/>
        <w:ind w:firstLine="709"/>
        <w:jc w:val="both"/>
        <w:rPr>
          <w:sz w:val="24"/>
          <w:szCs w:val="24"/>
          <w:lang w:eastAsia="ar-SA"/>
        </w:rPr>
      </w:pPr>
      <w:r>
        <w:rPr>
          <w:sz w:val="24"/>
          <w:szCs w:val="24"/>
        </w:rPr>
        <w:t xml:space="preserve">На увеличение поступлений по налогу повлияли принятые решения по увеличению фонда оплаты труда работникам бюджетной сферы в связи с: </w:t>
      </w:r>
    </w:p>
    <w:p>
      <w:pPr>
        <w:ind w:firstLine="708"/>
        <w:jc w:val="both"/>
        <w:rPr>
          <w:sz w:val="24"/>
          <w:szCs w:val="24"/>
        </w:rPr>
      </w:pPr>
      <w:r>
        <w:rPr>
          <w:sz w:val="24"/>
          <w:szCs w:val="24"/>
        </w:rPr>
        <w:t>1) вступлением в силу Федерального закона Российской Федерации от 25.12.2018 № 481-ФЗ «О внесении изменения в статью 1 Федерального закона «О минимальном размере оплаты труда»;</w:t>
      </w:r>
    </w:p>
    <w:p>
      <w:pPr>
        <w:ind w:firstLine="708"/>
        <w:jc w:val="both"/>
        <w:rPr>
          <w:sz w:val="24"/>
          <w:szCs w:val="24"/>
        </w:rPr>
      </w:pPr>
      <w:r>
        <w:rPr>
          <w:sz w:val="24"/>
          <w:szCs w:val="24"/>
        </w:rPr>
        <w:t xml:space="preserve">2) индексацией с 1 октября 2019 года на 4,3% оплаты труда работников органов местного самоуправления, а также прочих категорий работников, не подпадающих под действие указов Президента, согласно Закону Томской области от 31.10.2019 № 1906 «О внесении изменений в закон Томской области «Об областном бюджете на 2019 год и на плановый период 2020 и 2021 годов». </w:t>
      </w:r>
    </w:p>
    <w:p>
      <w:pPr>
        <w:ind w:firstLine="708"/>
        <w:jc w:val="center"/>
        <w:rPr>
          <w:b/>
          <w:sz w:val="24"/>
          <w:szCs w:val="24"/>
        </w:rPr>
      </w:pPr>
      <w:r>
        <w:rPr>
          <w:sz w:val="24"/>
          <w:szCs w:val="24"/>
          <w:highlight w:val="yellow"/>
        </w:rPr>
        <w:br/>
      </w:r>
    </w:p>
    <w:p>
      <w:pPr>
        <w:ind w:firstLine="708"/>
        <w:jc w:val="center"/>
        <w:rPr>
          <w:b/>
          <w:sz w:val="24"/>
          <w:szCs w:val="24"/>
        </w:rPr>
      </w:pPr>
    </w:p>
    <w:p>
      <w:pPr>
        <w:ind w:firstLine="708"/>
        <w:jc w:val="center"/>
        <w:rPr>
          <w:sz w:val="28"/>
          <w:szCs w:val="28"/>
          <w:lang w:eastAsia="ar-SA"/>
        </w:rPr>
      </w:pPr>
      <w:r>
        <w:rPr>
          <w:b/>
          <w:sz w:val="24"/>
          <w:szCs w:val="24"/>
        </w:rPr>
        <w:t>3.1.2. Акцизы по подакцизным товарам (продукции),</w:t>
      </w:r>
    </w:p>
    <w:p>
      <w:pPr>
        <w:spacing w:after="120"/>
        <w:jc w:val="center"/>
        <w:rPr>
          <w:b/>
          <w:sz w:val="24"/>
          <w:szCs w:val="24"/>
        </w:rPr>
      </w:pPr>
      <w:r>
        <w:rPr>
          <w:b/>
          <w:sz w:val="24"/>
          <w:szCs w:val="24"/>
        </w:rPr>
        <w:t>производимым на территории Российской Федерации</w:t>
      </w:r>
    </w:p>
    <w:p>
      <w:pPr>
        <w:spacing w:before="240"/>
        <w:ind w:firstLine="720"/>
        <w:jc w:val="both"/>
        <w:rPr>
          <w:sz w:val="24"/>
          <w:szCs w:val="24"/>
        </w:rPr>
      </w:pPr>
      <w:r>
        <w:rPr>
          <w:sz w:val="24"/>
          <w:szCs w:val="24"/>
        </w:rPr>
        <w:t>Прогноз поступлений по данной статье составлял 8 692,68 тыс.руб., фактическое исполнение – 8 533,32 тыс.руб., невыполнение на 159,36 тыс.руб. или на 1,8%.</w:t>
      </w:r>
    </w:p>
    <w:p>
      <w:pPr>
        <w:ind w:firstLine="709"/>
        <w:jc w:val="both"/>
        <w:rPr>
          <w:sz w:val="24"/>
          <w:szCs w:val="24"/>
        </w:rPr>
      </w:pPr>
      <w:r>
        <w:rPr>
          <w:sz w:val="24"/>
          <w:szCs w:val="24"/>
        </w:rPr>
        <w:t>Главный администратор доходов от акцизов по подакцизным товарам – Управление Федерального казначейства по Томской области.</w:t>
      </w:r>
    </w:p>
    <w:p>
      <w:pPr>
        <w:spacing w:after="60"/>
        <w:ind w:firstLine="709"/>
        <w:jc w:val="both"/>
        <w:rPr>
          <w:sz w:val="24"/>
          <w:szCs w:val="24"/>
        </w:rPr>
      </w:pPr>
      <w:r>
        <w:rPr>
          <w:sz w:val="24"/>
          <w:szCs w:val="24"/>
        </w:rPr>
        <w:t xml:space="preserve">Удельный вес статьи в общей структуре фактически поступивших доходов составляет 0,2%, налоговых и неналоговых доходах - 0,8%.  </w:t>
      </w:r>
    </w:p>
    <w:p>
      <w:pPr>
        <w:spacing w:before="120" w:after="60"/>
        <w:ind w:firstLine="709"/>
        <w:jc w:val="both"/>
        <w:rPr>
          <w:sz w:val="24"/>
          <w:szCs w:val="24"/>
        </w:rPr>
      </w:pPr>
    </w:p>
    <w:p>
      <w:pPr>
        <w:spacing w:before="120" w:after="60"/>
        <w:ind w:firstLine="709"/>
        <w:jc w:val="both"/>
        <w:rPr>
          <w:sz w:val="24"/>
          <w:szCs w:val="24"/>
        </w:rPr>
      </w:pPr>
    </w:p>
    <w:p>
      <w:pPr>
        <w:spacing w:before="120" w:after="60"/>
        <w:ind w:firstLine="709"/>
        <w:jc w:val="both"/>
        <w:rPr>
          <w:sz w:val="24"/>
          <w:szCs w:val="24"/>
        </w:rPr>
      </w:pPr>
    </w:p>
    <w:p>
      <w:pPr>
        <w:spacing w:before="120" w:after="60"/>
        <w:ind w:firstLine="709"/>
        <w:jc w:val="both"/>
        <w:rPr>
          <w:sz w:val="24"/>
          <w:szCs w:val="24"/>
        </w:rPr>
      </w:pPr>
      <w:r>
        <w:rPr>
          <w:sz w:val="24"/>
          <w:szCs w:val="24"/>
        </w:rPr>
        <w:lastRenderedPageBreak/>
        <w:t>Таблица 11. Анализ поступления доходов от уплаты акцизов по подстатьям за 2019 - 2020 гг.</w:t>
      </w:r>
    </w:p>
    <w:tbl>
      <w:tblPr>
        <w:tblW w:w="9474" w:type="dxa"/>
        <w:tblInd w:w="96" w:type="dxa"/>
        <w:tblLook w:val="0000" w:firstRow="0" w:lastRow="0" w:firstColumn="0" w:lastColumn="0" w:noHBand="0" w:noVBand="0"/>
      </w:tblPr>
      <w:tblGrid>
        <w:gridCol w:w="3101"/>
        <w:gridCol w:w="986"/>
        <w:gridCol w:w="1169"/>
        <w:gridCol w:w="1276"/>
        <w:gridCol w:w="1135"/>
        <w:gridCol w:w="1096"/>
        <w:gridCol w:w="711"/>
      </w:tblGrid>
      <w:tr>
        <w:trPr>
          <w:trHeight w:val="235"/>
        </w:trPr>
        <w:tc>
          <w:tcPr>
            <w:tcW w:w="3101" w:type="dxa"/>
            <w:vMerge w:val="restart"/>
            <w:tcBorders>
              <w:top w:val="single" w:sz="4" w:space="0" w:color="auto"/>
              <w:left w:val="single" w:sz="4" w:space="0" w:color="auto"/>
              <w:right w:val="single" w:sz="4" w:space="0" w:color="auto"/>
            </w:tcBorders>
            <w:shd w:val="clear" w:color="auto" w:fill="auto"/>
            <w:vAlign w:val="center"/>
          </w:tcPr>
          <w:p>
            <w:pPr>
              <w:ind w:left="-57" w:right="-57"/>
              <w:jc w:val="center"/>
            </w:pPr>
            <w:r>
              <w:t>Наименование</w:t>
            </w:r>
          </w:p>
        </w:tc>
        <w:tc>
          <w:tcPr>
            <w:tcW w:w="986" w:type="dxa"/>
            <w:vMerge w:val="restart"/>
            <w:tcBorders>
              <w:top w:val="single" w:sz="4" w:space="0" w:color="auto"/>
              <w:left w:val="single" w:sz="4" w:space="0" w:color="auto"/>
              <w:right w:val="single" w:sz="4" w:space="0" w:color="auto"/>
            </w:tcBorders>
            <w:shd w:val="clear" w:color="auto" w:fill="auto"/>
            <w:vAlign w:val="center"/>
          </w:tcPr>
          <w:p>
            <w:pPr>
              <w:ind w:left="-158" w:right="-108"/>
              <w:jc w:val="center"/>
            </w:pPr>
            <w:r>
              <w:t xml:space="preserve">Факт </w:t>
            </w:r>
          </w:p>
          <w:p>
            <w:pPr>
              <w:ind w:left="-158" w:right="-108"/>
              <w:jc w:val="center"/>
            </w:pPr>
            <w:r>
              <w:t>2019 год, тыс.руб.</w:t>
            </w:r>
          </w:p>
        </w:tc>
        <w:tc>
          <w:tcPr>
            <w:tcW w:w="5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tabs>
                <w:tab w:val="left" w:pos="-192"/>
                <w:tab w:val="left" w:pos="-77"/>
              </w:tabs>
              <w:ind w:left="-108" w:right="-108"/>
              <w:jc w:val="center"/>
            </w:pPr>
            <w:r>
              <w:t>2020 год</w:t>
            </w:r>
          </w:p>
        </w:tc>
      </w:tr>
      <w:tr>
        <w:trPr>
          <w:trHeight w:val="612"/>
        </w:trPr>
        <w:tc>
          <w:tcPr>
            <w:tcW w:w="3101" w:type="dxa"/>
            <w:vMerge/>
            <w:tcBorders>
              <w:left w:val="single" w:sz="4" w:space="0" w:color="auto"/>
              <w:bottom w:val="single" w:sz="4" w:space="0" w:color="auto"/>
              <w:right w:val="single" w:sz="4" w:space="0" w:color="auto"/>
            </w:tcBorders>
            <w:shd w:val="clear" w:color="auto" w:fill="auto"/>
            <w:vAlign w:val="center"/>
          </w:tcPr>
          <w:p>
            <w:pPr>
              <w:ind w:left="-57" w:right="-57"/>
              <w:jc w:val="center"/>
            </w:pPr>
          </w:p>
        </w:tc>
        <w:tc>
          <w:tcPr>
            <w:tcW w:w="986" w:type="dxa"/>
            <w:vMerge/>
            <w:tcBorders>
              <w:left w:val="single" w:sz="4" w:space="0" w:color="auto"/>
              <w:bottom w:val="single" w:sz="4" w:space="0" w:color="auto"/>
              <w:right w:val="single" w:sz="4" w:space="0" w:color="auto"/>
            </w:tcBorders>
            <w:shd w:val="clear" w:color="auto" w:fill="auto"/>
            <w:vAlign w:val="center"/>
          </w:tcPr>
          <w:p>
            <w:pPr>
              <w:ind w:left="-158" w:right="-108"/>
              <w:jc w:val="center"/>
            </w:pPr>
          </w:p>
        </w:tc>
        <w:tc>
          <w:tcPr>
            <w:tcW w:w="1169"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5"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096"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711"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trHeight w:val="211"/>
        </w:trPr>
        <w:tc>
          <w:tcPr>
            <w:tcW w:w="3101" w:type="dxa"/>
            <w:tcBorders>
              <w:top w:val="single" w:sz="4" w:space="0" w:color="auto"/>
              <w:left w:val="single" w:sz="4" w:space="0" w:color="auto"/>
              <w:bottom w:val="single" w:sz="4" w:space="0" w:color="auto"/>
              <w:right w:val="single" w:sz="4" w:space="0" w:color="auto"/>
            </w:tcBorders>
            <w:shd w:val="clear" w:color="auto" w:fill="auto"/>
            <w:vAlign w:val="bottom"/>
          </w:tcPr>
          <w:p>
            <w:pPr>
              <w:jc w:val="center"/>
              <w:rPr>
                <w:bCs/>
                <w:sz w:val="16"/>
                <w:szCs w:val="16"/>
              </w:rPr>
            </w:pPr>
            <w:r>
              <w:rPr>
                <w:bCs/>
                <w:sz w:val="16"/>
                <w:szCs w:val="16"/>
              </w:rPr>
              <w:t>1</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center"/>
              <w:rPr>
                <w:bCs/>
                <w:sz w:val="16"/>
                <w:szCs w:val="16"/>
              </w:rPr>
            </w:pPr>
            <w:r>
              <w:rPr>
                <w:bCs/>
                <w:sz w:val="16"/>
                <w:szCs w:val="16"/>
              </w:rPr>
              <w:t>4</w:t>
            </w:r>
          </w:p>
        </w:tc>
        <w:tc>
          <w:tcPr>
            <w:tcW w:w="1135" w:type="dxa"/>
            <w:tcBorders>
              <w:top w:val="nil"/>
              <w:left w:val="nil"/>
              <w:bottom w:val="single" w:sz="4" w:space="0" w:color="auto"/>
              <w:right w:val="single" w:sz="4" w:space="0" w:color="auto"/>
            </w:tcBorders>
            <w:shd w:val="clear" w:color="auto" w:fill="auto"/>
            <w:noWrap/>
            <w:vAlign w:val="center"/>
          </w:tcPr>
          <w:p>
            <w:pPr>
              <w:jc w:val="center"/>
              <w:rPr>
                <w:bCs/>
                <w:sz w:val="16"/>
                <w:szCs w:val="16"/>
              </w:rPr>
            </w:pPr>
            <w:r>
              <w:rPr>
                <w:bCs/>
                <w:sz w:val="16"/>
                <w:szCs w:val="16"/>
              </w:rPr>
              <w:t>5</w:t>
            </w:r>
          </w:p>
        </w:tc>
        <w:tc>
          <w:tcPr>
            <w:tcW w:w="1096" w:type="dxa"/>
            <w:tcBorders>
              <w:top w:val="nil"/>
              <w:left w:val="nil"/>
              <w:bottom w:val="single" w:sz="4" w:space="0" w:color="auto"/>
              <w:right w:val="single" w:sz="4" w:space="0" w:color="auto"/>
            </w:tcBorders>
            <w:shd w:val="clear" w:color="auto" w:fill="auto"/>
            <w:noWrap/>
            <w:vAlign w:val="center"/>
          </w:tcPr>
          <w:p>
            <w:pPr>
              <w:ind w:left="-76" w:right="-148"/>
              <w:jc w:val="center"/>
              <w:rPr>
                <w:sz w:val="16"/>
                <w:szCs w:val="16"/>
              </w:rPr>
            </w:pPr>
            <w:r>
              <w:rPr>
                <w:sz w:val="16"/>
                <w:szCs w:val="16"/>
              </w:rPr>
              <w:t>6=5-4</w:t>
            </w:r>
          </w:p>
        </w:tc>
        <w:tc>
          <w:tcPr>
            <w:tcW w:w="711" w:type="dxa"/>
            <w:tcBorders>
              <w:top w:val="nil"/>
              <w:left w:val="nil"/>
              <w:bottom w:val="single" w:sz="4" w:space="0" w:color="auto"/>
              <w:right w:val="single" w:sz="4" w:space="0" w:color="auto"/>
            </w:tcBorders>
            <w:shd w:val="clear" w:color="auto" w:fill="auto"/>
            <w:noWrap/>
            <w:vAlign w:val="center"/>
          </w:tcPr>
          <w:p>
            <w:pPr>
              <w:ind w:right="-108"/>
              <w:jc w:val="center"/>
              <w:rPr>
                <w:sz w:val="16"/>
                <w:szCs w:val="16"/>
              </w:rPr>
            </w:pPr>
            <w:r>
              <w:rPr>
                <w:sz w:val="16"/>
                <w:szCs w:val="16"/>
              </w:rPr>
              <w:t>7=5/4</w:t>
            </w:r>
          </w:p>
        </w:tc>
      </w:tr>
      <w:tr>
        <w:trPr>
          <w:trHeight w:val="672"/>
        </w:trPr>
        <w:tc>
          <w:tcPr>
            <w:tcW w:w="3101" w:type="dxa"/>
            <w:tcBorders>
              <w:top w:val="single" w:sz="4" w:space="0" w:color="auto"/>
              <w:left w:val="single" w:sz="4" w:space="0" w:color="auto"/>
              <w:bottom w:val="single" w:sz="4" w:space="0" w:color="auto"/>
              <w:right w:val="single" w:sz="4" w:space="0" w:color="auto"/>
            </w:tcBorders>
            <w:shd w:val="clear" w:color="auto" w:fill="auto"/>
            <w:vAlign w:val="bottom"/>
          </w:tcPr>
          <w:p>
            <w:pPr>
              <w:rPr>
                <w:b/>
                <w:bCs/>
              </w:rPr>
            </w:pPr>
            <w:r>
              <w:rPr>
                <w:b/>
                <w:bCs/>
              </w:rPr>
              <w:t xml:space="preserve">Акцизы по подакцизным товарам (продукции), производимым на территории Российской Федерации, </w:t>
            </w:r>
          </w:p>
          <w:p>
            <w:pPr>
              <w:rPr>
                <w:bCs/>
              </w:rPr>
            </w:pPr>
            <w:r>
              <w:t>в том числе:</w:t>
            </w:r>
          </w:p>
        </w:tc>
        <w:tc>
          <w:tcPr>
            <w:tcW w:w="986" w:type="dxa"/>
            <w:tcBorders>
              <w:top w:val="nil"/>
              <w:left w:val="nil"/>
              <w:bottom w:val="single" w:sz="4" w:space="0" w:color="auto"/>
              <w:right w:val="single" w:sz="4" w:space="0" w:color="auto"/>
            </w:tcBorders>
            <w:shd w:val="clear" w:color="auto" w:fill="auto"/>
            <w:vAlign w:val="center"/>
          </w:tcPr>
          <w:p>
            <w:pPr>
              <w:jc w:val="right"/>
            </w:pPr>
            <w:r>
              <w:t>8 870,65</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9 421,00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8 692,68</w:t>
            </w:r>
          </w:p>
        </w:tc>
        <w:tc>
          <w:tcPr>
            <w:tcW w:w="1135" w:type="dxa"/>
            <w:tcBorders>
              <w:top w:val="nil"/>
              <w:left w:val="nil"/>
              <w:bottom w:val="single" w:sz="4" w:space="0" w:color="auto"/>
              <w:right w:val="single" w:sz="4" w:space="0" w:color="auto"/>
            </w:tcBorders>
            <w:shd w:val="clear" w:color="auto" w:fill="auto"/>
            <w:noWrap/>
            <w:vAlign w:val="center"/>
          </w:tcPr>
          <w:p>
            <w:pPr>
              <w:jc w:val="right"/>
            </w:pPr>
            <w:r>
              <w:t>8 533,32</w:t>
            </w:r>
          </w:p>
        </w:tc>
        <w:tc>
          <w:tcPr>
            <w:tcW w:w="1096" w:type="dxa"/>
            <w:tcBorders>
              <w:top w:val="nil"/>
              <w:left w:val="nil"/>
              <w:bottom w:val="single" w:sz="4" w:space="0" w:color="auto"/>
              <w:right w:val="single" w:sz="4" w:space="0" w:color="auto"/>
            </w:tcBorders>
            <w:shd w:val="clear" w:color="auto" w:fill="auto"/>
            <w:noWrap/>
            <w:vAlign w:val="center"/>
          </w:tcPr>
          <w:p>
            <w:pPr>
              <w:jc w:val="right"/>
            </w:pPr>
            <w:r>
              <w:t>-159,36</w:t>
            </w:r>
          </w:p>
        </w:tc>
        <w:tc>
          <w:tcPr>
            <w:tcW w:w="711" w:type="dxa"/>
            <w:tcBorders>
              <w:top w:val="nil"/>
              <w:left w:val="nil"/>
              <w:bottom w:val="single" w:sz="4" w:space="0" w:color="auto"/>
              <w:right w:val="single" w:sz="4" w:space="0" w:color="auto"/>
            </w:tcBorders>
            <w:shd w:val="clear" w:color="auto" w:fill="auto"/>
            <w:noWrap/>
            <w:vAlign w:val="center"/>
          </w:tcPr>
          <w:p>
            <w:pPr>
              <w:jc w:val="center"/>
            </w:pPr>
            <w:r>
              <w:t>98,2</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дизельное топливо…</w:t>
            </w:r>
          </w:p>
        </w:tc>
        <w:tc>
          <w:tcPr>
            <w:tcW w:w="986" w:type="dxa"/>
            <w:tcBorders>
              <w:top w:val="single" w:sz="4" w:space="0" w:color="auto"/>
              <w:left w:val="nil"/>
              <w:bottom w:val="single" w:sz="4" w:space="0" w:color="auto"/>
              <w:right w:val="single" w:sz="4" w:space="0" w:color="auto"/>
            </w:tcBorders>
            <w:shd w:val="clear" w:color="auto" w:fill="auto"/>
            <w:vAlign w:val="center"/>
          </w:tcPr>
          <w:p>
            <w:pPr>
              <w:jc w:val="right"/>
            </w:pPr>
            <w:r>
              <w:t>4 037,77</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4 433,00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pPr>
            <w:r>
              <w:t>4 081,84</w:t>
            </w:r>
          </w:p>
        </w:tc>
        <w:tc>
          <w:tcPr>
            <w:tcW w:w="1135" w:type="dxa"/>
            <w:tcBorders>
              <w:top w:val="single" w:sz="4" w:space="0" w:color="auto"/>
              <w:left w:val="nil"/>
              <w:bottom w:val="single" w:sz="4" w:space="0" w:color="auto"/>
              <w:right w:val="single" w:sz="4" w:space="0" w:color="auto"/>
            </w:tcBorders>
            <w:shd w:val="clear" w:color="auto" w:fill="auto"/>
            <w:noWrap/>
            <w:vAlign w:val="center"/>
          </w:tcPr>
          <w:p>
            <w:pPr>
              <w:jc w:val="right"/>
            </w:pPr>
            <w:r>
              <w:t>3 935,89</w:t>
            </w:r>
          </w:p>
        </w:tc>
        <w:tc>
          <w:tcPr>
            <w:tcW w:w="1096" w:type="dxa"/>
            <w:tcBorders>
              <w:top w:val="single" w:sz="4" w:space="0" w:color="auto"/>
              <w:left w:val="nil"/>
              <w:bottom w:val="single" w:sz="4" w:space="0" w:color="auto"/>
              <w:right w:val="single" w:sz="4" w:space="0" w:color="auto"/>
            </w:tcBorders>
            <w:shd w:val="clear" w:color="auto" w:fill="auto"/>
            <w:noWrap/>
            <w:vAlign w:val="center"/>
          </w:tcPr>
          <w:p>
            <w:pPr>
              <w:jc w:val="right"/>
            </w:pPr>
            <w:r>
              <w:t>-145,95</w:t>
            </w:r>
          </w:p>
        </w:tc>
        <w:tc>
          <w:tcPr>
            <w:tcW w:w="711" w:type="dxa"/>
            <w:tcBorders>
              <w:top w:val="single" w:sz="4" w:space="0" w:color="auto"/>
              <w:left w:val="nil"/>
              <w:bottom w:val="single" w:sz="4" w:space="0" w:color="auto"/>
              <w:right w:val="single" w:sz="4" w:space="0" w:color="auto"/>
            </w:tcBorders>
            <w:shd w:val="clear" w:color="auto" w:fill="auto"/>
            <w:noWrap/>
            <w:vAlign w:val="center"/>
          </w:tcPr>
          <w:p>
            <w:pPr>
              <w:jc w:val="center"/>
            </w:pPr>
            <w:r>
              <w:t>96,4</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моторные масла…</w:t>
            </w:r>
          </w:p>
        </w:tc>
        <w:tc>
          <w:tcPr>
            <w:tcW w:w="986" w:type="dxa"/>
            <w:tcBorders>
              <w:top w:val="nil"/>
              <w:left w:val="nil"/>
              <w:bottom w:val="single" w:sz="4" w:space="0" w:color="auto"/>
              <w:right w:val="single" w:sz="4" w:space="0" w:color="auto"/>
            </w:tcBorders>
            <w:shd w:val="clear" w:color="auto" w:fill="auto"/>
            <w:vAlign w:val="center"/>
          </w:tcPr>
          <w:p>
            <w:pPr>
              <w:jc w:val="right"/>
            </w:pPr>
            <w:r>
              <w:t>29,68</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30,00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25,63</w:t>
            </w:r>
          </w:p>
        </w:tc>
        <w:tc>
          <w:tcPr>
            <w:tcW w:w="1135" w:type="dxa"/>
            <w:tcBorders>
              <w:top w:val="nil"/>
              <w:left w:val="nil"/>
              <w:bottom w:val="single" w:sz="4" w:space="0" w:color="auto"/>
              <w:right w:val="single" w:sz="4" w:space="0" w:color="auto"/>
            </w:tcBorders>
            <w:shd w:val="clear" w:color="auto" w:fill="auto"/>
            <w:noWrap/>
            <w:vAlign w:val="center"/>
          </w:tcPr>
          <w:p>
            <w:pPr>
              <w:jc w:val="right"/>
            </w:pPr>
            <w:r>
              <w:t>28,15</w:t>
            </w:r>
          </w:p>
        </w:tc>
        <w:tc>
          <w:tcPr>
            <w:tcW w:w="1096" w:type="dxa"/>
            <w:tcBorders>
              <w:top w:val="nil"/>
              <w:left w:val="nil"/>
              <w:bottom w:val="single" w:sz="4" w:space="0" w:color="auto"/>
              <w:right w:val="single" w:sz="4" w:space="0" w:color="auto"/>
            </w:tcBorders>
            <w:shd w:val="clear" w:color="auto" w:fill="auto"/>
            <w:noWrap/>
            <w:vAlign w:val="center"/>
          </w:tcPr>
          <w:p>
            <w:pPr>
              <w:jc w:val="right"/>
            </w:pPr>
            <w:r>
              <w:t>2,52</w:t>
            </w:r>
          </w:p>
        </w:tc>
        <w:tc>
          <w:tcPr>
            <w:tcW w:w="711" w:type="dxa"/>
            <w:tcBorders>
              <w:top w:val="nil"/>
              <w:left w:val="nil"/>
              <w:bottom w:val="single" w:sz="4" w:space="0" w:color="auto"/>
              <w:right w:val="single" w:sz="4" w:space="0" w:color="auto"/>
            </w:tcBorders>
            <w:shd w:val="clear" w:color="auto" w:fill="auto"/>
            <w:noWrap/>
            <w:vAlign w:val="center"/>
          </w:tcPr>
          <w:p>
            <w:pPr>
              <w:jc w:val="center"/>
            </w:pPr>
            <w:r>
              <w:t>109,8</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автомобильный бензин…</w:t>
            </w:r>
          </w:p>
        </w:tc>
        <w:tc>
          <w:tcPr>
            <w:tcW w:w="986" w:type="dxa"/>
            <w:tcBorders>
              <w:top w:val="nil"/>
              <w:left w:val="nil"/>
              <w:bottom w:val="single" w:sz="4" w:space="0" w:color="auto"/>
              <w:right w:val="single" w:sz="4" w:space="0" w:color="auto"/>
            </w:tcBorders>
            <w:shd w:val="clear" w:color="auto" w:fill="auto"/>
            <w:vAlign w:val="center"/>
          </w:tcPr>
          <w:p>
            <w:pPr>
              <w:jc w:val="right"/>
            </w:pPr>
            <w:r>
              <w:t>5 394,48</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5 761,00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5 267,34</w:t>
            </w:r>
          </w:p>
        </w:tc>
        <w:tc>
          <w:tcPr>
            <w:tcW w:w="1135" w:type="dxa"/>
            <w:tcBorders>
              <w:top w:val="nil"/>
              <w:left w:val="nil"/>
              <w:bottom w:val="single" w:sz="4" w:space="0" w:color="auto"/>
              <w:right w:val="single" w:sz="4" w:space="0" w:color="auto"/>
            </w:tcBorders>
            <w:shd w:val="clear" w:color="auto" w:fill="auto"/>
            <w:noWrap/>
            <w:vAlign w:val="center"/>
          </w:tcPr>
          <w:p>
            <w:pPr>
              <w:jc w:val="right"/>
            </w:pPr>
            <w:r>
              <w:t xml:space="preserve"> 5 294,88</w:t>
            </w:r>
          </w:p>
        </w:tc>
        <w:tc>
          <w:tcPr>
            <w:tcW w:w="1096" w:type="dxa"/>
            <w:tcBorders>
              <w:top w:val="nil"/>
              <w:left w:val="nil"/>
              <w:bottom w:val="single" w:sz="4" w:space="0" w:color="auto"/>
              <w:right w:val="single" w:sz="4" w:space="0" w:color="auto"/>
            </w:tcBorders>
            <w:shd w:val="clear" w:color="auto" w:fill="auto"/>
            <w:noWrap/>
            <w:vAlign w:val="center"/>
          </w:tcPr>
          <w:p>
            <w:pPr>
              <w:jc w:val="right"/>
            </w:pPr>
            <w:r>
              <w:t>27,54</w:t>
            </w:r>
          </w:p>
        </w:tc>
        <w:tc>
          <w:tcPr>
            <w:tcW w:w="711" w:type="dxa"/>
            <w:tcBorders>
              <w:top w:val="nil"/>
              <w:left w:val="nil"/>
              <w:bottom w:val="single" w:sz="4" w:space="0" w:color="auto"/>
              <w:right w:val="single" w:sz="4" w:space="0" w:color="auto"/>
            </w:tcBorders>
            <w:shd w:val="clear" w:color="auto" w:fill="auto"/>
            <w:noWrap/>
            <w:vAlign w:val="center"/>
          </w:tcPr>
          <w:p>
            <w:pPr>
              <w:jc w:val="center"/>
            </w:pPr>
            <w:r>
              <w:t>100,5</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прямогонный бензин …</w:t>
            </w:r>
          </w:p>
        </w:tc>
        <w:tc>
          <w:tcPr>
            <w:tcW w:w="986" w:type="dxa"/>
            <w:tcBorders>
              <w:top w:val="nil"/>
              <w:left w:val="nil"/>
              <w:bottom w:val="single" w:sz="4" w:space="0" w:color="auto"/>
              <w:right w:val="single" w:sz="4" w:space="0" w:color="auto"/>
            </w:tcBorders>
            <w:shd w:val="clear" w:color="auto" w:fill="auto"/>
            <w:vAlign w:val="center"/>
          </w:tcPr>
          <w:p>
            <w:pPr>
              <w:jc w:val="right"/>
            </w:pPr>
            <w:r>
              <w:t>-591,28</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-803,00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-682,13</w:t>
            </w:r>
          </w:p>
        </w:tc>
        <w:tc>
          <w:tcPr>
            <w:tcW w:w="1135" w:type="dxa"/>
            <w:tcBorders>
              <w:top w:val="nil"/>
              <w:left w:val="nil"/>
              <w:bottom w:val="single" w:sz="4" w:space="0" w:color="auto"/>
              <w:right w:val="single" w:sz="4" w:space="0" w:color="auto"/>
            </w:tcBorders>
            <w:shd w:val="clear" w:color="auto" w:fill="auto"/>
            <w:noWrap/>
            <w:vAlign w:val="center"/>
          </w:tcPr>
          <w:p>
            <w:pPr>
              <w:jc w:val="right"/>
            </w:pPr>
            <w:r>
              <w:t>-725,60</w:t>
            </w:r>
          </w:p>
        </w:tc>
        <w:tc>
          <w:tcPr>
            <w:tcW w:w="1096" w:type="dxa"/>
            <w:tcBorders>
              <w:top w:val="nil"/>
              <w:left w:val="nil"/>
              <w:bottom w:val="single" w:sz="4" w:space="0" w:color="auto"/>
              <w:right w:val="single" w:sz="4" w:space="0" w:color="auto"/>
            </w:tcBorders>
            <w:shd w:val="clear" w:color="auto" w:fill="auto"/>
            <w:noWrap/>
            <w:vAlign w:val="center"/>
          </w:tcPr>
          <w:p>
            <w:pPr>
              <w:jc w:val="right"/>
            </w:pPr>
            <w:r>
              <w:t>-43,47</w:t>
            </w:r>
          </w:p>
        </w:tc>
        <w:tc>
          <w:tcPr>
            <w:tcW w:w="711" w:type="dxa"/>
            <w:tcBorders>
              <w:top w:val="nil"/>
              <w:left w:val="nil"/>
              <w:bottom w:val="single" w:sz="4" w:space="0" w:color="auto"/>
              <w:right w:val="single" w:sz="4" w:space="0" w:color="auto"/>
            </w:tcBorders>
            <w:shd w:val="clear" w:color="auto" w:fill="auto"/>
            <w:noWrap/>
            <w:vAlign w:val="center"/>
          </w:tcPr>
          <w:p>
            <w:pPr>
              <w:jc w:val="center"/>
            </w:pPr>
            <w:r>
              <w:t>106,4</w:t>
            </w:r>
          </w:p>
        </w:tc>
      </w:tr>
    </w:tbl>
    <w:p>
      <w:pPr>
        <w:spacing w:before="120"/>
        <w:ind w:firstLine="709"/>
        <w:jc w:val="both"/>
        <w:rPr>
          <w:sz w:val="24"/>
          <w:szCs w:val="24"/>
        </w:rPr>
      </w:pPr>
      <w:r>
        <w:rPr>
          <w:sz w:val="24"/>
          <w:szCs w:val="24"/>
        </w:rPr>
        <w:t>Налог зачислялся в бюджет ЗАТО Северск в 2020 году по дифференцированному нормативу отчислений в размере 0,34603%, установленному Законом Томской области от 25.12.2019 № 164-ОЗ «Об областном бюджете на 2020 год и на плановый период 2021 и 2022 годов», исходя из протяженности автомобильных дорог местного значения, находящихся в собственности муниципальных образований.</w:t>
      </w:r>
    </w:p>
    <w:p>
      <w:pPr>
        <w:jc w:val="center"/>
        <w:rPr>
          <w:b/>
          <w:sz w:val="28"/>
          <w:szCs w:val="28"/>
        </w:rPr>
      </w:pPr>
    </w:p>
    <w:p>
      <w:pPr>
        <w:jc w:val="center"/>
        <w:rPr>
          <w:b/>
          <w:sz w:val="24"/>
          <w:szCs w:val="24"/>
        </w:rPr>
      </w:pPr>
      <w:r>
        <w:rPr>
          <w:b/>
          <w:sz w:val="24"/>
          <w:szCs w:val="24"/>
        </w:rPr>
        <w:t xml:space="preserve">3.1.3. Налог, взимаемый в связи с применением </w:t>
      </w:r>
    </w:p>
    <w:p>
      <w:pPr>
        <w:spacing w:after="240"/>
        <w:jc w:val="center"/>
        <w:rPr>
          <w:b/>
          <w:sz w:val="24"/>
          <w:szCs w:val="24"/>
        </w:rPr>
      </w:pPr>
      <w:r>
        <w:rPr>
          <w:b/>
          <w:sz w:val="24"/>
          <w:szCs w:val="24"/>
        </w:rPr>
        <w:t>упрощенной системы налогообложения</w:t>
      </w:r>
    </w:p>
    <w:p>
      <w:pPr>
        <w:ind w:firstLine="720"/>
        <w:jc w:val="both"/>
        <w:rPr>
          <w:sz w:val="24"/>
          <w:szCs w:val="24"/>
        </w:rPr>
      </w:pPr>
      <w:r>
        <w:rPr>
          <w:sz w:val="24"/>
          <w:szCs w:val="24"/>
        </w:rPr>
        <w:t xml:space="preserve">Прогноз поступлений по статье «Налог, взимаемый в связи с применением упрощенной системы налогообложения» (далее – УСН) составлял 56 000,00 тыс.руб., фактическое исполнение – 56 833,46 тыс.руб., перевыполнение на 833,46 тыс.руб. или на 1,5%. </w:t>
      </w:r>
    </w:p>
    <w:p>
      <w:pPr>
        <w:spacing w:before="120" w:after="60"/>
        <w:ind w:right="45" w:firstLine="720"/>
        <w:jc w:val="both"/>
        <w:rPr>
          <w:sz w:val="24"/>
          <w:szCs w:val="24"/>
        </w:rPr>
      </w:pPr>
      <w:r>
        <w:rPr>
          <w:sz w:val="24"/>
          <w:szCs w:val="24"/>
        </w:rPr>
        <w:t>Таблица 12. Анализ поступления налога, взимаемого в связи с применением УСН за 2019 – 2020 гг.</w:t>
      </w:r>
    </w:p>
    <w:tbl>
      <w:tblPr>
        <w:tblW w:w="9510" w:type="dxa"/>
        <w:tblInd w:w="96" w:type="dxa"/>
        <w:tblLayout w:type="fixed"/>
        <w:tblLook w:val="0000" w:firstRow="0" w:lastRow="0" w:firstColumn="0" w:lastColumn="0" w:noHBand="0" w:noVBand="0"/>
      </w:tblPr>
      <w:tblGrid>
        <w:gridCol w:w="2847"/>
        <w:gridCol w:w="1134"/>
        <w:gridCol w:w="1276"/>
        <w:gridCol w:w="1276"/>
        <w:gridCol w:w="1134"/>
        <w:gridCol w:w="1134"/>
        <w:gridCol w:w="709"/>
      </w:tblGrid>
      <w:tr>
        <w:trPr>
          <w:cantSplit/>
          <w:trHeight w:val="217"/>
        </w:trPr>
        <w:tc>
          <w:tcPr>
            <w:tcW w:w="2847"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2019 год, тыс.руб.</w:t>
            </w:r>
          </w:p>
        </w:tc>
        <w:tc>
          <w:tcPr>
            <w:tcW w:w="55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2020 год</w:t>
            </w:r>
          </w:p>
        </w:tc>
      </w:tr>
      <w:tr>
        <w:trPr>
          <w:cantSplit/>
          <w:trHeight w:val="830"/>
        </w:trPr>
        <w:tc>
          <w:tcPr>
            <w:tcW w:w="2847"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709"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88"/>
        </w:trPr>
        <w:tc>
          <w:tcPr>
            <w:tcW w:w="2847"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709"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406"/>
        </w:trPr>
        <w:tc>
          <w:tcPr>
            <w:tcW w:w="284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УСН</w:t>
            </w:r>
          </w:p>
        </w:tc>
        <w:tc>
          <w:tcPr>
            <w:tcW w:w="1134" w:type="dxa"/>
            <w:tcBorders>
              <w:top w:val="single" w:sz="4" w:space="0" w:color="auto"/>
              <w:left w:val="nil"/>
              <w:bottom w:val="single" w:sz="4" w:space="0" w:color="auto"/>
              <w:right w:val="single" w:sz="4" w:space="0" w:color="auto"/>
            </w:tcBorders>
            <w:vAlign w:val="center"/>
          </w:tcPr>
          <w:p>
            <w:pPr>
              <w:jc w:val="right"/>
            </w:pPr>
            <w:r>
              <w:t>56 743,89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60 027,00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56 000,00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56 833,46</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833,46</w:t>
            </w:r>
          </w:p>
        </w:tc>
        <w:tc>
          <w:tcPr>
            <w:tcW w:w="709" w:type="dxa"/>
            <w:tcBorders>
              <w:top w:val="single" w:sz="4" w:space="0" w:color="auto"/>
              <w:left w:val="nil"/>
              <w:bottom w:val="single" w:sz="4" w:space="0" w:color="auto"/>
              <w:right w:val="single" w:sz="4" w:space="0" w:color="auto"/>
            </w:tcBorders>
            <w:vAlign w:val="center"/>
          </w:tcPr>
          <w:p>
            <w:pPr>
              <w:ind w:left="-57" w:right="-57"/>
              <w:jc w:val="right"/>
              <w:rPr>
                <w:color w:val="000000"/>
              </w:rPr>
            </w:pPr>
            <w:r>
              <w:rPr>
                <w:color w:val="000000"/>
              </w:rPr>
              <w:t>101,5</w:t>
            </w:r>
          </w:p>
        </w:tc>
      </w:tr>
    </w:tbl>
    <w:p>
      <w:pPr>
        <w:spacing w:before="120"/>
        <w:ind w:firstLine="720"/>
        <w:jc w:val="both"/>
        <w:rPr>
          <w:sz w:val="24"/>
          <w:szCs w:val="24"/>
        </w:rPr>
      </w:pPr>
      <w:r>
        <w:rPr>
          <w:sz w:val="24"/>
          <w:szCs w:val="24"/>
        </w:rPr>
        <w:t xml:space="preserve">Удельный вес статьи в общей структуре фактически поступивших доходов составляет 1,2%, налоговых и неналоговых доходах – 5,1%. </w:t>
      </w:r>
    </w:p>
    <w:p>
      <w:pPr>
        <w:ind w:firstLine="720"/>
        <w:jc w:val="both"/>
        <w:rPr>
          <w:sz w:val="24"/>
          <w:szCs w:val="24"/>
        </w:rPr>
      </w:pPr>
      <w:r>
        <w:rPr>
          <w:sz w:val="24"/>
          <w:szCs w:val="24"/>
        </w:rPr>
        <w:t>Налог зачислялся в бюджет ЗАТО Северск по единому нормативу 30% в соответствии Законом Томской области от 14.11.2012 № 208-ОЗ «Об установлении единых нормативов отчислений в бюджеты муниципальных районов и городских округов Томской области от отдельных федеральных налогов».</w:t>
      </w:r>
    </w:p>
    <w:p>
      <w:pPr>
        <w:ind w:firstLine="709"/>
        <w:jc w:val="both"/>
        <w:rPr>
          <w:sz w:val="24"/>
          <w:szCs w:val="24"/>
        </w:rPr>
      </w:pPr>
      <w:r>
        <w:rPr>
          <w:sz w:val="24"/>
          <w:szCs w:val="24"/>
        </w:rPr>
        <w:t>Главный администратор доходов по налогу, взимаемому в связи с применением УСН – ИФНС России по ЗАТО Северск Томской области.</w:t>
      </w:r>
    </w:p>
    <w:p>
      <w:pPr>
        <w:ind w:firstLine="720"/>
        <w:jc w:val="both"/>
        <w:rPr>
          <w:sz w:val="24"/>
          <w:szCs w:val="24"/>
        </w:rPr>
      </w:pPr>
      <w:r>
        <w:rPr>
          <w:sz w:val="24"/>
          <w:szCs w:val="24"/>
        </w:rPr>
        <w:t>По сравнению с 2019 годом поступление доходов по статье увеличилось на 89,57 тыс.руб. или на 0,2%.</w:t>
      </w:r>
    </w:p>
    <w:p>
      <w:pPr>
        <w:ind w:firstLine="720"/>
        <w:jc w:val="both"/>
        <w:rPr>
          <w:sz w:val="24"/>
          <w:szCs w:val="24"/>
        </w:rPr>
      </w:pPr>
      <w:r>
        <w:rPr>
          <w:sz w:val="24"/>
          <w:szCs w:val="24"/>
        </w:rPr>
        <w:t xml:space="preserve">Задолженность налогоплательщиков по налогу по состоянию на 01.01.2021 по сравнению с задолженностью на 01.01.2020 сократилась на 594,2 тыс.руб. </w:t>
      </w:r>
    </w:p>
    <w:p>
      <w:pPr>
        <w:spacing w:before="120" w:after="60"/>
        <w:ind w:firstLine="720"/>
        <w:jc w:val="both"/>
        <w:rPr>
          <w:sz w:val="24"/>
          <w:szCs w:val="24"/>
        </w:rPr>
      </w:pPr>
      <w:r>
        <w:rPr>
          <w:sz w:val="24"/>
          <w:szCs w:val="24"/>
        </w:rPr>
        <w:lastRenderedPageBreak/>
        <w:t>Таблица 13. Анализ задолженности по налогу, взимаемому в связи с применением УСН, в бюджет ЗАТО Северск за 2019 - 2020 гг.</w:t>
      </w:r>
    </w:p>
    <w:tbl>
      <w:tblPr>
        <w:tblW w:w="9368" w:type="dxa"/>
        <w:tblInd w:w="96" w:type="dxa"/>
        <w:tblLayout w:type="fixed"/>
        <w:tblLook w:val="0000" w:firstRow="0" w:lastRow="0" w:firstColumn="0" w:lastColumn="0" w:noHBand="0" w:noVBand="0"/>
      </w:tblPr>
      <w:tblGrid>
        <w:gridCol w:w="4265"/>
        <w:gridCol w:w="1276"/>
        <w:gridCol w:w="1417"/>
        <w:gridCol w:w="1276"/>
        <w:gridCol w:w="1134"/>
      </w:tblGrid>
      <w:tr>
        <w:trPr>
          <w:cantSplit/>
          <w:trHeight w:val="160"/>
        </w:trPr>
        <w:tc>
          <w:tcPr>
            <w:tcW w:w="4265"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693"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410"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4265"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276" w:type="dxa"/>
            <w:tcBorders>
              <w:top w:val="single" w:sz="4" w:space="0" w:color="auto"/>
              <w:left w:val="nil"/>
              <w:bottom w:val="single" w:sz="4" w:space="0" w:color="auto"/>
              <w:right w:val="single" w:sz="4" w:space="0" w:color="auto"/>
            </w:tcBorders>
            <w:vAlign w:val="center"/>
          </w:tcPr>
          <w:p>
            <w:pPr>
              <w:ind w:left="-57" w:right="-57"/>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98"/>
        </w:trPr>
        <w:tc>
          <w:tcPr>
            <w:tcW w:w="4265"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УСН</w:t>
            </w:r>
          </w:p>
        </w:tc>
        <w:tc>
          <w:tcPr>
            <w:tcW w:w="1276" w:type="dxa"/>
            <w:tcBorders>
              <w:top w:val="single" w:sz="4" w:space="0" w:color="auto"/>
              <w:left w:val="nil"/>
              <w:bottom w:val="single" w:sz="4" w:space="0" w:color="auto"/>
              <w:right w:val="single" w:sz="4" w:space="0" w:color="auto"/>
            </w:tcBorders>
            <w:vAlign w:val="center"/>
          </w:tcPr>
          <w:p>
            <w:pPr>
              <w:ind w:left="-57"/>
              <w:jc w:val="right"/>
            </w:pPr>
            <w:r>
              <w:t>1 672,4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1 078,2</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jc w:val="right"/>
            </w:pPr>
            <w:r>
              <w:t>-594,2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64,5</w:t>
            </w:r>
          </w:p>
        </w:tc>
      </w:tr>
    </w:tbl>
    <w:p>
      <w:pPr>
        <w:jc w:val="center"/>
        <w:rPr>
          <w:b/>
          <w:sz w:val="24"/>
          <w:szCs w:val="24"/>
        </w:rPr>
      </w:pPr>
    </w:p>
    <w:p>
      <w:pPr>
        <w:spacing w:after="120"/>
        <w:jc w:val="center"/>
        <w:rPr>
          <w:b/>
          <w:sz w:val="24"/>
          <w:szCs w:val="24"/>
        </w:rPr>
      </w:pPr>
      <w:r>
        <w:rPr>
          <w:b/>
          <w:sz w:val="24"/>
          <w:szCs w:val="24"/>
        </w:rPr>
        <w:t>3.1.4. Единый налог на вмененный доход</w:t>
      </w:r>
    </w:p>
    <w:p>
      <w:pPr>
        <w:spacing w:before="160"/>
        <w:ind w:firstLine="720"/>
        <w:jc w:val="both"/>
        <w:rPr>
          <w:sz w:val="24"/>
          <w:szCs w:val="24"/>
        </w:rPr>
      </w:pPr>
      <w:r>
        <w:rPr>
          <w:sz w:val="24"/>
          <w:szCs w:val="24"/>
        </w:rPr>
        <w:t>Прогноз поступлений по статье «Единый налог на вмененный доход» (ЕНВД) составлял 37 700,00 тыс.руб., фактическое исполнение – 38 236,65 тыс.руб., перевыполнение на 536,65 тыс.руб. или на 1,4%.</w:t>
      </w:r>
    </w:p>
    <w:p>
      <w:pPr>
        <w:spacing w:before="120" w:after="60"/>
        <w:ind w:right="45" w:firstLine="720"/>
        <w:jc w:val="both"/>
        <w:rPr>
          <w:sz w:val="24"/>
          <w:szCs w:val="24"/>
        </w:rPr>
      </w:pPr>
      <w:r>
        <w:rPr>
          <w:sz w:val="24"/>
          <w:szCs w:val="24"/>
        </w:rPr>
        <w:t>Таблица 14. Анализ поступления ЕНВД за 2019 - 2020 гг.</w:t>
      </w:r>
    </w:p>
    <w:tbl>
      <w:tblPr>
        <w:tblW w:w="9366" w:type="dxa"/>
        <w:tblInd w:w="96" w:type="dxa"/>
        <w:tblLayout w:type="fixed"/>
        <w:tblLook w:val="0000" w:firstRow="0" w:lastRow="0" w:firstColumn="0" w:lastColumn="0" w:noHBand="0" w:noVBand="0"/>
      </w:tblPr>
      <w:tblGrid>
        <w:gridCol w:w="2422"/>
        <w:gridCol w:w="1276"/>
        <w:gridCol w:w="1275"/>
        <w:gridCol w:w="1275"/>
        <w:gridCol w:w="1134"/>
        <w:gridCol w:w="1135"/>
        <w:gridCol w:w="849"/>
      </w:tblGrid>
      <w:tr>
        <w:trPr>
          <w:cantSplit/>
          <w:trHeight w:val="142"/>
        </w:trPr>
        <w:tc>
          <w:tcPr>
            <w:tcW w:w="2422"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276"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2019 год, тыс.руб.</w:t>
            </w:r>
          </w:p>
        </w:tc>
        <w:tc>
          <w:tcPr>
            <w:tcW w:w="566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2020 год</w:t>
            </w:r>
          </w:p>
        </w:tc>
      </w:tr>
      <w:tr>
        <w:trPr>
          <w:cantSplit/>
          <w:trHeight w:val="800"/>
        </w:trPr>
        <w:tc>
          <w:tcPr>
            <w:tcW w:w="2422"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276" w:type="dxa"/>
            <w:vMerge/>
            <w:tcBorders>
              <w:left w:val="nil"/>
              <w:bottom w:val="single" w:sz="4" w:space="0" w:color="auto"/>
              <w:right w:val="single" w:sz="4" w:space="0" w:color="auto"/>
            </w:tcBorders>
            <w:vAlign w:val="center"/>
          </w:tcPr>
          <w:p>
            <w:pPr>
              <w:ind w:left="-57" w:right="-5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5"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849"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47"/>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276"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5"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849"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438"/>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ЕНВД</w:t>
            </w:r>
          </w:p>
        </w:tc>
        <w:tc>
          <w:tcPr>
            <w:tcW w:w="1276" w:type="dxa"/>
            <w:tcBorders>
              <w:top w:val="single" w:sz="4" w:space="0" w:color="auto"/>
              <w:left w:val="nil"/>
              <w:bottom w:val="single" w:sz="4" w:space="0" w:color="auto"/>
              <w:right w:val="single" w:sz="4" w:space="0" w:color="auto"/>
            </w:tcBorders>
            <w:vAlign w:val="center"/>
          </w:tcPr>
          <w:p>
            <w:pPr>
              <w:jc w:val="right"/>
            </w:pPr>
            <w:r>
              <w:t>44 684,50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35 816,00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37 700,00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38 236,65</w:t>
            </w:r>
          </w:p>
        </w:tc>
        <w:tc>
          <w:tcPr>
            <w:tcW w:w="1135" w:type="dxa"/>
            <w:tcBorders>
              <w:top w:val="single" w:sz="4" w:space="0" w:color="auto"/>
              <w:left w:val="nil"/>
              <w:bottom w:val="single" w:sz="4" w:space="0" w:color="auto"/>
              <w:right w:val="single" w:sz="4" w:space="0" w:color="auto"/>
            </w:tcBorders>
            <w:shd w:val="clear" w:color="auto" w:fill="auto"/>
            <w:vAlign w:val="center"/>
          </w:tcPr>
          <w:p>
            <w:pPr>
              <w:jc w:val="right"/>
            </w:pPr>
            <w:r>
              <w:t>536,65</w:t>
            </w:r>
          </w:p>
        </w:tc>
        <w:tc>
          <w:tcPr>
            <w:tcW w:w="849" w:type="dxa"/>
            <w:tcBorders>
              <w:top w:val="single" w:sz="4" w:space="0" w:color="auto"/>
              <w:left w:val="nil"/>
              <w:bottom w:val="single" w:sz="4" w:space="0" w:color="auto"/>
              <w:right w:val="single" w:sz="4" w:space="0" w:color="auto"/>
            </w:tcBorders>
            <w:vAlign w:val="center"/>
          </w:tcPr>
          <w:p>
            <w:pPr>
              <w:ind w:left="-57" w:right="-57"/>
              <w:jc w:val="right"/>
              <w:rPr>
                <w:color w:val="000000"/>
              </w:rPr>
            </w:pPr>
            <w:r>
              <w:rPr>
                <w:color w:val="000000"/>
              </w:rPr>
              <w:t>101,4</w:t>
            </w:r>
          </w:p>
        </w:tc>
      </w:tr>
    </w:tbl>
    <w:p>
      <w:pPr>
        <w:spacing w:before="160"/>
        <w:ind w:firstLine="720"/>
        <w:jc w:val="both"/>
        <w:rPr>
          <w:sz w:val="24"/>
          <w:szCs w:val="24"/>
        </w:rPr>
      </w:pPr>
      <w:r>
        <w:rPr>
          <w:sz w:val="24"/>
          <w:szCs w:val="24"/>
        </w:rPr>
        <w:t xml:space="preserve">Удельный вес статьи в общей структуре фактически поступивших доходов составляет 0,8%, налоговых и неналоговых доходах – 3,4%. </w:t>
      </w:r>
    </w:p>
    <w:p>
      <w:pPr>
        <w:ind w:firstLine="720"/>
        <w:jc w:val="both"/>
        <w:rPr>
          <w:sz w:val="24"/>
          <w:szCs w:val="24"/>
        </w:rPr>
      </w:pPr>
      <w:r>
        <w:rPr>
          <w:sz w:val="24"/>
          <w:szCs w:val="24"/>
        </w:rPr>
        <w:t xml:space="preserve">Норматив зачисления в бюджет ЗАТО Северск 100%. </w:t>
      </w:r>
    </w:p>
    <w:p>
      <w:pPr>
        <w:ind w:firstLine="709"/>
        <w:jc w:val="both"/>
        <w:rPr>
          <w:sz w:val="24"/>
          <w:szCs w:val="24"/>
        </w:rPr>
      </w:pPr>
      <w:r>
        <w:rPr>
          <w:sz w:val="24"/>
          <w:szCs w:val="24"/>
        </w:rPr>
        <w:t>Главный администратор доходов по ЕНВД – ИФНС России по ЗАТО Северск Томской области.</w:t>
      </w:r>
    </w:p>
    <w:p>
      <w:pPr>
        <w:ind w:firstLine="708"/>
        <w:jc w:val="both"/>
        <w:rPr>
          <w:color w:val="000000"/>
          <w:sz w:val="24"/>
          <w:szCs w:val="24"/>
        </w:rPr>
      </w:pPr>
      <w:r>
        <w:rPr>
          <w:sz w:val="24"/>
          <w:szCs w:val="24"/>
        </w:rPr>
        <w:t>В связи с пандемией новой коронавирусной инфекции, с учетом мер по снижению налоговой нагрузки в 2020 году, предпринятых на федеральном и местном уровнях в пострадавших отраслях российской экономики, поступление доходов по статье, по сравнению с 2019 годом, сократилось на 6 447,85 тыс.руб. или на 14,4%.</w:t>
      </w:r>
    </w:p>
    <w:p>
      <w:pPr>
        <w:ind w:firstLine="708"/>
        <w:jc w:val="both"/>
        <w:rPr>
          <w:sz w:val="16"/>
          <w:szCs w:val="16"/>
          <w:highlight w:val="yellow"/>
        </w:rPr>
      </w:pPr>
      <w:r>
        <w:rPr>
          <w:color w:val="000000"/>
          <w:sz w:val="24"/>
          <w:szCs w:val="24"/>
        </w:rPr>
        <w:t xml:space="preserve">Меры муниципальной поддержки в период пандемии по ЕНВД были установлены Решением Думы ЗАТО Северск от 23.06.2020 № 65/7 в части пониженного размера налоговой ставки 7,5% величины вмененного дохода для отдельных видов предпринимательской деятельности. </w:t>
      </w:r>
    </w:p>
    <w:p>
      <w:pPr>
        <w:ind w:right="45" w:firstLine="720"/>
        <w:jc w:val="both"/>
        <w:rPr>
          <w:sz w:val="24"/>
          <w:szCs w:val="24"/>
        </w:rPr>
      </w:pPr>
      <w:r>
        <w:rPr>
          <w:sz w:val="24"/>
          <w:szCs w:val="24"/>
        </w:rPr>
        <w:t>Задолженность налогоплательщиков по ЕНВД в 2020 году сократилась на 991,1 тыс.руб.</w:t>
      </w:r>
    </w:p>
    <w:p>
      <w:pPr>
        <w:spacing w:before="120" w:after="60"/>
        <w:ind w:right="45" w:firstLine="720"/>
        <w:jc w:val="both"/>
        <w:rPr>
          <w:sz w:val="24"/>
          <w:szCs w:val="24"/>
        </w:rPr>
      </w:pPr>
      <w:r>
        <w:rPr>
          <w:sz w:val="24"/>
          <w:szCs w:val="24"/>
        </w:rPr>
        <w:t>Таблица 15. Анализ задолженности по ЕНВД за 2019 - 2020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89"/>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ЕНВД</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3 019,5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2 028,4</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-991,1</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108"/>
              <w:jc w:val="center"/>
            </w:pPr>
            <w:r>
              <w:t>67,2</w:t>
            </w:r>
          </w:p>
        </w:tc>
      </w:tr>
    </w:tbl>
    <w:p>
      <w:pPr>
        <w:ind w:firstLine="720"/>
        <w:jc w:val="center"/>
        <w:outlineLvl w:val="0"/>
        <w:rPr>
          <w:b/>
          <w:sz w:val="28"/>
          <w:szCs w:val="28"/>
        </w:rPr>
      </w:pPr>
    </w:p>
    <w:p>
      <w:pPr>
        <w:spacing w:after="120"/>
        <w:jc w:val="center"/>
        <w:outlineLvl w:val="0"/>
        <w:rPr>
          <w:b/>
          <w:sz w:val="24"/>
          <w:szCs w:val="24"/>
        </w:rPr>
      </w:pPr>
      <w:r>
        <w:rPr>
          <w:b/>
          <w:sz w:val="24"/>
          <w:szCs w:val="24"/>
        </w:rPr>
        <w:t>3.1.5. Единый сельскохозяйственный налог</w:t>
      </w:r>
    </w:p>
    <w:p>
      <w:pPr>
        <w:ind w:firstLine="709"/>
        <w:jc w:val="both"/>
        <w:rPr>
          <w:sz w:val="24"/>
          <w:szCs w:val="24"/>
        </w:rPr>
      </w:pPr>
      <w:r>
        <w:rPr>
          <w:sz w:val="24"/>
          <w:szCs w:val="24"/>
        </w:rPr>
        <w:t>Прогноз поступлений по статье «Единый сельскохозяйственный налог» (ЕСХН) составлял 420,54 тыс.руб., фактическое исполнение – 420,21 тыс.руб. (99,9%).</w:t>
      </w:r>
    </w:p>
    <w:p>
      <w:pPr>
        <w:ind w:firstLine="709"/>
        <w:jc w:val="both"/>
        <w:rPr>
          <w:sz w:val="24"/>
          <w:szCs w:val="24"/>
        </w:rPr>
      </w:pPr>
      <w:r>
        <w:rPr>
          <w:sz w:val="24"/>
          <w:szCs w:val="24"/>
        </w:rPr>
        <w:t>Норматив зачисления в бюджет ЗАТО Северск 100%.</w:t>
      </w:r>
    </w:p>
    <w:p>
      <w:pPr>
        <w:ind w:firstLine="709"/>
        <w:jc w:val="both"/>
        <w:rPr>
          <w:sz w:val="24"/>
          <w:szCs w:val="24"/>
        </w:rPr>
      </w:pPr>
      <w:r>
        <w:rPr>
          <w:sz w:val="24"/>
          <w:szCs w:val="24"/>
        </w:rPr>
        <w:t>Главный администратор доходов по ЕСХН – ИФНС по ЗАТО Северск Томской области.</w:t>
      </w:r>
    </w:p>
    <w:p>
      <w:pPr>
        <w:ind w:firstLine="709"/>
        <w:jc w:val="both"/>
        <w:rPr>
          <w:sz w:val="24"/>
          <w:szCs w:val="24"/>
        </w:rPr>
      </w:pPr>
      <w:r>
        <w:rPr>
          <w:sz w:val="24"/>
          <w:szCs w:val="24"/>
        </w:rPr>
        <w:t>В 2020 году налог поступил от единственного налогоплательщика - ООО «ТРК».</w:t>
      </w:r>
    </w:p>
    <w:p>
      <w:pPr>
        <w:ind w:firstLine="709"/>
        <w:jc w:val="both"/>
        <w:rPr>
          <w:sz w:val="24"/>
          <w:szCs w:val="24"/>
        </w:rPr>
      </w:pPr>
      <w:r>
        <w:rPr>
          <w:sz w:val="24"/>
          <w:szCs w:val="24"/>
        </w:rPr>
        <w:t>По сравнению с 2019 годом рост поступлений по статье составил 59,77 тыс.руб.</w:t>
      </w:r>
    </w:p>
    <w:p>
      <w:pPr>
        <w:ind w:right="45" w:firstLine="720"/>
        <w:jc w:val="both"/>
        <w:rPr>
          <w:sz w:val="24"/>
          <w:szCs w:val="24"/>
        </w:rPr>
      </w:pPr>
      <w:r>
        <w:rPr>
          <w:sz w:val="24"/>
          <w:szCs w:val="24"/>
        </w:rPr>
        <w:t>Задолженность налогоплательщиков по ЕСХН в 2020 году уменьшилась на 1,3 тыс.руб.</w:t>
      </w:r>
    </w:p>
    <w:p>
      <w:pPr>
        <w:spacing w:before="120" w:after="60"/>
        <w:ind w:right="45" w:firstLine="720"/>
        <w:jc w:val="both"/>
        <w:rPr>
          <w:sz w:val="24"/>
          <w:szCs w:val="24"/>
        </w:rPr>
      </w:pPr>
      <w:r>
        <w:rPr>
          <w:sz w:val="24"/>
          <w:szCs w:val="24"/>
        </w:rPr>
        <w:lastRenderedPageBreak/>
        <w:t>Таблица 16. Анализ задолженности по ЕСХН за 2019 - 2020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44"/>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ЕСХН</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0,0</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w:t>
            </w:r>
          </w:p>
        </w:tc>
      </w:tr>
    </w:tbl>
    <w:p>
      <w:pPr>
        <w:ind w:firstLine="709"/>
        <w:jc w:val="both"/>
        <w:rPr>
          <w:sz w:val="28"/>
          <w:szCs w:val="28"/>
          <w:highlight w:val="yellow"/>
        </w:rPr>
      </w:pPr>
    </w:p>
    <w:p>
      <w:pPr>
        <w:shd w:val="clear" w:color="auto" w:fill="FFFFFF" w:themeFill="background1"/>
        <w:jc w:val="center"/>
        <w:rPr>
          <w:b/>
          <w:sz w:val="24"/>
          <w:szCs w:val="24"/>
        </w:rPr>
      </w:pPr>
      <w:r>
        <w:rPr>
          <w:b/>
          <w:sz w:val="24"/>
          <w:szCs w:val="24"/>
        </w:rPr>
        <w:t xml:space="preserve">3.1.6.  Налог, взимаемый в связи с применением </w:t>
      </w:r>
    </w:p>
    <w:p>
      <w:pPr>
        <w:shd w:val="clear" w:color="auto" w:fill="FFFFFF" w:themeFill="background1"/>
        <w:spacing w:after="120"/>
        <w:jc w:val="center"/>
        <w:rPr>
          <w:b/>
          <w:sz w:val="24"/>
          <w:szCs w:val="24"/>
        </w:rPr>
      </w:pPr>
      <w:r>
        <w:rPr>
          <w:b/>
          <w:sz w:val="24"/>
          <w:szCs w:val="24"/>
        </w:rPr>
        <w:t>патентной системы налогообложения</w:t>
      </w:r>
    </w:p>
    <w:p>
      <w:pPr>
        <w:shd w:val="clear" w:color="auto" w:fill="FFFFFF" w:themeFill="background1"/>
        <w:spacing w:after="120"/>
        <w:jc w:val="center"/>
        <w:rPr>
          <w:b/>
          <w:sz w:val="16"/>
          <w:szCs w:val="16"/>
        </w:rPr>
      </w:pPr>
    </w:p>
    <w:p>
      <w:pPr>
        <w:ind w:firstLine="720"/>
        <w:jc w:val="both"/>
        <w:rPr>
          <w:sz w:val="24"/>
          <w:szCs w:val="24"/>
        </w:rPr>
      </w:pPr>
      <w:r>
        <w:rPr>
          <w:sz w:val="24"/>
          <w:szCs w:val="24"/>
        </w:rPr>
        <w:t xml:space="preserve">Прогноз поступлений по статье «Налог, взимаемый в связи с применением патентной системы налогообложения» составлял 1 142,30 тыс.руб., фактическое исполнение – 1 048,07 тыс.руб., невыполнение на 94,23 тыс.руб. или на 8,2%. </w:t>
      </w:r>
    </w:p>
    <w:p>
      <w:pPr>
        <w:spacing w:before="120" w:after="60"/>
        <w:ind w:right="45" w:firstLine="720"/>
        <w:jc w:val="both"/>
        <w:rPr>
          <w:sz w:val="24"/>
          <w:szCs w:val="24"/>
        </w:rPr>
      </w:pPr>
      <w:r>
        <w:rPr>
          <w:sz w:val="24"/>
          <w:szCs w:val="24"/>
        </w:rPr>
        <w:t>Таблица 17. Анализ поступления налога, взимаемого в связи с применением патентной системы налогообложения, за 2019 - 2020 гг.</w:t>
      </w:r>
    </w:p>
    <w:tbl>
      <w:tblPr>
        <w:tblW w:w="9509" w:type="dxa"/>
        <w:tblInd w:w="96" w:type="dxa"/>
        <w:tblLayout w:type="fixed"/>
        <w:tblLook w:val="0000" w:firstRow="0" w:lastRow="0" w:firstColumn="0" w:lastColumn="0" w:noHBand="0" w:noVBand="0"/>
      </w:tblPr>
      <w:tblGrid>
        <w:gridCol w:w="2989"/>
        <w:gridCol w:w="1134"/>
        <w:gridCol w:w="1134"/>
        <w:gridCol w:w="1134"/>
        <w:gridCol w:w="1134"/>
        <w:gridCol w:w="1134"/>
        <w:gridCol w:w="850"/>
      </w:tblGrid>
      <w:tr>
        <w:trPr>
          <w:cantSplit/>
          <w:trHeight w:val="210"/>
        </w:trPr>
        <w:tc>
          <w:tcPr>
            <w:tcW w:w="2989"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shd w:val="clear" w:color="auto" w:fill="auto"/>
            <w:vAlign w:val="center"/>
          </w:tcPr>
          <w:p>
            <w:pPr>
              <w:ind w:left="-57" w:right="-57"/>
              <w:jc w:val="center"/>
              <w:rPr>
                <w:bCs/>
              </w:rPr>
            </w:pPr>
            <w:r>
              <w:rPr>
                <w:bCs/>
              </w:rPr>
              <w:t xml:space="preserve">Факт </w:t>
            </w:r>
          </w:p>
          <w:p>
            <w:pPr>
              <w:ind w:left="-57" w:right="-57"/>
              <w:jc w:val="center"/>
              <w:rPr>
                <w:bCs/>
              </w:rPr>
            </w:pPr>
            <w:r>
              <w:rPr>
                <w:bCs/>
              </w:rPr>
              <w:t>2019 год, тыс.руб.</w:t>
            </w:r>
          </w:p>
        </w:tc>
        <w:tc>
          <w:tcPr>
            <w:tcW w:w="53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2020 год</w:t>
            </w:r>
          </w:p>
        </w:tc>
      </w:tr>
      <w:tr>
        <w:trPr>
          <w:cantSplit/>
          <w:trHeight w:val="766"/>
        </w:trPr>
        <w:tc>
          <w:tcPr>
            <w:tcW w:w="2989"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shd w:val="clear" w:color="auto" w:fill="auto"/>
            <w:vAlign w:val="center"/>
          </w:tcPr>
          <w:p>
            <w:pPr>
              <w:ind w:left="-57" w:right="-5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850"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61"/>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850" w:type="dxa"/>
            <w:tcBorders>
              <w:top w:val="single" w:sz="4" w:space="0" w:color="auto"/>
              <w:left w:val="nil"/>
              <w:bottom w:val="single" w:sz="4" w:space="0" w:color="auto"/>
              <w:right w:val="single" w:sz="4" w:space="0" w:color="auto"/>
            </w:tcBorders>
            <w:shd w:val="clear" w:color="auto" w:fill="auto"/>
            <w:vAlign w:val="center"/>
          </w:tcPr>
          <w:p>
            <w:pPr>
              <w:ind w:right="-108"/>
              <w:jc w:val="center"/>
              <w:rPr>
                <w:sz w:val="16"/>
                <w:szCs w:val="16"/>
              </w:rPr>
            </w:pPr>
            <w:r>
              <w:rPr>
                <w:sz w:val="16"/>
                <w:szCs w:val="16"/>
              </w:rPr>
              <w:t>7=5/4</w:t>
            </w:r>
          </w:p>
        </w:tc>
      </w:tr>
      <w:tr>
        <w:trPr>
          <w:cantSplit/>
          <w:trHeight w:val="284"/>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патентной системы налогообложения</w:t>
            </w:r>
          </w:p>
        </w:tc>
        <w:tc>
          <w:tcPr>
            <w:tcW w:w="1134" w:type="dxa"/>
            <w:tcBorders>
              <w:top w:val="single" w:sz="4" w:space="0" w:color="auto"/>
              <w:left w:val="nil"/>
              <w:bottom w:val="single" w:sz="4" w:space="0" w:color="auto"/>
              <w:right w:val="single" w:sz="4" w:space="0" w:color="auto"/>
            </w:tcBorders>
            <w:vAlign w:val="center"/>
          </w:tcPr>
          <w:p>
            <w:pPr>
              <w:jc w:val="right"/>
            </w:pPr>
            <w:r>
              <w:t>1 023,46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1 142,30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1 142,30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1 048,07</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-94,23</w:t>
            </w:r>
          </w:p>
        </w:tc>
        <w:tc>
          <w:tcPr>
            <w:tcW w:w="850"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91,8</w:t>
            </w:r>
          </w:p>
        </w:tc>
      </w:tr>
    </w:tbl>
    <w:p>
      <w:pPr>
        <w:shd w:val="clear" w:color="auto" w:fill="FFFFFF" w:themeFill="background1"/>
        <w:spacing w:before="120"/>
        <w:ind w:firstLine="709"/>
        <w:jc w:val="both"/>
        <w:rPr>
          <w:sz w:val="24"/>
          <w:szCs w:val="24"/>
        </w:rPr>
      </w:pPr>
      <w:r>
        <w:rPr>
          <w:sz w:val="24"/>
          <w:szCs w:val="24"/>
        </w:rPr>
        <w:t xml:space="preserve">Удельный вес статьи в общей структуре фактически поступивших доходов составляет 0,02%, налоговых и неналоговых доходах - 0,1%. </w:t>
      </w:r>
    </w:p>
    <w:p>
      <w:pPr>
        <w:shd w:val="clear" w:color="auto" w:fill="FFFFFF" w:themeFill="background1"/>
        <w:ind w:firstLine="709"/>
        <w:jc w:val="both"/>
        <w:rPr>
          <w:sz w:val="24"/>
          <w:szCs w:val="24"/>
        </w:rPr>
      </w:pPr>
      <w:r>
        <w:rPr>
          <w:sz w:val="24"/>
          <w:szCs w:val="24"/>
          <w:shd w:val="clear" w:color="auto" w:fill="FFFFFF" w:themeFill="background1"/>
        </w:rPr>
        <w:t>Норматив зачисления в бюджет ЗАТО Северск 100%.</w:t>
      </w:r>
    </w:p>
    <w:p>
      <w:pPr>
        <w:shd w:val="clear" w:color="auto" w:fill="FFFFFF" w:themeFill="background1"/>
        <w:ind w:firstLine="720"/>
        <w:jc w:val="both"/>
        <w:rPr>
          <w:sz w:val="24"/>
          <w:szCs w:val="24"/>
        </w:rPr>
      </w:pPr>
      <w:r>
        <w:rPr>
          <w:sz w:val="24"/>
          <w:szCs w:val="24"/>
        </w:rPr>
        <w:t>Главный администратор доходов по налогу, взимаемому в связи с применением патентной системы налогообложения – ИФНС России по ЗАТО Северск Томской области.</w:t>
      </w:r>
    </w:p>
    <w:p>
      <w:pPr>
        <w:ind w:firstLine="709"/>
        <w:jc w:val="both"/>
        <w:rPr>
          <w:sz w:val="24"/>
          <w:szCs w:val="24"/>
        </w:rPr>
      </w:pPr>
      <w:r>
        <w:rPr>
          <w:sz w:val="24"/>
          <w:szCs w:val="24"/>
        </w:rPr>
        <w:t xml:space="preserve">Согласно данным статистической налоговой отчетности по форме </w:t>
      </w:r>
      <w:r>
        <w:rPr>
          <w:sz w:val="24"/>
          <w:szCs w:val="24"/>
        </w:rPr>
        <w:br/>
        <w:t xml:space="preserve">№ 1-Патент за 2020 год выдано 120 патентов по 25 видам предпринимательской деятельности; количество индивидуальных предпринимателей, применяющих патентную систему налогообложения, </w:t>
      </w:r>
      <w:r>
        <w:rPr>
          <w:sz w:val="24"/>
          <w:szCs w:val="24"/>
          <w:shd w:val="clear" w:color="auto" w:fill="FFFFFF" w:themeFill="background1"/>
        </w:rPr>
        <w:t>составило 91</w:t>
      </w:r>
      <w:r>
        <w:rPr>
          <w:sz w:val="24"/>
          <w:szCs w:val="24"/>
        </w:rPr>
        <w:t xml:space="preserve"> человек. </w:t>
      </w:r>
    </w:p>
    <w:p>
      <w:pPr>
        <w:ind w:firstLine="720"/>
        <w:jc w:val="both"/>
        <w:rPr>
          <w:sz w:val="24"/>
          <w:szCs w:val="24"/>
        </w:rPr>
      </w:pPr>
      <w:r>
        <w:rPr>
          <w:sz w:val="24"/>
          <w:szCs w:val="24"/>
          <w:shd w:val="clear" w:color="auto" w:fill="FFFFFF" w:themeFill="background1"/>
        </w:rPr>
        <w:t xml:space="preserve">По сравнению с 2019 годом поступление доходов по статье увеличилось на 24,61 тыс.руб., </w:t>
      </w:r>
      <w:r>
        <w:rPr>
          <w:sz w:val="24"/>
          <w:szCs w:val="24"/>
        </w:rPr>
        <w:t>или на 2,4%, что обусловлено увеличением количества выданных патентов на 29 единиц.</w:t>
      </w:r>
    </w:p>
    <w:p>
      <w:pPr>
        <w:ind w:right="45" w:firstLine="720"/>
        <w:jc w:val="both"/>
        <w:rPr>
          <w:sz w:val="24"/>
          <w:szCs w:val="24"/>
        </w:rPr>
      </w:pPr>
      <w:r>
        <w:rPr>
          <w:sz w:val="24"/>
          <w:szCs w:val="24"/>
        </w:rPr>
        <w:t>Задолженность налогоплательщиков по налогу, взимаемому в связи с применением патентной системы налогообложения, в 2020 году уменьшилась на 12,1 тыс.руб.</w:t>
      </w:r>
    </w:p>
    <w:p>
      <w:pPr>
        <w:spacing w:before="120" w:after="60"/>
        <w:ind w:right="45" w:firstLine="720"/>
        <w:jc w:val="both"/>
        <w:rPr>
          <w:sz w:val="24"/>
          <w:szCs w:val="24"/>
        </w:rPr>
      </w:pPr>
      <w:r>
        <w:rPr>
          <w:sz w:val="24"/>
          <w:szCs w:val="24"/>
        </w:rPr>
        <w:t>Таблица 18. Анализ задолженности по налогу, взимаемому в связи с применением патентной системы налогообложения, за 2019 - 2020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патентной системы налогообложения</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46,7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34,6</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-12,1</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74,1</w:t>
            </w:r>
          </w:p>
        </w:tc>
      </w:tr>
    </w:tbl>
    <w:p>
      <w:pPr>
        <w:rPr>
          <w:b/>
          <w:sz w:val="24"/>
          <w:szCs w:val="24"/>
        </w:rPr>
      </w:pPr>
    </w:p>
    <w:p>
      <w:pPr>
        <w:spacing w:after="120"/>
        <w:jc w:val="center"/>
        <w:rPr>
          <w:b/>
          <w:sz w:val="24"/>
          <w:szCs w:val="24"/>
        </w:rPr>
      </w:pPr>
      <w:r>
        <w:rPr>
          <w:b/>
          <w:sz w:val="24"/>
          <w:szCs w:val="24"/>
        </w:rPr>
        <w:t>3.1.7. Налог на имущество физических лиц</w:t>
      </w:r>
    </w:p>
    <w:p>
      <w:pPr>
        <w:shd w:val="clear" w:color="auto" w:fill="FFFFFF" w:themeFill="background1"/>
        <w:ind w:firstLine="709"/>
        <w:jc w:val="both"/>
        <w:rPr>
          <w:sz w:val="24"/>
          <w:szCs w:val="24"/>
        </w:rPr>
      </w:pPr>
      <w:r>
        <w:rPr>
          <w:sz w:val="24"/>
          <w:szCs w:val="24"/>
        </w:rPr>
        <w:t>Прогноз поступлений по статье «Налог на имущество физических лиц» (НИФЛ) составлял 25 800,00 тыс.руб., фактическое исполнение – 30 080,29 тыс.руб., перевыполнение на 4 280,29 тыс.руб. или на 16,6%.</w:t>
      </w:r>
    </w:p>
    <w:p>
      <w:pPr>
        <w:spacing w:before="120" w:after="60"/>
        <w:ind w:right="45" w:firstLine="720"/>
        <w:jc w:val="both"/>
        <w:rPr>
          <w:sz w:val="24"/>
          <w:szCs w:val="24"/>
        </w:rPr>
      </w:pPr>
    </w:p>
    <w:p>
      <w:pPr>
        <w:spacing w:before="120" w:after="60"/>
        <w:ind w:right="45" w:firstLine="720"/>
        <w:jc w:val="both"/>
        <w:rPr>
          <w:sz w:val="24"/>
          <w:szCs w:val="24"/>
        </w:rPr>
      </w:pPr>
    </w:p>
    <w:p>
      <w:pPr>
        <w:spacing w:before="120" w:after="60"/>
        <w:ind w:right="45" w:firstLine="720"/>
        <w:jc w:val="both"/>
        <w:rPr>
          <w:sz w:val="24"/>
          <w:szCs w:val="24"/>
        </w:rPr>
      </w:pPr>
      <w:r>
        <w:rPr>
          <w:sz w:val="24"/>
          <w:szCs w:val="24"/>
        </w:rPr>
        <w:lastRenderedPageBreak/>
        <w:t>Таблица 19. Анализ поступления НИФЛ за 2019 - 2020 гг.</w:t>
      </w:r>
    </w:p>
    <w:tbl>
      <w:tblPr>
        <w:tblW w:w="9368" w:type="dxa"/>
        <w:tblInd w:w="96" w:type="dxa"/>
        <w:tblLayout w:type="fixed"/>
        <w:tblLook w:val="0000" w:firstRow="0" w:lastRow="0" w:firstColumn="0" w:lastColumn="0" w:noHBand="0" w:noVBand="0"/>
      </w:tblPr>
      <w:tblGrid>
        <w:gridCol w:w="2564"/>
        <w:gridCol w:w="1134"/>
        <w:gridCol w:w="1134"/>
        <w:gridCol w:w="1276"/>
        <w:gridCol w:w="1134"/>
        <w:gridCol w:w="1275"/>
        <w:gridCol w:w="851"/>
      </w:tblGrid>
      <w:tr>
        <w:trPr>
          <w:cantSplit/>
          <w:trHeight w:val="185"/>
        </w:trPr>
        <w:tc>
          <w:tcPr>
            <w:tcW w:w="2564"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2019 год, тыс.руб.</w:t>
            </w:r>
          </w:p>
        </w:tc>
        <w:tc>
          <w:tcPr>
            <w:tcW w:w="56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2020 год</w:t>
            </w:r>
          </w:p>
        </w:tc>
      </w:tr>
      <w:tr>
        <w:trPr>
          <w:cantSplit/>
          <w:trHeight w:val="766"/>
        </w:trPr>
        <w:tc>
          <w:tcPr>
            <w:tcW w:w="2564"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851"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82"/>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851"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421"/>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НИФЛ</w:t>
            </w:r>
          </w:p>
        </w:tc>
        <w:tc>
          <w:tcPr>
            <w:tcW w:w="1134" w:type="dxa"/>
            <w:tcBorders>
              <w:top w:val="single" w:sz="4" w:space="0" w:color="auto"/>
              <w:left w:val="nil"/>
              <w:bottom w:val="single" w:sz="4" w:space="0" w:color="auto"/>
              <w:right w:val="single" w:sz="4" w:space="0" w:color="auto"/>
            </w:tcBorders>
            <w:vAlign w:val="center"/>
          </w:tcPr>
          <w:p>
            <w:pPr>
              <w:jc w:val="right"/>
            </w:pPr>
            <w:r>
              <w:t>32 516,55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36 978,00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25 800,00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30 080,29</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4 280,29</w:t>
            </w:r>
          </w:p>
        </w:tc>
        <w:tc>
          <w:tcPr>
            <w:tcW w:w="851"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116,6</w:t>
            </w:r>
          </w:p>
        </w:tc>
      </w:tr>
    </w:tbl>
    <w:p>
      <w:pPr>
        <w:shd w:val="clear" w:color="auto" w:fill="FFFFFF" w:themeFill="background1"/>
        <w:spacing w:before="120"/>
        <w:ind w:firstLine="709"/>
        <w:jc w:val="both"/>
        <w:rPr>
          <w:sz w:val="24"/>
          <w:szCs w:val="24"/>
        </w:rPr>
      </w:pPr>
      <w:r>
        <w:rPr>
          <w:sz w:val="24"/>
          <w:szCs w:val="24"/>
        </w:rPr>
        <w:t>Удельный вес статьи в общей структуре фактически поступивших доходов составляет 0,6%, налоговых и неналоговых доходах - 2,7%.</w:t>
      </w:r>
    </w:p>
    <w:p>
      <w:pPr>
        <w:shd w:val="clear" w:color="auto" w:fill="FFFFFF" w:themeFill="background1"/>
        <w:ind w:firstLine="709"/>
        <w:jc w:val="both"/>
        <w:rPr>
          <w:sz w:val="24"/>
          <w:szCs w:val="24"/>
        </w:rPr>
      </w:pPr>
      <w:r>
        <w:rPr>
          <w:sz w:val="24"/>
          <w:szCs w:val="24"/>
        </w:rPr>
        <w:t>Норматив зачисления в бюджет ЗАТО Северск 100%.</w:t>
      </w:r>
    </w:p>
    <w:p>
      <w:pPr>
        <w:shd w:val="clear" w:color="auto" w:fill="FFFFFF" w:themeFill="background1"/>
        <w:ind w:firstLine="709"/>
        <w:jc w:val="both"/>
        <w:rPr>
          <w:sz w:val="24"/>
          <w:szCs w:val="24"/>
        </w:rPr>
      </w:pPr>
      <w:r>
        <w:rPr>
          <w:sz w:val="24"/>
          <w:szCs w:val="24"/>
        </w:rPr>
        <w:t>Главный администратор доходов по НИФЛ – ИФНС России по ЗАТО Северск Томской области.</w:t>
      </w:r>
    </w:p>
    <w:p>
      <w:pPr>
        <w:shd w:val="clear" w:color="auto" w:fill="FFFFFF" w:themeFill="background1"/>
        <w:ind w:firstLine="709"/>
        <w:jc w:val="both"/>
        <w:rPr>
          <w:sz w:val="24"/>
          <w:szCs w:val="24"/>
        </w:rPr>
      </w:pPr>
      <w:r>
        <w:rPr>
          <w:sz w:val="24"/>
          <w:szCs w:val="24"/>
        </w:rPr>
        <w:t>В 2020 году в бюджет ЗАТО Северск поступил налог, исчисленный за 2019 год.</w:t>
      </w:r>
    </w:p>
    <w:p>
      <w:pPr>
        <w:shd w:val="clear" w:color="auto" w:fill="FFFFFF" w:themeFill="background1"/>
        <w:tabs>
          <w:tab w:val="left" w:pos="993"/>
        </w:tabs>
        <w:autoSpaceDE w:val="0"/>
        <w:autoSpaceDN w:val="0"/>
        <w:adjustRightInd w:val="0"/>
        <w:ind w:firstLine="709"/>
        <w:contextualSpacing/>
        <w:jc w:val="both"/>
      </w:pPr>
      <w:r>
        <w:rPr>
          <w:sz w:val="24"/>
          <w:szCs w:val="24"/>
        </w:rPr>
        <w:t>Перевыполнение прогноза поступлений обусловлено в том числе увеличением размера налоговых ставок по жилым помещениям, по которым значения ставок не достигли установленных пороговых значений (Решение Думы ЗАТО Северск от 30.08.2017 № 29/6 «О внесении изменения в Решение Думы ЗАТО Северск от 07.11.2014 № 57/3 «О налоге на имущество физических лиц на территории ЗАТО Северск»).</w:t>
      </w:r>
    </w:p>
    <w:p>
      <w:pPr>
        <w:ind w:right="45" w:firstLine="709"/>
        <w:jc w:val="both"/>
        <w:rPr>
          <w:sz w:val="24"/>
          <w:szCs w:val="24"/>
        </w:rPr>
      </w:pPr>
      <w:r>
        <w:rPr>
          <w:sz w:val="24"/>
          <w:szCs w:val="24"/>
        </w:rPr>
        <w:t xml:space="preserve">По сравнению с 2019 годом поступление по НИФЛ уменьшилось на 2 436,26 тыс.руб. или на 7,5%, что обусловлено увеличением сумм возвратов в связи с перерасчетом начислений по налогу за 2016 – 2018 годы в соответствии с постановлением Конституционного суда Российской Федерации от 15.02.2019 № 10-П «По делу о проверке конституционности статьи 402 Налогового кодекса Российской Федерации…». </w:t>
      </w:r>
    </w:p>
    <w:p>
      <w:pPr>
        <w:ind w:right="45" w:firstLine="709"/>
        <w:jc w:val="both"/>
        <w:rPr>
          <w:sz w:val="24"/>
          <w:szCs w:val="24"/>
        </w:rPr>
      </w:pPr>
      <w:r>
        <w:rPr>
          <w:sz w:val="24"/>
          <w:szCs w:val="24"/>
        </w:rPr>
        <w:t>Задолженность налогоплательщиков по НИФЛ в 2020 году сократилась на 385,8 тыс.руб.</w:t>
      </w:r>
    </w:p>
    <w:p>
      <w:pPr>
        <w:spacing w:before="120" w:after="60"/>
        <w:ind w:right="45" w:firstLine="709"/>
        <w:jc w:val="both"/>
        <w:rPr>
          <w:sz w:val="24"/>
          <w:szCs w:val="24"/>
        </w:rPr>
      </w:pPr>
      <w:r>
        <w:rPr>
          <w:sz w:val="24"/>
          <w:szCs w:val="24"/>
        </w:rPr>
        <w:t>Таблица 20. Анализ задолженности по НИФЛ за 2019 - 2020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НИФЛ</w:t>
            </w:r>
          </w:p>
        </w:tc>
        <w:tc>
          <w:tcPr>
            <w:tcW w:w="1418" w:type="dxa"/>
            <w:tcBorders>
              <w:top w:val="single" w:sz="4" w:space="0" w:color="auto"/>
              <w:left w:val="nil"/>
              <w:bottom w:val="single" w:sz="4" w:space="0" w:color="auto"/>
              <w:right w:val="single" w:sz="4" w:space="0" w:color="auto"/>
            </w:tcBorders>
            <w:vAlign w:val="center"/>
          </w:tcPr>
          <w:p>
            <w:pPr>
              <w:ind w:left="-57"/>
              <w:jc w:val="right"/>
            </w:pPr>
            <w:r>
              <w:t>12 511,5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12 125,7</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-385,8</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96,9</w:t>
            </w:r>
          </w:p>
        </w:tc>
      </w:tr>
    </w:tbl>
    <w:p>
      <w:pPr>
        <w:shd w:val="clear" w:color="auto" w:fill="FFFFFF" w:themeFill="background1"/>
        <w:spacing w:after="120"/>
        <w:jc w:val="center"/>
        <w:rPr>
          <w:b/>
          <w:sz w:val="24"/>
          <w:szCs w:val="24"/>
        </w:rPr>
      </w:pPr>
    </w:p>
    <w:p>
      <w:pPr>
        <w:shd w:val="clear" w:color="auto" w:fill="FFFFFF" w:themeFill="background1"/>
        <w:spacing w:after="120"/>
        <w:jc w:val="center"/>
        <w:rPr>
          <w:b/>
          <w:sz w:val="24"/>
          <w:szCs w:val="24"/>
        </w:rPr>
      </w:pPr>
      <w:r>
        <w:rPr>
          <w:b/>
          <w:sz w:val="24"/>
          <w:szCs w:val="24"/>
        </w:rPr>
        <w:t>3.1.8. Земельный налог</w:t>
      </w:r>
    </w:p>
    <w:p>
      <w:pPr>
        <w:ind w:firstLine="709"/>
        <w:jc w:val="both"/>
        <w:rPr>
          <w:sz w:val="24"/>
          <w:szCs w:val="24"/>
        </w:rPr>
      </w:pPr>
      <w:r>
        <w:rPr>
          <w:sz w:val="24"/>
          <w:szCs w:val="24"/>
        </w:rPr>
        <w:t xml:space="preserve">Прогноз поступлений по статье «Земельный налог» составлял 109 398,00 тыс.руб., фактическое исполнение – 108 350,00 тыс.руб., невыполнение на 1 048,00 тыс.руб. или на 1,0%. </w:t>
      </w:r>
    </w:p>
    <w:p>
      <w:pPr>
        <w:spacing w:before="120" w:after="60"/>
        <w:ind w:right="45" w:firstLine="720"/>
        <w:jc w:val="both"/>
        <w:rPr>
          <w:sz w:val="24"/>
          <w:szCs w:val="24"/>
        </w:rPr>
      </w:pPr>
      <w:r>
        <w:rPr>
          <w:sz w:val="24"/>
          <w:szCs w:val="24"/>
        </w:rPr>
        <w:t>Таблица 21. Анализ поступления земельного налога за 2019 - 2020 гг.</w:t>
      </w:r>
    </w:p>
    <w:tbl>
      <w:tblPr>
        <w:tblW w:w="9368" w:type="dxa"/>
        <w:tblInd w:w="96" w:type="dxa"/>
        <w:tblLayout w:type="fixed"/>
        <w:tblLook w:val="0000" w:firstRow="0" w:lastRow="0" w:firstColumn="0" w:lastColumn="0" w:noHBand="0" w:noVBand="0"/>
      </w:tblPr>
      <w:tblGrid>
        <w:gridCol w:w="2422"/>
        <w:gridCol w:w="1134"/>
        <w:gridCol w:w="1276"/>
        <w:gridCol w:w="1276"/>
        <w:gridCol w:w="1134"/>
        <w:gridCol w:w="1134"/>
        <w:gridCol w:w="992"/>
      </w:tblGrid>
      <w:tr>
        <w:trPr>
          <w:cantSplit/>
          <w:trHeight w:val="283"/>
        </w:trPr>
        <w:tc>
          <w:tcPr>
            <w:tcW w:w="2422"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2019 год, тыс.руб.</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2020 год</w:t>
            </w:r>
          </w:p>
        </w:tc>
      </w:tr>
      <w:tr>
        <w:trPr>
          <w:cantSplit/>
          <w:trHeight w:val="766"/>
        </w:trPr>
        <w:tc>
          <w:tcPr>
            <w:tcW w:w="2422"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992"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214"/>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992"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38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 xml:space="preserve">Земельный налог, </w:t>
            </w:r>
          </w:p>
          <w:p>
            <w:pPr>
              <w:ind w:left="-57" w:right="-57"/>
            </w:pPr>
            <w:r>
              <w:t>в том числе:</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108 373,19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109 398,00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109 398,00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108 350,00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-1 048,00</w:t>
            </w:r>
          </w:p>
        </w:tc>
        <w:tc>
          <w:tcPr>
            <w:tcW w:w="992" w:type="dxa"/>
            <w:tcBorders>
              <w:top w:val="single" w:sz="4" w:space="0" w:color="auto"/>
              <w:left w:val="nil"/>
              <w:bottom w:val="single" w:sz="4" w:space="0" w:color="auto"/>
              <w:right w:val="single" w:sz="4" w:space="0" w:color="auto"/>
            </w:tcBorders>
            <w:vAlign w:val="center"/>
          </w:tcPr>
          <w:p>
            <w:pPr>
              <w:jc w:val="right"/>
            </w:pPr>
            <w:r>
              <w:t>99,0</w:t>
            </w:r>
          </w:p>
        </w:tc>
      </w:tr>
      <w:tr>
        <w:trPr>
          <w:cantSplit/>
          <w:trHeight w:val="38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земельный налог, уплачи-ваемый организациями</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102 303,66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102 309,00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102 696,00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102 058,55</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-637,45</w:t>
            </w:r>
          </w:p>
        </w:tc>
        <w:tc>
          <w:tcPr>
            <w:tcW w:w="992" w:type="dxa"/>
            <w:tcBorders>
              <w:top w:val="single" w:sz="4" w:space="0" w:color="auto"/>
              <w:left w:val="nil"/>
              <w:bottom w:val="single" w:sz="4" w:space="0" w:color="auto"/>
              <w:right w:val="single" w:sz="4" w:space="0" w:color="auto"/>
            </w:tcBorders>
            <w:vAlign w:val="center"/>
          </w:tcPr>
          <w:p>
            <w:pPr>
              <w:jc w:val="right"/>
            </w:pPr>
            <w:r>
              <w:t>99,4</w:t>
            </w:r>
          </w:p>
        </w:tc>
      </w:tr>
      <w:tr>
        <w:trPr>
          <w:cantSplit/>
          <w:trHeight w:val="38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земельный налог, уплачи-ваемый физ. лицами</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6 069,53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7 089,00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6 702,00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6 291,45</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-410,55</w:t>
            </w:r>
          </w:p>
        </w:tc>
        <w:tc>
          <w:tcPr>
            <w:tcW w:w="992" w:type="dxa"/>
            <w:tcBorders>
              <w:top w:val="single" w:sz="4" w:space="0" w:color="auto"/>
              <w:left w:val="nil"/>
              <w:bottom w:val="single" w:sz="4" w:space="0" w:color="auto"/>
              <w:right w:val="single" w:sz="4" w:space="0" w:color="auto"/>
            </w:tcBorders>
            <w:vAlign w:val="center"/>
          </w:tcPr>
          <w:p>
            <w:pPr>
              <w:jc w:val="right"/>
            </w:pPr>
            <w:r>
              <w:t>93,9</w:t>
            </w:r>
          </w:p>
        </w:tc>
      </w:tr>
    </w:tbl>
    <w:p>
      <w:pPr>
        <w:shd w:val="clear" w:color="auto" w:fill="FFFFFF" w:themeFill="background1"/>
        <w:spacing w:before="120"/>
        <w:ind w:firstLine="709"/>
        <w:jc w:val="both"/>
        <w:rPr>
          <w:sz w:val="24"/>
          <w:szCs w:val="24"/>
        </w:rPr>
      </w:pPr>
      <w:r>
        <w:rPr>
          <w:sz w:val="24"/>
          <w:szCs w:val="24"/>
        </w:rPr>
        <w:t xml:space="preserve">Удельный вес статьи в общей структуре фактически поступивших доходов составляет 2,3%, налоговых и неналоговых доходах - 9,6%. </w:t>
      </w:r>
    </w:p>
    <w:p>
      <w:pPr>
        <w:shd w:val="clear" w:color="auto" w:fill="FFFFFF" w:themeFill="background1"/>
        <w:ind w:firstLine="709"/>
        <w:jc w:val="both"/>
        <w:rPr>
          <w:sz w:val="24"/>
          <w:szCs w:val="24"/>
        </w:rPr>
      </w:pPr>
      <w:r>
        <w:rPr>
          <w:sz w:val="24"/>
          <w:szCs w:val="24"/>
        </w:rPr>
        <w:t>Норматив зачисления в бюджет ЗАТО Северск 100%.</w:t>
      </w:r>
    </w:p>
    <w:p>
      <w:pPr>
        <w:shd w:val="clear" w:color="auto" w:fill="FFFFFF" w:themeFill="background1"/>
        <w:ind w:firstLine="709"/>
        <w:jc w:val="both"/>
        <w:rPr>
          <w:sz w:val="24"/>
          <w:szCs w:val="24"/>
        </w:rPr>
      </w:pPr>
      <w:r>
        <w:rPr>
          <w:sz w:val="24"/>
          <w:szCs w:val="24"/>
        </w:rPr>
        <w:lastRenderedPageBreak/>
        <w:t>Главный администратор доходов по земельному налогу – ИФНС России по ЗАТО Северск Томской области.</w:t>
      </w:r>
    </w:p>
    <w:p>
      <w:pPr>
        <w:ind w:firstLine="709"/>
        <w:jc w:val="both"/>
        <w:rPr>
          <w:sz w:val="24"/>
          <w:szCs w:val="24"/>
        </w:rPr>
      </w:pPr>
      <w:r>
        <w:rPr>
          <w:sz w:val="24"/>
          <w:szCs w:val="24"/>
        </w:rPr>
        <w:t>Исполнение по земельному налогу в разрезе подстатей следующее:</w:t>
      </w:r>
    </w:p>
    <w:p>
      <w:pPr>
        <w:ind w:firstLine="709"/>
        <w:jc w:val="both"/>
        <w:rPr>
          <w:sz w:val="24"/>
          <w:szCs w:val="24"/>
        </w:rPr>
      </w:pPr>
      <w:r>
        <w:rPr>
          <w:sz w:val="24"/>
          <w:szCs w:val="24"/>
        </w:rPr>
        <w:t>- по земельному налогу, уплачиваемому организациями, невыполнение на 637,45 тыс.руб. или на 0,6%;</w:t>
      </w:r>
    </w:p>
    <w:p>
      <w:pPr>
        <w:ind w:firstLine="709"/>
        <w:jc w:val="both"/>
        <w:rPr>
          <w:sz w:val="24"/>
          <w:szCs w:val="24"/>
          <w:u w:val="single"/>
        </w:rPr>
      </w:pPr>
      <w:r>
        <w:rPr>
          <w:sz w:val="24"/>
          <w:szCs w:val="24"/>
        </w:rPr>
        <w:t>- по земельному налогу, уплачиваемому физическими лицами, невыполнение на 410,55 тыс.руб. или на 6,1%.</w:t>
      </w:r>
    </w:p>
    <w:p>
      <w:pPr>
        <w:shd w:val="clear" w:color="auto" w:fill="FFFFFF" w:themeFill="background1"/>
        <w:ind w:firstLine="709"/>
        <w:jc w:val="both"/>
        <w:rPr>
          <w:rFonts w:cs="Times New Roman CYR"/>
          <w:sz w:val="24"/>
          <w:szCs w:val="24"/>
        </w:rPr>
      </w:pPr>
      <w:r>
        <w:rPr>
          <w:sz w:val="24"/>
          <w:szCs w:val="24"/>
        </w:rPr>
        <w:t xml:space="preserve">По сравнению с 2019 годом снижение поступлений по статье на 23,19 тыс.руб. </w:t>
      </w:r>
    </w:p>
    <w:p>
      <w:pPr>
        <w:ind w:right="45" w:firstLine="709"/>
        <w:jc w:val="both"/>
        <w:rPr>
          <w:sz w:val="24"/>
          <w:szCs w:val="24"/>
        </w:rPr>
      </w:pPr>
      <w:r>
        <w:rPr>
          <w:sz w:val="24"/>
          <w:szCs w:val="24"/>
        </w:rPr>
        <w:t>Задолженность налогоплательщиков по земельному налогу в 2020 году уменьшилась на 372,6 тыс.руб.</w:t>
      </w:r>
    </w:p>
    <w:p>
      <w:pPr>
        <w:spacing w:before="120" w:after="60"/>
        <w:ind w:right="45" w:firstLine="720"/>
        <w:jc w:val="both"/>
        <w:rPr>
          <w:sz w:val="24"/>
          <w:szCs w:val="24"/>
        </w:rPr>
      </w:pPr>
      <w:r>
        <w:rPr>
          <w:sz w:val="24"/>
          <w:szCs w:val="24"/>
        </w:rPr>
        <w:t>Таблица 22. Анализ задолженности по земельному налогу за 2019 - 2020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Земельный налог</w:t>
            </w:r>
          </w:p>
        </w:tc>
        <w:tc>
          <w:tcPr>
            <w:tcW w:w="1418" w:type="dxa"/>
            <w:tcBorders>
              <w:top w:val="single" w:sz="4" w:space="0" w:color="auto"/>
              <w:left w:val="nil"/>
              <w:bottom w:val="single" w:sz="4" w:space="0" w:color="auto"/>
              <w:right w:val="single" w:sz="4" w:space="0" w:color="auto"/>
            </w:tcBorders>
            <w:vAlign w:val="center"/>
          </w:tcPr>
          <w:p>
            <w:pPr>
              <w:ind w:left="-57"/>
              <w:jc w:val="right"/>
            </w:pPr>
            <w:r>
              <w:t>2 105,5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1 732,9</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-372,6</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82,3</w:t>
            </w:r>
          </w:p>
        </w:tc>
      </w:tr>
    </w:tbl>
    <w:p>
      <w:pPr>
        <w:spacing w:before="120"/>
        <w:ind w:firstLine="709"/>
        <w:jc w:val="both"/>
        <w:rPr>
          <w:sz w:val="24"/>
          <w:szCs w:val="24"/>
        </w:rPr>
      </w:pPr>
      <w:r>
        <w:rPr>
          <w:rFonts w:ascii="Times New Roman CYR" w:hAnsi="Times New Roman CYR"/>
          <w:sz w:val="24"/>
          <w:szCs w:val="24"/>
        </w:rPr>
        <w:t xml:space="preserve">В соответствии с </w:t>
      </w:r>
      <w:r>
        <w:rPr>
          <w:sz w:val="24"/>
          <w:szCs w:val="24"/>
        </w:rPr>
        <w:t xml:space="preserve">решением Думы ЗАТО Северск от 07.11.2014 № 57/4 «О земельном налоге на территории ЗАТО Северск» для отдельных категорий граждан ЗАТО Северск предоставляются льготы </w:t>
      </w:r>
      <w:r>
        <w:rPr>
          <w:rFonts w:ascii="Times New Roman CYR" w:hAnsi="Times New Roman CYR"/>
          <w:sz w:val="24"/>
          <w:szCs w:val="24"/>
        </w:rPr>
        <w:t>в виде полного освобождения от уплаты земельного налога (инвалиды, чернобыльцы, ветераны и инвалиды Великой Отечественной войны</w:t>
      </w:r>
      <w:r>
        <w:rPr>
          <w:rFonts w:ascii="Times New Roman CYR" w:hAnsi="Times New Roman CYR" w:cs="Times New Roman CYR"/>
          <w:sz w:val="24"/>
          <w:szCs w:val="24"/>
        </w:rPr>
        <w:t xml:space="preserve"> и другие социальные категории граждан). </w:t>
      </w:r>
      <w:r>
        <w:rPr>
          <w:sz w:val="24"/>
          <w:szCs w:val="24"/>
        </w:rPr>
        <w:t>Согласно постановлению Администрации ЗАТО Северск от 02.03.2020 № 363 «Об утверждении Порядка формирования перечня налоговых расходов ЗАТО Северск и оценки налоговых расходов ЗАТО Северск» оценка эффективности налоговых расходов (льгот) за 2020 год будет проведена до 30.09.2021.</w:t>
      </w:r>
    </w:p>
    <w:p>
      <w:pPr>
        <w:shd w:val="clear" w:color="auto" w:fill="FFFFFF" w:themeFill="background1"/>
        <w:ind w:firstLine="709"/>
        <w:jc w:val="center"/>
        <w:rPr>
          <w:b/>
          <w:sz w:val="24"/>
          <w:szCs w:val="24"/>
          <w:highlight w:val="yellow"/>
        </w:rPr>
      </w:pPr>
    </w:p>
    <w:p>
      <w:pPr>
        <w:shd w:val="clear" w:color="auto" w:fill="FFFFFF" w:themeFill="background1"/>
        <w:spacing w:after="120"/>
        <w:jc w:val="center"/>
        <w:rPr>
          <w:b/>
          <w:sz w:val="24"/>
          <w:szCs w:val="24"/>
        </w:rPr>
      </w:pPr>
      <w:r>
        <w:rPr>
          <w:b/>
          <w:sz w:val="24"/>
          <w:szCs w:val="24"/>
        </w:rPr>
        <w:t>3.1.9. Государственная пошлина</w:t>
      </w:r>
    </w:p>
    <w:p>
      <w:pPr>
        <w:ind w:firstLine="720"/>
        <w:jc w:val="both"/>
        <w:rPr>
          <w:sz w:val="24"/>
          <w:szCs w:val="24"/>
        </w:rPr>
      </w:pPr>
      <w:r>
        <w:rPr>
          <w:sz w:val="24"/>
          <w:szCs w:val="24"/>
        </w:rPr>
        <w:t>Прогноз поступлений по статье «Государственная пошлина» составлял 13 996,80 тыс.руб., фактическое исполнение – 13 866,14 тыс.руб., невыполнение на 130,66 тыс.руб. или на 0,9%.</w:t>
      </w:r>
    </w:p>
    <w:p>
      <w:pPr>
        <w:spacing w:before="120" w:after="60"/>
        <w:ind w:right="45" w:firstLine="720"/>
        <w:jc w:val="both"/>
        <w:rPr>
          <w:sz w:val="24"/>
          <w:szCs w:val="24"/>
        </w:rPr>
      </w:pPr>
      <w:r>
        <w:rPr>
          <w:sz w:val="24"/>
          <w:szCs w:val="24"/>
        </w:rPr>
        <w:t>Таблица 23. Анализ поступления государственной пошлины за 2019 - 2020 гг.</w:t>
      </w:r>
    </w:p>
    <w:tbl>
      <w:tblPr>
        <w:tblW w:w="9509" w:type="dxa"/>
        <w:tblInd w:w="96" w:type="dxa"/>
        <w:tblLayout w:type="fixed"/>
        <w:tblLook w:val="0000" w:firstRow="0" w:lastRow="0" w:firstColumn="0" w:lastColumn="0" w:noHBand="0" w:noVBand="0"/>
      </w:tblPr>
      <w:tblGrid>
        <w:gridCol w:w="2564"/>
        <w:gridCol w:w="1134"/>
        <w:gridCol w:w="1276"/>
        <w:gridCol w:w="1275"/>
        <w:gridCol w:w="1134"/>
        <w:gridCol w:w="1134"/>
        <w:gridCol w:w="992"/>
      </w:tblGrid>
      <w:tr>
        <w:trPr>
          <w:cantSplit/>
          <w:trHeight w:val="324"/>
        </w:trPr>
        <w:tc>
          <w:tcPr>
            <w:tcW w:w="2564"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shd w:val="clear" w:color="auto" w:fill="auto"/>
            <w:vAlign w:val="center"/>
          </w:tcPr>
          <w:p>
            <w:pPr>
              <w:ind w:left="-57" w:right="-57"/>
              <w:jc w:val="center"/>
              <w:rPr>
                <w:bCs/>
              </w:rPr>
            </w:pPr>
            <w:r>
              <w:rPr>
                <w:bCs/>
              </w:rPr>
              <w:t xml:space="preserve">Факт </w:t>
            </w:r>
          </w:p>
          <w:p>
            <w:pPr>
              <w:ind w:left="-57" w:right="-57"/>
              <w:jc w:val="center"/>
              <w:rPr>
                <w:bCs/>
              </w:rPr>
            </w:pPr>
            <w:r>
              <w:rPr>
                <w:bCs/>
              </w:rPr>
              <w:t>2019 год, тыс.руб.</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2020 год</w:t>
            </w:r>
          </w:p>
        </w:tc>
      </w:tr>
      <w:tr>
        <w:trPr>
          <w:cantSplit/>
          <w:trHeight w:val="766"/>
        </w:trPr>
        <w:tc>
          <w:tcPr>
            <w:tcW w:w="2564"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shd w:val="clear" w:color="auto" w:fill="auto"/>
            <w:vAlign w:val="center"/>
          </w:tcPr>
          <w:p>
            <w:pPr>
              <w:ind w:left="-57" w:right="-5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992"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89"/>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992" w:type="dxa"/>
            <w:tcBorders>
              <w:top w:val="single" w:sz="4" w:space="0" w:color="auto"/>
              <w:left w:val="nil"/>
              <w:bottom w:val="single" w:sz="4" w:space="0" w:color="auto"/>
              <w:right w:val="single" w:sz="4" w:space="0" w:color="auto"/>
            </w:tcBorders>
            <w:shd w:val="clear" w:color="auto" w:fill="auto"/>
            <w:vAlign w:val="center"/>
          </w:tcPr>
          <w:p>
            <w:pPr>
              <w:ind w:right="-108"/>
              <w:jc w:val="center"/>
              <w:rPr>
                <w:sz w:val="16"/>
                <w:szCs w:val="16"/>
              </w:rPr>
            </w:pPr>
            <w:r>
              <w:rPr>
                <w:sz w:val="16"/>
                <w:szCs w:val="16"/>
              </w:rPr>
              <w:t>7=5/4</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Государственная пошлина,</w:t>
            </w:r>
          </w:p>
          <w:p>
            <w:pPr>
              <w:ind w:left="-57" w:right="-57"/>
            </w:pPr>
            <w:r>
              <w:t>в том числе:</w:t>
            </w:r>
          </w:p>
        </w:tc>
        <w:tc>
          <w:tcPr>
            <w:tcW w:w="1134" w:type="dxa"/>
            <w:tcBorders>
              <w:top w:val="single" w:sz="4" w:space="0" w:color="auto"/>
              <w:left w:val="nil"/>
              <w:bottom w:val="single" w:sz="4" w:space="0" w:color="auto"/>
              <w:right w:val="single" w:sz="4" w:space="0" w:color="auto"/>
            </w:tcBorders>
            <w:vAlign w:val="center"/>
          </w:tcPr>
          <w:p>
            <w:pPr>
              <w:jc w:val="right"/>
            </w:pPr>
            <w:r>
              <w:t>13 485,36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13 996,80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13 996,80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13 866,14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-130,66</w:t>
            </w:r>
          </w:p>
        </w:tc>
        <w:tc>
          <w:tcPr>
            <w:tcW w:w="992" w:type="dxa"/>
            <w:tcBorders>
              <w:top w:val="single" w:sz="4" w:space="0" w:color="auto"/>
              <w:left w:val="nil"/>
              <w:bottom w:val="single" w:sz="4" w:space="0" w:color="auto"/>
              <w:right w:val="single" w:sz="4" w:space="0" w:color="auto"/>
            </w:tcBorders>
            <w:vAlign w:val="center"/>
          </w:tcPr>
          <w:p>
            <w:pPr>
              <w:jc w:val="right"/>
            </w:pPr>
            <w:r>
              <w:t>99,1</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tcPr>
          <w:p>
            <w:r>
              <w:t>Госпошлина по делам, рассматриваемым в судах общей юрисдикции, мировыми судьями…</w:t>
            </w:r>
          </w:p>
        </w:tc>
        <w:tc>
          <w:tcPr>
            <w:tcW w:w="1134" w:type="dxa"/>
            <w:tcBorders>
              <w:top w:val="single" w:sz="4" w:space="0" w:color="auto"/>
              <w:left w:val="nil"/>
              <w:bottom w:val="single" w:sz="4" w:space="0" w:color="auto"/>
              <w:right w:val="single" w:sz="4" w:space="0" w:color="auto"/>
            </w:tcBorders>
            <w:vAlign w:val="center"/>
          </w:tcPr>
          <w:p>
            <w:pPr>
              <w:jc w:val="right"/>
            </w:pPr>
            <w:r>
              <w:t>13 180,96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13 859,60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13 824,60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13 660,34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-164,26</w:t>
            </w:r>
          </w:p>
        </w:tc>
        <w:tc>
          <w:tcPr>
            <w:tcW w:w="992" w:type="dxa"/>
            <w:tcBorders>
              <w:top w:val="single" w:sz="4" w:space="0" w:color="auto"/>
              <w:left w:val="nil"/>
              <w:bottom w:val="single" w:sz="4" w:space="0" w:color="auto"/>
              <w:right w:val="single" w:sz="4" w:space="0" w:color="auto"/>
            </w:tcBorders>
            <w:vAlign w:val="center"/>
          </w:tcPr>
          <w:p>
            <w:pPr>
              <w:jc w:val="right"/>
            </w:pPr>
            <w:r>
              <w:t>98,8</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tcPr>
          <w:p>
            <w:r>
              <w:t xml:space="preserve">Госпошлина за выдачу разрешения на установку рекламной конструкции </w:t>
            </w:r>
          </w:p>
        </w:tc>
        <w:tc>
          <w:tcPr>
            <w:tcW w:w="1134" w:type="dxa"/>
            <w:tcBorders>
              <w:top w:val="single" w:sz="4" w:space="0" w:color="auto"/>
              <w:left w:val="nil"/>
              <w:bottom w:val="single" w:sz="4" w:space="0" w:color="auto"/>
              <w:right w:val="single" w:sz="4" w:space="0" w:color="auto"/>
            </w:tcBorders>
            <w:vAlign w:val="center"/>
          </w:tcPr>
          <w:p>
            <w:pPr>
              <w:jc w:val="right"/>
            </w:pPr>
            <w:r>
              <w:t>170,00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30,00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65,00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65,00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w:t>
            </w:r>
          </w:p>
        </w:tc>
        <w:tc>
          <w:tcPr>
            <w:tcW w:w="992" w:type="dxa"/>
            <w:tcBorders>
              <w:top w:val="single" w:sz="4" w:space="0" w:color="auto"/>
              <w:left w:val="nil"/>
              <w:bottom w:val="single" w:sz="4" w:space="0" w:color="auto"/>
              <w:right w:val="single" w:sz="4" w:space="0" w:color="auto"/>
            </w:tcBorders>
            <w:vAlign w:val="center"/>
          </w:tcPr>
          <w:p>
            <w:pPr>
              <w:jc w:val="right"/>
            </w:pPr>
            <w:r>
              <w:t>100,0</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tcPr>
          <w:p>
            <w:r>
              <w:t>Госпошлина за выдачу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tc>
        <w:tc>
          <w:tcPr>
            <w:tcW w:w="1134" w:type="dxa"/>
            <w:tcBorders>
              <w:top w:val="single" w:sz="4" w:space="0" w:color="auto"/>
              <w:left w:val="nil"/>
              <w:bottom w:val="single" w:sz="4" w:space="0" w:color="auto"/>
              <w:right w:val="single" w:sz="4" w:space="0" w:color="auto"/>
            </w:tcBorders>
            <w:vAlign w:val="center"/>
          </w:tcPr>
          <w:p>
            <w:pPr>
              <w:jc w:val="right"/>
            </w:pPr>
            <w:r>
              <w:t>134,40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107,20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107,20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140,80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33,60</w:t>
            </w:r>
          </w:p>
        </w:tc>
        <w:tc>
          <w:tcPr>
            <w:tcW w:w="992" w:type="dxa"/>
            <w:tcBorders>
              <w:top w:val="single" w:sz="4" w:space="0" w:color="auto"/>
              <w:left w:val="nil"/>
              <w:bottom w:val="single" w:sz="4" w:space="0" w:color="auto"/>
              <w:right w:val="single" w:sz="4" w:space="0" w:color="auto"/>
            </w:tcBorders>
            <w:vAlign w:val="center"/>
          </w:tcPr>
          <w:p>
            <w:pPr>
              <w:jc w:val="right"/>
            </w:pPr>
            <w:r>
              <w:t>131,3</w:t>
            </w:r>
          </w:p>
        </w:tc>
      </w:tr>
    </w:tbl>
    <w:p>
      <w:pPr>
        <w:spacing w:before="120"/>
        <w:ind w:firstLine="720"/>
        <w:jc w:val="both"/>
        <w:rPr>
          <w:sz w:val="24"/>
          <w:szCs w:val="24"/>
        </w:rPr>
      </w:pPr>
      <w:r>
        <w:rPr>
          <w:sz w:val="24"/>
          <w:szCs w:val="24"/>
        </w:rPr>
        <w:lastRenderedPageBreak/>
        <w:t>Удельный вес статьи доходов «Государственная пошлина» в общей структуре фактически поступивших доходов составляет 0,3%, налоговых и неналоговых доходов - 1,2%.</w:t>
      </w:r>
    </w:p>
    <w:p>
      <w:pPr>
        <w:ind w:firstLine="720"/>
        <w:jc w:val="both"/>
        <w:rPr>
          <w:sz w:val="24"/>
          <w:szCs w:val="24"/>
        </w:rPr>
      </w:pPr>
      <w:r>
        <w:rPr>
          <w:sz w:val="24"/>
          <w:szCs w:val="24"/>
        </w:rPr>
        <w:t>Норматив зачисления в бюджет ЗАТО Северск 100%.</w:t>
      </w:r>
    </w:p>
    <w:p>
      <w:pPr>
        <w:ind w:firstLine="720"/>
        <w:jc w:val="both"/>
        <w:rPr>
          <w:sz w:val="24"/>
          <w:szCs w:val="24"/>
        </w:rPr>
      </w:pPr>
      <w:r>
        <w:rPr>
          <w:sz w:val="24"/>
          <w:szCs w:val="24"/>
        </w:rPr>
        <w:t xml:space="preserve">Статью «Государственная пошлина» администрируют 3 главных администратора доходов: </w:t>
      </w:r>
    </w:p>
    <w:p>
      <w:pPr>
        <w:ind w:firstLine="720"/>
        <w:jc w:val="both"/>
        <w:rPr>
          <w:sz w:val="24"/>
          <w:szCs w:val="24"/>
        </w:rPr>
      </w:pPr>
      <w:r>
        <w:rPr>
          <w:sz w:val="24"/>
          <w:szCs w:val="24"/>
        </w:rPr>
        <w:t>- ИФНС России по ЗАТО Северск Томской области - госпошлина по делам рассматриваемым в судах общей юрисдикции, мировыми судьями (за исключением Верховного суда РФ);</w:t>
      </w:r>
    </w:p>
    <w:p>
      <w:pPr>
        <w:ind w:firstLine="720"/>
        <w:jc w:val="both"/>
        <w:rPr>
          <w:sz w:val="24"/>
          <w:szCs w:val="24"/>
        </w:rPr>
      </w:pPr>
      <w:r>
        <w:rPr>
          <w:sz w:val="24"/>
          <w:szCs w:val="24"/>
        </w:rPr>
        <w:t>- УЖКХ ТиС - госпошлина за выдачу органами местного самоуправления специального разрешения на перевозку опасных, тяжеловесных и (или) крупногабаритных грузов;</w:t>
      </w:r>
    </w:p>
    <w:p>
      <w:pPr>
        <w:ind w:firstLine="720"/>
        <w:jc w:val="both"/>
        <w:rPr>
          <w:sz w:val="24"/>
          <w:szCs w:val="24"/>
        </w:rPr>
      </w:pPr>
      <w:r>
        <w:rPr>
          <w:sz w:val="24"/>
          <w:szCs w:val="24"/>
        </w:rPr>
        <w:t xml:space="preserve">- УИО Администрации ЗАТО Северск - госпошлина за выдачу разрешения на установку рекламной конструкции. </w:t>
      </w:r>
    </w:p>
    <w:p>
      <w:pPr>
        <w:ind w:firstLine="720"/>
        <w:jc w:val="both"/>
        <w:rPr>
          <w:sz w:val="24"/>
          <w:szCs w:val="24"/>
        </w:rPr>
      </w:pPr>
      <w:r>
        <w:rPr>
          <w:sz w:val="24"/>
          <w:szCs w:val="24"/>
        </w:rPr>
        <w:t>По сравнению с 2019 годом поступление по статье увеличилось на 380,78 тыс.руб. или на 2,8% в основном за счет увеличения поступлений по статьям «Госпошлина по делам, рассматриваемым в судах общей юрисдикции, мировыми судьями (за исключением Верховного суда РФ)» и «Госпошлина за выдачу разрешения на установку рекламной конструкции».</w:t>
      </w:r>
    </w:p>
    <w:p>
      <w:pPr>
        <w:ind w:firstLine="709"/>
        <w:jc w:val="both"/>
        <w:rPr>
          <w:highlight w:val="yellow"/>
        </w:rPr>
      </w:pPr>
    </w:p>
    <w:p>
      <w:pPr>
        <w:pStyle w:val="a5"/>
        <w:spacing w:after="0"/>
        <w:jc w:val="center"/>
        <w:rPr>
          <w:b/>
          <w:sz w:val="24"/>
          <w:szCs w:val="24"/>
        </w:rPr>
      </w:pPr>
      <w:r>
        <w:rPr>
          <w:b/>
          <w:sz w:val="24"/>
          <w:szCs w:val="24"/>
        </w:rPr>
        <w:t>3.2. НЕНАЛОГОВЫЕ ДОХОДЫ БЮДЖЕТА ЗАТО СЕВЕРСК</w:t>
      </w:r>
    </w:p>
    <w:p>
      <w:pPr>
        <w:pStyle w:val="a5"/>
        <w:spacing w:after="0"/>
        <w:ind w:firstLine="709"/>
        <w:jc w:val="center"/>
        <w:rPr>
          <w:b/>
          <w:sz w:val="16"/>
          <w:szCs w:val="16"/>
        </w:rPr>
      </w:pPr>
    </w:p>
    <w:p>
      <w:pPr>
        <w:spacing w:line="228" w:lineRule="auto"/>
        <w:ind w:firstLine="709"/>
        <w:jc w:val="both"/>
        <w:rPr>
          <w:sz w:val="24"/>
          <w:szCs w:val="24"/>
        </w:rPr>
      </w:pPr>
      <w:r>
        <w:rPr>
          <w:sz w:val="24"/>
          <w:szCs w:val="24"/>
        </w:rPr>
        <w:t>Неналоговые доходы при уточненном прогнозе 116 415,46 тыс.руб. исполнены в сумме 119 903,08 тыс.руб. или 103,0%, перевыполнение на 3 487,63 тыс.руб.</w:t>
      </w:r>
    </w:p>
    <w:p>
      <w:pPr>
        <w:spacing w:line="228" w:lineRule="auto"/>
        <w:ind w:firstLine="709"/>
        <w:jc w:val="both"/>
        <w:rPr>
          <w:sz w:val="24"/>
          <w:szCs w:val="24"/>
        </w:rPr>
      </w:pPr>
      <w:r>
        <w:rPr>
          <w:sz w:val="24"/>
          <w:szCs w:val="24"/>
        </w:rPr>
        <w:t>Удельный вес неналоговых доходов в общей структуре доходной части бюджета ЗАТО Северск составляет 2,5%, налоговых и неналоговых доходах – 10,7%.</w:t>
      </w:r>
    </w:p>
    <w:p>
      <w:pPr>
        <w:spacing w:before="120" w:after="60"/>
        <w:ind w:right="45" w:firstLine="720"/>
        <w:jc w:val="both"/>
        <w:rPr>
          <w:sz w:val="24"/>
          <w:szCs w:val="24"/>
        </w:rPr>
      </w:pPr>
      <w:r>
        <w:rPr>
          <w:sz w:val="24"/>
          <w:szCs w:val="24"/>
        </w:rPr>
        <w:t>Таблица 24. Сравнительный анализ поступления неналоговых доходов бюджета ЗАТО Северск за 2019 - 2020 гг.</w:t>
      </w:r>
    </w:p>
    <w:tbl>
      <w:tblPr>
        <w:tblW w:w="9652" w:type="dxa"/>
        <w:tblInd w:w="96" w:type="dxa"/>
        <w:tblLayout w:type="fixed"/>
        <w:tblLook w:val="0000" w:firstRow="0" w:lastRow="0" w:firstColumn="0" w:lastColumn="0" w:noHBand="0" w:noVBand="0"/>
      </w:tblPr>
      <w:tblGrid>
        <w:gridCol w:w="2280"/>
        <w:gridCol w:w="1134"/>
        <w:gridCol w:w="1134"/>
        <w:gridCol w:w="1133"/>
        <w:gridCol w:w="993"/>
        <w:gridCol w:w="993"/>
        <w:gridCol w:w="1134"/>
        <w:gridCol w:w="851"/>
      </w:tblGrid>
      <w:tr>
        <w:trPr>
          <w:cantSplit/>
          <w:trHeight w:val="248"/>
        </w:trPr>
        <w:tc>
          <w:tcPr>
            <w:tcW w:w="2280"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108" w:right="-108"/>
              <w:jc w:val="center"/>
              <w:rPr>
                <w:bCs/>
              </w:rPr>
            </w:pPr>
            <w:r>
              <w:rPr>
                <w:bCs/>
              </w:rPr>
              <w:t xml:space="preserve">Факт </w:t>
            </w:r>
          </w:p>
          <w:p>
            <w:pPr>
              <w:ind w:left="-108" w:right="-108"/>
              <w:jc w:val="center"/>
              <w:rPr>
                <w:bCs/>
              </w:rPr>
            </w:pPr>
            <w:r>
              <w:rPr>
                <w:bCs/>
              </w:rPr>
              <w:t>2019 год, тыс.руб.</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pPr>
            <w:r>
              <w:t xml:space="preserve">2020 год, </w:t>
            </w:r>
            <w:r>
              <w:rPr>
                <w:bCs/>
              </w:rPr>
              <w:t>тыс.руб.</w:t>
            </w:r>
          </w:p>
        </w:tc>
        <w:tc>
          <w:tcPr>
            <w:tcW w:w="1985" w:type="dxa"/>
            <w:gridSpan w:val="2"/>
            <w:vMerge w:val="restart"/>
            <w:tcBorders>
              <w:top w:val="single" w:sz="4" w:space="0" w:color="auto"/>
              <w:left w:val="nil"/>
              <w:right w:val="single" w:sz="4" w:space="0" w:color="auto"/>
            </w:tcBorders>
            <w:shd w:val="clear" w:color="auto" w:fill="auto"/>
            <w:vAlign w:val="center"/>
          </w:tcPr>
          <w:p>
            <w:pPr>
              <w:ind w:left="-108" w:right="-108"/>
              <w:jc w:val="center"/>
              <w:rPr>
                <w:color w:val="000000"/>
              </w:rPr>
            </w:pPr>
            <w:r>
              <w:rPr>
                <w:color w:val="000000"/>
              </w:rPr>
              <w:t xml:space="preserve">Отклонение </w:t>
            </w:r>
          </w:p>
          <w:p>
            <w:pPr>
              <w:ind w:left="-108" w:right="-108"/>
              <w:jc w:val="center"/>
              <w:rPr>
                <w:color w:val="000000"/>
              </w:rPr>
            </w:pPr>
            <w:r>
              <w:rPr>
                <w:color w:val="000000"/>
                <w:sz w:val="18"/>
                <w:szCs w:val="18"/>
              </w:rPr>
              <w:t>(</w:t>
            </w:r>
            <w:r>
              <w:rPr>
                <w:color w:val="000000"/>
                <w:sz w:val="16"/>
                <w:szCs w:val="16"/>
              </w:rPr>
              <w:t>факт 2020г. – факт 2019г.)</w:t>
            </w:r>
          </w:p>
        </w:tc>
      </w:tr>
      <w:tr>
        <w:trPr>
          <w:cantSplit/>
          <w:trHeight w:val="267"/>
        </w:trPr>
        <w:tc>
          <w:tcPr>
            <w:tcW w:w="2280" w:type="dxa"/>
            <w:vMerge/>
            <w:tcBorders>
              <w:left w:val="single" w:sz="4" w:space="0" w:color="auto"/>
              <w:right w:val="single" w:sz="4" w:space="0" w:color="auto"/>
            </w:tcBorders>
            <w:shd w:val="clear" w:color="auto" w:fill="auto"/>
            <w:vAlign w:val="center"/>
          </w:tcPr>
          <w:p>
            <w:pPr>
              <w:jc w:val="center"/>
            </w:pPr>
          </w:p>
        </w:tc>
        <w:tc>
          <w:tcPr>
            <w:tcW w:w="1134" w:type="dxa"/>
            <w:vMerge/>
            <w:tcBorders>
              <w:left w:val="nil"/>
              <w:right w:val="single" w:sz="4" w:space="0" w:color="auto"/>
            </w:tcBorders>
            <w:vAlign w:val="center"/>
          </w:tcPr>
          <w:p>
            <w:pPr>
              <w:ind w:left="-108" w:right="-108"/>
              <w:jc w:val="center"/>
              <w:rPr>
                <w:bCs/>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Прогноз</w:t>
            </w:r>
          </w:p>
        </w:tc>
        <w:tc>
          <w:tcPr>
            <w:tcW w:w="993" w:type="dxa"/>
            <w:vMerge w:val="restart"/>
            <w:tcBorders>
              <w:top w:val="single" w:sz="4" w:space="0" w:color="auto"/>
              <w:left w:val="single" w:sz="4" w:space="0" w:color="auto"/>
              <w:right w:val="single" w:sz="4" w:space="0" w:color="auto"/>
            </w:tcBorders>
            <w:shd w:val="clear" w:color="auto" w:fill="auto"/>
            <w:vAlign w:val="center"/>
          </w:tcPr>
          <w:p>
            <w:pPr>
              <w:ind w:left="-57" w:right="-57"/>
              <w:jc w:val="center"/>
            </w:pPr>
            <w:r>
              <w:t xml:space="preserve">Факт </w:t>
            </w:r>
          </w:p>
        </w:tc>
        <w:tc>
          <w:tcPr>
            <w:tcW w:w="993"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pPr>
            <w:r>
              <w:t xml:space="preserve">Откло- нение </w:t>
            </w:r>
          </w:p>
        </w:tc>
        <w:tc>
          <w:tcPr>
            <w:tcW w:w="1985" w:type="dxa"/>
            <w:gridSpan w:val="2"/>
            <w:vMerge/>
            <w:tcBorders>
              <w:left w:val="nil"/>
              <w:bottom w:val="single" w:sz="4" w:space="0" w:color="auto"/>
              <w:right w:val="single" w:sz="4" w:space="0" w:color="auto"/>
            </w:tcBorders>
            <w:shd w:val="clear" w:color="auto" w:fill="auto"/>
            <w:vAlign w:val="center"/>
          </w:tcPr>
          <w:p>
            <w:pPr>
              <w:ind w:left="-108" w:right="-108"/>
              <w:jc w:val="center"/>
              <w:rPr>
                <w:color w:val="000000"/>
                <w:sz w:val="18"/>
                <w:szCs w:val="18"/>
              </w:rPr>
            </w:pPr>
          </w:p>
        </w:tc>
      </w:tr>
      <w:tr>
        <w:trPr>
          <w:cantSplit/>
          <w:trHeight w:val="999"/>
        </w:trPr>
        <w:tc>
          <w:tcPr>
            <w:tcW w:w="2280"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113"/>
              <w:jc w:val="center"/>
            </w:pPr>
            <w:r>
              <w:t xml:space="preserve">Перво-начальный </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113"/>
              <w:jc w:val="center"/>
            </w:pPr>
            <w:r>
              <w:t xml:space="preserve">Уточ- ненный  </w:t>
            </w:r>
          </w:p>
        </w:tc>
        <w:tc>
          <w:tcPr>
            <w:tcW w:w="993" w:type="dxa"/>
            <w:vMerge/>
            <w:tcBorders>
              <w:left w:val="single" w:sz="4" w:space="0" w:color="auto"/>
              <w:bottom w:val="single" w:sz="4" w:space="0" w:color="auto"/>
              <w:right w:val="single" w:sz="4" w:space="0" w:color="auto"/>
            </w:tcBorders>
            <w:shd w:val="clear" w:color="auto" w:fill="auto"/>
            <w:vAlign w:val="center"/>
          </w:tcPr>
          <w:p>
            <w:pPr>
              <w:ind w:left="-57" w:right="-57"/>
              <w:jc w:val="center"/>
            </w:pPr>
          </w:p>
        </w:tc>
        <w:tc>
          <w:tcPr>
            <w:tcW w:w="993" w:type="dxa"/>
            <w:vMerge/>
            <w:tcBorders>
              <w:left w:val="single" w:sz="4" w:space="0" w:color="auto"/>
              <w:bottom w:val="single" w:sz="4" w:space="0" w:color="auto"/>
              <w:right w:val="single" w:sz="4" w:space="0" w:color="auto"/>
            </w:tcBorders>
            <w:shd w:val="clear" w:color="auto" w:fill="auto"/>
            <w:vAlign w:val="center"/>
          </w:tcPr>
          <w:p>
            <w:pPr>
              <w:ind w:left="-108" w:right="-108"/>
              <w:jc w:val="center"/>
            </w:pPr>
          </w:p>
        </w:tc>
        <w:tc>
          <w:tcPr>
            <w:tcW w:w="1134"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pPr>
              <w:jc w:val="center"/>
              <w:rPr>
                <w:sz w:val="18"/>
                <w:szCs w:val="18"/>
              </w:rPr>
            </w:pPr>
            <w:r>
              <w:rPr>
                <w:sz w:val="18"/>
                <w:szCs w:val="18"/>
              </w:rPr>
              <w:t>абсолютное,  тыс.руб.</w:t>
            </w:r>
          </w:p>
        </w:tc>
        <w:tc>
          <w:tcPr>
            <w:tcW w:w="851" w:type="dxa"/>
            <w:tcBorders>
              <w:top w:val="single" w:sz="4" w:space="0" w:color="auto"/>
              <w:left w:val="nil"/>
              <w:bottom w:val="single" w:sz="4" w:space="0" w:color="auto"/>
              <w:right w:val="single" w:sz="4" w:space="0" w:color="auto"/>
            </w:tcBorders>
            <w:tcMar>
              <w:left w:w="28" w:type="dxa"/>
              <w:right w:w="28" w:type="dxa"/>
            </w:tcMar>
            <w:vAlign w:val="center"/>
          </w:tcPr>
          <w:p>
            <w:pPr>
              <w:jc w:val="center"/>
              <w:rPr>
                <w:sz w:val="18"/>
                <w:szCs w:val="18"/>
              </w:rPr>
            </w:pPr>
            <w:r>
              <w:rPr>
                <w:color w:val="000000"/>
                <w:sz w:val="18"/>
                <w:szCs w:val="18"/>
              </w:rPr>
              <w:t>относи-тельное,  %</w:t>
            </w:r>
          </w:p>
        </w:tc>
      </w:tr>
      <w:tr>
        <w:trPr>
          <w:cantSplit/>
          <w:trHeight w:val="239"/>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ind w:left="-113" w:right="-57"/>
              <w:jc w:val="center"/>
              <w:rPr>
                <w:bCs/>
                <w:sz w:val="16"/>
                <w:szCs w:val="16"/>
              </w:rPr>
            </w:pPr>
            <w:r>
              <w:rPr>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3</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4</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6=5-4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7=5-2</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sz w:val="16"/>
                <w:szCs w:val="16"/>
              </w:rPr>
            </w:pPr>
            <w:r>
              <w:rPr>
                <w:bCs/>
                <w:sz w:val="16"/>
                <w:szCs w:val="16"/>
              </w:rPr>
              <w:t>8=5/2</w:t>
            </w:r>
          </w:p>
        </w:tc>
      </w:tr>
      <w:tr>
        <w:trPr>
          <w:cantSplit/>
          <w:trHeight w:val="87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rPr>
                <w:b/>
                <w:bCs/>
              </w:rPr>
            </w:pPr>
            <w:r>
              <w:rPr>
                <w:b/>
                <w:bCs/>
              </w:rPr>
              <w:t>НЕНАЛОГОВЫЕ ДОХОДЫ</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rPr>
            </w:pPr>
            <w:r>
              <w:rPr>
                <w:b/>
                <w:bCs/>
              </w:rPr>
              <w:t>160 555,90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rPr>
                <w:b/>
                <w:bCs/>
              </w:rPr>
            </w:pPr>
            <w:r>
              <w:rPr>
                <w:b/>
                <w:bCs/>
              </w:rPr>
              <w:t>147 601,06</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116 415,46</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119 903,08</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3 487,63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-40 652,82</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
                <w:bCs/>
              </w:rPr>
            </w:pPr>
            <w:r>
              <w:rPr>
                <w:b/>
                <w:bCs/>
              </w:rPr>
              <w:t>74,7</w:t>
            </w:r>
          </w:p>
        </w:tc>
      </w:tr>
      <w:tr>
        <w:trPr>
          <w:cantSplit/>
          <w:trHeight w:val="85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pPr>
            <w:r>
              <w:t>Доходы от использования муниципального имущества</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90 197,79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86 970,48</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87 465,00</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90 158,32</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2 693,32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-39,47</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100,0</w:t>
            </w:r>
          </w:p>
        </w:tc>
      </w:tr>
      <w:tr>
        <w:trPr>
          <w:cantSplit/>
          <w:trHeight w:val="78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pPr>
            <w:r>
              <w:t xml:space="preserve">Платежи при пользовании природными ресурсами </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19 568,56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12 226,39</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8 027,96</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8 175,92</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147,96</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-11 392,64</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41,8</w:t>
            </w:r>
          </w:p>
        </w:tc>
      </w:tr>
      <w:tr>
        <w:trPr>
          <w:cantSplit/>
          <w:trHeight w:val="69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Доходы от оказания платных услуг и компенсации затрат</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7 956,02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6 117,08</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5 022,16</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5 434,28</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412,12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-2 521,74</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68,3</w:t>
            </w:r>
          </w:p>
        </w:tc>
      </w:tr>
      <w:tr>
        <w:trPr>
          <w:cantSplit/>
          <w:trHeight w:val="70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Доходы от продажи муниципального имущества</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20 510,46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36 574,34</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9 601,87</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9 795,80</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193,94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-10 714,66</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47,8</w:t>
            </w:r>
          </w:p>
        </w:tc>
      </w:tr>
      <w:tr>
        <w:trPr>
          <w:cantSplit/>
          <w:trHeight w:val="40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Штрафы, санкции, возмещение ущерба</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12 368,61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5 659,62</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5 659,62</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5 688,79</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29,17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-6 679,82</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46,0</w:t>
            </w:r>
          </w:p>
        </w:tc>
      </w:tr>
      <w:tr>
        <w:trPr>
          <w:cantSplit/>
          <w:trHeight w:val="366"/>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Прочие неналоговые доходы</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9 954,46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53,15</w:t>
            </w:r>
          </w:p>
        </w:tc>
        <w:tc>
          <w:tcPr>
            <w:tcW w:w="1133" w:type="dxa"/>
            <w:tcBorders>
              <w:top w:val="single" w:sz="4" w:space="0" w:color="auto"/>
              <w:left w:val="nil"/>
              <w:bottom w:val="single" w:sz="4" w:space="0" w:color="auto"/>
              <w:right w:val="single" w:sz="4" w:space="0" w:color="auto"/>
            </w:tcBorders>
            <w:shd w:val="clear" w:color="auto" w:fill="auto"/>
            <w:vAlign w:val="center"/>
          </w:tcPr>
          <w:p>
            <w:pPr>
              <w:jc w:val="right"/>
            </w:pPr>
            <w:r>
              <w:t>638,85</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649,97</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11,12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-9 304,49</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6,5</w:t>
            </w:r>
          </w:p>
        </w:tc>
      </w:tr>
    </w:tbl>
    <w:p>
      <w:pPr>
        <w:jc w:val="both"/>
        <w:rPr>
          <w:noProof/>
          <w:sz w:val="24"/>
          <w:szCs w:val="24"/>
        </w:rPr>
      </w:pPr>
    </w:p>
    <w:p>
      <w:pPr>
        <w:spacing w:line="228" w:lineRule="auto"/>
        <w:ind w:firstLine="709"/>
        <w:jc w:val="both"/>
        <w:rPr>
          <w:sz w:val="24"/>
          <w:szCs w:val="24"/>
          <w:highlight w:val="yellow"/>
        </w:rPr>
      </w:pPr>
      <w:r>
        <w:rPr>
          <w:sz w:val="24"/>
          <w:szCs w:val="24"/>
        </w:rPr>
        <w:lastRenderedPageBreak/>
        <w:t>Поступление неналоговых доходов по сравнению с 2019 годом уменьшилось на 40 652,82 тыс.руб. или на 25,3%. Основное сокращение за счет платежей при пользовании природными ресурсами и доходов, полученных от продажи муниципального имущества.</w:t>
      </w:r>
    </w:p>
    <w:p>
      <w:pPr>
        <w:jc w:val="both"/>
        <w:rPr>
          <w:noProof/>
          <w:sz w:val="24"/>
          <w:szCs w:val="24"/>
          <w:highlight w:val="yellow"/>
        </w:rPr>
      </w:pPr>
      <w:r>
        <w:rPr>
          <w:noProof/>
        </w:rPr>
        <w:drawing>
          <wp:inline distT="0" distB="0" distL="0" distR="0">
            <wp:extent cx="5949950" cy="3225800"/>
            <wp:effectExtent l="0" t="1905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pPr>
        <w:jc w:val="center"/>
        <w:rPr>
          <w:sz w:val="24"/>
          <w:szCs w:val="24"/>
        </w:rPr>
      </w:pPr>
      <w:r>
        <w:rPr>
          <w:sz w:val="24"/>
          <w:szCs w:val="24"/>
        </w:rPr>
        <w:t>Рисунок 7. Динамика поступлений неналоговых доходов в 2019 и 2020 годах</w:t>
      </w:r>
    </w:p>
    <w:p>
      <w:pPr>
        <w:spacing w:before="120"/>
        <w:ind w:firstLine="709"/>
        <w:jc w:val="both"/>
        <w:rPr>
          <w:sz w:val="24"/>
          <w:szCs w:val="24"/>
        </w:rPr>
      </w:pPr>
      <w:r>
        <w:rPr>
          <w:sz w:val="24"/>
          <w:szCs w:val="24"/>
        </w:rPr>
        <w:t xml:space="preserve">По сравнению с 2019 годом по статьям «Арендная плата за землю» и «Аренда движимого имущества» отмечается положительная динамика сокращения задолженности, по статьям «Аренда недвижимого имущества» и «Плата за наем жилых помещений» рост задолженности. </w:t>
      </w:r>
    </w:p>
    <w:p>
      <w:pPr>
        <w:spacing w:before="120" w:after="60"/>
        <w:ind w:right="45" w:firstLine="709"/>
        <w:jc w:val="both"/>
        <w:rPr>
          <w:sz w:val="24"/>
          <w:szCs w:val="24"/>
        </w:rPr>
      </w:pPr>
      <w:r>
        <w:rPr>
          <w:sz w:val="24"/>
          <w:szCs w:val="24"/>
        </w:rPr>
        <w:t>Таблица 25. Задолженность по неналоговым платежам в бюджет ЗАТО Северск за</w:t>
      </w:r>
      <w:r>
        <w:rPr>
          <w:sz w:val="24"/>
          <w:szCs w:val="24"/>
          <w:lang w:val="en-US"/>
        </w:rPr>
        <w:t> </w:t>
      </w:r>
      <w:r>
        <w:rPr>
          <w:sz w:val="24"/>
          <w:szCs w:val="24"/>
        </w:rPr>
        <w:t>2019-2020 гг., без учета отсроченных (рассроченных) и приостановленных к взысканию</w:t>
      </w:r>
    </w:p>
    <w:tbl>
      <w:tblPr>
        <w:tblW w:w="9368" w:type="dxa"/>
        <w:tblInd w:w="96" w:type="dxa"/>
        <w:tblLayout w:type="fixed"/>
        <w:tblLook w:val="0000" w:firstRow="0" w:lastRow="0" w:firstColumn="0" w:lastColumn="0" w:noHBand="0" w:noVBand="0"/>
      </w:tblPr>
      <w:tblGrid>
        <w:gridCol w:w="3981"/>
        <w:gridCol w:w="1560"/>
        <w:gridCol w:w="1417"/>
        <w:gridCol w:w="1276"/>
        <w:gridCol w:w="1134"/>
      </w:tblGrid>
      <w:tr>
        <w:trPr>
          <w:cantSplit/>
          <w:trHeight w:val="313"/>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977"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410"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sz w:val="18"/>
                <w:szCs w:val="18"/>
              </w:rPr>
            </w:pPr>
            <w:r>
              <w:rPr>
                <w:color w:val="000000"/>
              </w:rPr>
              <w:t xml:space="preserve">Отклонение </w:t>
            </w:r>
          </w:p>
        </w:tc>
      </w:tr>
      <w:tr>
        <w:trPr>
          <w:cantSplit/>
          <w:trHeight w:val="384"/>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560" w:type="dxa"/>
            <w:tcBorders>
              <w:top w:val="single" w:sz="4" w:space="0" w:color="auto"/>
              <w:left w:val="nil"/>
              <w:bottom w:val="single" w:sz="4" w:space="0" w:color="auto"/>
              <w:right w:val="single" w:sz="4" w:space="0" w:color="auto"/>
            </w:tcBorders>
            <w:vAlign w:val="center"/>
          </w:tcPr>
          <w:p>
            <w:r>
              <w:t xml:space="preserve"> на 01.01.2020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 xml:space="preserve"> на 01.01.2021</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72"/>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20"/>
            </w:pPr>
            <w:r>
              <w:t>1. Арендная плата за землю</w:t>
            </w:r>
          </w:p>
        </w:tc>
        <w:tc>
          <w:tcPr>
            <w:tcW w:w="1560" w:type="dxa"/>
            <w:tcBorders>
              <w:top w:val="single" w:sz="4" w:space="0" w:color="auto"/>
              <w:left w:val="nil"/>
              <w:bottom w:val="single" w:sz="4" w:space="0" w:color="auto"/>
              <w:right w:val="single" w:sz="4" w:space="0" w:color="auto"/>
            </w:tcBorders>
            <w:vAlign w:val="center"/>
          </w:tcPr>
          <w:p>
            <w:pPr>
              <w:jc w:val="right"/>
            </w:pPr>
            <w:r>
              <w:t>15 672,7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14 860,5</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-812,2</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94,8</w:t>
            </w:r>
          </w:p>
        </w:tc>
      </w:tr>
      <w:tr>
        <w:trPr>
          <w:cantSplit/>
          <w:trHeight w:val="421"/>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20"/>
            </w:pPr>
            <w:r>
              <w:t>2. Аренда движимого имущества</w:t>
            </w:r>
          </w:p>
        </w:tc>
        <w:tc>
          <w:tcPr>
            <w:tcW w:w="1560" w:type="dxa"/>
            <w:tcBorders>
              <w:top w:val="single" w:sz="4" w:space="0" w:color="auto"/>
              <w:left w:val="nil"/>
              <w:bottom w:val="single" w:sz="4" w:space="0" w:color="auto"/>
              <w:right w:val="single" w:sz="4" w:space="0" w:color="auto"/>
            </w:tcBorders>
            <w:vAlign w:val="center"/>
          </w:tcPr>
          <w:p>
            <w:pPr>
              <w:jc w:val="right"/>
            </w:pPr>
            <w:r>
              <w:t>3 821,4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3 244,4</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-577,0</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84,9</w:t>
            </w:r>
          </w:p>
        </w:tc>
      </w:tr>
      <w:tr>
        <w:trPr>
          <w:cantSplit/>
          <w:trHeight w:val="396"/>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19"/>
            </w:pPr>
            <w:r>
              <w:t>3. Аренда недвижимого имущества</w:t>
            </w:r>
          </w:p>
        </w:tc>
        <w:tc>
          <w:tcPr>
            <w:tcW w:w="1560" w:type="dxa"/>
            <w:tcBorders>
              <w:top w:val="single" w:sz="4" w:space="0" w:color="auto"/>
              <w:left w:val="nil"/>
              <w:bottom w:val="single" w:sz="4" w:space="0" w:color="auto"/>
              <w:right w:val="single" w:sz="4" w:space="0" w:color="auto"/>
            </w:tcBorders>
            <w:shd w:val="clear" w:color="auto" w:fill="auto"/>
            <w:vAlign w:val="center"/>
          </w:tcPr>
          <w:p>
            <w:pPr>
              <w:jc w:val="right"/>
            </w:pPr>
            <w: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2 069,7</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2 069,7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color w:val="000000"/>
              </w:rPr>
            </w:pPr>
            <w:r>
              <w:rPr>
                <w:color w:val="000000"/>
              </w:rPr>
              <w:t>-</w:t>
            </w:r>
          </w:p>
        </w:tc>
      </w:tr>
      <w:tr>
        <w:trPr>
          <w:cantSplit/>
          <w:trHeight w:val="396"/>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19"/>
            </w:pPr>
            <w:r>
              <w:t>4. Плата за наем жилых помещений</w:t>
            </w:r>
          </w:p>
        </w:tc>
        <w:tc>
          <w:tcPr>
            <w:tcW w:w="1560" w:type="dxa"/>
            <w:tcBorders>
              <w:top w:val="single" w:sz="4" w:space="0" w:color="auto"/>
              <w:left w:val="nil"/>
              <w:bottom w:val="single" w:sz="4" w:space="0" w:color="auto"/>
              <w:right w:val="single" w:sz="4" w:space="0" w:color="auto"/>
            </w:tcBorders>
            <w:shd w:val="clear" w:color="auto" w:fill="auto"/>
            <w:vAlign w:val="center"/>
          </w:tcPr>
          <w:p>
            <w:pPr>
              <w:jc w:val="right"/>
            </w:pPr>
            <w:r>
              <w:t>7 133,0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7 655,7</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522,7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color w:val="000000"/>
              </w:rPr>
            </w:pPr>
            <w:r>
              <w:rPr>
                <w:color w:val="000000"/>
              </w:rPr>
              <w:t>107,3</w:t>
            </w:r>
          </w:p>
        </w:tc>
      </w:tr>
      <w:tr>
        <w:trPr>
          <w:cantSplit/>
          <w:trHeight w:val="418"/>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19"/>
            </w:pPr>
            <w:r>
              <w:t>5. Аренда рекламных конструкций</w:t>
            </w:r>
          </w:p>
        </w:tc>
        <w:tc>
          <w:tcPr>
            <w:tcW w:w="1560" w:type="dxa"/>
            <w:tcBorders>
              <w:top w:val="single" w:sz="4" w:space="0" w:color="auto"/>
              <w:left w:val="nil"/>
              <w:bottom w:val="single" w:sz="4" w:space="0" w:color="auto"/>
              <w:right w:val="single" w:sz="4" w:space="0" w:color="auto"/>
            </w:tcBorders>
            <w:vAlign w:val="center"/>
          </w:tcPr>
          <w:p>
            <w:pPr>
              <w:jc w:val="right"/>
            </w:pPr>
            <w:r>
              <w:t>296,2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326,8</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30,6</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110,3</w:t>
            </w:r>
          </w:p>
        </w:tc>
      </w:tr>
    </w:tbl>
    <w:p>
      <w:pPr>
        <w:jc w:val="center"/>
        <w:rPr>
          <w:b/>
          <w:sz w:val="24"/>
          <w:szCs w:val="24"/>
        </w:rPr>
      </w:pPr>
    </w:p>
    <w:p>
      <w:pPr>
        <w:jc w:val="center"/>
        <w:rPr>
          <w:b/>
          <w:sz w:val="24"/>
          <w:szCs w:val="24"/>
        </w:rPr>
      </w:pPr>
      <w:r>
        <w:rPr>
          <w:b/>
          <w:sz w:val="24"/>
          <w:szCs w:val="24"/>
        </w:rPr>
        <w:t>3.2.1. Доходы от использования имущества, находящегося</w:t>
      </w:r>
    </w:p>
    <w:p>
      <w:pPr>
        <w:spacing w:after="120"/>
        <w:jc w:val="center"/>
        <w:rPr>
          <w:b/>
          <w:sz w:val="24"/>
          <w:szCs w:val="24"/>
        </w:rPr>
      </w:pPr>
      <w:r>
        <w:rPr>
          <w:b/>
          <w:sz w:val="24"/>
          <w:szCs w:val="24"/>
        </w:rPr>
        <w:t>в государственной и муниципальной собственности</w:t>
      </w:r>
    </w:p>
    <w:p>
      <w:pPr>
        <w:pStyle w:val="a5"/>
        <w:spacing w:after="0"/>
        <w:ind w:firstLine="720"/>
        <w:jc w:val="both"/>
        <w:rPr>
          <w:sz w:val="24"/>
          <w:szCs w:val="24"/>
        </w:rPr>
      </w:pPr>
      <w:r>
        <w:rPr>
          <w:sz w:val="24"/>
          <w:szCs w:val="24"/>
        </w:rPr>
        <w:t>Прогноз поступлений по статье «Доходы от использования имущества, находящегося в муниципальной собственности» составлял 87 465,00 тыс.руб., фактическое исполнение – 90 158,32 тыс.руб., перевыполнение на 2 693,32 тыс.руб. или на 3,1%.</w:t>
      </w:r>
    </w:p>
    <w:p>
      <w:pPr>
        <w:pStyle w:val="a5"/>
        <w:spacing w:before="120" w:after="60"/>
        <w:ind w:firstLine="709"/>
        <w:jc w:val="both"/>
        <w:rPr>
          <w:sz w:val="24"/>
          <w:szCs w:val="24"/>
        </w:rPr>
      </w:pPr>
    </w:p>
    <w:p>
      <w:pPr>
        <w:pStyle w:val="a5"/>
        <w:spacing w:before="120" w:after="60"/>
        <w:ind w:firstLine="709"/>
        <w:jc w:val="both"/>
        <w:rPr>
          <w:sz w:val="24"/>
          <w:szCs w:val="24"/>
        </w:rPr>
      </w:pPr>
    </w:p>
    <w:p>
      <w:pPr>
        <w:pStyle w:val="a5"/>
        <w:spacing w:before="120" w:after="60"/>
        <w:ind w:firstLine="709"/>
        <w:jc w:val="both"/>
        <w:rPr>
          <w:sz w:val="24"/>
          <w:szCs w:val="24"/>
        </w:rPr>
      </w:pPr>
    </w:p>
    <w:p>
      <w:pPr>
        <w:pStyle w:val="a5"/>
        <w:spacing w:before="120" w:after="60"/>
        <w:ind w:firstLine="709"/>
        <w:jc w:val="both"/>
        <w:rPr>
          <w:sz w:val="24"/>
          <w:szCs w:val="24"/>
        </w:rPr>
      </w:pPr>
      <w:r>
        <w:rPr>
          <w:sz w:val="24"/>
          <w:szCs w:val="24"/>
        </w:rPr>
        <w:lastRenderedPageBreak/>
        <w:t>Таблица 26. Анализ поступления доходов от использования муниципального имущества за 2019 - 2020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134"/>
        <w:gridCol w:w="1134"/>
        <w:gridCol w:w="1276"/>
        <w:gridCol w:w="1134"/>
        <w:gridCol w:w="1134"/>
        <w:gridCol w:w="673"/>
      </w:tblGrid>
      <w:tr>
        <w:trPr>
          <w:trHeight w:val="274"/>
          <w:jc w:val="center"/>
        </w:trPr>
        <w:tc>
          <w:tcPr>
            <w:tcW w:w="3085"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 xml:space="preserve">Факт </w:t>
            </w:r>
          </w:p>
          <w:p>
            <w:pPr>
              <w:ind w:right="-57"/>
              <w:jc w:val="center"/>
              <w:rPr>
                <w:bCs/>
              </w:rPr>
            </w:pPr>
            <w:r>
              <w:rPr>
                <w:bCs/>
              </w:rPr>
              <w:t>2019 год, тыс.руб.</w:t>
            </w:r>
          </w:p>
        </w:tc>
        <w:tc>
          <w:tcPr>
            <w:tcW w:w="5351" w:type="dxa"/>
            <w:gridSpan w:val="5"/>
            <w:vAlign w:val="center"/>
          </w:tcPr>
          <w:p>
            <w:pPr>
              <w:ind w:left="-57" w:right="-57"/>
              <w:jc w:val="center"/>
            </w:pPr>
            <w:r>
              <w:t>2020 год</w:t>
            </w:r>
          </w:p>
        </w:tc>
      </w:tr>
      <w:tr>
        <w:trPr>
          <w:trHeight w:val="765"/>
          <w:jc w:val="center"/>
        </w:trPr>
        <w:tc>
          <w:tcPr>
            <w:tcW w:w="3085"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34" w:type="dxa"/>
          </w:tcPr>
          <w:p>
            <w:pPr>
              <w:ind w:left="-158" w:right="-108"/>
              <w:jc w:val="center"/>
            </w:pPr>
            <w:r>
              <w:t>Первона-чальный прогноз, тыс.руб.</w:t>
            </w:r>
          </w:p>
        </w:tc>
        <w:tc>
          <w:tcPr>
            <w:tcW w:w="1276" w:type="dxa"/>
            <w:vAlign w:val="center"/>
          </w:tcPr>
          <w:p>
            <w:pPr>
              <w:ind w:left="-158" w:right="-108"/>
              <w:jc w:val="center"/>
            </w:pPr>
            <w:r>
              <w:t>Уточненный прогноз, 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673"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66"/>
          <w:jc w:val="center"/>
        </w:trPr>
        <w:tc>
          <w:tcPr>
            <w:tcW w:w="3085" w:type="dxa"/>
            <w:vAlign w:val="center"/>
          </w:tcPr>
          <w:p>
            <w:pPr>
              <w:pStyle w:val="a5"/>
              <w:spacing w:after="0"/>
              <w:jc w:val="center"/>
              <w:rPr>
                <w:sz w:val="16"/>
                <w:szCs w:val="16"/>
              </w:rPr>
            </w:pPr>
            <w:r>
              <w:rPr>
                <w:sz w:val="16"/>
                <w:szCs w:val="16"/>
              </w:rPr>
              <w:t>1</w:t>
            </w:r>
          </w:p>
        </w:tc>
        <w:tc>
          <w:tcPr>
            <w:tcW w:w="1134" w:type="dxa"/>
            <w:vAlign w:val="center"/>
          </w:tcPr>
          <w:p>
            <w:pPr>
              <w:ind w:left="-57" w:right="-57"/>
              <w:jc w:val="center"/>
              <w:rPr>
                <w:color w:val="000000"/>
                <w:sz w:val="16"/>
                <w:szCs w:val="16"/>
              </w:rPr>
            </w:pPr>
            <w:r>
              <w:rPr>
                <w:color w:val="000000"/>
                <w:sz w:val="16"/>
                <w:szCs w:val="16"/>
              </w:rPr>
              <w:t>2</w:t>
            </w:r>
          </w:p>
        </w:tc>
        <w:tc>
          <w:tcPr>
            <w:tcW w:w="1134" w:type="dxa"/>
            <w:vAlign w:val="center"/>
          </w:tcPr>
          <w:p>
            <w:pPr>
              <w:ind w:left="-57" w:right="-57"/>
              <w:jc w:val="center"/>
              <w:rPr>
                <w:color w:val="000000"/>
                <w:sz w:val="16"/>
                <w:szCs w:val="16"/>
              </w:rPr>
            </w:pPr>
            <w:r>
              <w:rPr>
                <w:color w:val="000000"/>
                <w:sz w:val="16"/>
                <w:szCs w:val="16"/>
              </w:rPr>
              <w:t>3</w:t>
            </w:r>
          </w:p>
        </w:tc>
        <w:tc>
          <w:tcPr>
            <w:tcW w:w="1276" w:type="dxa"/>
            <w:shd w:val="clear" w:color="auto" w:fill="auto"/>
            <w:vAlign w:val="center"/>
          </w:tcPr>
          <w:p>
            <w:pPr>
              <w:jc w:val="center"/>
              <w:rPr>
                <w:color w:val="000000"/>
                <w:sz w:val="16"/>
                <w:szCs w:val="16"/>
              </w:rPr>
            </w:pPr>
            <w:r>
              <w:rPr>
                <w:color w:val="000000"/>
                <w:sz w:val="16"/>
                <w:szCs w:val="16"/>
              </w:rPr>
              <w:t>4</w:t>
            </w:r>
          </w:p>
        </w:tc>
        <w:tc>
          <w:tcPr>
            <w:tcW w:w="1134" w:type="dxa"/>
            <w:shd w:val="clear" w:color="auto" w:fill="auto"/>
            <w:vAlign w:val="center"/>
          </w:tcPr>
          <w:p>
            <w:pPr>
              <w:jc w:val="center"/>
              <w:rPr>
                <w:color w:val="000000"/>
                <w:sz w:val="16"/>
                <w:szCs w:val="16"/>
              </w:rPr>
            </w:pPr>
            <w:r>
              <w:rPr>
                <w:color w:val="000000"/>
                <w:sz w:val="16"/>
                <w:szCs w:val="16"/>
              </w:rPr>
              <w:t>5</w:t>
            </w:r>
          </w:p>
        </w:tc>
        <w:tc>
          <w:tcPr>
            <w:tcW w:w="1134" w:type="dxa"/>
            <w:shd w:val="clear" w:color="auto" w:fill="auto"/>
            <w:vAlign w:val="center"/>
          </w:tcPr>
          <w:p>
            <w:pPr>
              <w:jc w:val="center"/>
              <w:rPr>
                <w:color w:val="000000"/>
                <w:sz w:val="16"/>
                <w:szCs w:val="16"/>
              </w:rPr>
            </w:pPr>
            <w:r>
              <w:rPr>
                <w:color w:val="000000"/>
                <w:sz w:val="16"/>
                <w:szCs w:val="16"/>
              </w:rPr>
              <w:t>6=5-4</w:t>
            </w:r>
          </w:p>
        </w:tc>
        <w:tc>
          <w:tcPr>
            <w:tcW w:w="673" w:type="dxa"/>
            <w:shd w:val="clear" w:color="auto" w:fill="auto"/>
            <w:vAlign w:val="center"/>
          </w:tcPr>
          <w:p>
            <w:pPr>
              <w:pStyle w:val="a5"/>
              <w:spacing w:after="0"/>
              <w:ind w:left="-57" w:right="-57"/>
              <w:jc w:val="center"/>
              <w:rPr>
                <w:sz w:val="16"/>
                <w:szCs w:val="16"/>
              </w:rPr>
            </w:pPr>
            <w:r>
              <w:rPr>
                <w:sz w:val="16"/>
                <w:szCs w:val="16"/>
              </w:rPr>
              <w:t>7=5/4</w:t>
            </w:r>
          </w:p>
        </w:tc>
      </w:tr>
      <w:tr>
        <w:trPr>
          <w:trHeight w:val="804"/>
          <w:jc w:val="center"/>
        </w:trPr>
        <w:tc>
          <w:tcPr>
            <w:tcW w:w="3085" w:type="dxa"/>
            <w:vAlign w:val="center"/>
          </w:tcPr>
          <w:p>
            <w:pPr>
              <w:pStyle w:val="a5"/>
              <w:spacing w:after="0"/>
            </w:pPr>
            <w:r>
              <w:t xml:space="preserve"> Доходы от использования имущества, находящегося в муниципальной собственности</w:t>
            </w:r>
          </w:p>
        </w:tc>
        <w:tc>
          <w:tcPr>
            <w:tcW w:w="1134" w:type="dxa"/>
            <w:vAlign w:val="center"/>
          </w:tcPr>
          <w:p>
            <w:pPr>
              <w:ind w:left="-57" w:right="-57"/>
              <w:jc w:val="right"/>
              <w:rPr>
                <w:color w:val="000000"/>
              </w:rPr>
            </w:pPr>
            <w:r>
              <w:rPr>
                <w:color w:val="000000"/>
              </w:rPr>
              <w:t>90 197,79</w:t>
            </w:r>
          </w:p>
        </w:tc>
        <w:tc>
          <w:tcPr>
            <w:tcW w:w="1134" w:type="dxa"/>
            <w:vAlign w:val="center"/>
          </w:tcPr>
          <w:p>
            <w:pPr>
              <w:ind w:left="-57" w:right="-57"/>
              <w:jc w:val="right"/>
              <w:rPr>
                <w:color w:val="000000"/>
              </w:rPr>
            </w:pPr>
            <w:r>
              <w:rPr>
                <w:color w:val="000000"/>
              </w:rPr>
              <w:t>86 970,48</w:t>
            </w:r>
          </w:p>
        </w:tc>
        <w:tc>
          <w:tcPr>
            <w:tcW w:w="1276" w:type="dxa"/>
            <w:shd w:val="clear" w:color="auto" w:fill="auto"/>
            <w:vAlign w:val="center"/>
          </w:tcPr>
          <w:p>
            <w:pPr>
              <w:jc w:val="right"/>
              <w:rPr>
                <w:color w:val="000000"/>
              </w:rPr>
            </w:pPr>
            <w:r>
              <w:rPr>
                <w:color w:val="000000"/>
              </w:rPr>
              <w:t>87 465,00</w:t>
            </w:r>
          </w:p>
        </w:tc>
        <w:tc>
          <w:tcPr>
            <w:tcW w:w="1134" w:type="dxa"/>
            <w:shd w:val="clear" w:color="auto" w:fill="auto"/>
            <w:vAlign w:val="center"/>
          </w:tcPr>
          <w:p>
            <w:pPr>
              <w:jc w:val="right"/>
              <w:rPr>
                <w:color w:val="000000"/>
              </w:rPr>
            </w:pPr>
            <w:r>
              <w:rPr>
                <w:color w:val="000000"/>
              </w:rPr>
              <w:t>90 158,32</w:t>
            </w:r>
          </w:p>
        </w:tc>
        <w:tc>
          <w:tcPr>
            <w:tcW w:w="1134" w:type="dxa"/>
            <w:shd w:val="clear" w:color="auto" w:fill="auto"/>
            <w:vAlign w:val="center"/>
          </w:tcPr>
          <w:p>
            <w:pPr>
              <w:jc w:val="right"/>
              <w:rPr>
                <w:color w:val="000000"/>
              </w:rPr>
            </w:pPr>
            <w:r>
              <w:rPr>
                <w:color w:val="000000"/>
              </w:rPr>
              <w:t>2 693,32</w:t>
            </w:r>
          </w:p>
        </w:tc>
        <w:tc>
          <w:tcPr>
            <w:tcW w:w="673" w:type="dxa"/>
            <w:shd w:val="clear" w:color="auto" w:fill="auto"/>
            <w:vAlign w:val="center"/>
          </w:tcPr>
          <w:p>
            <w:pPr>
              <w:pStyle w:val="a5"/>
              <w:spacing w:after="0"/>
              <w:ind w:left="-57" w:right="-57"/>
              <w:jc w:val="center"/>
            </w:pPr>
            <w:r>
              <w:t>103,1</w:t>
            </w:r>
          </w:p>
        </w:tc>
      </w:tr>
    </w:tbl>
    <w:p>
      <w:pPr>
        <w:pStyle w:val="a5"/>
        <w:spacing w:before="120" w:after="0"/>
        <w:ind w:firstLine="720"/>
        <w:jc w:val="both"/>
        <w:rPr>
          <w:sz w:val="24"/>
          <w:szCs w:val="24"/>
        </w:rPr>
      </w:pPr>
      <w:r>
        <w:rPr>
          <w:sz w:val="24"/>
          <w:szCs w:val="24"/>
        </w:rPr>
        <w:t>Удельный вес доходов от использования муниципального имущества в общей структуре фактически поступивших доходов составляет 1,9%, налоговых и неналоговых доходах – 8,0%.</w:t>
      </w:r>
    </w:p>
    <w:p>
      <w:pPr>
        <w:pStyle w:val="a5"/>
        <w:spacing w:after="0"/>
        <w:ind w:firstLine="720"/>
        <w:jc w:val="both"/>
        <w:rPr>
          <w:sz w:val="24"/>
          <w:szCs w:val="24"/>
        </w:rPr>
      </w:pPr>
      <w:r>
        <w:rPr>
          <w:sz w:val="24"/>
          <w:szCs w:val="24"/>
        </w:rPr>
        <w:t>По сравнению с 2019 годом уменьшение поступлений по статье составило 39,47 тыс.руб.</w:t>
      </w:r>
    </w:p>
    <w:p>
      <w:pPr>
        <w:pStyle w:val="a5"/>
        <w:spacing w:after="0"/>
        <w:ind w:firstLine="720"/>
        <w:jc w:val="both"/>
        <w:rPr>
          <w:sz w:val="24"/>
          <w:szCs w:val="24"/>
        </w:rPr>
      </w:pPr>
    </w:p>
    <w:p>
      <w:pPr>
        <w:jc w:val="center"/>
        <w:rPr>
          <w:b/>
          <w:i/>
          <w:sz w:val="24"/>
          <w:szCs w:val="24"/>
        </w:rPr>
      </w:pPr>
      <w:r>
        <w:rPr>
          <w:b/>
          <w:i/>
          <w:sz w:val="24"/>
          <w:szCs w:val="24"/>
        </w:rPr>
        <w:t xml:space="preserve">3.2.1.1. Доходы в виде прибыли, приходящейся на доли </w:t>
      </w:r>
    </w:p>
    <w:p>
      <w:pPr>
        <w:jc w:val="center"/>
        <w:rPr>
          <w:b/>
          <w:i/>
          <w:sz w:val="24"/>
          <w:szCs w:val="24"/>
        </w:rPr>
      </w:pPr>
      <w:r>
        <w:rPr>
          <w:b/>
          <w:i/>
          <w:sz w:val="24"/>
          <w:szCs w:val="24"/>
        </w:rPr>
        <w:t xml:space="preserve">в уставных (складочных) капиталах хозяйственных товариществ </w:t>
      </w:r>
    </w:p>
    <w:p>
      <w:pPr>
        <w:spacing w:after="120"/>
        <w:jc w:val="center"/>
        <w:rPr>
          <w:b/>
          <w:i/>
          <w:sz w:val="24"/>
          <w:szCs w:val="24"/>
        </w:rPr>
      </w:pPr>
      <w:r>
        <w:rPr>
          <w:b/>
          <w:i/>
          <w:sz w:val="24"/>
          <w:szCs w:val="24"/>
        </w:rPr>
        <w:t>и обществ, или дивидендов по акциям, принадлежащим городским округам</w:t>
      </w:r>
    </w:p>
    <w:p>
      <w:pPr>
        <w:tabs>
          <w:tab w:val="left" w:pos="0"/>
        </w:tabs>
        <w:ind w:firstLine="709"/>
        <w:jc w:val="both"/>
        <w:rPr>
          <w:sz w:val="24"/>
          <w:szCs w:val="24"/>
        </w:rPr>
      </w:pPr>
      <w:r>
        <w:rPr>
          <w:sz w:val="24"/>
          <w:szCs w:val="24"/>
        </w:rPr>
        <w:t>Прогноз поступлений по данной статье составлял 456,68 тыс.руб., фактически поступили доходы в сумме 468,83 тыс.руб., перевыполнение на 12,15 тыс.руб. или на 2,7%.</w:t>
      </w:r>
    </w:p>
    <w:p>
      <w:pPr>
        <w:ind w:firstLine="708"/>
        <w:jc w:val="both"/>
        <w:rPr>
          <w:sz w:val="24"/>
          <w:szCs w:val="24"/>
        </w:rPr>
      </w:pPr>
      <w:r>
        <w:rPr>
          <w:sz w:val="24"/>
          <w:szCs w:val="24"/>
        </w:rPr>
        <w:t>В 2020 году поступили дивиденды за 2019 год по акциям АО «ЕРКЦ», АО «СВК».</w:t>
      </w:r>
    </w:p>
    <w:p>
      <w:pPr>
        <w:spacing w:before="120" w:after="60"/>
        <w:ind w:firstLine="709"/>
        <w:jc w:val="both"/>
        <w:rPr>
          <w:sz w:val="24"/>
          <w:szCs w:val="24"/>
        </w:rPr>
      </w:pPr>
      <w:r>
        <w:rPr>
          <w:sz w:val="24"/>
          <w:szCs w:val="24"/>
        </w:rPr>
        <w:t>Таблица 27. Анализ поступления доходов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 за 2019 - 2020 гг.</w:t>
      </w: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6"/>
        <w:gridCol w:w="1134"/>
        <w:gridCol w:w="1134"/>
        <w:gridCol w:w="1134"/>
        <w:gridCol w:w="1134"/>
        <w:gridCol w:w="1134"/>
        <w:gridCol w:w="709"/>
      </w:tblGrid>
      <w:tr>
        <w:trPr>
          <w:trHeight w:val="249"/>
          <w:jc w:val="center"/>
        </w:trPr>
        <w:tc>
          <w:tcPr>
            <w:tcW w:w="2936" w:type="dxa"/>
            <w:vMerge w:val="restart"/>
            <w:vAlign w:val="center"/>
          </w:tcPr>
          <w:p>
            <w:pPr>
              <w:pStyle w:val="a5"/>
              <w:ind w:right="-2"/>
              <w:jc w:val="center"/>
              <w:rPr>
                <w:sz w:val="22"/>
                <w:szCs w:val="22"/>
              </w:rPr>
            </w:pPr>
          </w:p>
          <w:p>
            <w:pPr>
              <w:pStyle w:val="a5"/>
              <w:ind w:right="-2"/>
              <w:jc w:val="center"/>
            </w:pPr>
            <w:r>
              <w:t xml:space="preserve">Наименование </w:t>
            </w:r>
          </w:p>
        </w:tc>
        <w:tc>
          <w:tcPr>
            <w:tcW w:w="1134" w:type="dxa"/>
            <w:vMerge w:val="restart"/>
            <w:vAlign w:val="center"/>
          </w:tcPr>
          <w:p>
            <w:pPr>
              <w:ind w:right="-57"/>
              <w:jc w:val="center"/>
              <w:rPr>
                <w:bCs/>
              </w:rPr>
            </w:pPr>
            <w:r>
              <w:rPr>
                <w:bCs/>
              </w:rPr>
              <w:t xml:space="preserve">Факт </w:t>
            </w:r>
          </w:p>
          <w:p>
            <w:pPr>
              <w:ind w:right="-57"/>
              <w:jc w:val="center"/>
              <w:rPr>
                <w:bCs/>
              </w:rPr>
            </w:pPr>
            <w:r>
              <w:rPr>
                <w:bCs/>
              </w:rPr>
              <w:t>2019 год, тыс.руб.</w:t>
            </w:r>
          </w:p>
        </w:tc>
        <w:tc>
          <w:tcPr>
            <w:tcW w:w="5245" w:type="dxa"/>
            <w:gridSpan w:val="5"/>
            <w:vAlign w:val="center"/>
          </w:tcPr>
          <w:p>
            <w:pPr>
              <w:ind w:left="-57" w:right="-57"/>
              <w:jc w:val="center"/>
            </w:pPr>
            <w:r>
              <w:t>2020 год</w:t>
            </w:r>
          </w:p>
        </w:tc>
      </w:tr>
      <w:tr>
        <w:trPr>
          <w:trHeight w:val="768"/>
          <w:jc w:val="center"/>
        </w:trPr>
        <w:tc>
          <w:tcPr>
            <w:tcW w:w="2936"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34"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709"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217"/>
          <w:jc w:val="center"/>
        </w:trPr>
        <w:tc>
          <w:tcPr>
            <w:tcW w:w="2936" w:type="dxa"/>
            <w:vAlign w:val="center"/>
          </w:tcPr>
          <w:p>
            <w:pPr>
              <w:pStyle w:val="a5"/>
              <w:spacing w:after="0"/>
              <w:jc w:val="center"/>
              <w:rPr>
                <w:sz w:val="16"/>
                <w:szCs w:val="16"/>
              </w:rPr>
            </w:pPr>
            <w:r>
              <w:rPr>
                <w:sz w:val="16"/>
                <w:szCs w:val="16"/>
              </w:rPr>
              <w:t>1</w:t>
            </w:r>
          </w:p>
        </w:tc>
        <w:tc>
          <w:tcPr>
            <w:tcW w:w="1134" w:type="dxa"/>
            <w:vAlign w:val="center"/>
          </w:tcPr>
          <w:p>
            <w:pPr>
              <w:ind w:left="-57" w:right="-57"/>
              <w:jc w:val="center"/>
              <w:rPr>
                <w:color w:val="000000"/>
                <w:sz w:val="16"/>
                <w:szCs w:val="16"/>
              </w:rPr>
            </w:pPr>
            <w:r>
              <w:rPr>
                <w:color w:val="000000"/>
                <w:sz w:val="16"/>
                <w:szCs w:val="16"/>
              </w:rPr>
              <w:t>2</w:t>
            </w:r>
          </w:p>
        </w:tc>
        <w:tc>
          <w:tcPr>
            <w:tcW w:w="1134" w:type="dxa"/>
            <w:vAlign w:val="center"/>
          </w:tcPr>
          <w:p>
            <w:pPr>
              <w:ind w:left="-57" w:right="-57"/>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34" w:type="dxa"/>
            <w:shd w:val="clear" w:color="auto" w:fill="auto"/>
            <w:vAlign w:val="center"/>
          </w:tcPr>
          <w:p>
            <w:pPr>
              <w:jc w:val="center"/>
              <w:rPr>
                <w:color w:val="000000"/>
                <w:sz w:val="16"/>
                <w:szCs w:val="16"/>
              </w:rPr>
            </w:pPr>
            <w:r>
              <w:rPr>
                <w:color w:val="000000"/>
                <w:sz w:val="16"/>
                <w:szCs w:val="16"/>
              </w:rPr>
              <w:t>5</w:t>
            </w:r>
          </w:p>
        </w:tc>
        <w:tc>
          <w:tcPr>
            <w:tcW w:w="1134" w:type="dxa"/>
            <w:shd w:val="clear" w:color="auto" w:fill="auto"/>
            <w:vAlign w:val="center"/>
          </w:tcPr>
          <w:p>
            <w:pPr>
              <w:jc w:val="center"/>
              <w:rPr>
                <w:color w:val="000000"/>
                <w:sz w:val="16"/>
                <w:szCs w:val="16"/>
              </w:rPr>
            </w:pPr>
            <w:r>
              <w:rPr>
                <w:color w:val="000000"/>
                <w:sz w:val="16"/>
                <w:szCs w:val="16"/>
              </w:rPr>
              <w:t>6=5-4</w:t>
            </w:r>
          </w:p>
        </w:tc>
        <w:tc>
          <w:tcPr>
            <w:tcW w:w="709" w:type="dxa"/>
            <w:shd w:val="clear" w:color="auto" w:fill="auto"/>
            <w:vAlign w:val="center"/>
          </w:tcPr>
          <w:p>
            <w:pPr>
              <w:pStyle w:val="a5"/>
              <w:spacing w:after="0"/>
              <w:ind w:left="-57" w:right="-57"/>
              <w:jc w:val="center"/>
              <w:rPr>
                <w:sz w:val="16"/>
                <w:szCs w:val="16"/>
              </w:rPr>
            </w:pPr>
            <w:r>
              <w:rPr>
                <w:sz w:val="16"/>
                <w:szCs w:val="16"/>
              </w:rPr>
              <w:t>7=5/4</w:t>
            </w:r>
          </w:p>
        </w:tc>
      </w:tr>
      <w:tr>
        <w:trPr>
          <w:trHeight w:val="767"/>
          <w:jc w:val="center"/>
        </w:trPr>
        <w:tc>
          <w:tcPr>
            <w:tcW w:w="2936" w:type="dxa"/>
            <w:vAlign w:val="center"/>
          </w:tcPr>
          <w:p>
            <w:pPr>
              <w:pStyle w:val="a5"/>
              <w:tabs>
                <w:tab w:val="left" w:pos="3845"/>
              </w:tabs>
              <w:spacing w:after="0"/>
              <w:ind w:right="-57"/>
            </w:pPr>
            <w:r>
              <w:t>Доходы в виде прибыли на доли в УК по акциям, принадлежащим ЗАТО, в т.ч.:</w:t>
            </w:r>
          </w:p>
        </w:tc>
        <w:tc>
          <w:tcPr>
            <w:tcW w:w="1134" w:type="dxa"/>
            <w:shd w:val="clear" w:color="auto" w:fill="auto"/>
            <w:vAlign w:val="center"/>
          </w:tcPr>
          <w:p>
            <w:pPr>
              <w:jc w:val="right"/>
            </w:pPr>
            <w:r>
              <w:t>456,68</w:t>
            </w:r>
          </w:p>
        </w:tc>
        <w:tc>
          <w:tcPr>
            <w:tcW w:w="1134" w:type="dxa"/>
            <w:vAlign w:val="center"/>
          </w:tcPr>
          <w:p>
            <w:pPr>
              <w:jc w:val="right"/>
            </w:pPr>
            <w:r>
              <w:t>456,68</w:t>
            </w:r>
          </w:p>
        </w:tc>
        <w:tc>
          <w:tcPr>
            <w:tcW w:w="1134" w:type="dxa"/>
            <w:shd w:val="clear" w:color="auto" w:fill="auto"/>
            <w:vAlign w:val="center"/>
          </w:tcPr>
          <w:p>
            <w:pPr>
              <w:jc w:val="right"/>
            </w:pPr>
            <w:r>
              <w:t>456,68</w:t>
            </w:r>
          </w:p>
        </w:tc>
        <w:tc>
          <w:tcPr>
            <w:tcW w:w="1134" w:type="dxa"/>
            <w:shd w:val="clear" w:color="auto" w:fill="auto"/>
            <w:vAlign w:val="center"/>
          </w:tcPr>
          <w:p>
            <w:pPr>
              <w:jc w:val="right"/>
            </w:pPr>
            <w:r>
              <w:t>468,83</w:t>
            </w:r>
          </w:p>
        </w:tc>
        <w:tc>
          <w:tcPr>
            <w:tcW w:w="1134" w:type="dxa"/>
            <w:shd w:val="clear" w:color="auto" w:fill="auto"/>
            <w:vAlign w:val="center"/>
          </w:tcPr>
          <w:p>
            <w:pPr>
              <w:jc w:val="right"/>
            </w:pPr>
            <w:r>
              <w:t>12,15</w:t>
            </w:r>
          </w:p>
        </w:tc>
        <w:tc>
          <w:tcPr>
            <w:tcW w:w="709" w:type="dxa"/>
            <w:shd w:val="clear" w:color="auto" w:fill="auto"/>
            <w:vAlign w:val="center"/>
          </w:tcPr>
          <w:p>
            <w:pPr>
              <w:pStyle w:val="a5"/>
              <w:spacing w:after="0"/>
              <w:ind w:left="-57" w:right="-57"/>
              <w:jc w:val="center"/>
            </w:pPr>
            <w:r>
              <w:t>102,7</w:t>
            </w:r>
          </w:p>
        </w:tc>
      </w:tr>
      <w:tr>
        <w:trPr>
          <w:trHeight w:val="284"/>
          <w:jc w:val="center"/>
        </w:trPr>
        <w:tc>
          <w:tcPr>
            <w:tcW w:w="2936" w:type="dxa"/>
            <w:vAlign w:val="center"/>
          </w:tcPr>
          <w:p>
            <w:pPr>
              <w:pStyle w:val="a5"/>
              <w:tabs>
                <w:tab w:val="left" w:pos="3845"/>
              </w:tabs>
              <w:spacing w:after="0"/>
              <w:ind w:right="-57"/>
            </w:pPr>
            <w:r>
              <w:t>АО «ЕРКЦ»</w:t>
            </w:r>
          </w:p>
        </w:tc>
        <w:tc>
          <w:tcPr>
            <w:tcW w:w="1134" w:type="dxa"/>
            <w:shd w:val="clear" w:color="auto" w:fill="auto"/>
            <w:vAlign w:val="center"/>
          </w:tcPr>
          <w:p>
            <w:pPr>
              <w:jc w:val="right"/>
            </w:pPr>
            <w:r>
              <w:t>14,80</w:t>
            </w:r>
          </w:p>
        </w:tc>
        <w:tc>
          <w:tcPr>
            <w:tcW w:w="1134" w:type="dxa"/>
            <w:vAlign w:val="center"/>
          </w:tcPr>
          <w:p>
            <w:pPr>
              <w:jc w:val="right"/>
            </w:pPr>
            <w:r>
              <w:t>15,65</w:t>
            </w:r>
          </w:p>
        </w:tc>
        <w:tc>
          <w:tcPr>
            <w:tcW w:w="1134" w:type="dxa"/>
            <w:shd w:val="clear" w:color="auto" w:fill="auto"/>
            <w:vAlign w:val="center"/>
          </w:tcPr>
          <w:p>
            <w:pPr>
              <w:jc w:val="right"/>
            </w:pPr>
            <w:r>
              <w:t>15,65</w:t>
            </w:r>
          </w:p>
        </w:tc>
        <w:tc>
          <w:tcPr>
            <w:tcW w:w="1134" w:type="dxa"/>
            <w:shd w:val="clear" w:color="auto" w:fill="auto"/>
            <w:vAlign w:val="center"/>
          </w:tcPr>
          <w:p>
            <w:pPr>
              <w:jc w:val="right"/>
            </w:pPr>
            <w:r>
              <w:t>15,65</w:t>
            </w:r>
          </w:p>
        </w:tc>
        <w:tc>
          <w:tcPr>
            <w:tcW w:w="1134" w:type="dxa"/>
            <w:shd w:val="clear" w:color="auto" w:fill="auto"/>
            <w:vAlign w:val="center"/>
          </w:tcPr>
          <w:p>
            <w:pPr>
              <w:jc w:val="right"/>
            </w:pPr>
            <w:r>
              <w:t>-</w:t>
            </w:r>
          </w:p>
        </w:tc>
        <w:tc>
          <w:tcPr>
            <w:tcW w:w="709" w:type="dxa"/>
            <w:shd w:val="clear" w:color="auto" w:fill="auto"/>
            <w:vAlign w:val="center"/>
          </w:tcPr>
          <w:p>
            <w:pPr>
              <w:pStyle w:val="a5"/>
              <w:spacing w:after="0"/>
              <w:ind w:left="-57" w:right="-57"/>
              <w:jc w:val="center"/>
            </w:pPr>
            <w:r>
              <w:t>100,0</w:t>
            </w:r>
          </w:p>
        </w:tc>
      </w:tr>
      <w:tr>
        <w:trPr>
          <w:trHeight w:val="284"/>
          <w:jc w:val="center"/>
        </w:trPr>
        <w:tc>
          <w:tcPr>
            <w:tcW w:w="2936" w:type="dxa"/>
            <w:vAlign w:val="center"/>
          </w:tcPr>
          <w:p>
            <w:pPr>
              <w:pStyle w:val="a5"/>
              <w:tabs>
                <w:tab w:val="left" w:pos="3845"/>
              </w:tabs>
              <w:spacing w:after="0"/>
              <w:ind w:right="-57"/>
            </w:pPr>
            <w:r>
              <w:t>ООО «Городские аптеки»</w:t>
            </w:r>
          </w:p>
        </w:tc>
        <w:tc>
          <w:tcPr>
            <w:tcW w:w="1134" w:type="dxa"/>
            <w:shd w:val="clear" w:color="auto" w:fill="auto"/>
            <w:vAlign w:val="center"/>
          </w:tcPr>
          <w:p>
            <w:pPr>
              <w:jc w:val="right"/>
            </w:pPr>
            <w:r>
              <w:t>1,57</w:t>
            </w:r>
          </w:p>
        </w:tc>
        <w:tc>
          <w:tcPr>
            <w:tcW w:w="1134" w:type="dxa"/>
            <w:vAlign w:val="center"/>
          </w:tcPr>
          <w:p>
            <w:pPr>
              <w:jc w:val="right"/>
            </w:pPr>
          </w:p>
        </w:tc>
        <w:tc>
          <w:tcPr>
            <w:tcW w:w="1134" w:type="dxa"/>
            <w:shd w:val="clear" w:color="auto" w:fill="auto"/>
            <w:vAlign w:val="center"/>
          </w:tcPr>
          <w:p>
            <w:pPr>
              <w:jc w:val="right"/>
            </w:pPr>
          </w:p>
        </w:tc>
        <w:tc>
          <w:tcPr>
            <w:tcW w:w="1134" w:type="dxa"/>
            <w:shd w:val="clear" w:color="auto" w:fill="auto"/>
            <w:vAlign w:val="center"/>
          </w:tcPr>
          <w:p>
            <w:pPr>
              <w:jc w:val="right"/>
            </w:pPr>
          </w:p>
        </w:tc>
        <w:tc>
          <w:tcPr>
            <w:tcW w:w="1134" w:type="dxa"/>
            <w:shd w:val="clear" w:color="auto" w:fill="auto"/>
            <w:vAlign w:val="center"/>
          </w:tcPr>
          <w:p>
            <w:pPr>
              <w:jc w:val="right"/>
            </w:pPr>
            <w:r>
              <w:t>-</w:t>
            </w:r>
          </w:p>
        </w:tc>
        <w:tc>
          <w:tcPr>
            <w:tcW w:w="709" w:type="dxa"/>
            <w:shd w:val="clear" w:color="auto" w:fill="auto"/>
            <w:vAlign w:val="center"/>
          </w:tcPr>
          <w:p>
            <w:pPr>
              <w:pStyle w:val="a5"/>
              <w:spacing w:after="0"/>
              <w:ind w:left="-57" w:right="-57"/>
              <w:jc w:val="center"/>
            </w:pPr>
            <w:r>
              <w:t>-</w:t>
            </w:r>
          </w:p>
        </w:tc>
      </w:tr>
      <w:tr>
        <w:trPr>
          <w:trHeight w:val="284"/>
          <w:jc w:val="center"/>
        </w:trPr>
        <w:tc>
          <w:tcPr>
            <w:tcW w:w="2936" w:type="dxa"/>
            <w:vAlign w:val="center"/>
          </w:tcPr>
          <w:p>
            <w:pPr>
              <w:pStyle w:val="a5"/>
              <w:tabs>
                <w:tab w:val="left" w:pos="3845"/>
              </w:tabs>
              <w:spacing w:after="0"/>
              <w:ind w:right="-57"/>
            </w:pPr>
            <w:r>
              <w:t>ООО «Аптека «Здоровье»</w:t>
            </w:r>
          </w:p>
        </w:tc>
        <w:tc>
          <w:tcPr>
            <w:tcW w:w="1134" w:type="dxa"/>
            <w:shd w:val="clear" w:color="auto" w:fill="auto"/>
            <w:vAlign w:val="center"/>
          </w:tcPr>
          <w:p>
            <w:pPr>
              <w:jc w:val="right"/>
            </w:pPr>
            <w:r>
              <w:t>1,95</w:t>
            </w:r>
          </w:p>
        </w:tc>
        <w:tc>
          <w:tcPr>
            <w:tcW w:w="1134" w:type="dxa"/>
            <w:vAlign w:val="center"/>
          </w:tcPr>
          <w:p>
            <w:pPr>
              <w:jc w:val="right"/>
            </w:pPr>
          </w:p>
        </w:tc>
        <w:tc>
          <w:tcPr>
            <w:tcW w:w="1134" w:type="dxa"/>
            <w:shd w:val="clear" w:color="auto" w:fill="auto"/>
            <w:vAlign w:val="center"/>
          </w:tcPr>
          <w:p>
            <w:pPr>
              <w:jc w:val="right"/>
            </w:pPr>
          </w:p>
        </w:tc>
        <w:tc>
          <w:tcPr>
            <w:tcW w:w="1134" w:type="dxa"/>
            <w:shd w:val="clear" w:color="auto" w:fill="auto"/>
            <w:vAlign w:val="center"/>
          </w:tcPr>
          <w:p>
            <w:pPr>
              <w:jc w:val="right"/>
            </w:pPr>
          </w:p>
        </w:tc>
        <w:tc>
          <w:tcPr>
            <w:tcW w:w="1134" w:type="dxa"/>
            <w:shd w:val="clear" w:color="auto" w:fill="auto"/>
            <w:vAlign w:val="center"/>
          </w:tcPr>
          <w:p>
            <w:pPr>
              <w:jc w:val="right"/>
            </w:pPr>
            <w:r>
              <w:t>-</w:t>
            </w:r>
          </w:p>
        </w:tc>
        <w:tc>
          <w:tcPr>
            <w:tcW w:w="709" w:type="dxa"/>
            <w:shd w:val="clear" w:color="auto" w:fill="auto"/>
            <w:vAlign w:val="center"/>
          </w:tcPr>
          <w:p>
            <w:pPr>
              <w:pStyle w:val="a5"/>
              <w:spacing w:after="0"/>
              <w:ind w:right="-57"/>
              <w:jc w:val="center"/>
            </w:pPr>
            <w:r>
              <w:t>-</w:t>
            </w:r>
          </w:p>
        </w:tc>
      </w:tr>
      <w:tr>
        <w:trPr>
          <w:trHeight w:val="284"/>
          <w:jc w:val="center"/>
        </w:trPr>
        <w:tc>
          <w:tcPr>
            <w:tcW w:w="2936" w:type="dxa"/>
            <w:vAlign w:val="center"/>
          </w:tcPr>
          <w:p>
            <w:pPr>
              <w:pStyle w:val="a5"/>
              <w:tabs>
                <w:tab w:val="left" w:pos="3845"/>
              </w:tabs>
              <w:spacing w:after="0"/>
              <w:ind w:right="-57"/>
            </w:pPr>
            <w:r>
              <w:t>АО «СВК»</w:t>
            </w:r>
          </w:p>
        </w:tc>
        <w:tc>
          <w:tcPr>
            <w:tcW w:w="1134" w:type="dxa"/>
            <w:shd w:val="clear" w:color="auto" w:fill="auto"/>
            <w:vAlign w:val="center"/>
          </w:tcPr>
          <w:p>
            <w:pPr>
              <w:jc w:val="right"/>
            </w:pPr>
            <w:r>
              <w:t>438,36</w:t>
            </w:r>
          </w:p>
        </w:tc>
        <w:tc>
          <w:tcPr>
            <w:tcW w:w="1134" w:type="dxa"/>
            <w:vAlign w:val="center"/>
          </w:tcPr>
          <w:p>
            <w:pPr>
              <w:jc w:val="right"/>
            </w:pPr>
            <w:r>
              <w:t>441,03</w:t>
            </w:r>
          </w:p>
        </w:tc>
        <w:tc>
          <w:tcPr>
            <w:tcW w:w="1134" w:type="dxa"/>
            <w:shd w:val="clear" w:color="auto" w:fill="auto"/>
            <w:vAlign w:val="center"/>
          </w:tcPr>
          <w:p>
            <w:pPr>
              <w:jc w:val="right"/>
            </w:pPr>
            <w:r>
              <w:t>441,03</w:t>
            </w:r>
          </w:p>
        </w:tc>
        <w:tc>
          <w:tcPr>
            <w:tcW w:w="1134" w:type="dxa"/>
            <w:shd w:val="clear" w:color="auto" w:fill="auto"/>
            <w:vAlign w:val="center"/>
          </w:tcPr>
          <w:p>
            <w:pPr>
              <w:jc w:val="right"/>
            </w:pPr>
            <w:r>
              <w:t>453,18</w:t>
            </w:r>
          </w:p>
        </w:tc>
        <w:tc>
          <w:tcPr>
            <w:tcW w:w="1134" w:type="dxa"/>
            <w:shd w:val="clear" w:color="auto" w:fill="auto"/>
            <w:vAlign w:val="center"/>
          </w:tcPr>
          <w:p>
            <w:pPr>
              <w:jc w:val="right"/>
            </w:pPr>
            <w:r>
              <w:t>12,15</w:t>
            </w:r>
          </w:p>
        </w:tc>
        <w:tc>
          <w:tcPr>
            <w:tcW w:w="709" w:type="dxa"/>
            <w:shd w:val="clear" w:color="auto" w:fill="auto"/>
            <w:vAlign w:val="center"/>
          </w:tcPr>
          <w:p>
            <w:pPr>
              <w:pStyle w:val="a5"/>
              <w:spacing w:after="0"/>
              <w:ind w:left="-57" w:right="-57"/>
              <w:jc w:val="center"/>
            </w:pPr>
            <w:r>
              <w:t>102,8</w:t>
            </w:r>
          </w:p>
        </w:tc>
      </w:tr>
    </w:tbl>
    <w:p>
      <w:pPr>
        <w:ind w:firstLine="708"/>
        <w:jc w:val="both"/>
        <w:rPr>
          <w:sz w:val="24"/>
          <w:szCs w:val="24"/>
          <w:highlight w:val="yellow"/>
        </w:rPr>
      </w:pPr>
    </w:p>
    <w:p>
      <w:pPr>
        <w:pStyle w:val="a5"/>
        <w:jc w:val="center"/>
        <w:rPr>
          <w:b/>
          <w:i/>
          <w:sz w:val="24"/>
          <w:szCs w:val="24"/>
        </w:rPr>
      </w:pPr>
      <w:r>
        <w:rPr>
          <w:b/>
          <w:i/>
          <w:sz w:val="24"/>
          <w:szCs w:val="24"/>
        </w:rPr>
        <w:t>3.2.1.2. Арендная плата за землю</w:t>
      </w:r>
    </w:p>
    <w:p>
      <w:pPr>
        <w:tabs>
          <w:tab w:val="left" w:pos="0"/>
        </w:tabs>
        <w:ind w:firstLine="709"/>
        <w:jc w:val="both"/>
        <w:rPr>
          <w:sz w:val="24"/>
          <w:szCs w:val="24"/>
        </w:rPr>
      </w:pPr>
      <w:r>
        <w:rPr>
          <w:sz w:val="24"/>
          <w:szCs w:val="24"/>
        </w:rPr>
        <w:t>Прогноз поступлений по статье «Арендная плата за землю» составлял 51 138,74 тыс.руб., фактическое поступление – 52 378,91 тыс.руб., перевыполнение на 1 240,17 тыс.руб. или на 2,4%.</w:t>
      </w:r>
    </w:p>
    <w:p>
      <w:pPr>
        <w:pStyle w:val="a5"/>
        <w:spacing w:before="120" w:after="60"/>
        <w:ind w:firstLine="709"/>
        <w:rPr>
          <w:sz w:val="24"/>
          <w:szCs w:val="24"/>
        </w:rPr>
      </w:pPr>
    </w:p>
    <w:p>
      <w:pPr>
        <w:pStyle w:val="a5"/>
        <w:spacing w:before="120" w:after="60"/>
        <w:ind w:firstLine="709"/>
        <w:rPr>
          <w:sz w:val="24"/>
          <w:szCs w:val="24"/>
        </w:rPr>
      </w:pPr>
    </w:p>
    <w:p>
      <w:pPr>
        <w:pStyle w:val="a5"/>
        <w:spacing w:before="120" w:after="60"/>
        <w:ind w:firstLine="709"/>
        <w:rPr>
          <w:sz w:val="24"/>
          <w:szCs w:val="24"/>
        </w:rPr>
      </w:pPr>
    </w:p>
    <w:p>
      <w:pPr>
        <w:pStyle w:val="a5"/>
        <w:spacing w:before="120" w:after="60"/>
        <w:ind w:firstLine="709"/>
        <w:rPr>
          <w:sz w:val="24"/>
          <w:szCs w:val="24"/>
        </w:rPr>
      </w:pPr>
    </w:p>
    <w:p>
      <w:pPr>
        <w:pStyle w:val="a5"/>
        <w:spacing w:before="120" w:after="60"/>
        <w:ind w:firstLine="709"/>
        <w:rPr>
          <w:sz w:val="24"/>
          <w:szCs w:val="24"/>
        </w:rPr>
      </w:pPr>
    </w:p>
    <w:p>
      <w:pPr>
        <w:pStyle w:val="a5"/>
        <w:spacing w:before="120" w:after="60"/>
        <w:ind w:firstLine="709"/>
        <w:rPr>
          <w:sz w:val="24"/>
          <w:szCs w:val="24"/>
        </w:rPr>
      </w:pPr>
    </w:p>
    <w:p>
      <w:pPr>
        <w:pStyle w:val="a5"/>
        <w:spacing w:before="120" w:after="60"/>
        <w:ind w:firstLine="709"/>
        <w:rPr>
          <w:sz w:val="24"/>
          <w:szCs w:val="24"/>
        </w:rPr>
      </w:pPr>
      <w:r>
        <w:rPr>
          <w:sz w:val="24"/>
          <w:szCs w:val="24"/>
        </w:rPr>
        <w:lastRenderedPageBreak/>
        <w:t>Таблица 28. Поступление арендной платы за землю в 2019-2020 гг. по подстатьям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992"/>
        <w:gridCol w:w="1134"/>
        <w:gridCol w:w="1134"/>
        <w:gridCol w:w="992"/>
        <w:gridCol w:w="992"/>
        <w:gridCol w:w="851"/>
      </w:tblGrid>
      <w:tr>
        <w:trPr>
          <w:trHeight w:val="263"/>
        </w:trPr>
        <w:tc>
          <w:tcPr>
            <w:tcW w:w="3369" w:type="dxa"/>
            <w:vMerge w:val="restart"/>
            <w:shd w:val="clear" w:color="auto" w:fill="auto"/>
            <w:vAlign w:val="center"/>
          </w:tcPr>
          <w:p>
            <w:pPr>
              <w:pStyle w:val="a5"/>
              <w:jc w:val="center"/>
            </w:pPr>
            <w:r>
              <w:t xml:space="preserve">Наименование </w:t>
            </w:r>
          </w:p>
        </w:tc>
        <w:tc>
          <w:tcPr>
            <w:tcW w:w="992" w:type="dxa"/>
            <w:vMerge w:val="restart"/>
            <w:vAlign w:val="center"/>
          </w:tcPr>
          <w:p>
            <w:pPr>
              <w:ind w:right="-57"/>
              <w:jc w:val="center"/>
              <w:rPr>
                <w:bCs/>
              </w:rPr>
            </w:pPr>
            <w:r>
              <w:rPr>
                <w:bCs/>
              </w:rPr>
              <w:t>Факт</w:t>
            </w:r>
          </w:p>
          <w:p>
            <w:pPr>
              <w:pStyle w:val="a5"/>
              <w:spacing w:after="0"/>
              <w:ind w:left="-142" w:right="-122"/>
              <w:jc w:val="center"/>
              <w:rPr>
                <w:sz w:val="22"/>
                <w:szCs w:val="22"/>
              </w:rPr>
            </w:pPr>
            <w:r>
              <w:rPr>
                <w:bCs/>
              </w:rPr>
              <w:t>2019 год, тыс.руб.</w:t>
            </w:r>
          </w:p>
        </w:tc>
        <w:tc>
          <w:tcPr>
            <w:tcW w:w="5103" w:type="dxa"/>
            <w:gridSpan w:val="5"/>
          </w:tcPr>
          <w:p>
            <w:pPr>
              <w:pStyle w:val="a5"/>
              <w:spacing w:after="0"/>
              <w:ind w:left="-107" w:right="-156"/>
              <w:jc w:val="center"/>
              <w:rPr>
                <w:sz w:val="22"/>
                <w:szCs w:val="22"/>
              </w:rPr>
            </w:pPr>
            <w:r>
              <w:rPr>
                <w:sz w:val="22"/>
                <w:szCs w:val="22"/>
              </w:rPr>
              <w:t>2020 год</w:t>
            </w:r>
          </w:p>
        </w:tc>
      </w:tr>
      <w:tr>
        <w:trPr>
          <w:trHeight w:val="610"/>
        </w:trPr>
        <w:tc>
          <w:tcPr>
            <w:tcW w:w="3369" w:type="dxa"/>
            <w:vMerge/>
            <w:shd w:val="clear" w:color="auto" w:fill="auto"/>
            <w:vAlign w:val="center"/>
          </w:tcPr>
          <w:p>
            <w:pPr>
              <w:pStyle w:val="a5"/>
              <w:jc w:val="center"/>
              <w:rPr>
                <w:sz w:val="22"/>
                <w:szCs w:val="22"/>
              </w:rPr>
            </w:pPr>
          </w:p>
        </w:tc>
        <w:tc>
          <w:tcPr>
            <w:tcW w:w="992" w:type="dxa"/>
            <w:vMerge/>
          </w:tcPr>
          <w:p>
            <w:pPr>
              <w:pStyle w:val="a5"/>
              <w:spacing w:after="0"/>
              <w:ind w:left="-142" w:right="-122"/>
              <w:jc w:val="center"/>
              <w:rPr>
                <w:sz w:val="22"/>
                <w:szCs w:val="22"/>
              </w:rPr>
            </w:pPr>
          </w:p>
        </w:tc>
        <w:tc>
          <w:tcPr>
            <w:tcW w:w="1134" w:type="dxa"/>
          </w:tcPr>
          <w:p>
            <w:pPr>
              <w:ind w:left="-158" w:right="-108"/>
              <w:jc w:val="center"/>
            </w:pPr>
            <w:r>
              <w:t>Первона-чальный прогноз, тыс.руб.</w:t>
            </w:r>
          </w:p>
        </w:tc>
        <w:tc>
          <w:tcPr>
            <w:tcW w:w="1134" w:type="dxa"/>
            <w:shd w:val="clear" w:color="auto" w:fill="auto"/>
            <w:vAlign w:val="center"/>
          </w:tcPr>
          <w:p>
            <w:pPr>
              <w:ind w:left="-158" w:right="-108"/>
              <w:jc w:val="center"/>
            </w:pPr>
            <w:r>
              <w:t>Уточненный прогноз,</w:t>
            </w:r>
            <w:r>
              <w:br/>
              <w:t>тыс.руб.</w:t>
            </w:r>
          </w:p>
        </w:tc>
        <w:tc>
          <w:tcPr>
            <w:tcW w:w="992" w:type="dxa"/>
            <w:shd w:val="clear" w:color="auto" w:fill="auto"/>
            <w:vAlign w:val="center"/>
          </w:tcPr>
          <w:p>
            <w:pPr>
              <w:ind w:left="-108" w:right="-108"/>
              <w:jc w:val="center"/>
            </w:pPr>
            <w:r>
              <w:t xml:space="preserve">Факт, </w:t>
            </w:r>
            <w:r>
              <w:br/>
              <w:t>тыс.руб.</w:t>
            </w:r>
          </w:p>
        </w:tc>
        <w:tc>
          <w:tcPr>
            <w:tcW w:w="992" w:type="dxa"/>
            <w:shd w:val="clear" w:color="auto" w:fill="auto"/>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51" w:type="dxa"/>
            <w:shd w:val="clear" w:color="auto" w:fill="auto"/>
            <w:vAlign w:val="center"/>
          </w:tcPr>
          <w:p>
            <w:pPr>
              <w:pStyle w:val="a5"/>
              <w:tabs>
                <w:tab w:val="left" w:pos="-192"/>
                <w:tab w:val="left" w:pos="-77"/>
              </w:tabs>
              <w:spacing w:after="0"/>
              <w:ind w:left="-108" w:right="-108"/>
              <w:jc w:val="center"/>
            </w:pPr>
            <w:r>
              <w:t>%</w:t>
            </w:r>
          </w:p>
          <w:p>
            <w:pPr>
              <w:pStyle w:val="a5"/>
              <w:tabs>
                <w:tab w:val="left" w:pos="-192"/>
                <w:tab w:val="left" w:pos="-77"/>
              </w:tabs>
              <w:spacing w:after="0"/>
              <w:ind w:left="-108" w:right="-108"/>
              <w:jc w:val="center"/>
            </w:pPr>
            <w:r>
              <w:t>испол-нения</w:t>
            </w:r>
          </w:p>
        </w:tc>
      </w:tr>
      <w:tr>
        <w:trPr>
          <w:trHeight w:val="137"/>
        </w:trPr>
        <w:tc>
          <w:tcPr>
            <w:tcW w:w="3369" w:type="dxa"/>
            <w:shd w:val="clear" w:color="auto" w:fill="auto"/>
          </w:tcPr>
          <w:p>
            <w:pPr>
              <w:pStyle w:val="a5"/>
              <w:spacing w:after="0"/>
              <w:ind w:right="-2"/>
              <w:jc w:val="center"/>
              <w:rPr>
                <w:sz w:val="16"/>
                <w:szCs w:val="16"/>
              </w:rPr>
            </w:pPr>
            <w:r>
              <w:rPr>
                <w:sz w:val="16"/>
                <w:szCs w:val="16"/>
              </w:rPr>
              <w:t>1</w:t>
            </w:r>
          </w:p>
        </w:tc>
        <w:tc>
          <w:tcPr>
            <w:tcW w:w="992" w:type="dxa"/>
          </w:tcPr>
          <w:p>
            <w:pPr>
              <w:pStyle w:val="a5"/>
              <w:spacing w:after="0"/>
              <w:ind w:right="-57"/>
              <w:jc w:val="center"/>
              <w:rPr>
                <w:sz w:val="16"/>
                <w:szCs w:val="16"/>
              </w:rPr>
            </w:pPr>
            <w:r>
              <w:rPr>
                <w:sz w:val="16"/>
                <w:szCs w:val="16"/>
              </w:rPr>
              <w:t>2</w:t>
            </w:r>
          </w:p>
        </w:tc>
        <w:tc>
          <w:tcPr>
            <w:tcW w:w="1134" w:type="dxa"/>
          </w:tcPr>
          <w:p>
            <w:pPr>
              <w:pStyle w:val="a5"/>
              <w:spacing w:after="0"/>
              <w:ind w:right="-57"/>
              <w:jc w:val="center"/>
              <w:rPr>
                <w:sz w:val="16"/>
                <w:szCs w:val="16"/>
              </w:rPr>
            </w:pPr>
            <w:r>
              <w:rPr>
                <w:sz w:val="16"/>
                <w:szCs w:val="16"/>
              </w:rPr>
              <w:t>3</w:t>
            </w:r>
          </w:p>
        </w:tc>
        <w:tc>
          <w:tcPr>
            <w:tcW w:w="1134" w:type="dxa"/>
            <w:shd w:val="clear" w:color="auto" w:fill="auto"/>
          </w:tcPr>
          <w:p>
            <w:pPr>
              <w:pStyle w:val="a5"/>
              <w:spacing w:after="0"/>
              <w:ind w:right="-57"/>
              <w:jc w:val="center"/>
              <w:rPr>
                <w:sz w:val="16"/>
                <w:szCs w:val="16"/>
              </w:rPr>
            </w:pPr>
            <w:r>
              <w:rPr>
                <w:sz w:val="16"/>
                <w:szCs w:val="16"/>
              </w:rPr>
              <w:t>4</w:t>
            </w:r>
          </w:p>
        </w:tc>
        <w:tc>
          <w:tcPr>
            <w:tcW w:w="992" w:type="dxa"/>
            <w:shd w:val="clear" w:color="auto" w:fill="auto"/>
          </w:tcPr>
          <w:p>
            <w:pPr>
              <w:pStyle w:val="a5"/>
              <w:spacing w:after="0"/>
              <w:ind w:right="-57"/>
              <w:jc w:val="center"/>
              <w:rPr>
                <w:sz w:val="16"/>
                <w:szCs w:val="16"/>
              </w:rPr>
            </w:pPr>
            <w:r>
              <w:rPr>
                <w:sz w:val="16"/>
                <w:szCs w:val="16"/>
              </w:rPr>
              <w:t>5</w:t>
            </w:r>
          </w:p>
        </w:tc>
        <w:tc>
          <w:tcPr>
            <w:tcW w:w="992" w:type="dxa"/>
            <w:shd w:val="clear" w:color="auto" w:fill="auto"/>
          </w:tcPr>
          <w:p>
            <w:pPr>
              <w:pStyle w:val="a5"/>
              <w:spacing w:after="0"/>
              <w:ind w:left="-107" w:right="-108"/>
              <w:jc w:val="center"/>
              <w:rPr>
                <w:sz w:val="16"/>
                <w:szCs w:val="16"/>
              </w:rPr>
            </w:pPr>
            <w:r>
              <w:rPr>
                <w:sz w:val="16"/>
                <w:szCs w:val="16"/>
              </w:rPr>
              <w:t>6=5-4</w:t>
            </w:r>
          </w:p>
        </w:tc>
        <w:tc>
          <w:tcPr>
            <w:tcW w:w="851" w:type="dxa"/>
            <w:shd w:val="clear" w:color="auto" w:fill="auto"/>
          </w:tcPr>
          <w:p>
            <w:pPr>
              <w:pStyle w:val="a5"/>
              <w:spacing w:after="0"/>
              <w:ind w:left="-107" w:right="-108"/>
              <w:jc w:val="center"/>
              <w:rPr>
                <w:sz w:val="16"/>
                <w:szCs w:val="16"/>
              </w:rPr>
            </w:pPr>
            <w:r>
              <w:rPr>
                <w:sz w:val="16"/>
                <w:szCs w:val="16"/>
              </w:rPr>
              <w:t>7=5/4</w:t>
            </w:r>
          </w:p>
        </w:tc>
      </w:tr>
      <w:tr>
        <w:trPr>
          <w:trHeight w:val="241"/>
        </w:trPr>
        <w:tc>
          <w:tcPr>
            <w:tcW w:w="3369" w:type="dxa"/>
            <w:shd w:val="clear" w:color="auto" w:fill="auto"/>
          </w:tcPr>
          <w:p>
            <w:pPr>
              <w:pStyle w:val="a5"/>
              <w:spacing w:after="0"/>
              <w:ind w:right="-2"/>
            </w:pPr>
            <w:r>
              <w:t>Арендная плата за землю, всего:</w:t>
            </w:r>
          </w:p>
        </w:tc>
        <w:tc>
          <w:tcPr>
            <w:tcW w:w="992" w:type="dxa"/>
            <w:shd w:val="clear" w:color="auto" w:fill="auto"/>
            <w:vAlign w:val="center"/>
          </w:tcPr>
          <w:p>
            <w:pPr>
              <w:pStyle w:val="a5"/>
              <w:spacing w:after="0"/>
              <w:ind w:right="-57"/>
              <w:jc w:val="right"/>
            </w:pPr>
            <w:r>
              <w:t>49 623,26</w:t>
            </w:r>
          </w:p>
        </w:tc>
        <w:tc>
          <w:tcPr>
            <w:tcW w:w="1134" w:type="dxa"/>
            <w:vAlign w:val="center"/>
          </w:tcPr>
          <w:p>
            <w:pPr>
              <w:pStyle w:val="a5"/>
              <w:spacing w:after="0"/>
              <w:ind w:right="-57"/>
              <w:jc w:val="center"/>
            </w:pPr>
            <w:r>
              <w:t>46 785,72</w:t>
            </w:r>
          </w:p>
        </w:tc>
        <w:tc>
          <w:tcPr>
            <w:tcW w:w="1134" w:type="dxa"/>
            <w:shd w:val="clear" w:color="auto" w:fill="auto"/>
            <w:vAlign w:val="center"/>
          </w:tcPr>
          <w:p>
            <w:pPr>
              <w:pStyle w:val="a5"/>
              <w:spacing w:after="0"/>
              <w:ind w:right="-57"/>
              <w:jc w:val="right"/>
            </w:pPr>
            <w:r>
              <w:t>51 138,74</w:t>
            </w:r>
          </w:p>
        </w:tc>
        <w:tc>
          <w:tcPr>
            <w:tcW w:w="992" w:type="dxa"/>
            <w:shd w:val="clear" w:color="auto" w:fill="auto"/>
            <w:vAlign w:val="center"/>
          </w:tcPr>
          <w:p>
            <w:pPr>
              <w:pStyle w:val="a5"/>
              <w:spacing w:after="0"/>
              <w:ind w:right="-57"/>
              <w:jc w:val="right"/>
            </w:pPr>
            <w:r>
              <w:t>52 378,91</w:t>
            </w:r>
          </w:p>
        </w:tc>
        <w:tc>
          <w:tcPr>
            <w:tcW w:w="992" w:type="dxa"/>
            <w:shd w:val="clear" w:color="auto" w:fill="auto"/>
            <w:vAlign w:val="center"/>
          </w:tcPr>
          <w:p>
            <w:pPr>
              <w:pStyle w:val="a5"/>
              <w:spacing w:after="0"/>
              <w:ind w:right="-57"/>
              <w:jc w:val="right"/>
            </w:pPr>
            <w:r>
              <w:t>1 240,17</w:t>
            </w:r>
          </w:p>
        </w:tc>
        <w:tc>
          <w:tcPr>
            <w:tcW w:w="851" w:type="dxa"/>
            <w:shd w:val="clear" w:color="auto" w:fill="auto"/>
            <w:vAlign w:val="center"/>
          </w:tcPr>
          <w:p>
            <w:pPr>
              <w:pStyle w:val="a5"/>
              <w:spacing w:after="0"/>
              <w:ind w:left="-107" w:right="-108"/>
              <w:jc w:val="center"/>
            </w:pPr>
            <w:r>
              <w:t>102,4</w:t>
            </w:r>
          </w:p>
        </w:tc>
      </w:tr>
      <w:tr>
        <w:trPr>
          <w:trHeight w:val="979"/>
        </w:trPr>
        <w:tc>
          <w:tcPr>
            <w:tcW w:w="3369" w:type="dxa"/>
            <w:shd w:val="clear" w:color="auto" w:fill="auto"/>
          </w:tcPr>
          <w:p>
            <w:pPr>
              <w:pStyle w:val="a5"/>
              <w:spacing w:after="0"/>
            </w:pPr>
            <w:r>
              <w:t>Доходы, получаемые в виде арендной платы за земельные участки, государственная собственность на которые не разграничена</w:t>
            </w:r>
          </w:p>
        </w:tc>
        <w:tc>
          <w:tcPr>
            <w:tcW w:w="992" w:type="dxa"/>
            <w:shd w:val="clear" w:color="auto" w:fill="auto"/>
            <w:vAlign w:val="center"/>
          </w:tcPr>
          <w:p>
            <w:pPr>
              <w:ind w:right="-57"/>
              <w:jc w:val="right"/>
            </w:pPr>
            <w:r>
              <w:t>22 943,56</w:t>
            </w:r>
          </w:p>
        </w:tc>
        <w:tc>
          <w:tcPr>
            <w:tcW w:w="1134" w:type="dxa"/>
            <w:vAlign w:val="center"/>
          </w:tcPr>
          <w:p>
            <w:pPr>
              <w:ind w:right="-57"/>
              <w:jc w:val="center"/>
            </w:pPr>
            <w:r>
              <w:t>20 339,59</w:t>
            </w:r>
          </w:p>
        </w:tc>
        <w:tc>
          <w:tcPr>
            <w:tcW w:w="1134" w:type="dxa"/>
            <w:shd w:val="clear" w:color="auto" w:fill="auto"/>
            <w:vAlign w:val="center"/>
          </w:tcPr>
          <w:p>
            <w:pPr>
              <w:ind w:right="-57"/>
              <w:jc w:val="right"/>
            </w:pPr>
            <w:r>
              <w:t>18 471,70</w:t>
            </w:r>
          </w:p>
        </w:tc>
        <w:tc>
          <w:tcPr>
            <w:tcW w:w="992" w:type="dxa"/>
            <w:shd w:val="clear" w:color="auto" w:fill="auto"/>
            <w:vAlign w:val="center"/>
          </w:tcPr>
          <w:p>
            <w:pPr>
              <w:ind w:right="-57"/>
              <w:jc w:val="right"/>
            </w:pPr>
            <w:r>
              <w:t>18 909,10</w:t>
            </w:r>
          </w:p>
        </w:tc>
        <w:tc>
          <w:tcPr>
            <w:tcW w:w="992" w:type="dxa"/>
            <w:shd w:val="clear" w:color="auto" w:fill="auto"/>
            <w:vAlign w:val="center"/>
          </w:tcPr>
          <w:p>
            <w:pPr>
              <w:ind w:right="-57"/>
              <w:jc w:val="right"/>
              <w:rPr>
                <w:color w:val="000000" w:themeColor="text1"/>
              </w:rPr>
            </w:pPr>
            <w:r>
              <w:rPr>
                <w:color w:val="000000" w:themeColor="text1"/>
              </w:rPr>
              <w:t>437,40</w:t>
            </w:r>
          </w:p>
        </w:tc>
        <w:tc>
          <w:tcPr>
            <w:tcW w:w="851" w:type="dxa"/>
            <w:shd w:val="clear" w:color="auto" w:fill="auto"/>
            <w:vAlign w:val="center"/>
          </w:tcPr>
          <w:p>
            <w:pPr>
              <w:ind w:left="-108" w:right="-108"/>
              <w:jc w:val="center"/>
              <w:rPr>
                <w:color w:val="000000" w:themeColor="text1"/>
              </w:rPr>
            </w:pPr>
            <w:r>
              <w:rPr>
                <w:color w:val="000000" w:themeColor="text1"/>
              </w:rPr>
              <w:t>102,4</w:t>
            </w:r>
          </w:p>
        </w:tc>
      </w:tr>
      <w:tr>
        <w:trPr>
          <w:trHeight w:val="826"/>
        </w:trPr>
        <w:tc>
          <w:tcPr>
            <w:tcW w:w="3369" w:type="dxa"/>
            <w:shd w:val="clear" w:color="auto" w:fill="auto"/>
          </w:tcPr>
          <w:p>
            <w:pPr>
              <w:pStyle w:val="a5"/>
              <w:spacing w:after="0"/>
            </w:pPr>
            <w:r>
              <w:t>Доходы, получаемые в виде арендной платы за земельные участки, находящиеся в собственности городских округов</w:t>
            </w:r>
          </w:p>
        </w:tc>
        <w:tc>
          <w:tcPr>
            <w:tcW w:w="992" w:type="dxa"/>
            <w:shd w:val="clear" w:color="auto" w:fill="auto"/>
            <w:vAlign w:val="center"/>
          </w:tcPr>
          <w:p>
            <w:pPr>
              <w:ind w:right="-57"/>
              <w:jc w:val="right"/>
            </w:pPr>
            <w:r>
              <w:t>26 679,70</w:t>
            </w:r>
          </w:p>
        </w:tc>
        <w:tc>
          <w:tcPr>
            <w:tcW w:w="1134" w:type="dxa"/>
            <w:vAlign w:val="center"/>
          </w:tcPr>
          <w:p>
            <w:pPr>
              <w:ind w:right="-57"/>
              <w:jc w:val="center"/>
            </w:pPr>
            <w:r>
              <w:t>26 446,13</w:t>
            </w:r>
          </w:p>
        </w:tc>
        <w:tc>
          <w:tcPr>
            <w:tcW w:w="1134" w:type="dxa"/>
            <w:shd w:val="clear" w:color="auto" w:fill="auto"/>
            <w:vAlign w:val="center"/>
          </w:tcPr>
          <w:p>
            <w:pPr>
              <w:ind w:right="-57"/>
              <w:jc w:val="right"/>
            </w:pPr>
            <w:r>
              <w:t>32 667,00</w:t>
            </w:r>
          </w:p>
        </w:tc>
        <w:tc>
          <w:tcPr>
            <w:tcW w:w="992" w:type="dxa"/>
            <w:shd w:val="clear" w:color="auto" w:fill="auto"/>
            <w:vAlign w:val="center"/>
          </w:tcPr>
          <w:p>
            <w:pPr>
              <w:ind w:right="-57"/>
              <w:jc w:val="right"/>
            </w:pPr>
            <w:r>
              <w:t>33 468,39</w:t>
            </w:r>
          </w:p>
        </w:tc>
        <w:tc>
          <w:tcPr>
            <w:tcW w:w="992" w:type="dxa"/>
            <w:shd w:val="clear" w:color="auto" w:fill="auto"/>
            <w:vAlign w:val="center"/>
          </w:tcPr>
          <w:p>
            <w:pPr>
              <w:ind w:right="-57"/>
              <w:jc w:val="right"/>
            </w:pPr>
            <w:r>
              <w:t>801,39</w:t>
            </w:r>
          </w:p>
        </w:tc>
        <w:tc>
          <w:tcPr>
            <w:tcW w:w="851" w:type="dxa"/>
            <w:shd w:val="clear" w:color="auto" w:fill="auto"/>
            <w:vAlign w:val="center"/>
          </w:tcPr>
          <w:p>
            <w:pPr>
              <w:ind w:left="-108" w:right="-108"/>
              <w:jc w:val="center"/>
            </w:pPr>
            <w:r>
              <w:t>102,5</w:t>
            </w:r>
          </w:p>
        </w:tc>
      </w:tr>
      <w:tr>
        <w:trPr>
          <w:trHeight w:val="704"/>
        </w:trPr>
        <w:tc>
          <w:tcPr>
            <w:tcW w:w="3369" w:type="dxa"/>
            <w:shd w:val="clear" w:color="auto" w:fill="auto"/>
          </w:tcPr>
          <w:p>
            <w:pPr>
              <w:pStyle w:val="a5"/>
              <w:spacing w:after="0"/>
            </w:pPr>
            <w:r>
              <w:t>Плата по соглашениям об установлении сервитута за земельные участки, государственная собственность на которые не разграничена</w:t>
            </w:r>
          </w:p>
        </w:tc>
        <w:tc>
          <w:tcPr>
            <w:tcW w:w="992" w:type="dxa"/>
            <w:shd w:val="clear" w:color="auto" w:fill="auto"/>
            <w:vAlign w:val="center"/>
          </w:tcPr>
          <w:p>
            <w:pPr>
              <w:ind w:right="-57"/>
              <w:jc w:val="right"/>
            </w:pPr>
            <w:r>
              <w:t>-</w:t>
            </w:r>
          </w:p>
        </w:tc>
        <w:tc>
          <w:tcPr>
            <w:tcW w:w="1134" w:type="dxa"/>
            <w:vAlign w:val="center"/>
          </w:tcPr>
          <w:p>
            <w:pPr>
              <w:ind w:right="-57"/>
              <w:jc w:val="center"/>
            </w:pPr>
            <w:r>
              <w:t>-</w:t>
            </w:r>
          </w:p>
        </w:tc>
        <w:tc>
          <w:tcPr>
            <w:tcW w:w="1134" w:type="dxa"/>
            <w:shd w:val="clear" w:color="auto" w:fill="auto"/>
            <w:vAlign w:val="center"/>
          </w:tcPr>
          <w:p>
            <w:pPr>
              <w:ind w:right="-57"/>
              <w:jc w:val="right"/>
            </w:pPr>
            <w:r>
              <w:t>0,04</w:t>
            </w:r>
          </w:p>
        </w:tc>
        <w:tc>
          <w:tcPr>
            <w:tcW w:w="992" w:type="dxa"/>
            <w:shd w:val="clear" w:color="auto" w:fill="auto"/>
            <w:vAlign w:val="center"/>
          </w:tcPr>
          <w:p>
            <w:pPr>
              <w:ind w:right="-57"/>
              <w:jc w:val="right"/>
            </w:pPr>
            <w:r>
              <w:t>0,04</w:t>
            </w:r>
          </w:p>
        </w:tc>
        <w:tc>
          <w:tcPr>
            <w:tcW w:w="992" w:type="dxa"/>
            <w:shd w:val="clear" w:color="auto" w:fill="auto"/>
            <w:vAlign w:val="center"/>
          </w:tcPr>
          <w:p>
            <w:pPr>
              <w:ind w:right="-57"/>
              <w:jc w:val="right"/>
            </w:pPr>
            <w:r>
              <w:t>-</w:t>
            </w:r>
          </w:p>
        </w:tc>
        <w:tc>
          <w:tcPr>
            <w:tcW w:w="851" w:type="dxa"/>
            <w:shd w:val="clear" w:color="auto" w:fill="auto"/>
            <w:vAlign w:val="center"/>
          </w:tcPr>
          <w:p>
            <w:pPr>
              <w:ind w:left="-108" w:right="-108"/>
              <w:jc w:val="center"/>
            </w:pPr>
            <w:r>
              <w:t>100,0</w:t>
            </w:r>
          </w:p>
        </w:tc>
      </w:tr>
      <w:tr>
        <w:trPr>
          <w:trHeight w:val="846"/>
        </w:trPr>
        <w:tc>
          <w:tcPr>
            <w:tcW w:w="3369" w:type="dxa"/>
            <w:shd w:val="clear" w:color="auto" w:fill="auto"/>
          </w:tcPr>
          <w:p>
            <w:pPr>
              <w:pStyle w:val="a5"/>
              <w:spacing w:after="0"/>
            </w:pPr>
            <w:r>
              <w:t>Плата по соглашениям об установлении сервитута за земельные участки, находящиеся в собственности городских округов</w:t>
            </w:r>
          </w:p>
        </w:tc>
        <w:tc>
          <w:tcPr>
            <w:tcW w:w="992" w:type="dxa"/>
            <w:shd w:val="clear" w:color="auto" w:fill="auto"/>
            <w:vAlign w:val="center"/>
          </w:tcPr>
          <w:p>
            <w:pPr>
              <w:ind w:right="-57"/>
              <w:jc w:val="right"/>
            </w:pPr>
            <w:r>
              <w:t>-</w:t>
            </w:r>
          </w:p>
        </w:tc>
        <w:tc>
          <w:tcPr>
            <w:tcW w:w="1134" w:type="dxa"/>
            <w:vAlign w:val="center"/>
          </w:tcPr>
          <w:p>
            <w:pPr>
              <w:ind w:right="-57"/>
              <w:jc w:val="center"/>
            </w:pPr>
            <w:r>
              <w:t>-</w:t>
            </w:r>
          </w:p>
        </w:tc>
        <w:tc>
          <w:tcPr>
            <w:tcW w:w="1134" w:type="dxa"/>
            <w:shd w:val="clear" w:color="auto" w:fill="auto"/>
            <w:vAlign w:val="center"/>
          </w:tcPr>
          <w:p>
            <w:pPr>
              <w:ind w:right="-57"/>
              <w:jc w:val="right"/>
            </w:pPr>
            <w:r>
              <w:t>-</w:t>
            </w:r>
          </w:p>
        </w:tc>
        <w:tc>
          <w:tcPr>
            <w:tcW w:w="992" w:type="dxa"/>
            <w:shd w:val="clear" w:color="auto" w:fill="auto"/>
            <w:vAlign w:val="center"/>
          </w:tcPr>
          <w:p>
            <w:pPr>
              <w:ind w:right="-57"/>
              <w:jc w:val="right"/>
            </w:pPr>
            <w:r>
              <w:t>1,38</w:t>
            </w:r>
          </w:p>
        </w:tc>
        <w:tc>
          <w:tcPr>
            <w:tcW w:w="992" w:type="dxa"/>
            <w:shd w:val="clear" w:color="auto" w:fill="auto"/>
            <w:vAlign w:val="center"/>
          </w:tcPr>
          <w:p>
            <w:pPr>
              <w:ind w:right="-57"/>
              <w:jc w:val="right"/>
            </w:pPr>
            <w:r>
              <w:t>1,38</w:t>
            </w:r>
          </w:p>
        </w:tc>
        <w:tc>
          <w:tcPr>
            <w:tcW w:w="851" w:type="dxa"/>
            <w:shd w:val="clear" w:color="auto" w:fill="auto"/>
            <w:vAlign w:val="center"/>
          </w:tcPr>
          <w:p>
            <w:pPr>
              <w:ind w:left="-108" w:right="-108"/>
              <w:jc w:val="center"/>
            </w:pPr>
            <w:r>
              <w:t>-</w:t>
            </w:r>
          </w:p>
        </w:tc>
      </w:tr>
    </w:tbl>
    <w:p>
      <w:pPr>
        <w:tabs>
          <w:tab w:val="left" w:pos="0"/>
        </w:tabs>
        <w:spacing w:before="120"/>
        <w:ind w:firstLine="709"/>
        <w:jc w:val="both"/>
        <w:rPr>
          <w:sz w:val="24"/>
          <w:szCs w:val="24"/>
        </w:rPr>
      </w:pPr>
      <w:r>
        <w:rPr>
          <w:sz w:val="24"/>
          <w:szCs w:val="24"/>
        </w:rPr>
        <w:t>Удельный вес статьи в общей структуре фактически поступивших доходов составляет 1,1%, налоговых и неналоговых доходах - 4,7%.</w:t>
      </w:r>
    </w:p>
    <w:p>
      <w:pPr>
        <w:tabs>
          <w:tab w:val="left" w:pos="0"/>
        </w:tabs>
        <w:ind w:firstLine="709"/>
        <w:jc w:val="both"/>
        <w:rPr>
          <w:sz w:val="24"/>
          <w:szCs w:val="24"/>
        </w:rPr>
      </w:pPr>
      <w:r>
        <w:rPr>
          <w:sz w:val="24"/>
          <w:szCs w:val="24"/>
        </w:rPr>
        <w:t>Норматив зачисления в бюджет ЗАТО Северск 100%.</w:t>
      </w:r>
    </w:p>
    <w:p>
      <w:pPr>
        <w:pStyle w:val="af8"/>
        <w:tabs>
          <w:tab w:val="left" w:pos="993"/>
        </w:tabs>
        <w:ind w:left="0" w:firstLine="709"/>
        <w:jc w:val="both"/>
        <w:rPr>
          <w:sz w:val="24"/>
          <w:szCs w:val="24"/>
        </w:rPr>
      </w:pPr>
      <w:r>
        <w:rPr>
          <w:color w:val="000000" w:themeColor="text1"/>
          <w:sz w:val="24"/>
          <w:szCs w:val="24"/>
        </w:rPr>
        <w:t xml:space="preserve">По сравнению с 2019 </w:t>
      </w:r>
      <w:r>
        <w:rPr>
          <w:sz w:val="24"/>
          <w:szCs w:val="24"/>
        </w:rPr>
        <w:t>годом увеличение поступлений по статье составило                  2 755,65 тыс.руб. или на 5,6% за счет поступления средств в результате проведенного аукциона в декабре 2020 года.</w:t>
      </w:r>
    </w:p>
    <w:p>
      <w:pPr>
        <w:pStyle w:val="af8"/>
        <w:tabs>
          <w:tab w:val="left" w:pos="993"/>
        </w:tabs>
        <w:ind w:left="0" w:firstLine="709"/>
        <w:jc w:val="both"/>
        <w:rPr>
          <w:sz w:val="24"/>
          <w:szCs w:val="24"/>
        </w:rPr>
      </w:pPr>
    </w:p>
    <w:p>
      <w:pPr>
        <w:pStyle w:val="a5"/>
        <w:spacing w:after="160"/>
        <w:jc w:val="center"/>
        <w:rPr>
          <w:b/>
          <w:i/>
          <w:sz w:val="24"/>
          <w:szCs w:val="24"/>
        </w:rPr>
      </w:pPr>
      <w:r>
        <w:rPr>
          <w:b/>
          <w:i/>
          <w:sz w:val="24"/>
          <w:szCs w:val="24"/>
        </w:rPr>
        <w:t>3.2.1.3. Аренда помещений нежилого фонда</w:t>
      </w:r>
    </w:p>
    <w:p>
      <w:pPr>
        <w:spacing w:after="120" w:line="228" w:lineRule="auto"/>
        <w:ind w:firstLine="709"/>
        <w:jc w:val="both"/>
        <w:rPr>
          <w:sz w:val="24"/>
          <w:szCs w:val="24"/>
        </w:rPr>
      </w:pPr>
      <w:r>
        <w:rPr>
          <w:sz w:val="24"/>
          <w:szCs w:val="24"/>
        </w:rPr>
        <w:t>Прогноз поступлений по статье «Аренда помещений нежилого фонда» составлял 21 371,30 тыс.руб., фактическое исполнение – 21 958,09 тыс.руб., перевыполнение на 586,79 тыс.руб. или на 2,7% за счет поступления авансовых платежей за 1 квартал 2021 года.</w:t>
      </w:r>
    </w:p>
    <w:p>
      <w:pPr>
        <w:pStyle w:val="a5"/>
        <w:spacing w:before="120" w:after="60"/>
        <w:ind w:firstLine="709"/>
        <w:jc w:val="both"/>
        <w:rPr>
          <w:sz w:val="24"/>
          <w:szCs w:val="24"/>
        </w:rPr>
      </w:pPr>
      <w:r>
        <w:rPr>
          <w:sz w:val="24"/>
          <w:szCs w:val="24"/>
        </w:rPr>
        <w:t>Таблица 29. Анализ поступления доходов от аренды помещений нежилого фонда за 2019- 2020 гг.</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9"/>
        <w:gridCol w:w="1175"/>
        <w:gridCol w:w="1190"/>
        <w:gridCol w:w="1190"/>
        <w:gridCol w:w="1175"/>
        <w:gridCol w:w="1199"/>
        <w:gridCol w:w="874"/>
      </w:tblGrid>
      <w:tr>
        <w:trPr>
          <w:trHeight w:val="324"/>
          <w:jc w:val="center"/>
        </w:trPr>
        <w:tc>
          <w:tcPr>
            <w:tcW w:w="2509" w:type="dxa"/>
            <w:vMerge w:val="restart"/>
            <w:vAlign w:val="center"/>
          </w:tcPr>
          <w:p>
            <w:pPr>
              <w:pStyle w:val="a5"/>
              <w:ind w:right="-2"/>
              <w:jc w:val="center"/>
            </w:pPr>
            <w:r>
              <w:t xml:space="preserve">Наименование </w:t>
            </w:r>
          </w:p>
        </w:tc>
        <w:tc>
          <w:tcPr>
            <w:tcW w:w="1175" w:type="dxa"/>
            <w:vMerge w:val="restart"/>
            <w:vAlign w:val="center"/>
          </w:tcPr>
          <w:p>
            <w:pPr>
              <w:ind w:right="-57"/>
              <w:jc w:val="center"/>
              <w:rPr>
                <w:bCs/>
              </w:rPr>
            </w:pPr>
            <w:r>
              <w:rPr>
                <w:bCs/>
              </w:rPr>
              <w:t xml:space="preserve">Факт </w:t>
            </w:r>
          </w:p>
          <w:p>
            <w:pPr>
              <w:ind w:right="-57"/>
              <w:jc w:val="center"/>
              <w:rPr>
                <w:bCs/>
              </w:rPr>
            </w:pPr>
            <w:r>
              <w:rPr>
                <w:bCs/>
              </w:rPr>
              <w:t>2019 год, тыс.руб.</w:t>
            </w:r>
          </w:p>
        </w:tc>
        <w:tc>
          <w:tcPr>
            <w:tcW w:w="5628" w:type="dxa"/>
            <w:gridSpan w:val="5"/>
            <w:vAlign w:val="center"/>
          </w:tcPr>
          <w:p>
            <w:pPr>
              <w:ind w:left="-57" w:right="-57"/>
              <w:jc w:val="center"/>
            </w:pPr>
            <w:r>
              <w:t>2020 год</w:t>
            </w:r>
          </w:p>
        </w:tc>
      </w:tr>
      <w:tr>
        <w:trPr>
          <w:trHeight w:val="979"/>
          <w:jc w:val="center"/>
        </w:trPr>
        <w:tc>
          <w:tcPr>
            <w:tcW w:w="2509" w:type="dxa"/>
            <w:vMerge/>
            <w:vAlign w:val="center"/>
          </w:tcPr>
          <w:p>
            <w:pPr>
              <w:pStyle w:val="a5"/>
              <w:spacing w:after="0"/>
              <w:ind w:right="-2"/>
              <w:jc w:val="center"/>
              <w:rPr>
                <w:sz w:val="22"/>
                <w:szCs w:val="22"/>
              </w:rPr>
            </w:pPr>
          </w:p>
        </w:tc>
        <w:tc>
          <w:tcPr>
            <w:tcW w:w="1175" w:type="dxa"/>
            <w:vMerge/>
            <w:vAlign w:val="center"/>
          </w:tcPr>
          <w:p>
            <w:pPr>
              <w:ind w:left="-108" w:right="-108"/>
              <w:jc w:val="center"/>
            </w:pPr>
          </w:p>
        </w:tc>
        <w:tc>
          <w:tcPr>
            <w:tcW w:w="1190" w:type="dxa"/>
          </w:tcPr>
          <w:p>
            <w:pPr>
              <w:ind w:left="-158" w:right="-108"/>
              <w:jc w:val="center"/>
            </w:pPr>
            <w:r>
              <w:t>Первона-чальный прогноз, тыс.руб.</w:t>
            </w:r>
          </w:p>
        </w:tc>
        <w:tc>
          <w:tcPr>
            <w:tcW w:w="1190" w:type="dxa"/>
            <w:vAlign w:val="center"/>
          </w:tcPr>
          <w:p>
            <w:pPr>
              <w:ind w:left="-41" w:right="-108"/>
              <w:jc w:val="center"/>
            </w:pPr>
            <w:r>
              <w:t>Уточненный прогноз,</w:t>
            </w:r>
            <w:r>
              <w:br/>
              <w:t>тыс.руб.</w:t>
            </w:r>
          </w:p>
        </w:tc>
        <w:tc>
          <w:tcPr>
            <w:tcW w:w="1175" w:type="dxa"/>
            <w:vAlign w:val="center"/>
          </w:tcPr>
          <w:p>
            <w:pPr>
              <w:ind w:left="-108" w:right="-108"/>
              <w:jc w:val="center"/>
            </w:pPr>
            <w:r>
              <w:t xml:space="preserve">Факт, </w:t>
            </w:r>
            <w:r>
              <w:br/>
              <w:t>тыс.руб.</w:t>
            </w:r>
          </w:p>
        </w:tc>
        <w:tc>
          <w:tcPr>
            <w:tcW w:w="1199"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74"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12"/>
          <w:jc w:val="center"/>
        </w:trPr>
        <w:tc>
          <w:tcPr>
            <w:tcW w:w="2509" w:type="dxa"/>
            <w:vAlign w:val="center"/>
          </w:tcPr>
          <w:p>
            <w:pPr>
              <w:pStyle w:val="a5"/>
              <w:tabs>
                <w:tab w:val="left" w:pos="3966"/>
              </w:tabs>
              <w:spacing w:after="0"/>
              <w:ind w:right="-120"/>
              <w:jc w:val="center"/>
              <w:rPr>
                <w:sz w:val="16"/>
                <w:szCs w:val="16"/>
              </w:rPr>
            </w:pPr>
            <w:r>
              <w:rPr>
                <w:sz w:val="16"/>
                <w:szCs w:val="16"/>
              </w:rPr>
              <w:t>1</w:t>
            </w:r>
          </w:p>
        </w:tc>
        <w:tc>
          <w:tcPr>
            <w:tcW w:w="1175" w:type="dxa"/>
            <w:vAlign w:val="center"/>
          </w:tcPr>
          <w:p>
            <w:pPr>
              <w:jc w:val="center"/>
              <w:rPr>
                <w:color w:val="000000"/>
                <w:sz w:val="16"/>
                <w:szCs w:val="16"/>
              </w:rPr>
            </w:pPr>
            <w:r>
              <w:rPr>
                <w:color w:val="000000"/>
                <w:sz w:val="16"/>
                <w:szCs w:val="16"/>
              </w:rPr>
              <w:t>2</w:t>
            </w:r>
          </w:p>
        </w:tc>
        <w:tc>
          <w:tcPr>
            <w:tcW w:w="1190" w:type="dxa"/>
            <w:vAlign w:val="center"/>
          </w:tcPr>
          <w:p>
            <w:pPr>
              <w:jc w:val="center"/>
              <w:rPr>
                <w:color w:val="000000"/>
                <w:sz w:val="16"/>
                <w:szCs w:val="16"/>
              </w:rPr>
            </w:pPr>
            <w:r>
              <w:rPr>
                <w:color w:val="000000"/>
                <w:sz w:val="16"/>
                <w:szCs w:val="16"/>
              </w:rPr>
              <w:t>3</w:t>
            </w:r>
          </w:p>
        </w:tc>
        <w:tc>
          <w:tcPr>
            <w:tcW w:w="1190" w:type="dxa"/>
            <w:shd w:val="clear" w:color="auto" w:fill="auto"/>
            <w:vAlign w:val="center"/>
          </w:tcPr>
          <w:p>
            <w:pPr>
              <w:jc w:val="center"/>
              <w:rPr>
                <w:color w:val="000000"/>
                <w:sz w:val="16"/>
                <w:szCs w:val="16"/>
              </w:rPr>
            </w:pPr>
            <w:r>
              <w:rPr>
                <w:color w:val="000000"/>
                <w:sz w:val="16"/>
                <w:szCs w:val="16"/>
              </w:rPr>
              <w:t>4</w:t>
            </w:r>
          </w:p>
        </w:tc>
        <w:tc>
          <w:tcPr>
            <w:tcW w:w="1175" w:type="dxa"/>
            <w:shd w:val="clear" w:color="auto" w:fill="auto"/>
            <w:vAlign w:val="center"/>
          </w:tcPr>
          <w:p>
            <w:pPr>
              <w:jc w:val="center"/>
              <w:rPr>
                <w:color w:val="000000"/>
                <w:sz w:val="16"/>
                <w:szCs w:val="16"/>
              </w:rPr>
            </w:pPr>
            <w:r>
              <w:rPr>
                <w:color w:val="000000"/>
                <w:sz w:val="16"/>
                <w:szCs w:val="16"/>
              </w:rPr>
              <w:t>5</w:t>
            </w:r>
          </w:p>
        </w:tc>
        <w:tc>
          <w:tcPr>
            <w:tcW w:w="1199" w:type="dxa"/>
            <w:shd w:val="clear" w:color="auto" w:fill="auto"/>
            <w:vAlign w:val="center"/>
          </w:tcPr>
          <w:p>
            <w:pPr>
              <w:jc w:val="center"/>
              <w:rPr>
                <w:color w:val="000000"/>
                <w:sz w:val="16"/>
                <w:szCs w:val="16"/>
              </w:rPr>
            </w:pPr>
            <w:r>
              <w:rPr>
                <w:color w:val="000000"/>
                <w:sz w:val="16"/>
                <w:szCs w:val="16"/>
              </w:rPr>
              <w:t>6=5-4</w:t>
            </w:r>
          </w:p>
        </w:tc>
        <w:tc>
          <w:tcPr>
            <w:tcW w:w="874" w:type="dxa"/>
            <w:shd w:val="clear" w:color="auto" w:fill="auto"/>
            <w:vAlign w:val="center"/>
          </w:tcPr>
          <w:p>
            <w:pPr>
              <w:pStyle w:val="a5"/>
              <w:spacing w:after="0"/>
              <w:ind w:left="-57" w:right="-57"/>
              <w:jc w:val="center"/>
              <w:rPr>
                <w:sz w:val="16"/>
                <w:szCs w:val="16"/>
              </w:rPr>
            </w:pPr>
            <w:r>
              <w:rPr>
                <w:sz w:val="16"/>
                <w:szCs w:val="16"/>
              </w:rPr>
              <w:t>7=5/4</w:t>
            </w:r>
          </w:p>
        </w:tc>
      </w:tr>
      <w:tr>
        <w:trPr>
          <w:trHeight w:val="556"/>
          <w:jc w:val="center"/>
        </w:trPr>
        <w:tc>
          <w:tcPr>
            <w:tcW w:w="2509" w:type="dxa"/>
            <w:vAlign w:val="center"/>
          </w:tcPr>
          <w:p>
            <w:pPr>
              <w:pStyle w:val="a5"/>
              <w:tabs>
                <w:tab w:val="left" w:pos="3966"/>
              </w:tabs>
              <w:spacing w:after="0"/>
              <w:ind w:right="-120"/>
            </w:pPr>
            <w:r>
              <w:t xml:space="preserve">Аренда нежилых помещений </w:t>
            </w:r>
          </w:p>
        </w:tc>
        <w:tc>
          <w:tcPr>
            <w:tcW w:w="1175" w:type="dxa"/>
            <w:vAlign w:val="center"/>
          </w:tcPr>
          <w:p>
            <w:pPr>
              <w:jc w:val="right"/>
              <w:rPr>
                <w:color w:val="000000"/>
              </w:rPr>
            </w:pPr>
            <w:r>
              <w:rPr>
                <w:color w:val="000000"/>
              </w:rPr>
              <w:t>24 342,77</w:t>
            </w:r>
          </w:p>
        </w:tc>
        <w:tc>
          <w:tcPr>
            <w:tcW w:w="1190" w:type="dxa"/>
            <w:vAlign w:val="center"/>
          </w:tcPr>
          <w:p>
            <w:pPr>
              <w:jc w:val="right"/>
              <w:rPr>
                <w:color w:val="000000"/>
              </w:rPr>
            </w:pPr>
            <w:r>
              <w:rPr>
                <w:color w:val="000000"/>
              </w:rPr>
              <w:t>23 391,23</w:t>
            </w:r>
          </w:p>
        </w:tc>
        <w:tc>
          <w:tcPr>
            <w:tcW w:w="1190" w:type="dxa"/>
            <w:shd w:val="clear" w:color="auto" w:fill="auto"/>
            <w:vAlign w:val="center"/>
          </w:tcPr>
          <w:p>
            <w:pPr>
              <w:jc w:val="right"/>
              <w:rPr>
                <w:color w:val="000000"/>
              </w:rPr>
            </w:pPr>
            <w:r>
              <w:rPr>
                <w:color w:val="000000"/>
              </w:rPr>
              <w:t>21 371,30</w:t>
            </w:r>
          </w:p>
        </w:tc>
        <w:tc>
          <w:tcPr>
            <w:tcW w:w="1175" w:type="dxa"/>
            <w:shd w:val="clear" w:color="auto" w:fill="auto"/>
            <w:vAlign w:val="center"/>
          </w:tcPr>
          <w:p>
            <w:pPr>
              <w:jc w:val="right"/>
              <w:rPr>
                <w:color w:val="000000"/>
              </w:rPr>
            </w:pPr>
            <w:r>
              <w:rPr>
                <w:color w:val="000000"/>
              </w:rPr>
              <w:t>21 958,09</w:t>
            </w:r>
          </w:p>
        </w:tc>
        <w:tc>
          <w:tcPr>
            <w:tcW w:w="1199" w:type="dxa"/>
            <w:shd w:val="clear" w:color="auto" w:fill="auto"/>
            <w:vAlign w:val="center"/>
          </w:tcPr>
          <w:p>
            <w:pPr>
              <w:jc w:val="right"/>
              <w:rPr>
                <w:color w:val="000000"/>
              </w:rPr>
            </w:pPr>
            <w:r>
              <w:rPr>
                <w:color w:val="000000"/>
              </w:rPr>
              <w:t>586,79</w:t>
            </w:r>
          </w:p>
        </w:tc>
        <w:tc>
          <w:tcPr>
            <w:tcW w:w="874" w:type="dxa"/>
            <w:shd w:val="clear" w:color="auto" w:fill="auto"/>
            <w:vAlign w:val="center"/>
          </w:tcPr>
          <w:p>
            <w:pPr>
              <w:pStyle w:val="a5"/>
              <w:spacing w:after="0"/>
              <w:ind w:left="-57" w:right="-57"/>
              <w:jc w:val="center"/>
            </w:pPr>
            <w:r>
              <w:t>102,7</w:t>
            </w:r>
          </w:p>
        </w:tc>
      </w:tr>
    </w:tbl>
    <w:p>
      <w:pPr>
        <w:spacing w:before="160" w:line="228" w:lineRule="auto"/>
        <w:ind w:firstLine="709"/>
        <w:jc w:val="both"/>
        <w:rPr>
          <w:sz w:val="24"/>
          <w:szCs w:val="24"/>
        </w:rPr>
      </w:pPr>
      <w:r>
        <w:rPr>
          <w:sz w:val="24"/>
          <w:szCs w:val="24"/>
        </w:rPr>
        <w:t>Удельный вес статьи в общей структуре фактически поступивших доходов составляет 0,5%, налоговых и неналоговых доходах - 2,0%.</w:t>
      </w:r>
    </w:p>
    <w:p>
      <w:pPr>
        <w:tabs>
          <w:tab w:val="left" w:pos="0"/>
        </w:tabs>
        <w:spacing w:line="228" w:lineRule="auto"/>
        <w:ind w:firstLine="709"/>
        <w:jc w:val="both"/>
        <w:rPr>
          <w:sz w:val="24"/>
          <w:szCs w:val="24"/>
        </w:rPr>
      </w:pPr>
      <w:r>
        <w:rPr>
          <w:sz w:val="24"/>
          <w:szCs w:val="24"/>
        </w:rPr>
        <w:t>Норматив зачисления в бюджет ЗАТО Северск 100%.</w:t>
      </w:r>
    </w:p>
    <w:p>
      <w:pPr>
        <w:ind w:firstLine="720"/>
        <w:jc w:val="both"/>
        <w:rPr>
          <w:sz w:val="24"/>
          <w:szCs w:val="24"/>
        </w:rPr>
      </w:pPr>
      <w:r>
        <w:rPr>
          <w:sz w:val="24"/>
          <w:szCs w:val="24"/>
        </w:rPr>
        <w:t xml:space="preserve">По сравнению с 2019 годом снижение поступлений по статье составило 2 384,68 тыс.руб. или на 9,8% за в связи с предоставлением в 2020 году отсрочек по уплате арендных платежей нежилого фонда в рамках реализации антикризисных мер поддержки субъектов предпринимательства, занятых в сферах деятельности, наиболее </w:t>
      </w:r>
      <w:r>
        <w:rPr>
          <w:sz w:val="24"/>
          <w:szCs w:val="24"/>
        </w:rPr>
        <w:lastRenderedPageBreak/>
        <w:t>пострадавших в условиях сложной эпидемиологической ситуации (распространение коронавирусной инфекции).</w:t>
      </w:r>
    </w:p>
    <w:p>
      <w:pPr>
        <w:pStyle w:val="a5"/>
        <w:spacing w:after="0"/>
        <w:jc w:val="center"/>
        <w:rPr>
          <w:b/>
          <w:i/>
          <w:sz w:val="24"/>
          <w:szCs w:val="24"/>
          <w:highlight w:val="yellow"/>
        </w:rPr>
      </w:pPr>
    </w:p>
    <w:p>
      <w:pPr>
        <w:pStyle w:val="a5"/>
        <w:spacing w:after="160"/>
        <w:jc w:val="center"/>
        <w:rPr>
          <w:b/>
          <w:i/>
          <w:sz w:val="24"/>
          <w:szCs w:val="24"/>
        </w:rPr>
      </w:pPr>
      <w:r>
        <w:rPr>
          <w:b/>
          <w:i/>
          <w:sz w:val="24"/>
          <w:szCs w:val="24"/>
        </w:rPr>
        <w:t>3.2.1.4. Аренда сетей инженерно-технического обеспечения</w:t>
      </w:r>
    </w:p>
    <w:p>
      <w:pPr>
        <w:ind w:firstLine="709"/>
        <w:jc w:val="both"/>
        <w:rPr>
          <w:sz w:val="24"/>
          <w:szCs w:val="24"/>
        </w:rPr>
      </w:pPr>
      <w:r>
        <w:rPr>
          <w:sz w:val="24"/>
          <w:szCs w:val="24"/>
        </w:rPr>
        <w:t>Прогноз поступлений по статье «Аренда сетей инженерно-технического обеспечения» составлял 1 148,33 тыс.руб., фактическое исполнение – 1 261,37 тыс.руб., перевыполнение на 113,04 тыс.руб. или на 9,8% за счет поступлений авансовых платежей от ООО «Тепло плюс» и заключением договора с ООО «Радио Северска».</w:t>
      </w:r>
    </w:p>
    <w:p>
      <w:pPr>
        <w:pStyle w:val="a5"/>
        <w:spacing w:before="120" w:after="60"/>
        <w:ind w:firstLine="709"/>
        <w:jc w:val="both"/>
        <w:rPr>
          <w:sz w:val="24"/>
          <w:szCs w:val="24"/>
        </w:rPr>
      </w:pPr>
      <w:r>
        <w:rPr>
          <w:sz w:val="24"/>
          <w:szCs w:val="24"/>
        </w:rPr>
        <w:t>Таблица 30. Анализ поступления доходов от аренды инженерных сетей                             за 2019 - 2020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992"/>
        <w:gridCol w:w="1134"/>
        <w:gridCol w:w="1134"/>
        <w:gridCol w:w="1134"/>
        <w:gridCol w:w="1134"/>
        <w:gridCol w:w="815"/>
      </w:tblGrid>
      <w:tr>
        <w:trPr>
          <w:trHeight w:val="316"/>
          <w:jc w:val="center"/>
        </w:trPr>
        <w:tc>
          <w:tcPr>
            <w:tcW w:w="3227" w:type="dxa"/>
            <w:vMerge w:val="restart"/>
            <w:vAlign w:val="center"/>
          </w:tcPr>
          <w:p>
            <w:pPr>
              <w:pStyle w:val="a5"/>
              <w:ind w:right="-2"/>
              <w:jc w:val="center"/>
            </w:pPr>
            <w:r>
              <w:t xml:space="preserve">Наименование </w:t>
            </w:r>
          </w:p>
        </w:tc>
        <w:tc>
          <w:tcPr>
            <w:tcW w:w="992" w:type="dxa"/>
            <w:vMerge w:val="restart"/>
            <w:vAlign w:val="center"/>
          </w:tcPr>
          <w:p>
            <w:pPr>
              <w:ind w:right="-57"/>
              <w:jc w:val="center"/>
              <w:rPr>
                <w:bCs/>
              </w:rPr>
            </w:pPr>
            <w:r>
              <w:rPr>
                <w:bCs/>
              </w:rPr>
              <w:t xml:space="preserve">Факт </w:t>
            </w:r>
          </w:p>
          <w:p>
            <w:pPr>
              <w:ind w:left="-108" w:right="-108"/>
              <w:jc w:val="center"/>
            </w:pPr>
            <w:r>
              <w:rPr>
                <w:bCs/>
              </w:rPr>
              <w:t>2019 год, тыс.руб.</w:t>
            </w:r>
          </w:p>
        </w:tc>
        <w:tc>
          <w:tcPr>
            <w:tcW w:w="5351" w:type="dxa"/>
            <w:gridSpan w:val="5"/>
            <w:vAlign w:val="center"/>
          </w:tcPr>
          <w:p>
            <w:pPr>
              <w:pStyle w:val="a5"/>
              <w:spacing w:after="0"/>
              <w:ind w:left="-57" w:right="-57"/>
              <w:jc w:val="center"/>
            </w:pPr>
            <w:r>
              <w:t>2020 год</w:t>
            </w:r>
          </w:p>
        </w:tc>
      </w:tr>
      <w:tr>
        <w:trPr>
          <w:trHeight w:val="942"/>
          <w:jc w:val="center"/>
        </w:trPr>
        <w:tc>
          <w:tcPr>
            <w:tcW w:w="3227" w:type="dxa"/>
            <w:vMerge/>
            <w:vAlign w:val="center"/>
          </w:tcPr>
          <w:p>
            <w:pPr>
              <w:pStyle w:val="a5"/>
              <w:spacing w:after="0"/>
              <w:ind w:right="-2"/>
              <w:jc w:val="center"/>
              <w:rPr>
                <w:sz w:val="22"/>
                <w:szCs w:val="22"/>
              </w:rPr>
            </w:pPr>
          </w:p>
        </w:tc>
        <w:tc>
          <w:tcPr>
            <w:tcW w:w="992" w:type="dxa"/>
            <w:vMerge/>
          </w:tcPr>
          <w:p>
            <w:pPr>
              <w:ind w:left="-108" w:right="-108"/>
              <w:jc w:val="center"/>
            </w:pPr>
          </w:p>
        </w:tc>
        <w:tc>
          <w:tcPr>
            <w:tcW w:w="1134"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15"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57"/>
          <w:jc w:val="center"/>
        </w:trPr>
        <w:tc>
          <w:tcPr>
            <w:tcW w:w="3227" w:type="dxa"/>
            <w:vAlign w:val="center"/>
          </w:tcPr>
          <w:p>
            <w:pPr>
              <w:pStyle w:val="a5"/>
              <w:tabs>
                <w:tab w:val="left" w:pos="3966"/>
              </w:tabs>
              <w:spacing w:after="0"/>
              <w:ind w:right="-120"/>
              <w:jc w:val="center"/>
              <w:rPr>
                <w:sz w:val="16"/>
                <w:szCs w:val="16"/>
              </w:rPr>
            </w:pPr>
            <w:r>
              <w:rPr>
                <w:sz w:val="16"/>
                <w:szCs w:val="16"/>
              </w:rPr>
              <w:t>1</w:t>
            </w:r>
          </w:p>
        </w:tc>
        <w:tc>
          <w:tcPr>
            <w:tcW w:w="992" w:type="dxa"/>
            <w:vAlign w:val="center"/>
          </w:tcPr>
          <w:p>
            <w:pPr>
              <w:jc w:val="center"/>
              <w:rPr>
                <w:color w:val="000000"/>
                <w:sz w:val="16"/>
                <w:szCs w:val="16"/>
              </w:rPr>
            </w:pPr>
            <w:r>
              <w:rPr>
                <w:color w:val="000000"/>
                <w:sz w:val="16"/>
                <w:szCs w:val="16"/>
              </w:rPr>
              <w:t>2</w:t>
            </w:r>
          </w:p>
        </w:tc>
        <w:tc>
          <w:tcPr>
            <w:tcW w:w="1134"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34" w:type="dxa"/>
            <w:shd w:val="clear" w:color="auto" w:fill="auto"/>
            <w:vAlign w:val="center"/>
          </w:tcPr>
          <w:p>
            <w:pPr>
              <w:jc w:val="center"/>
              <w:rPr>
                <w:color w:val="000000"/>
                <w:sz w:val="16"/>
                <w:szCs w:val="16"/>
              </w:rPr>
            </w:pPr>
            <w:r>
              <w:rPr>
                <w:color w:val="000000"/>
                <w:sz w:val="16"/>
                <w:szCs w:val="16"/>
              </w:rPr>
              <w:t>5</w:t>
            </w:r>
          </w:p>
        </w:tc>
        <w:tc>
          <w:tcPr>
            <w:tcW w:w="1134" w:type="dxa"/>
            <w:shd w:val="clear" w:color="auto" w:fill="auto"/>
            <w:vAlign w:val="center"/>
          </w:tcPr>
          <w:p>
            <w:pPr>
              <w:jc w:val="center"/>
              <w:rPr>
                <w:color w:val="000000"/>
                <w:sz w:val="16"/>
                <w:szCs w:val="16"/>
              </w:rPr>
            </w:pPr>
            <w:r>
              <w:rPr>
                <w:color w:val="000000"/>
                <w:sz w:val="16"/>
                <w:szCs w:val="16"/>
              </w:rPr>
              <w:t>6=5-4</w:t>
            </w:r>
          </w:p>
        </w:tc>
        <w:tc>
          <w:tcPr>
            <w:tcW w:w="815" w:type="dxa"/>
            <w:shd w:val="clear" w:color="auto" w:fill="auto"/>
            <w:vAlign w:val="center"/>
          </w:tcPr>
          <w:p>
            <w:pPr>
              <w:pStyle w:val="a5"/>
              <w:spacing w:after="0"/>
              <w:ind w:left="-57" w:right="-57"/>
              <w:jc w:val="center"/>
              <w:rPr>
                <w:sz w:val="16"/>
                <w:szCs w:val="16"/>
              </w:rPr>
            </w:pPr>
            <w:r>
              <w:rPr>
                <w:sz w:val="16"/>
                <w:szCs w:val="16"/>
              </w:rPr>
              <w:t>7=5/4</w:t>
            </w:r>
          </w:p>
        </w:tc>
      </w:tr>
      <w:tr>
        <w:trPr>
          <w:trHeight w:val="444"/>
          <w:jc w:val="center"/>
        </w:trPr>
        <w:tc>
          <w:tcPr>
            <w:tcW w:w="3227" w:type="dxa"/>
            <w:vAlign w:val="center"/>
          </w:tcPr>
          <w:p>
            <w:pPr>
              <w:pStyle w:val="a5"/>
              <w:tabs>
                <w:tab w:val="left" w:pos="3966"/>
              </w:tabs>
              <w:spacing w:after="0"/>
              <w:ind w:right="-120"/>
            </w:pPr>
            <w:r>
              <w:t xml:space="preserve">Аренда инженерных сетей </w:t>
            </w:r>
          </w:p>
        </w:tc>
        <w:tc>
          <w:tcPr>
            <w:tcW w:w="992" w:type="dxa"/>
            <w:vAlign w:val="center"/>
          </w:tcPr>
          <w:p>
            <w:pPr>
              <w:jc w:val="right"/>
              <w:rPr>
                <w:color w:val="000000"/>
              </w:rPr>
            </w:pPr>
            <w:r>
              <w:rPr>
                <w:color w:val="000000"/>
              </w:rPr>
              <w:t>1 116,22</w:t>
            </w:r>
          </w:p>
        </w:tc>
        <w:tc>
          <w:tcPr>
            <w:tcW w:w="1134" w:type="dxa"/>
            <w:vAlign w:val="center"/>
          </w:tcPr>
          <w:p>
            <w:pPr>
              <w:jc w:val="right"/>
              <w:rPr>
                <w:color w:val="000000"/>
              </w:rPr>
            </w:pPr>
            <w:r>
              <w:rPr>
                <w:color w:val="000000"/>
              </w:rPr>
              <w:t>1 148,33</w:t>
            </w:r>
          </w:p>
        </w:tc>
        <w:tc>
          <w:tcPr>
            <w:tcW w:w="1134" w:type="dxa"/>
            <w:shd w:val="clear" w:color="auto" w:fill="auto"/>
            <w:vAlign w:val="center"/>
          </w:tcPr>
          <w:p>
            <w:pPr>
              <w:jc w:val="right"/>
              <w:rPr>
                <w:color w:val="000000"/>
              </w:rPr>
            </w:pPr>
            <w:r>
              <w:rPr>
                <w:color w:val="000000"/>
              </w:rPr>
              <w:t>1 148,33</w:t>
            </w:r>
          </w:p>
        </w:tc>
        <w:tc>
          <w:tcPr>
            <w:tcW w:w="1134" w:type="dxa"/>
            <w:shd w:val="clear" w:color="auto" w:fill="auto"/>
            <w:vAlign w:val="center"/>
          </w:tcPr>
          <w:p>
            <w:pPr>
              <w:jc w:val="right"/>
              <w:rPr>
                <w:color w:val="000000"/>
              </w:rPr>
            </w:pPr>
            <w:r>
              <w:rPr>
                <w:color w:val="000000"/>
              </w:rPr>
              <w:t>1 261,37</w:t>
            </w:r>
          </w:p>
        </w:tc>
        <w:tc>
          <w:tcPr>
            <w:tcW w:w="1134" w:type="dxa"/>
            <w:shd w:val="clear" w:color="auto" w:fill="auto"/>
            <w:vAlign w:val="center"/>
          </w:tcPr>
          <w:p>
            <w:pPr>
              <w:jc w:val="right"/>
              <w:rPr>
                <w:color w:val="000000"/>
              </w:rPr>
            </w:pPr>
            <w:r>
              <w:rPr>
                <w:color w:val="000000"/>
              </w:rPr>
              <w:t>113,04</w:t>
            </w:r>
          </w:p>
        </w:tc>
        <w:tc>
          <w:tcPr>
            <w:tcW w:w="815" w:type="dxa"/>
            <w:shd w:val="clear" w:color="auto" w:fill="auto"/>
            <w:vAlign w:val="center"/>
          </w:tcPr>
          <w:p>
            <w:pPr>
              <w:pStyle w:val="a5"/>
              <w:spacing w:after="0"/>
              <w:ind w:left="-57" w:right="-57"/>
              <w:jc w:val="center"/>
            </w:pPr>
            <w:r>
              <w:t>109,8</w:t>
            </w:r>
          </w:p>
        </w:tc>
      </w:tr>
    </w:tbl>
    <w:p>
      <w:pPr>
        <w:pStyle w:val="a5"/>
        <w:spacing w:before="160" w:after="0" w:line="228" w:lineRule="auto"/>
        <w:ind w:firstLine="709"/>
        <w:jc w:val="both"/>
        <w:rPr>
          <w:sz w:val="24"/>
          <w:szCs w:val="24"/>
        </w:rPr>
      </w:pPr>
      <w:r>
        <w:rPr>
          <w:sz w:val="24"/>
          <w:szCs w:val="24"/>
        </w:rPr>
        <w:t>Удельный вес статьи в общей структуре фактически поступивших налоговых и неналоговых доходах - 0,1%.</w:t>
      </w:r>
    </w:p>
    <w:p>
      <w:pPr>
        <w:tabs>
          <w:tab w:val="left" w:pos="0"/>
        </w:tabs>
        <w:ind w:firstLine="709"/>
        <w:jc w:val="both"/>
        <w:rPr>
          <w:sz w:val="24"/>
          <w:szCs w:val="24"/>
        </w:rPr>
      </w:pPr>
      <w:r>
        <w:rPr>
          <w:sz w:val="24"/>
          <w:szCs w:val="24"/>
        </w:rPr>
        <w:t>Норматив зачисления в бюджет ЗАТО Северск 100%.</w:t>
      </w:r>
    </w:p>
    <w:p>
      <w:pPr>
        <w:spacing w:line="228" w:lineRule="auto"/>
        <w:ind w:firstLine="709"/>
        <w:jc w:val="both"/>
        <w:rPr>
          <w:sz w:val="24"/>
          <w:szCs w:val="24"/>
        </w:rPr>
      </w:pPr>
      <w:r>
        <w:rPr>
          <w:sz w:val="24"/>
          <w:szCs w:val="24"/>
        </w:rPr>
        <w:t xml:space="preserve">По сравнению с 2019 годом уменьшение поступлений по статье составило 145,15 тыс.руб. или на 13,0%. </w:t>
      </w:r>
    </w:p>
    <w:p>
      <w:pPr>
        <w:ind w:firstLine="709"/>
        <w:jc w:val="both"/>
        <w:rPr>
          <w:sz w:val="24"/>
          <w:szCs w:val="24"/>
        </w:rPr>
      </w:pPr>
    </w:p>
    <w:p>
      <w:pPr>
        <w:pStyle w:val="a5"/>
        <w:tabs>
          <w:tab w:val="num" w:pos="0"/>
        </w:tabs>
        <w:spacing w:after="160"/>
        <w:jc w:val="center"/>
        <w:rPr>
          <w:b/>
          <w:i/>
          <w:sz w:val="24"/>
          <w:szCs w:val="24"/>
        </w:rPr>
      </w:pPr>
      <w:r>
        <w:rPr>
          <w:b/>
          <w:i/>
          <w:sz w:val="24"/>
          <w:szCs w:val="24"/>
        </w:rPr>
        <w:t>3.2.1.5. Плата за наем жилых помещений</w:t>
      </w:r>
    </w:p>
    <w:p>
      <w:pPr>
        <w:widowControl w:val="0"/>
        <w:ind w:firstLine="709"/>
        <w:jc w:val="both"/>
        <w:rPr>
          <w:sz w:val="24"/>
          <w:szCs w:val="24"/>
        </w:rPr>
      </w:pPr>
      <w:r>
        <w:rPr>
          <w:sz w:val="24"/>
          <w:szCs w:val="24"/>
        </w:rPr>
        <w:t>Прогноз поступлений по статье «Плата за наем жилых помещений» составлял 7 261,60 тыс.руб., фактическое исполнение – 7 089,47 тыс.руб., невыполнение к плану на 172,13 тыс.руб. или 2,4%.</w:t>
      </w:r>
    </w:p>
    <w:p>
      <w:pPr>
        <w:pStyle w:val="a5"/>
        <w:spacing w:before="60" w:after="60"/>
        <w:ind w:firstLine="709"/>
        <w:jc w:val="both"/>
        <w:rPr>
          <w:sz w:val="24"/>
          <w:szCs w:val="24"/>
        </w:rPr>
      </w:pPr>
      <w:r>
        <w:rPr>
          <w:sz w:val="24"/>
          <w:szCs w:val="24"/>
        </w:rPr>
        <w:t>Таблица 31. Анализ поступления доходов от платы за наем жилых помещений                                   за 2019- 2020 гг.</w:t>
      </w: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3"/>
        <w:gridCol w:w="1134"/>
        <w:gridCol w:w="1134"/>
        <w:gridCol w:w="1134"/>
        <w:gridCol w:w="992"/>
        <w:gridCol w:w="1111"/>
        <w:gridCol w:w="828"/>
      </w:tblGrid>
      <w:tr>
        <w:trPr>
          <w:trHeight w:val="205"/>
          <w:jc w:val="center"/>
        </w:trPr>
        <w:tc>
          <w:tcPr>
            <w:tcW w:w="2933" w:type="dxa"/>
            <w:vMerge w:val="restart"/>
            <w:vAlign w:val="center"/>
          </w:tcPr>
          <w:p>
            <w:pPr>
              <w:pStyle w:val="a5"/>
              <w:ind w:right="-2"/>
              <w:jc w:val="center"/>
            </w:pPr>
            <w:r>
              <w:t>Наименование</w:t>
            </w:r>
          </w:p>
        </w:tc>
        <w:tc>
          <w:tcPr>
            <w:tcW w:w="1134" w:type="dxa"/>
            <w:vMerge w:val="restart"/>
          </w:tcPr>
          <w:p>
            <w:pPr>
              <w:ind w:left="-108" w:right="-108"/>
              <w:jc w:val="center"/>
            </w:pPr>
          </w:p>
          <w:p>
            <w:pPr>
              <w:ind w:right="-57"/>
              <w:jc w:val="center"/>
              <w:rPr>
                <w:bCs/>
              </w:rPr>
            </w:pPr>
            <w:r>
              <w:rPr>
                <w:bCs/>
              </w:rPr>
              <w:t>Факт</w:t>
            </w:r>
          </w:p>
          <w:p>
            <w:pPr>
              <w:ind w:left="-108" w:right="-108"/>
              <w:jc w:val="center"/>
            </w:pPr>
            <w:r>
              <w:rPr>
                <w:bCs/>
              </w:rPr>
              <w:t>2019 год, тыс.руб.</w:t>
            </w:r>
          </w:p>
        </w:tc>
        <w:tc>
          <w:tcPr>
            <w:tcW w:w="5199" w:type="dxa"/>
            <w:gridSpan w:val="5"/>
            <w:vAlign w:val="center"/>
          </w:tcPr>
          <w:p>
            <w:pPr>
              <w:pStyle w:val="a5"/>
              <w:spacing w:after="0"/>
              <w:ind w:left="-57" w:right="-57"/>
              <w:jc w:val="center"/>
            </w:pPr>
            <w:r>
              <w:t>2020 год</w:t>
            </w:r>
          </w:p>
        </w:tc>
      </w:tr>
      <w:tr>
        <w:trPr>
          <w:trHeight w:val="844"/>
          <w:jc w:val="center"/>
        </w:trPr>
        <w:tc>
          <w:tcPr>
            <w:tcW w:w="2933" w:type="dxa"/>
            <w:vMerge/>
            <w:vAlign w:val="center"/>
          </w:tcPr>
          <w:p>
            <w:pPr>
              <w:pStyle w:val="a5"/>
              <w:spacing w:after="0"/>
              <w:ind w:right="-2"/>
              <w:jc w:val="center"/>
              <w:rPr>
                <w:sz w:val="22"/>
                <w:szCs w:val="22"/>
              </w:rPr>
            </w:pPr>
          </w:p>
        </w:tc>
        <w:tc>
          <w:tcPr>
            <w:tcW w:w="1134" w:type="dxa"/>
            <w:vMerge/>
          </w:tcPr>
          <w:p>
            <w:pPr>
              <w:ind w:left="-108" w:right="-108"/>
              <w:jc w:val="center"/>
            </w:pPr>
          </w:p>
        </w:tc>
        <w:tc>
          <w:tcPr>
            <w:tcW w:w="1134"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992" w:type="dxa"/>
            <w:vAlign w:val="center"/>
          </w:tcPr>
          <w:p>
            <w:pPr>
              <w:ind w:left="-108" w:right="-108"/>
              <w:jc w:val="center"/>
            </w:pPr>
            <w:r>
              <w:t xml:space="preserve">Факт, </w:t>
            </w:r>
            <w:r>
              <w:br/>
              <w:t>тыс.руб.</w:t>
            </w:r>
          </w:p>
        </w:tc>
        <w:tc>
          <w:tcPr>
            <w:tcW w:w="1111"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28"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29"/>
          <w:jc w:val="center"/>
        </w:trPr>
        <w:tc>
          <w:tcPr>
            <w:tcW w:w="2933"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34"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992" w:type="dxa"/>
            <w:shd w:val="clear" w:color="auto" w:fill="auto"/>
            <w:vAlign w:val="center"/>
          </w:tcPr>
          <w:p>
            <w:pPr>
              <w:jc w:val="center"/>
              <w:rPr>
                <w:color w:val="000000"/>
                <w:sz w:val="16"/>
                <w:szCs w:val="16"/>
              </w:rPr>
            </w:pPr>
            <w:r>
              <w:rPr>
                <w:color w:val="000000"/>
                <w:sz w:val="16"/>
                <w:szCs w:val="16"/>
              </w:rPr>
              <w:t>5</w:t>
            </w:r>
          </w:p>
        </w:tc>
        <w:tc>
          <w:tcPr>
            <w:tcW w:w="1111" w:type="dxa"/>
            <w:shd w:val="clear" w:color="auto" w:fill="auto"/>
            <w:vAlign w:val="center"/>
          </w:tcPr>
          <w:p>
            <w:pPr>
              <w:jc w:val="center"/>
              <w:rPr>
                <w:color w:val="000000"/>
                <w:sz w:val="16"/>
                <w:szCs w:val="16"/>
              </w:rPr>
            </w:pPr>
            <w:r>
              <w:rPr>
                <w:color w:val="000000"/>
                <w:sz w:val="16"/>
                <w:szCs w:val="16"/>
              </w:rPr>
              <w:t>6=5-4</w:t>
            </w:r>
          </w:p>
        </w:tc>
        <w:tc>
          <w:tcPr>
            <w:tcW w:w="828" w:type="dxa"/>
            <w:shd w:val="clear" w:color="auto" w:fill="auto"/>
            <w:vAlign w:val="center"/>
          </w:tcPr>
          <w:p>
            <w:pPr>
              <w:pStyle w:val="a5"/>
              <w:spacing w:after="0"/>
              <w:ind w:left="-57" w:right="-57"/>
              <w:jc w:val="center"/>
              <w:rPr>
                <w:sz w:val="16"/>
                <w:szCs w:val="16"/>
              </w:rPr>
            </w:pPr>
            <w:r>
              <w:rPr>
                <w:sz w:val="16"/>
                <w:szCs w:val="16"/>
              </w:rPr>
              <w:t>7=5/4</w:t>
            </w:r>
          </w:p>
        </w:tc>
      </w:tr>
      <w:tr>
        <w:trPr>
          <w:trHeight w:val="274"/>
          <w:jc w:val="center"/>
        </w:trPr>
        <w:tc>
          <w:tcPr>
            <w:tcW w:w="2933" w:type="dxa"/>
            <w:vAlign w:val="center"/>
          </w:tcPr>
          <w:p>
            <w:pPr>
              <w:pStyle w:val="a5"/>
              <w:tabs>
                <w:tab w:val="left" w:pos="3966"/>
              </w:tabs>
              <w:spacing w:after="0"/>
              <w:ind w:right="-119"/>
            </w:pPr>
            <w:r>
              <w:t>Плата за наем жилых помещений</w:t>
            </w:r>
          </w:p>
        </w:tc>
        <w:tc>
          <w:tcPr>
            <w:tcW w:w="1134" w:type="dxa"/>
            <w:vAlign w:val="center"/>
          </w:tcPr>
          <w:p>
            <w:pPr>
              <w:jc w:val="right"/>
              <w:rPr>
                <w:color w:val="000000"/>
              </w:rPr>
            </w:pPr>
            <w:r>
              <w:rPr>
                <w:color w:val="000000"/>
              </w:rPr>
              <w:t>7 546,23</w:t>
            </w:r>
          </w:p>
        </w:tc>
        <w:tc>
          <w:tcPr>
            <w:tcW w:w="1134" w:type="dxa"/>
            <w:vAlign w:val="center"/>
          </w:tcPr>
          <w:p>
            <w:pPr>
              <w:jc w:val="right"/>
              <w:rPr>
                <w:color w:val="000000"/>
              </w:rPr>
            </w:pPr>
            <w:r>
              <w:rPr>
                <w:color w:val="000000"/>
              </w:rPr>
              <w:t>7 261,60</w:t>
            </w:r>
          </w:p>
        </w:tc>
        <w:tc>
          <w:tcPr>
            <w:tcW w:w="1134" w:type="dxa"/>
            <w:shd w:val="clear" w:color="auto" w:fill="auto"/>
            <w:vAlign w:val="center"/>
          </w:tcPr>
          <w:p>
            <w:pPr>
              <w:jc w:val="right"/>
              <w:rPr>
                <w:color w:val="000000"/>
              </w:rPr>
            </w:pPr>
            <w:r>
              <w:rPr>
                <w:color w:val="000000"/>
              </w:rPr>
              <w:t>7 261,60</w:t>
            </w:r>
          </w:p>
        </w:tc>
        <w:tc>
          <w:tcPr>
            <w:tcW w:w="992" w:type="dxa"/>
            <w:shd w:val="clear" w:color="auto" w:fill="auto"/>
            <w:vAlign w:val="center"/>
          </w:tcPr>
          <w:p>
            <w:pPr>
              <w:jc w:val="right"/>
              <w:rPr>
                <w:color w:val="000000"/>
              </w:rPr>
            </w:pPr>
            <w:r>
              <w:rPr>
                <w:color w:val="000000"/>
              </w:rPr>
              <w:t>7 089,47</w:t>
            </w:r>
          </w:p>
        </w:tc>
        <w:tc>
          <w:tcPr>
            <w:tcW w:w="1111" w:type="dxa"/>
            <w:shd w:val="clear" w:color="auto" w:fill="auto"/>
            <w:vAlign w:val="center"/>
          </w:tcPr>
          <w:p>
            <w:pPr>
              <w:jc w:val="right"/>
              <w:rPr>
                <w:color w:val="000000"/>
              </w:rPr>
            </w:pPr>
            <w:r>
              <w:rPr>
                <w:color w:val="000000"/>
              </w:rPr>
              <w:t>-172,13</w:t>
            </w:r>
          </w:p>
        </w:tc>
        <w:tc>
          <w:tcPr>
            <w:tcW w:w="828" w:type="dxa"/>
            <w:shd w:val="clear" w:color="auto" w:fill="auto"/>
            <w:vAlign w:val="center"/>
          </w:tcPr>
          <w:p>
            <w:pPr>
              <w:pStyle w:val="a5"/>
              <w:spacing w:after="0"/>
              <w:ind w:left="-57" w:right="-57"/>
              <w:jc w:val="center"/>
            </w:pPr>
            <w:r>
              <w:t>97,6</w:t>
            </w:r>
          </w:p>
        </w:tc>
      </w:tr>
    </w:tbl>
    <w:p>
      <w:pPr>
        <w:pStyle w:val="a5"/>
        <w:spacing w:before="80" w:after="0"/>
        <w:ind w:firstLine="709"/>
        <w:jc w:val="both"/>
        <w:rPr>
          <w:sz w:val="24"/>
          <w:szCs w:val="24"/>
        </w:rPr>
      </w:pPr>
      <w:r>
        <w:rPr>
          <w:sz w:val="24"/>
          <w:szCs w:val="24"/>
        </w:rPr>
        <w:t>Удельный вес в общей структуре фактически поступивших доходов составляет 0,2%, налоговых и неналоговых доходах - 0,6%.</w:t>
      </w:r>
    </w:p>
    <w:p>
      <w:pPr>
        <w:tabs>
          <w:tab w:val="left" w:pos="0"/>
        </w:tabs>
        <w:ind w:firstLine="709"/>
        <w:jc w:val="both"/>
        <w:rPr>
          <w:sz w:val="24"/>
          <w:szCs w:val="24"/>
        </w:rPr>
      </w:pPr>
      <w:r>
        <w:rPr>
          <w:sz w:val="24"/>
          <w:szCs w:val="24"/>
        </w:rPr>
        <w:t>Норматив зачисления в бюджет ЗАТО Северск 100%.</w:t>
      </w:r>
    </w:p>
    <w:p>
      <w:pPr>
        <w:ind w:firstLine="709"/>
        <w:jc w:val="both"/>
        <w:rPr>
          <w:sz w:val="24"/>
          <w:szCs w:val="24"/>
        </w:rPr>
      </w:pPr>
      <w:r>
        <w:rPr>
          <w:sz w:val="24"/>
          <w:szCs w:val="24"/>
        </w:rPr>
        <w:t>Муниципальный жилищный фонд по состоянию на 01.01.2020 составлял 128,54 тыс.м</w:t>
      </w:r>
      <w:r>
        <w:rPr>
          <w:sz w:val="24"/>
          <w:szCs w:val="24"/>
          <w:vertAlign w:val="superscript"/>
        </w:rPr>
        <w:t>2</w:t>
      </w:r>
      <w:r>
        <w:rPr>
          <w:sz w:val="24"/>
          <w:szCs w:val="24"/>
        </w:rPr>
        <w:t>, на 01.01.2021 – 126,66 тыс.м</w:t>
      </w:r>
      <w:r>
        <w:rPr>
          <w:sz w:val="24"/>
          <w:szCs w:val="24"/>
          <w:vertAlign w:val="superscript"/>
        </w:rPr>
        <w:t>2</w:t>
      </w:r>
      <w:r>
        <w:rPr>
          <w:sz w:val="24"/>
          <w:szCs w:val="24"/>
        </w:rPr>
        <w:t>.</w:t>
      </w:r>
    </w:p>
    <w:p>
      <w:pPr>
        <w:ind w:firstLine="709"/>
        <w:jc w:val="both"/>
        <w:rPr>
          <w:color w:val="FF0000"/>
          <w:sz w:val="24"/>
          <w:szCs w:val="24"/>
        </w:rPr>
      </w:pPr>
      <w:r>
        <w:rPr>
          <w:sz w:val="24"/>
          <w:szCs w:val="24"/>
        </w:rPr>
        <w:t xml:space="preserve">По сравнению с 2019 годом уменьшение поступлений по статье составило 456,76 тыс.руб. или на 6,1%, что </w:t>
      </w:r>
      <w:r>
        <w:rPr>
          <w:color w:val="000000" w:themeColor="text1"/>
          <w:sz w:val="24"/>
          <w:szCs w:val="24"/>
        </w:rPr>
        <w:t>обусловлено снижением платежной дисциплины нанимателей.</w:t>
      </w:r>
    </w:p>
    <w:p>
      <w:pPr>
        <w:pStyle w:val="a5"/>
        <w:spacing w:after="0"/>
        <w:ind w:firstLine="709"/>
        <w:jc w:val="both"/>
        <w:rPr>
          <w:color w:val="000000" w:themeColor="text1"/>
          <w:sz w:val="24"/>
          <w:szCs w:val="24"/>
        </w:rPr>
      </w:pPr>
      <w:r>
        <w:rPr>
          <w:sz w:val="24"/>
          <w:szCs w:val="24"/>
        </w:rPr>
        <w:t xml:space="preserve">Задолженность по плате за наем жилых помещений в 2020 году по сравнению с 2019 годом увеличилась на 522,71 тыс.руб. (на 01.01.2020 – 7 133,02 тыс.руб., на 01.01.2021 – 7 655,73 тыс.руб.). </w:t>
      </w:r>
    </w:p>
    <w:p>
      <w:pPr>
        <w:pStyle w:val="a5"/>
        <w:spacing w:after="0"/>
        <w:jc w:val="center"/>
        <w:rPr>
          <w:sz w:val="18"/>
          <w:szCs w:val="18"/>
          <w:highlight w:val="yellow"/>
        </w:rPr>
      </w:pPr>
    </w:p>
    <w:p>
      <w:pPr>
        <w:pStyle w:val="a5"/>
        <w:spacing w:after="80"/>
        <w:jc w:val="center"/>
        <w:rPr>
          <w:b/>
          <w:i/>
          <w:sz w:val="24"/>
          <w:szCs w:val="24"/>
        </w:rPr>
      </w:pPr>
      <w:r>
        <w:rPr>
          <w:b/>
          <w:i/>
          <w:sz w:val="24"/>
          <w:szCs w:val="24"/>
        </w:rPr>
        <w:t>3.2.1.6. Аренда движимого имущества</w:t>
      </w:r>
    </w:p>
    <w:p>
      <w:pPr>
        <w:pStyle w:val="a5"/>
        <w:spacing w:after="0"/>
        <w:ind w:firstLine="709"/>
        <w:jc w:val="both"/>
        <w:rPr>
          <w:sz w:val="24"/>
          <w:szCs w:val="24"/>
        </w:rPr>
      </w:pPr>
      <w:r>
        <w:rPr>
          <w:sz w:val="24"/>
          <w:szCs w:val="24"/>
        </w:rPr>
        <w:t>Прогноз поступлений по статье «Аренда движимого имущества» составлял 1 274,45 тыс.руб., фактическое исполнение – 1 893,00 тыс.руб., перевыполнение на 618,55 тыс.руб. или на 48,5%.</w:t>
      </w:r>
    </w:p>
    <w:p>
      <w:pPr>
        <w:pStyle w:val="a5"/>
        <w:spacing w:before="60" w:after="60"/>
        <w:ind w:firstLine="709"/>
        <w:jc w:val="both"/>
        <w:rPr>
          <w:sz w:val="24"/>
          <w:szCs w:val="24"/>
        </w:rPr>
      </w:pPr>
      <w:r>
        <w:rPr>
          <w:sz w:val="24"/>
          <w:szCs w:val="24"/>
        </w:rPr>
        <w:lastRenderedPageBreak/>
        <w:t>Таблица 32. Анализ поступления доходов от аренды движимого имущества                                     за 2019 - 2020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134"/>
        <w:gridCol w:w="1134"/>
        <w:gridCol w:w="1134"/>
        <w:gridCol w:w="1070"/>
        <w:gridCol w:w="1113"/>
        <w:gridCol w:w="900"/>
      </w:tblGrid>
      <w:tr>
        <w:trPr>
          <w:trHeight w:val="187"/>
          <w:jc w:val="center"/>
        </w:trPr>
        <w:tc>
          <w:tcPr>
            <w:tcW w:w="3085" w:type="dxa"/>
            <w:vMerge w:val="restart"/>
            <w:vAlign w:val="center"/>
          </w:tcPr>
          <w:p>
            <w:pPr>
              <w:pStyle w:val="a5"/>
              <w:ind w:right="-2"/>
              <w:jc w:val="center"/>
            </w:pPr>
            <w:r>
              <w:t xml:space="preserve">Наименование </w:t>
            </w:r>
          </w:p>
        </w:tc>
        <w:tc>
          <w:tcPr>
            <w:tcW w:w="1134" w:type="dxa"/>
            <w:vMerge w:val="restart"/>
          </w:tcPr>
          <w:p>
            <w:pPr>
              <w:ind w:left="-108" w:right="-108"/>
              <w:jc w:val="center"/>
            </w:pPr>
          </w:p>
          <w:p>
            <w:pPr>
              <w:ind w:right="-57"/>
              <w:jc w:val="center"/>
              <w:rPr>
                <w:bCs/>
              </w:rPr>
            </w:pPr>
            <w:r>
              <w:rPr>
                <w:bCs/>
              </w:rPr>
              <w:t>Факт</w:t>
            </w:r>
          </w:p>
          <w:p>
            <w:pPr>
              <w:ind w:left="-108" w:right="-108"/>
              <w:jc w:val="center"/>
            </w:pPr>
            <w:r>
              <w:rPr>
                <w:bCs/>
              </w:rPr>
              <w:t>2019 год, тыс.руб.</w:t>
            </w:r>
          </w:p>
        </w:tc>
        <w:tc>
          <w:tcPr>
            <w:tcW w:w="5351" w:type="dxa"/>
            <w:gridSpan w:val="5"/>
            <w:vAlign w:val="center"/>
          </w:tcPr>
          <w:p>
            <w:pPr>
              <w:pStyle w:val="a5"/>
              <w:spacing w:after="0"/>
              <w:ind w:left="-57" w:right="-57"/>
              <w:jc w:val="center"/>
            </w:pPr>
            <w:r>
              <w:t>2020 год</w:t>
            </w:r>
          </w:p>
        </w:tc>
      </w:tr>
      <w:tr>
        <w:trPr>
          <w:trHeight w:val="559"/>
          <w:jc w:val="center"/>
        </w:trPr>
        <w:tc>
          <w:tcPr>
            <w:tcW w:w="3085" w:type="dxa"/>
            <w:vMerge/>
            <w:vAlign w:val="center"/>
          </w:tcPr>
          <w:p>
            <w:pPr>
              <w:pStyle w:val="a5"/>
              <w:spacing w:after="0"/>
              <w:ind w:right="-2"/>
              <w:jc w:val="center"/>
              <w:rPr>
                <w:sz w:val="22"/>
                <w:szCs w:val="22"/>
              </w:rPr>
            </w:pPr>
          </w:p>
        </w:tc>
        <w:tc>
          <w:tcPr>
            <w:tcW w:w="1134" w:type="dxa"/>
            <w:vMerge/>
          </w:tcPr>
          <w:p>
            <w:pPr>
              <w:ind w:left="-108" w:right="-108"/>
              <w:jc w:val="center"/>
            </w:pPr>
          </w:p>
        </w:tc>
        <w:tc>
          <w:tcPr>
            <w:tcW w:w="1134"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070" w:type="dxa"/>
            <w:vAlign w:val="center"/>
          </w:tcPr>
          <w:p>
            <w:pPr>
              <w:ind w:left="-108" w:right="-108"/>
              <w:jc w:val="center"/>
            </w:pPr>
            <w:r>
              <w:t xml:space="preserve">Факт, </w:t>
            </w:r>
            <w:r>
              <w:br/>
              <w:t>тыс.руб.</w:t>
            </w:r>
          </w:p>
        </w:tc>
        <w:tc>
          <w:tcPr>
            <w:tcW w:w="1113"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00"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42"/>
          <w:jc w:val="center"/>
        </w:trPr>
        <w:tc>
          <w:tcPr>
            <w:tcW w:w="3085"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34"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070" w:type="dxa"/>
            <w:shd w:val="clear" w:color="auto" w:fill="auto"/>
            <w:vAlign w:val="center"/>
          </w:tcPr>
          <w:p>
            <w:pPr>
              <w:jc w:val="center"/>
              <w:rPr>
                <w:color w:val="000000"/>
                <w:sz w:val="16"/>
                <w:szCs w:val="16"/>
              </w:rPr>
            </w:pPr>
            <w:r>
              <w:rPr>
                <w:color w:val="000000"/>
                <w:sz w:val="16"/>
                <w:szCs w:val="16"/>
              </w:rPr>
              <w:t>5</w:t>
            </w:r>
          </w:p>
        </w:tc>
        <w:tc>
          <w:tcPr>
            <w:tcW w:w="1113" w:type="dxa"/>
            <w:shd w:val="clear" w:color="auto" w:fill="auto"/>
            <w:vAlign w:val="center"/>
          </w:tcPr>
          <w:p>
            <w:pPr>
              <w:jc w:val="center"/>
              <w:rPr>
                <w:color w:val="000000"/>
                <w:sz w:val="16"/>
                <w:szCs w:val="16"/>
              </w:rPr>
            </w:pPr>
            <w:r>
              <w:rPr>
                <w:color w:val="000000"/>
                <w:sz w:val="16"/>
                <w:szCs w:val="16"/>
              </w:rPr>
              <w:t>6=5-4</w:t>
            </w:r>
          </w:p>
        </w:tc>
        <w:tc>
          <w:tcPr>
            <w:tcW w:w="900" w:type="dxa"/>
            <w:shd w:val="clear" w:color="auto" w:fill="auto"/>
            <w:vAlign w:val="center"/>
          </w:tcPr>
          <w:p>
            <w:pPr>
              <w:pStyle w:val="a5"/>
              <w:spacing w:after="0"/>
              <w:ind w:left="-57" w:right="-57"/>
              <w:jc w:val="center"/>
              <w:rPr>
                <w:sz w:val="16"/>
                <w:szCs w:val="16"/>
              </w:rPr>
            </w:pPr>
            <w:r>
              <w:rPr>
                <w:sz w:val="16"/>
                <w:szCs w:val="16"/>
              </w:rPr>
              <w:t>7=5/4</w:t>
            </w:r>
          </w:p>
        </w:tc>
      </w:tr>
      <w:tr>
        <w:trPr>
          <w:trHeight w:val="274"/>
          <w:jc w:val="center"/>
        </w:trPr>
        <w:tc>
          <w:tcPr>
            <w:tcW w:w="3085" w:type="dxa"/>
            <w:vAlign w:val="center"/>
          </w:tcPr>
          <w:p>
            <w:pPr>
              <w:pStyle w:val="a5"/>
              <w:tabs>
                <w:tab w:val="left" w:pos="3966"/>
              </w:tabs>
              <w:spacing w:after="0"/>
              <w:ind w:right="-120"/>
            </w:pPr>
            <w:r>
              <w:t>Аренда движимого имущества</w:t>
            </w:r>
          </w:p>
        </w:tc>
        <w:tc>
          <w:tcPr>
            <w:tcW w:w="1134" w:type="dxa"/>
            <w:vAlign w:val="center"/>
          </w:tcPr>
          <w:p>
            <w:pPr>
              <w:jc w:val="right"/>
              <w:rPr>
                <w:color w:val="000000"/>
              </w:rPr>
            </w:pPr>
            <w:r>
              <w:rPr>
                <w:color w:val="000000"/>
              </w:rPr>
              <w:t>1 850,79</w:t>
            </w:r>
          </w:p>
        </w:tc>
        <w:tc>
          <w:tcPr>
            <w:tcW w:w="1134" w:type="dxa"/>
            <w:vAlign w:val="center"/>
          </w:tcPr>
          <w:p>
            <w:pPr>
              <w:jc w:val="right"/>
              <w:rPr>
                <w:color w:val="000000"/>
              </w:rPr>
            </w:pPr>
            <w:r>
              <w:rPr>
                <w:color w:val="000000"/>
              </w:rPr>
              <w:t>1 274,45</w:t>
            </w:r>
          </w:p>
        </w:tc>
        <w:tc>
          <w:tcPr>
            <w:tcW w:w="1134" w:type="dxa"/>
            <w:shd w:val="clear" w:color="auto" w:fill="auto"/>
            <w:vAlign w:val="center"/>
          </w:tcPr>
          <w:p>
            <w:pPr>
              <w:jc w:val="right"/>
              <w:rPr>
                <w:color w:val="000000"/>
              </w:rPr>
            </w:pPr>
            <w:r>
              <w:rPr>
                <w:color w:val="000000"/>
              </w:rPr>
              <w:t>1 274,45</w:t>
            </w:r>
          </w:p>
        </w:tc>
        <w:tc>
          <w:tcPr>
            <w:tcW w:w="1070" w:type="dxa"/>
            <w:shd w:val="clear" w:color="auto" w:fill="auto"/>
            <w:vAlign w:val="center"/>
          </w:tcPr>
          <w:p>
            <w:pPr>
              <w:jc w:val="right"/>
              <w:rPr>
                <w:color w:val="000000"/>
              </w:rPr>
            </w:pPr>
            <w:r>
              <w:rPr>
                <w:color w:val="000000"/>
              </w:rPr>
              <w:t>1 893,00</w:t>
            </w:r>
          </w:p>
        </w:tc>
        <w:tc>
          <w:tcPr>
            <w:tcW w:w="1113" w:type="dxa"/>
            <w:shd w:val="clear" w:color="auto" w:fill="auto"/>
            <w:vAlign w:val="center"/>
          </w:tcPr>
          <w:p>
            <w:pPr>
              <w:jc w:val="right"/>
              <w:rPr>
                <w:color w:val="000000"/>
              </w:rPr>
            </w:pPr>
            <w:r>
              <w:rPr>
                <w:color w:val="000000"/>
              </w:rPr>
              <w:t>618,55</w:t>
            </w:r>
          </w:p>
        </w:tc>
        <w:tc>
          <w:tcPr>
            <w:tcW w:w="900" w:type="dxa"/>
            <w:shd w:val="clear" w:color="auto" w:fill="auto"/>
            <w:vAlign w:val="center"/>
          </w:tcPr>
          <w:p>
            <w:pPr>
              <w:pStyle w:val="a5"/>
              <w:spacing w:after="0"/>
              <w:ind w:left="-57" w:right="-57"/>
              <w:jc w:val="center"/>
            </w:pPr>
            <w:r>
              <w:t>148,5</w:t>
            </w:r>
          </w:p>
        </w:tc>
      </w:tr>
    </w:tbl>
    <w:p>
      <w:pPr>
        <w:pStyle w:val="a5"/>
        <w:spacing w:before="120" w:after="0"/>
        <w:ind w:firstLine="709"/>
        <w:jc w:val="both"/>
        <w:rPr>
          <w:sz w:val="24"/>
          <w:szCs w:val="24"/>
        </w:rPr>
      </w:pPr>
      <w:r>
        <w:rPr>
          <w:sz w:val="24"/>
          <w:szCs w:val="24"/>
        </w:rPr>
        <w:t>Удельный вес статьи в общей структуре фактически поступивших налоговых и неналоговых доходах - 0,2%.</w:t>
      </w:r>
    </w:p>
    <w:p>
      <w:pPr>
        <w:tabs>
          <w:tab w:val="left" w:pos="0"/>
        </w:tabs>
        <w:ind w:firstLine="709"/>
        <w:jc w:val="both"/>
        <w:rPr>
          <w:sz w:val="24"/>
          <w:szCs w:val="24"/>
        </w:rPr>
      </w:pPr>
      <w:r>
        <w:rPr>
          <w:sz w:val="24"/>
          <w:szCs w:val="24"/>
        </w:rPr>
        <w:t>Норматив зачисления в бюджет ЗАТО Северск 100%.</w:t>
      </w:r>
    </w:p>
    <w:p>
      <w:pPr>
        <w:pStyle w:val="a5"/>
        <w:spacing w:after="0"/>
        <w:ind w:right="23" w:firstLine="720"/>
        <w:jc w:val="both"/>
        <w:rPr>
          <w:sz w:val="24"/>
          <w:szCs w:val="24"/>
        </w:rPr>
      </w:pPr>
      <w:r>
        <w:rPr>
          <w:sz w:val="24"/>
          <w:szCs w:val="24"/>
        </w:rPr>
        <w:t>По сравнению с 2019 годом увеличение по статье составило 42,21 тыс.руб. или на 2,3% в связи с поступлением задолженности по исполнительным листам от ООО «Автотранс».</w:t>
      </w:r>
    </w:p>
    <w:p>
      <w:pPr>
        <w:pStyle w:val="a5"/>
        <w:tabs>
          <w:tab w:val="num" w:pos="0"/>
        </w:tabs>
        <w:spacing w:after="0"/>
        <w:rPr>
          <w:b/>
          <w:sz w:val="18"/>
          <w:szCs w:val="18"/>
          <w:highlight w:val="yellow"/>
        </w:rPr>
      </w:pPr>
    </w:p>
    <w:p>
      <w:pPr>
        <w:pStyle w:val="a5"/>
        <w:spacing w:after="80"/>
        <w:jc w:val="center"/>
        <w:rPr>
          <w:b/>
          <w:i/>
          <w:sz w:val="24"/>
          <w:szCs w:val="24"/>
        </w:rPr>
      </w:pPr>
      <w:r>
        <w:rPr>
          <w:b/>
          <w:i/>
          <w:sz w:val="24"/>
          <w:szCs w:val="24"/>
        </w:rPr>
        <w:t>3.2.1.7. Аренда рекламных конструкций</w:t>
      </w:r>
    </w:p>
    <w:p>
      <w:pPr>
        <w:tabs>
          <w:tab w:val="left" w:pos="0"/>
        </w:tabs>
        <w:ind w:firstLine="709"/>
        <w:jc w:val="both"/>
        <w:rPr>
          <w:sz w:val="24"/>
          <w:szCs w:val="24"/>
        </w:rPr>
      </w:pPr>
      <w:r>
        <w:rPr>
          <w:sz w:val="24"/>
          <w:szCs w:val="24"/>
        </w:rPr>
        <w:t>Прогноз поступлений по статье «Аренда рекламных конструкций» составлял 3 075,75 тыс.руб., фактическое исполнение – 3 126,50 тыс.руб., перевыполнение на 50,75 тыс.руб. или на 1,7%.</w:t>
      </w:r>
    </w:p>
    <w:p>
      <w:pPr>
        <w:pStyle w:val="a5"/>
        <w:spacing w:before="60" w:after="60"/>
        <w:ind w:firstLine="709"/>
        <w:jc w:val="both"/>
        <w:rPr>
          <w:sz w:val="24"/>
          <w:szCs w:val="24"/>
        </w:rPr>
      </w:pPr>
      <w:r>
        <w:rPr>
          <w:sz w:val="24"/>
          <w:szCs w:val="24"/>
        </w:rPr>
        <w:t>Таблица 33. Анализ поступления доходов от аренды рекламных конструкций                   за 2019 - 2020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134"/>
        <w:gridCol w:w="1275"/>
        <w:gridCol w:w="1134"/>
        <w:gridCol w:w="1126"/>
        <w:gridCol w:w="8"/>
        <w:gridCol w:w="1134"/>
        <w:gridCol w:w="957"/>
      </w:tblGrid>
      <w:tr>
        <w:trPr>
          <w:trHeight w:val="205"/>
          <w:jc w:val="center"/>
        </w:trPr>
        <w:tc>
          <w:tcPr>
            <w:tcW w:w="2802"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08" w:right="-108"/>
              <w:jc w:val="center"/>
            </w:pPr>
            <w:r>
              <w:rPr>
                <w:bCs/>
              </w:rPr>
              <w:t>2019 год, тыс.руб.</w:t>
            </w:r>
          </w:p>
        </w:tc>
        <w:tc>
          <w:tcPr>
            <w:tcW w:w="5634" w:type="dxa"/>
            <w:gridSpan w:val="6"/>
            <w:vAlign w:val="center"/>
          </w:tcPr>
          <w:p>
            <w:pPr>
              <w:pStyle w:val="a5"/>
              <w:spacing w:after="0"/>
              <w:ind w:left="-57" w:right="-57"/>
              <w:jc w:val="center"/>
            </w:pPr>
            <w:r>
              <w:t>2020 год</w:t>
            </w:r>
          </w:p>
        </w:tc>
      </w:tr>
      <w:tr>
        <w:trPr>
          <w:trHeight w:val="732"/>
          <w:jc w:val="center"/>
        </w:trPr>
        <w:tc>
          <w:tcPr>
            <w:tcW w:w="2802" w:type="dxa"/>
            <w:vMerge/>
            <w:vAlign w:val="center"/>
          </w:tcPr>
          <w:p>
            <w:pPr>
              <w:pStyle w:val="a5"/>
              <w:spacing w:after="0"/>
              <w:ind w:right="-2"/>
              <w:jc w:val="center"/>
              <w:rPr>
                <w:sz w:val="22"/>
                <w:szCs w:val="22"/>
              </w:rPr>
            </w:pPr>
          </w:p>
        </w:tc>
        <w:tc>
          <w:tcPr>
            <w:tcW w:w="1134" w:type="dxa"/>
            <w:vMerge/>
          </w:tcPr>
          <w:p>
            <w:pPr>
              <w:ind w:left="-108" w:right="-108"/>
              <w:jc w:val="center"/>
            </w:pPr>
          </w:p>
        </w:tc>
        <w:tc>
          <w:tcPr>
            <w:tcW w:w="1275"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134" w:type="dxa"/>
            <w:gridSpan w:val="2"/>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57"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58"/>
          <w:jc w:val="center"/>
        </w:trPr>
        <w:tc>
          <w:tcPr>
            <w:tcW w:w="2802"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275"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26" w:type="dxa"/>
            <w:shd w:val="clear" w:color="auto" w:fill="auto"/>
            <w:vAlign w:val="center"/>
          </w:tcPr>
          <w:p>
            <w:pPr>
              <w:jc w:val="center"/>
              <w:rPr>
                <w:color w:val="000000"/>
                <w:sz w:val="16"/>
                <w:szCs w:val="16"/>
              </w:rPr>
            </w:pPr>
            <w:r>
              <w:rPr>
                <w:color w:val="000000"/>
                <w:sz w:val="16"/>
                <w:szCs w:val="16"/>
              </w:rPr>
              <w:t>5</w:t>
            </w:r>
          </w:p>
        </w:tc>
        <w:tc>
          <w:tcPr>
            <w:tcW w:w="1142" w:type="dxa"/>
            <w:gridSpan w:val="2"/>
            <w:shd w:val="clear" w:color="auto" w:fill="auto"/>
            <w:vAlign w:val="center"/>
          </w:tcPr>
          <w:p>
            <w:pPr>
              <w:jc w:val="center"/>
              <w:rPr>
                <w:color w:val="000000"/>
                <w:sz w:val="16"/>
                <w:szCs w:val="16"/>
              </w:rPr>
            </w:pPr>
            <w:r>
              <w:rPr>
                <w:color w:val="000000"/>
                <w:sz w:val="16"/>
                <w:szCs w:val="16"/>
              </w:rPr>
              <w:t>6=5-4</w:t>
            </w:r>
          </w:p>
        </w:tc>
        <w:tc>
          <w:tcPr>
            <w:tcW w:w="957" w:type="dxa"/>
            <w:shd w:val="clear" w:color="auto" w:fill="auto"/>
            <w:vAlign w:val="center"/>
          </w:tcPr>
          <w:p>
            <w:pPr>
              <w:pStyle w:val="a5"/>
              <w:spacing w:after="0"/>
              <w:ind w:left="-57" w:right="-57"/>
              <w:jc w:val="center"/>
              <w:rPr>
                <w:sz w:val="16"/>
                <w:szCs w:val="16"/>
              </w:rPr>
            </w:pPr>
            <w:r>
              <w:rPr>
                <w:sz w:val="16"/>
                <w:szCs w:val="16"/>
              </w:rPr>
              <w:t>7=5/4</w:t>
            </w:r>
          </w:p>
        </w:tc>
      </w:tr>
      <w:tr>
        <w:trPr>
          <w:trHeight w:val="274"/>
          <w:jc w:val="center"/>
        </w:trPr>
        <w:tc>
          <w:tcPr>
            <w:tcW w:w="2802" w:type="dxa"/>
            <w:vAlign w:val="center"/>
          </w:tcPr>
          <w:p>
            <w:pPr>
              <w:pStyle w:val="a5"/>
              <w:tabs>
                <w:tab w:val="left" w:pos="3966"/>
              </w:tabs>
              <w:spacing w:after="0"/>
              <w:ind w:right="-119"/>
            </w:pPr>
            <w:r>
              <w:t>Аренда рекламных конструкций</w:t>
            </w:r>
          </w:p>
        </w:tc>
        <w:tc>
          <w:tcPr>
            <w:tcW w:w="1134" w:type="dxa"/>
            <w:vAlign w:val="center"/>
          </w:tcPr>
          <w:p>
            <w:pPr>
              <w:jc w:val="right"/>
              <w:rPr>
                <w:color w:val="000000"/>
              </w:rPr>
            </w:pPr>
            <w:r>
              <w:rPr>
                <w:color w:val="000000"/>
              </w:rPr>
              <w:t>5 261,84</w:t>
            </w:r>
          </w:p>
        </w:tc>
        <w:tc>
          <w:tcPr>
            <w:tcW w:w="1275" w:type="dxa"/>
            <w:vAlign w:val="center"/>
          </w:tcPr>
          <w:p>
            <w:pPr>
              <w:jc w:val="right"/>
              <w:rPr>
                <w:color w:val="000000"/>
              </w:rPr>
            </w:pPr>
            <w:r>
              <w:rPr>
                <w:color w:val="000000"/>
              </w:rPr>
              <w:t>4 487,09</w:t>
            </w:r>
          </w:p>
        </w:tc>
        <w:tc>
          <w:tcPr>
            <w:tcW w:w="1134" w:type="dxa"/>
            <w:shd w:val="clear" w:color="auto" w:fill="auto"/>
            <w:vAlign w:val="center"/>
          </w:tcPr>
          <w:p>
            <w:pPr>
              <w:jc w:val="right"/>
              <w:rPr>
                <w:color w:val="000000"/>
              </w:rPr>
            </w:pPr>
            <w:r>
              <w:rPr>
                <w:color w:val="000000"/>
              </w:rPr>
              <w:t>3 075,75</w:t>
            </w:r>
          </w:p>
        </w:tc>
        <w:tc>
          <w:tcPr>
            <w:tcW w:w="1126" w:type="dxa"/>
            <w:shd w:val="clear" w:color="auto" w:fill="auto"/>
            <w:vAlign w:val="center"/>
          </w:tcPr>
          <w:p>
            <w:pPr>
              <w:jc w:val="right"/>
              <w:rPr>
                <w:color w:val="000000"/>
              </w:rPr>
            </w:pPr>
            <w:r>
              <w:rPr>
                <w:color w:val="000000"/>
              </w:rPr>
              <w:t>3 126,50</w:t>
            </w:r>
          </w:p>
        </w:tc>
        <w:tc>
          <w:tcPr>
            <w:tcW w:w="1142" w:type="dxa"/>
            <w:gridSpan w:val="2"/>
            <w:shd w:val="clear" w:color="auto" w:fill="auto"/>
            <w:vAlign w:val="center"/>
          </w:tcPr>
          <w:p>
            <w:pPr>
              <w:jc w:val="right"/>
              <w:rPr>
                <w:color w:val="000000"/>
              </w:rPr>
            </w:pPr>
            <w:r>
              <w:rPr>
                <w:color w:val="000000"/>
              </w:rPr>
              <w:t>50,75</w:t>
            </w:r>
          </w:p>
        </w:tc>
        <w:tc>
          <w:tcPr>
            <w:tcW w:w="957" w:type="dxa"/>
            <w:shd w:val="clear" w:color="auto" w:fill="auto"/>
            <w:vAlign w:val="center"/>
          </w:tcPr>
          <w:p>
            <w:pPr>
              <w:pStyle w:val="a5"/>
              <w:spacing w:after="0"/>
              <w:ind w:left="-57" w:right="-57"/>
              <w:jc w:val="center"/>
            </w:pPr>
            <w:r>
              <w:t>101,7</w:t>
            </w:r>
          </w:p>
        </w:tc>
      </w:tr>
    </w:tbl>
    <w:p>
      <w:pPr>
        <w:pStyle w:val="a5"/>
        <w:spacing w:before="120" w:after="0"/>
        <w:ind w:firstLine="720"/>
        <w:jc w:val="both"/>
        <w:rPr>
          <w:sz w:val="24"/>
          <w:szCs w:val="24"/>
        </w:rPr>
      </w:pPr>
      <w:r>
        <w:rPr>
          <w:sz w:val="24"/>
          <w:szCs w:val="24"/>
        </w:rPr>
        <w:t>Удельный вес статьи в общей структуре фактически поступивших доходов составляет 0,1%, налоговых и неналоговых доходах - 0,3%.</w:t>
      </w:r>
    </w:p>
    <w:p>
      <w:pPr>
        <w:tabs>
          <w:tab w:val="left" w:pos="0"/>
        </w:tabs>
        <w:ind w:firstLine="709"/>
        <w:jc w:val="both"/>
        <w:rPr>
          <w:sz w:val="24"/>
          <w:szCs w:val="24"/>
        </w:rPr>
      </w:pPr>
      <w:r>
        <w:rPr>
          <w:sz w:val="24"/>
          <w:szCs w:val="24"/>
        </w:rPr>
        <w:t>Норматив зачисления в бюджет ЗАТО Северск 100%.</w:t>
      </w:r>
    </w:p>
    <w:p>
      <w:pPr>
        <w:pStyle w:val="a5"/>
        <w:spacing w:after="0"/>
        <w:ind w:firstLine="720"/>
        <w:jc w:val="both"/>
        <w:rPr>
          <w:sz w:val="24"/>
          <w:szCs w:val="24"/>
        </w:rPr>
      </w:pPr>
      <w:r>
        <w:rPr>
          <w:sz w:val="24"/>
          <w:szCs w:val="24"/>
        </w:rPr>
        <w:t>По сравнению с 2019 годом сокращение поступлений по статье составило 2 135,34 тыс.руб. или на 40,6%.</w:t>
      </w:r>
    </w:p>
    <w:p>
      <w:pPr>
        <w:pStyle w:val="a5"/>
        <w:spacing w:after="80"/>
        <w:jc w:val="center"/>
        <w:rPr>
          <w:b/>
          <w:i/>
          <w:sz w:val="24"/>
          <w:szCs w:val="24"/>
        </w:rPr>
      </w:pPr>
    </w:p>
    <w:p>
      <w:pPr>
        <w:pStyle w:val="a5"/>
        <w:spacing w:after="80"/>
        <w:jc w:val="center"/>
        <w:rPr>
          <w:b/>
          <w:i/>
          <w:sz w:val="24"/>
          <w:szCs w:val="24"/>
        </w:rPr>
      </w:pPr>
      <w:r>
        <w:rPr>
          <w:b/>
          <w:i/>
          <w:sz w:val="24"/>
          <w:szCs w:val="24"/>
        </w:rPr>
        <w:t>3.2.1.8. Плата за размещение временных торговых объектов</w:t>
      </w:r>
    </w:p>
    <w:p>
      <w:pPr>
        <w:tabs>
          <w:tab w:val="left" w:pos="0"/>
        </w:tabs>
        <w:ind w:firstLine="709"/>
        <w:jc w:val="both"/>
        <w:rPr>
          <w:sz w:val="24"/>
          <w:szCs w:val="24"/>
        </w:rPr>
      </w:pPr>
      <w:r>
        <w:rPr>
          <w:sz w:val="24"/>
          <w:szCs w:val="24"/>
        </w:rPr>
        <w:t>Прогноз поступлений по статье «Плата за размещение временных торговых объектов» составлял 1 738,15 тыс.руб., фактическое исполнение – 1 982,15 тыс.руб., перевыполнение на 244,00 тыс.руб. или на 14,0%.</w:t>
      </w:r>
    </w:p>
    <w:p>
      <w:pPr>
        <w:pStyle w:val="a5"/>
        <w:spacing w:before="60" w:after="60"/>
        <w:ind w:firstLine="709"/>
        <w:jc w:val="both"/>
        <w:rPr>
          <w:sz w:val="24"/>
          <w:szCs w:val="24"/>
        </w:rPr>
      </w:pPr>
      <w:r>
        <w:rPr>
          <w:sz w:val="24"/>
          <w:szCs w:val="24"/>
        </w:rPr>
        <w:t>Таблица 34. Анализ поступления доходов от платы за размещение временных торговых объектов за 2019 - 2020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134"/>
        <w:gridCol w:w="1275"/>
        <w:gridCol w:w="1134"/>
        <w:gridCol w:w="1126"/>
        <w:gridCol w:w="8"/>
        <w:gridCol w:w="1134"/>
        <w:gridCol w:w="957"/>
      </w:tblGrid>
      <w:tr>
        <w:trPr>
          <w:trHeight w:val="205"/>
          <w:jc w:val="center"/>
        </w:trPr>
        <w:tc>
          <w:tcPr>
            <w:tcW w:w="2802"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08" w:right="-108"/>
              <w:jc w:val="center"/>
            </w:pPr>
            <w:r>
              <w:rPr>
                <w:bCs/>
              </w:rPr>
              <w:t>2019 год, тыс.руб.</w:t>
            </w:r>
          </w:p>
        </w:tc>
        <w:tc>
          <w:tcPr>
            <w:tcW w:w="5634" w:type="dxa"/>
            <w:gridSpan w:val="6"/>
            <w:vAlign w:val="center"/>
          </w:tcPr>
          <w:p>
            <w:pPr>
              <w:pStyle w:val="a5"/>
              <w:spacing w:after="0"/>
              <w:ind w:left="-57" w:right="-57"/>
              <w:jc w:val="center"/>
            </w:pPr>
            <w:r>
              <w:t>2020 год</w:t>
            </w:r>
          </w:p>
        </w:tc>
      </w:tr>
      <w:tr>
        <w:trPr>
          <w:trHeight w:val="732"/>
          <w:jc w:val="center"/>
        </w:trPr>
        <w:tc>
          <w:tcPr>
            <w:tcW w:w="2802" w:type="dxa"/>
            <w:vMerge/>
            <w:vAlign w:val="center"/>
          </w:tcPr>
          <w:p>
            <w:pPr>
              <w:pStyle w:val="a5"/>
              <w:spacing w:after="0"/>
              <w:ind w:right="-2"/>
              <w:jc w:val="center"/>
              <w:rPr>
                <w:sz w:val="22"/>
                <w:szCs w:val="22"/>
              </w:rPr>
            </w:pPr>
          </w:p>
        </w:tc>
        <w:tc>
          <w:tcPr>
            <w:tcW w:w="1134" w:type="dxa"/>
            <w:vMerge/>
          </w:tcPr>
          <w:p>
            <w:pPr>
              <w:ind w:left="-108" w:right="-108"/>
              <w:jc w:val="center"/>
            </w:pPr>
          </w:p>
        </w:tc>
        <w:tc>
          <w:tcPr>
            <w:tcW w:w="1275"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134" w:type="dxa"/>
            <w:gridSpan w:val="2"/>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57"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58"/>
          <w:jc w:val="center"/>
        </w:trPr>
        <w:tc>
          <w:tcPr>
            <w:tcW w:w="2802"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275"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26" w:type="dxa"/>
            <w:shd w:val="clear" w:color="auto" w:fill="auto"/>
            <w:vAlign w:val="center"/>
          </w:tcPr>
          <w:p>
            <w:pPr>
              <w:jc w:val="center"/>
              <w:rPr>
                <w:color w:val="000000"/>
                <w:sz w:val="16"/>
                <w:szCs w:val="16"/>
              </w:rPr>
            </w:pPr>
            <w:r>
              <w:rPr>
                <w:color w:val="000000"/>
                <w:sz w:val="16"/>
                <w:szCs w:val="16"/>
              </w:rPr>
              <w:t>5</w:t>
            </w:r>
          </w:p>
        </w:tc>
        <w:tc>
          <w:tcPr>
            <w:tcW w:w="1142" w:type="dxa"/>
            <w:gridSpan w:val="2"/>
            <w:shd w:val="clear" w:color="auto" w:fill="auto"/>
            <w:vAlign w:val="center"/>
          </w:tcPr>
          <w:p>
            <w:pPr>
              <w:jc w:val="center"/>
              <w:rPr>
                <w:color w:val="000000"/>
                <w:sz w:val="16"/>
                <w:szCs w:val="16"/>
              </w:rPr>
            </w:pPr>
            <w:r>
              <w:rPr>
                <w:color w:val="000000"/>
                <w:sz w:val="16"/>
                <w:szCs w:val="16"/>
              </w:rPr>
              <w:t>6=5-4</w:t>
            </w:r>
          </w:p>
        </w:tc>
        <w:tc>
          <w:tcPr>
            <w:tcW w:w="957" w:type="dxa"/>
            <w:shd w:val="clear" w:color="auto" w:fill="auto"/>
            <w:vAlign w:val="center"/>
          </w:tcPr>
          <w:p>
            <w:pPr>
              <w:pStyle w:val="a5"/>
              <w:spacing w:after="0"/>
              <w:ind w:left="-57" w:right="-57"/>
              <w:jc w:val="center"/>
              <w:rPr>
                <w:sz w:val="16"/>
                <w:szCs w:val="16"/>
              </w:rPr>
            </w:pPr>
            <w:r>
              <w:rPr>
                <w:sz w:val="16"/>
                <w:szCs w:val="16"/>
              </w:rPr>
              <w:t>7=5/4</w:t>
            </w:r>
          </w:p>
        </w:tc>
      </w:tr>
      <w:tr>
        <w:trPr>
          <w:trHeight w:val="274"/>
          <w:jc w:val="center"/>
        </w:trPr>
        <w:tc>
          <w:tcPr>
            <w:tcW w:w="2802" w:type="dxa"/>
            <w:vAlign w:val="center"/>
          </w:tcPr>
          <w:p>
            <w:pPr>
              <w:pStyle w:val="a5"/>
              <w:tabs>
                <w:tab w:val="left" w:pos="3966"/>
              </w:tabs>
              <w:spacing w:after="0"/>
              <w:ind w:right="-119"/>
            </w:pPr>
            <w:r>
              <w:t>Плата за размещение временных торговых объектов</w:t>
            </w:r>
          </w:p>
        </w:tc>
        <w:tc>
          <w:tcPr>
            <w:tcW w:w="1134" w:type="dxa"/>
            <w:vAlign w:val="center"/>
          </w:tcPr>
          <w:p>
            <w:pPr>
              <w:jc w:val="right"/>
              <w:rPr>
                <w:color w:val="000000"/>
              </w:rPr>
            </w:pPr>
            <w:r>
              <w:rPr>
                <w:color w:val="000000"/>
              </w:rPr>
              <w:t>-</w:t>
            </w:r>
          </w:p>
        </w:tc>
        <w:tc>
          <w:tcPr>
            <w:tcW w:w="1275" w:type="dxa"/>
            <w:vAlign w:val="center"/>
          </w:tcPr>
          <w:p>
            <w:pPr>
              <w:jc w:val="right"/>
              <w:rPr>
                <w:color w:val="000000"/>
              </w:rPr>
            </w:pPr>
            <w:r>
              <w:rPr>
                <w:color w:val="000000"/>
              </w:rPr>
              <w:t>2 165,38</w:t>
            </w:r>
          </w:p>
        </w:tc>
        <w:tc>
          <w:tcPr>
            <w:tcW w:w="1134" w:type="dxa"/>
            <w:shd w:val="clear" w:color="auto" w:fill="auto"/>
            <w:vAlign w:val="center"/>
          </w:tcPr>
          <w:p>
            <w:pPr>
              <w:jc w:val="right"/>
              <w:rPr>
                <w:color w:val="000000"/>
              </w:rPr>
            </w:pPr>
            <w:r>
              <w:rPr>
                <w:color w:val="000000"/>
              </w:rPr>
              <w:t>1 738,15</w:t>
            </w:r>
          </w:p>
        </w:tc>
        <w:tc>
          <w:tcPr>
            <w:tcW w:w="1126" w:type="dxa"/>
            <w:shd w:val="clear" w:color="auto" w:fill="auto"/>
            <w:vAlign w:val="center"/>
          </w:tcPr>
          <w:p>
            <w:pPr>
              <w:jc w:val="right"/>
              <w:rPr>
                <w:color w:val="000000"/>
              </w:rPr>
            </w:pPr>
            <w:r>
              <w:rPr>
                <w:color w:val="000000"/>
              </w:rPr>
              <w:t>1 982,15</w:t>
            </w:r>
          </w:p>
        </w:tc>
        <w:tc>
          <w:tcPr>
            <w:tcW w:w="1142" w:type="dxa"/>
            <w:gridSpan w:val="2"/>
            <w:shd w:val="clear" w:color="auto" w:fill="auto"/>
            <w:vAlign w:val="center"/>
          </w:tcPr>
          <w:p>
            <w:pPr>
              <w:jc w:val="right"/>
              <w:rPr>
                <w:color w:val="000000"/>
              </w:rPr>
            </w:pPr>
            <w:r>
              <w:rPr>
                <w:color w:val="000000"/>
              </w:rPr>
              <w:t>244,00</w:t>
            </w:r>
          </w:p>
        </w:tc>
        <w:tc>
          <w:tcPr>
            <w:tcW w:w="957" w:type="dxa"/>
            <w:shd w:val="clear" w:color="auto" w:fill="auto"/>
            <w:vAlign w:val="center"/>
          </w:tcPr>
          <w:p>
            <w:pPr>
              <w:pStyle w:val="a5"/>
              <w:spacing w:after="0"/>
              <w:ind w:left="-57" w:right="-57"/>
              <w:jc w:val="center"/>
            </w:pPr>
            <w:r>
              <w:t>114,0</w:t>
            </w:r>
          </w:p>
        </w:tc>
      </w:tr>
    </w:tbl>
    <w:p>
      <w:pPr>
        <w:pStyle w:val="a5"/>
        <w:spacing w:before="120" w:after="0"/>
        <w:ind w:firstLine="720"/>
        <w:jc w:val="both"/>
        <w:rPr>
          <w:sz w:val="24"/>
          <w:szCs w:val="24"/>
        </w:rPr>
      </w:pPr>
      <w:r>
        <w:rPr>
          <w:sz w:val="24"/>
          <w:szCs w:val="24"/>
        </w:rPr>
        <w:t>Удельный вес статьи в общей структуре фактически поступивших доходов составляет 0,04%, налоговых и неналоговых доходах - 0,2%.</w:t>
      </w:r>
    </w:p>
    <w:p>
      <w:pPr>
        <w:tabs>
          <w:tab w:val="left" w:pos="0"/>
        </w:tabs>
        <w:ind w:firstLine="709"/>
        <w:jc w:val="both"/>
        <w:rPr>
          <w:sz w:val="24"/>
          <w:szCs w:val="24"/>
        </w:rPr>
      </w:pPr>
      <w:r>
        <w:rPr>
          <w:sz w:val="24"/>
          <w:szCs w:val="24"/>
        </w:rPr>
        <w:t>Норматив зачисления в бюджет ЗАТО Северск 100%.</w:t>
      </w:r>
    </w:p>
    <w:p>
      <w:pPr>
        <w:pStyle w:val="a5"/>
        <w:spacing w:after="0"/>
        <w:jc w:val="both"/>
        <w:rPr>
          <w:highlight w:val="yellow"/>
        </w:rPr>
      </w:pPr>
    </w:p>
    <w:p>
      <w:pPr>
        <w:pStyle w:val="a5"/>
        <w:spacing w:after="160"/>
        <w:jc w:val="center"/>
        <w:rPr>
          <w:b/>
          <w:sz w:val="24"/>
          <w:szCs w:val="24"/>
        </w:rPr>
      </w:pPr>
    </w:p>
    <w:p>
      <w:pPr>
        <w:pStyle w:val="a5"/>
        <w:spacing w:after="160"/>
        <w:jc w:val="center"/>
        <w:rPr>
          <w:b/>
          <w:sz w:val="24"/>
          <w:szCs w:val="24"/>
        </w:rPr>
      </w:pPr>
      <w:r>
        <w:rPr>
          <w:b/>
          <w:sz w:val="24"/>
          <w:szCs w:val="24"/>
        </w:rPr>
        <w:lastRenderedPageBreak/>
        <w:t>3.2.2. Платежи при пользовании природными ресурсами</w:t>
      </w:r>
    </w:p>
    <w:p>
      <w:pPr>
        <w:ind w:firstLine="709"/>
        <w:jc w:val="both"/>
        <w:rPr>
          <w:sz w:val="24"/>
          <w:szCs w:val="24"/>
        </w:rPr>
      </w:pPr>
      <w:r>
        <w:rPr>
          <w:sz w:val="24"/>
          <w:szCs w:val="24"/>
        </w:rPr>
        <w:t>Прогноз поступлений по статье «Плата за негативное воздействие на окружающую среду» составлял 8 027,96 тыс.руб., фактически поступило 8 175,92 тыс.руб., перевыполнение на 147,96 тыс.руб. или на 1,8%.</w:t>
      </w:r>
    </w:p>
    <w:p>
      <w:pPr>
        <w:pStyle w:val="a5"/>
        <w:spacing w:before="120" w:after="60"/>
        <w:ind w:firstLine="709"/>
        <w:jc w:val="both"/>
        <w:rPr>
          <w:sz w:val="24"/>
          <w:szCs w:val="24"/>
        </w:rPr>
      </w:pPr>
      <w:r>
        <w:rPr>
          <w:sz w:val="24"/>
          <w:szCs w:val="24"/>
        </w:rPr>
        <w:t>Таблица 35. Анализ поступления платы за негативное воздействие на окружающую среду за 2019 - 2020 гг.</w:t>
      </w:r>
    </w:p>
    <w:tbl>
      <w:tblPr>
        <w:tblW w:w="9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4"/>
        <w:gridCol w:w="1184"/>
        <w:gridCol w:w="1096"/>
        <w:gridCol w:w="1129"/>
        <w:gridCol w:w="1132"/>
        <w:gridCol w:w="1066"/>
        <w:gridCol w:w="733"/>
      </w:tblGrid>
      <w:tr>
        <w:trPr>
          <w:trHeight w:val="347"/>
          <w:jc w:val="center"/>
        </w:trPr>
        <w:tc>
          <w:tcPr>
            <w:tcW w:w="3224" w:type="dxa"/>
            <w:vMerge w:val="restart"/>
            <w:vAlign w:val="center"/>
          </w:tcPr>
          <w:p>
            <w:pPr>
              <w:pStyle w:val="a5"/>
              <w:ind w:right="-2"/>
              <w:jc w:val="center"/>
            </w:pPr>
            <w:r>
              <w:t xml:space="preserve">Наименование </w:t>
            </w:r>
          </w:p>
        </w:tc>
        <w:tc>
          <w:tcPr>
            <w:tcW w:w="1184" w:type="dxa"/>
            <w:vMerge w:val="restart"/>
            <w:vAlign w:val="center"/>
          </w:tcPr>
          <w:p>
            <w:pPr>
              <w:ind w:right="-57"/>
              <w:jc w:val="center"/>
              <w:rPr>
                <w:bCs/>
              </w:rPr>
            </w:pPr>
            <w:r>
              <w:rPr>
                <w:bCs/>
              </w:rPr>
              <w:t>Факт</w:t>
            </w:r>
          </w:p>
          <w:p>
            <w:pPr>
              <w:ind w:left="-158" w:right="-108"/>
              <w:jc w:val="center"/>
            </w:pPr>
            <w:r>
              <w:rPr>
                <w:bCs/>
              </w:rPr>
              <w:t>2019 год, тыс.руб</w:t>
            </w:r>
          </w:p>
        </w:tc>
        <w:tc>
          <w:tcPr>
            <w:tcW w:w="5156" w:type="dxa"/>
            <w:gridSpan w:val="5"/>
            <w:vAlign w:val="center"/>
          </w:tcPr>
          <w:p>
            <w:pPr>
              <w:ind w:left="-108" w:right="-108"/>
              <w:jc w:val="center"/>
            </w:pPr>
            <w:r>
              <w:t>2020 год</w:t>
            </w:r>
          </w:p>
        </w:tc>
      </w:tr>
      <w:tr>
        <w:trPr>
          <w:trHeight w:val="975"/>
          <w:jc w:val="center"/>
        </w:trPr>
        <w:tc>
          <w:tcPr>
            <w:tcW w:w="3224" w:type="dxa"/>
            <w:vMerge/>
            <w:vAlign w:val="center"/>
          </w:tcPr>
          <w:p>
            <w:pPr>
              <w:pStyle w:val="a5"/>
              <w:spacing w:after="0"/>
              <w:ind w:right="-2"/>
              <w:jc w:val="center"/>
              <w:rPr>
                <w:sz w:val="22"/>
                <w:szCs w:val="22"/>
              </w:rPr>
            </w:pPr>
          </w:p>
        </w:tc>
        <w:tc>
          <w:tcPr>
            <w:tcW w:w="1184" w:type="dxa"/>
            <w:vMerge/>
            <w:vAlign w:val="center"/>
          </w:tcPr>
          <w:p>
            <w:pPr>
              <w:ind w:left="-108" w:right="-108"/>
              <w:jc w:val="center"/>
            </w:pPr>
          </w:p>
        </w:tc>
        <w:tc>
          <w:tcPr>
            <w:tcW w:w="1096" w:type="dxa"/>
          </w:tcPr>
          <w:p>
            <w:pPr>
              <w:ind w:left="-158" w:right="-108"/>
              <w:jc w:val="center"/>
            </w:pPr>
            <w:r>
              <w:t>Первона-чальный прогноз, тыс.руб.</w:t>
            </w:r>
          </w:p>
        </w:tc>
        <w:tc>
          <w:tcPr>
            <w:tcW w:w="1129" w:type="dxa"/>
            <w:vAlign w:val="center"/>
          </w:tcPr>
          <w:p>
            <w:pPr>
              <w:ind w:left="-158" w:right="-108"/>
              <w:jc w:val="center"/>
            </w:pPr>
            <w:r>
              <w:t>Уточненный прогноз,</w:t>
            </w:r>
            <w:r>
              <w:br/>
              <w:t>тыс.руб.</w:t>
            </w:r>
          </w:p>
        </w:tc>
        <w:tc>
          <w:tcPr>
            <w:tcW w:w="1132" w:type="dxa"/>
            <w:vAlign w:val="center"/>
          </w:tcPr>
          <w:p>
            <w:pPr>
              <w:ind w:left="-108" w:right="-108"/>
              <w:jc w:val="center"/>
            </w:pPr>
            <w:r>
              <w:t xml:space="preserve">Факт, </w:t>
            </w:r>
            <w:r>
              <w:br/>
              <w:t>тыс.руб.</w:t>
            </w:r>
          </w:p>
        </w:tc>
        <w:tc>
          <w:tcPr>
            <w:tcW w:w="1066"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733"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93"/>
          <w:jc w:val="center"/>
        </w:trPr>
        <w:tc>
          <w:tcPr>
            <w:tcW w:w="3224" w:type="dxa"/>
            <w:vAlign w:val="center"/>
          </w:tcPr>
          <w:p>
            <w:pPr>
              <w:pStyle w:val="a5"/>
              <w:tabs>
                <w:tab w:val="left" w:pos="3966"/>
              </w:tabs>
              <w:spacing w:after="0"/>
              <w:ind w:right="-120"/>
              <w:jc w:val="center"/>
              <w:rPr>
                <w:sz w:val="16"/>
                <w:szCs w:val="16"/>
              </w:rPr>
            </w:pPr>
            <w:r>
              <w:rPr>
                <w:sz w:val="16"/>
                <w:szCs w:val="16"/>
              </w:rPr>
              <w:t>1</w:t>
            </w:r>
          </w:p>
        </w:tc>
        <w:tc>
          <w:tcPr>
            <w:tcW w:w="1184" w:type="dxa"/>
            <w:vAlign w:val="center"/>
          </w:tcPr>
          <w:p>
            <w:pPr>
              <w:jc w:val="center"/>
              <w:rPr>
                <w:color w:val="000000"/>
                <w:sz w:val="16"/>
                <w:szCs w:val="16"/>
              </w:rPr>
            </w:pPr>
            <w:r>
              <w:rPr>
                <w:color w:val="000000"/>
                <w:sz w:val="16"/>
                <w:szCs w:val="16"/>
              </w:rPr>
              <w:t>2</w:t>
            </w:r>
          </w:p>
        </w:tc>
        <w:tc>
          <w:tcPr>
            <w:tcW w:w="1096" w:type="dxa"/>
            <w:vAlign w:val="center"/>
          </w:tcPr>
          <w:p>
            <w:pPr>
              <w:jc w:val="center"/>
              <w:rPr>
                <w:color w:val="000000"/>
                <w:sz w:val="16"/>
                <w:szCs w:val="16"/>
              </w:rPr>
            </w:pPr>
            <w:r>
              <w:rPr>
                <w:color w:val="000000"/>
                <w:sz w:val="16"/>
                <w:szCs w:val="16"/>
              </w:rPr>
              <w:t>3</w:t>
            </w:r>
          </w:p>
        </w:tc>
        <w:tc>
          <w:tcPr>
            <w:tcW w:w="1129" w:type="dxa"/>
            <w:shd w:val="clear" w:color="auto" w:fill="auto"/>
            <w:vAlign w:val="center"/>
          </w:tcPr>
          <w:p>
            <w:pPr>
              <w:jc w:val="center"/>
              <w:rPr>
                <w:color w:val="000000"/>
                <w:sz w:val="16"/>
                <w:szCs w:val="16"/>
              </w:rPr>
            </w:pPr>
            <w:r>
              <w:rPr>
                <w:color w:val="000000"/>
                <w:sz w:val="16"/>
                <w:szCs w:val="16"/>
              </w:rPr>
              <w:t>4</w:t>
            </w:r>
          </w:p>
        </w:tc>
        <w:tc>
          <w:tcPr>
            <w:tcW w:w="1132" w:type="dxa"/>
            <w:shd w:val="clear" w:color="auto" w:fill="auto"/>
            <w:vAlign w:val="center"/>
          </w:tcPr>
          <w:p>
            <w:pPr>
              <w:jc w:val="center"/>
              <w:rPr>
                <w:color w:val="000000"/>
                <w:sz w:val="16"/>
                <w:szCs w:val="16"/>
              </w:rPr>
            </w:pPr>
            <w:r>
              <w:rPr>
                <w:color w:val="000000"/>
                <w:sz w:val="16"/>
                <w:szCs w:val="16"/>
              </w:rPr>
              <w:t>5</w:t>
            </w:r>
          </w:p>
        </w:tc>
        <w:tc>
          <w:tcPr>
            <w:tcW w:w="1066" w:type="dxa"/>
            <w:shd w:val="clear" w:color="auto" w:fill="auto"/>
            <w:vAlign w:val="center"/>
          </w:tcPr>
          <w:p>
            <w:pPr>
              <w:jc w:val="center"/>
              <w:rPr>
                <w:color w:val="000000"/>
                <w:sz w:val="16"/>
                <w:szCs w:val="16"/>
              </w:rPr>
            </w:pPr>
            <w:r>
              <w:rPr>
                <w:color w:val="000000"/>
                <w:sz w:val="16"/>
                <w:szCs w:val="16"/>
              </w:rPr>
              <w:t>6=5-4</w:t>
            </w:r>
          </w:p>
        </w:tc>
        <w:tc>
          <w:tcPr>
            <w:tcW w:w="733" w:type="dxa"/>
            <w:shd w:val="clear" w:color="auto" w:fill="auto"/>
            <w:vAlign w:val="center"/>
          </w:tcPr>
          <w:p>
            <w:pPr>
              <w:pStyle w:val="a5"/>
              <w:spacing w:after="0"/>
              <w:ind w:left="-57" w:right="-57"/>
              <w:jc w:val="center"/>
              <w:rPr>
                <w:sz w:val="16"/>
                <w:szCs w:val="16"/>
              </w:rPr>
            </w:pPr>
            <w:r>
              <w:rPr>
                <w:sz w:val="16"/>
                <w:szCs w:val="16"/>
              </w:rPr>
              <w:t>7=5/4</w:t>
            </w:r>
          </w:p>
        </w:tc>
      </w:tr>
      <w:tr>
        <w:trPr>
          <w:trHeight w:val="835"/>
          <w:jc w:val="center"/>
        </w:trPr>
        <w:tc>
          <w:tcPr>
            <w:tcW w:w="3224" w:type="dxa"/>
            <w:vAlign w:val="center"/>
          </w:tcPr>
          <w:p>
            <w:pPr>
              <w:pStyle w:val="a5"/>
              <w:tabs>
                <w:tab w:val="left" w:pos="3966"/>
              </w:tabs>
              <w:spacing w:after="0"/>
              <w:ind w:right="-119"/>
            </w:pPr>
            <w:r>
              <w:t xml:space="preserve">Плата за негативное воздействие </w:t>
            </w:r>
          </w:p>
          <w:p>
            <w:pPr>
              <w:pStyle w:val="a5"/>
              <w:tabs>
                <w:tab w:val="left" w:pos="3966"/>
              </w:tabs>
              <w:spacing w:after="0"/>
              <w:ind w:right="-119"/>
            </w:pPr>
            <w:r>
              <w:t>на окружающую среду,</w:t>
            </w:r>
          </w:p>
          <w:p>
            <w:pPr>
              <w:pStyle w:val="a5"/>
              <w:tabs>
                <w:tab w:val="left" w:pos="3966"/>
              </w:tabs>
              <w:spacing w:after="0"/>
              <w:ind w:right="-119"/>
            </w:pPr>
            <w:r>
              <w:t>в т.ч. в разрезе плательщиков:</w:t>
            </w:r>
          </w:p>
        </w:tc>
        <w:tc>
          <w:tcPr>
            <w:tcW w:w="1184" w:type="dxa"/>
            <w:shd w:val="clear" w:color="auto" w:fill="auto"/>
            <w:vAlign w:val="center"/>
          </w:tcPr>
          <w:p>
            <w:pPr>
              <w:jc w:val="right"/>
            </w:pPr>
            <w:r>
              <w:rPr>
                <w:color w:val="000000"/>
              </w:rPr>
              <w:t>19 568,56</w:t>
            </w:r>
          </w:p>
        </w:tc>
        <w:tc>
          <w:tcPr>
            <w:tcW w:w="1096" w:type="dxa"/>
            <w:vAlign w:val="center"/>
          </w:tcPr>
          <w:p>
            <w:pPr>
              <w:jc w:val="right"/>
              <w:rPr>
                <w:color w:val="000000"/>
              </w:rPr>
            </w:pPr>
            <w:r>
              <w:rPr>
                <w:color w:val="000000"/>
              </w:rPr>
              <w:t>12 226,39</w:t>
            </w:r>
          </w:p>
        </w:tc>
        <w:tc>
          <w:tcPr>
            <w:tcW w:w="1129" w:type="dxa"/>
            <w:shd w:val="clear" w:color="auto" w:fill="auto"/>
            <w:vAlign w:val="center"/>
          </w:tcPr>
          <w:p>
            <w:pPr>
              <w:jc w:val="right"/>
              <w:rPr>
                <w:color w:val="000000"/>
              </w:rPr>
            </w:pPr>
            <w:r>
              <w:rPr>
                <w:color w:val="000000"/>
              </w:rPr>
              <w:t>8 027,96</w:t>
            </w:r>
          </w:p>
        </w:tc>
        <w:tc>
          <w:tcPr>
            <w:tcW w:w="1132" w:type="dxa"/>
            <w:shd w:val="clear" w:color="auto" w:fill="auto"/>
            <w:vAlign w:val="center"/>
          </w:tcPr>
          <w:p>
            <w:pPr>
              <w:jc w:val="right"/>
              <w:rPr>
                <w:color w:val="000000"/>
              </w:rPr>
            </w:pPr>
            <w:r>
              <w:rPr>
                <w:color w:val="000000"/>
              </w:rPr>
              <w:t>8 175,92</w:t>
            </w:r>
          </w:p>
        </w:tc>
        <w:tc>
          <w:tcPr>
            <w:tcW w:w="1066" w:type="dxa"/>
            <w:shd w:val="clear" w:color="auto" w:fill="auto"/>
            <w:vAlign w:val="center"/>
          </w:tcPr>
          <w:p>
            <w:pPr>
              <w:jc w:val="right"/>
              <w:rPr>
                <w:color w:val="000000"/>
              </w:rPr>
            </w:pPr>
            <w:r>
              <w:rPr>
                <w:color w:val="000000"/>
              </w:rPr>
              <w:t>147,96</w:t>
            </w:r>
          </w:p>
        </w:tc>
        <w:tc>
          <w:tcPr>
            <w:tcW w:w="733" w:type="dxa"/>
            <w:shd w:val="clear" w:color="auto" w:fill="auto"/>
            <w:vAlign w:val="center"/>
          </w:tcPr>
          <w:p>
            <w:pPr>
              <w:pStyle w:val="a5"/>
              <w:spacing w:after="0"/>
              <w:ind w:left="-57" w:right="-57"/>
              <w:jc w:val="center"/>
            </w:pPr>
            <w:r>
              <w:t>101,8</w:t>
            </w:r>
          </w:p>
        </w:tc>
      </w:tr>
      <w:tr>
        <w:trPr>
          <w:trHeight w:val="422"/>
          <w:jc w:val="center"/>
        </w:trPr>
        <w:tc>
          <w:tcPr>
            <w:tcW w:w="3224" w:type="dxa"/>
            <w:vAlign w:val="center"/>
          </w:tcPr>
          <w:p>
            <w:pPr>
              <w:pStyle w:val="a5"/>
              <w:tabs>
                <w:tab w:val="left" w:pos="3966"/>
              </w:tabs>
              <w:spacing w:after="0"/>
              <w:ind w:right="-119"/>
            </w:pPr>
            <w:r>
              <w:t>АО «СХК»</w:t>
            </w:r>
          </w:p>
        </w:tc>
        <w:tc>
          <w:tcPr>
            <w:tcW w:w="1184" w:type="dxa"/>
            <w:shd w:val="clear" w:color="auto" w:fill="auto"/>
            <w:vAlign w:val="center"/>
          </w:tcPr>
          <w:p>
            <w:pPr>
              <w:jc w:val="right"/>
            </w:pPr>
            <w:r>
              <w:t>4 372,89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3 300,00</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right"/>
            </w:pPr>
            <w:r>
              <w:t>1 330,40</w:t>
            </w:r>
          </w:p>
        </w:tc>
        <w:tc>
          <w:tcPr>
            <w:tcW w:w="1132" w:type="dxa"/>
            <w:tcBorders>
              <w:bottom w:val="single" w:sz="4" w:space="0" w:color="auto"/>
            </w:tcBorders>
            <w:shd w:val="clear" w:color="auto" w:fill="auto"/>
            <w:vAlign w:val="center"/>
          </w:tcPr>
          <w:p>
            <w:pPr>
              <w:jc w:val="right"/>
            </w:pPr>
            <w:r>
              <w:t>1 330,37</w:t>
            </w:r>
          </w:p>
        </w:tc>
        <w:tc>
          <w:tcPr>
            <w:tcW w:w="1066" w:type="dxa"/>
            <w:shd w:val="clear" w:color="auto" w:fill="auto"/>
            <w:vAlign w:val="center"/>
          </w:tcPr>
          <w:p>
            <w:pPr>
              <w:jc w:val="right"/>
              <w:rPr>
                <w:color w:val="000000"/>
              </w:rPr>
            </w:pPr>
            <w:r>
              <w:rPr>
                <w:color w:val="000000"/>
              </w:rPr>
              <w:t>-0,03</w:t>
            </w:r>
          </w:p>
        </w:tc>
        <w:tc>
          <w:tcPr>
            <w:tcW w:w="733" w:type="dxa"/>
            <w:shd w:val="clear" w:color="auto" w:fill="auto"/>
            <w:vAlign w:val="center"/>
          </w:tcPr>
          <w:p>
            <w:pPr>
              <w:pStyle w:val="a5"/>
              <w:spacing w:after="0"/>
              <w:ind w:left="-57" w:right="-57"/>
              <w:jc w:val="center"/>
            </w:pPr>
            <w:r>
              <w:t>100,0</w:t>
            </w:r>
          </w:p>
        </w:tc>
      </w:tr>
      <w:tr>
        <w:trPr>
          <w:trHeight w:val="401"/>
          <w:jc w:val="center"/>
        </w:trPr>
        <w:tc>
          <w:tcPr>
            <w:tcW w:w="3224" w:type="dxa"/>
            <w:vAlign w:val="center"/>
          </w:tcPr>
          <w:p>
            <w:pPr>
              <w:pStyle w:val="a5"/>
              <w:tabs>
                <w:tab w:val="left" w:pos="3966"/>
              </w:tabs>
              <w:spacing w:after="0"/>
              <w:ind w:right="-119"/>
            </w:pPr>
            <w:r>
              <w:t>АО «РИР»</w:t>
            </w:r>
          </w:p>
        </w:tc>
        <w:tc>
          <w:tcPr>
            <w:tcW w:w="1184" w:type="dxa"/>
            <w:shd w:val="clear" w:color="auto" w:fill="auto"/>
            <w:vAlign w:val="center"/>
          </w:tcPr>
          <w:p>
            <w:pPr>
              <w:jc w:val="right"/>
            </w:pPr>
            <w:r>
              <w:t>13 055,39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6 222,78</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right"/>
            </w:pPr>
            <w:r>
              <w:t>4 568,99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4 575,07</w:t>
            </w:r>
          </w:p>
        </w:tc>
        <w:tc>
          <w:tcPr>
            <w:tcW w:w="1066" w:type="dxa"/>
            <w:tcBorders>
              <w:left w:val="single" w:sz="4" w:space="0" w:color="auto"/>
            </w:tcBorders>
            <w:shd w:val="clear" w:color="auto" w:fill="auto"/>
            <w:vAlign w:val="center"/>
          </w:tcPr>
          <w:p>
            <w:pPr>
              <w:jc w:val="right"/>
              <w:rPr>
                <w:color w:val="000000"/>
              </w:rPr>
            </w:pPr>
            <w:r>
              <w:rPr>
                <w:color w:val="000000"/>
              </w:rPr>
              <w:t>6,08</w:t>
            </w:r>
          </w:p>
        </w:tc>
        <w:tc>
          <w:tcPr>
            <w:tcW w:w="733" w:type="dxa"/>
            <w:shd w:val="clear" w:color="auto" w:fill="auto"/>
            <w:vAlign w:val="center"/>
          </w:tcPr>
          <w:p>
            <w:pPr>
              <w:pStyle w:val="a5"/>
              <w:spacing w:after="0"/>
              <w:ind w:left="-57" w:right="-57"/>
              <w:jc w:val="center"/>
            </w:pPr>
            <w:r>
              <w:t>100,1</w:t>
            </w:r>
          </w:p>
        </w:tc>
      </w:tr>
      <w:tr>
        <w:trPr>
          <w:trHeight w:val="434"/>
          <w:jc w:val="center"/>
        </w:trPr>
        <w:tc>
          <w:tcPr>
            <w:tcW w:w="3224" w:type="dxa"/>
            <w:vAlign w:val="center"/>
          </w:tcPr>
          <w:p>
            <w:pPr>
              <w:pStyle w:val="a5"/>
              <w:tabs>
                <w:tab w:val="left" w:pos="3966"/>
              </w:tabs>
              <w:spacing w:after="0"/>
              <w:ind w:right="-119"/>
            </w:pPr>
            <w:r>
              <w:t>Прочие</w:t>
            </w:r>
          </w:p>
        </w:tc>
        <w:tc>
          <w:tcPr>
            <w:tcW w:w="1184" w:type="dxa"/>
            <w:shd w:val="clear" w:color="auto" w:fill="auto"/>
            <w:vAlign w:val="center"/>
          </w:tcPr>
          <w:p>
            <w:pPr>
              <w:jc w:val="right"/>
            </w:pPr>
            <w:r>
              <w:t>2 140,28</w:t>
            </w:r>
          </w:p>
        </w:tc>
        <w:tc>
          <w:tcPr>
            <w:tcW w:w="1096" w:type="dxa"/>
            <w:tcBorders>
              <w:top w:val="nil"/>
              <w:left w:val="single" w:sz="4" w:space="0" w:color="auto"/>
              <w:bottom w:val="single" w:sz="4" w:space="0" w:color="auto"/>
              <w:right w:val="single" w:sz="4" w:space="0" w:color="auto"/>
            </w:tcBorders>
            <w:shd w:val="clear" w:color="auto" w:fill="auto"/>
            <w:vAlign w:val="center"/>
          </w:tcPr>
          <w:p>
            <w:pPr>
              <w:jc w:val="right"/>
            </w:pPr>
            <w:r>
              <w:t>2 703,61</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right"/>
            </w:pPr>
            <w:r>
              <w:t>2 128,57</w:t>
            </w:r>
          </w:p>
        </w:tc>
        <w:tc>
          <w:tcPr>
            <w:tcW w:w="1132" w:type="dxa"/>
            <w:tcBorders>
              <w:top w:val="single" w:sz="4" w:space="0" w:color="auto"/>
            </w:tcBorders>
            <w:shd w:val="clear" w:color="auto" w:fill="auto"/>
            <w:vAlign w:val="center"/>
          </w:tcPr>
          <w:p>
            <w:pPr>
              <w:jc w:val="right"/>
            </w:pPr>
            <w:r>
              <w:t>2 270,48</w:t>
            </w:r>
          </w:p>
        </w:tc>
        <w:tc>
          <w:tcPr>
            <w:tcW w:w="1066" w:type="dxa"/>
            <w:shd w:val="clear" w:color="auto" w:fill="auto"/>
            <w:vAlign w:val="center"/>
          </w:tcPr>
          <w:p>
            <w:pPr>
              <w:jc w:val="right"/>
              <w:rPr>
                <w:color w:val="000000"/>
              </w:rPr>
            </w:pPr>
            <w:r>
              <w:rPr>
                <w:color w:val="000000"/>
              </w:rPr>
              <w:t>141,91</w:t>
            </w:r>
          </w:p>
        </w:tc>
        <w:tc>
          <w:tcPr>
            <w:tcW w:w="733" w:type="dxa"/>
            <w:shd w:val="clear" w:color="auto" w:fill="auto"/>
            <w:vAlign w:val="center"/>
          </w:tcPr>
          <w:p>
            <w:pPr>
              <w:pStyle w:val="a5"/>
              <w:spacing w:after="0"/>
              <w:ind w:left="-57" w:right="-57"/>
              <w:jc w:val="center"/>
            </w:pPr>
            <w:r>
              <w:t>106,7</w:t>
            </w:r>
          </w:p>
        </w:tc>
      </w:tr>
    </w:tbl>
    <w:p>
      <w:pPr>
        <w:pStyle w:val="a5"/>
        <w:spacing w:before="200" w:after="0"/>
        <w:ind w:firstLine="709"/>
        <w:jc w:val="both"/>
        <w:rPr>
          <w:sz w:val="24"/>
          <w:szCs w:val="24"/>
        </w:rPr>
      </w:pPr>
      <w:r>
        <w:rPr>
          <w:sz w:val="24"/>
          <w:szCs w:val="24"/>
        </w:rPr>
        <w:t>Удельный вес статьи в структуре общих доходов составляет 0,2%, налоговых и неналоговых доходах – 0,7%.</w:t>
      </w:r>
    </w:p>
    <w:p>
      <w:pPr>
        <w:ind w:firstLine="708"/>
        <w:jc w:val="both"/>
        <w:rPr>
          <w:sz w:val="24"/>
          <w:szCs w:val="24"/>
        </w:rPr>
      </w:pPr>
      <w:r>
        <w:rPr>
          <w:sz w:val="24"/>
          <w:szCs w:val="24"/>
        </w:rPr>
        <w:t>Норматив зачисления в бюджет ЗАТО Северск 60%.</w:t>
      </w:r>
    </w:p>
    <w:p>
      <w:pPr>
        <w:ind w:firstLine="708"/>
        <w:jc w:val="both"/>
        <w:rPr>
          <w:sz w:val="24"/>
          <w:szCs w:val="24"/>
        </w:rPr>
      </w:pPr>
      <w:r>
        <w:rPr>
          <w:sz w:val="24"/>
          <w:szCs w:val="24"/>
        </w:rPr>
        <w:t xml:space="preserve">Основными плательщиками платы за негативное воздействие на окружающую среду являются АО «Сибирский химический комбинат» и АО «РИР». </w:t>
      </w:r>
    </w:p>
    <w:p>
      <w:pPr>
        <w:pStyle w:val="a5"/>
        <w:spacing w:after="0"/>
        <w:ind w:firstLine="709"/>
        <w:jc w:val="both"/>
        <w:rPr>
          <w:sz w:val="24"/>
          <w:szCs w:val="24"/>
        </w:rPr>
      </w:pPr>
      <w:r>
        <w:rPr>
          <w:sz w:val="24"/>
          <w:szCs w:val="24"/>
        </w:rPr>
        <w:t>Главным администратором доходов по данной статье является Сибирское межрегиональное управление Федеральной службы по надзору в сфере природопользования.</w:t>
      </w:r>
    </w:p>
    <w:p>
      <w:pPr>
        <w:pStyle w:val="22"/>
        <w:ind w:firstLine="709"/>
      </w:pPr>
      <w:r>
        <w:rPr>
          <w:szCs w:val="24"/>
        </w:rPr>
        <w:t xml:space="preserve">По сравнению с 2019 годом снижение поступлений по статье составило </w:t>
      </w:r>
      <w:r>
        <w:rPr>
          <w:szCs w:val="24"/>
        </w:rPr>
        <w:br/>
        <w:t xml:space="preserve">11 392,64 тыс.руб. или на 58,2%, что обусловлено сокращением поступлений от АО «РИР» в связи с </w:t>
      </w:r>
      <w:r>
        <w:t>получение комплексного экологического разрешения и уменьшением поступлений по сверхнормативным выбросам в 2020 году.</w:t>
      </w:r>
    </w:p>
    <w:p>
      <w:pPr>
        <w:pStyle w:val="a5"/>
        <w:spacing w:before="320" w:after="200"/>
        <w:ind w:firstLine="284"/>
        <w:jc w:val="center"/>
        <w:rPr>
          <w:b/>
          <w:sz w:val="24"/>
          <w:szCs w:val="24"/>
        </w:rPr>
      </w:pPr>
      <w:r>
        <w:rPr>
          <w:b/>
          <w:sz w:val="24"/>
          <w:szCs w:val="24"/>
        </w:rPr>
        <w:t>3.2.3. Доходы от оказания платных услуг и компенсации затрат государства</w:t>
      </w:r>
    </w:p>
    <w:p>
      <w:pPr>
        <w:tabs>
          <w:tab w:val="left" w:pos="0"/>
        </w:tabs>
        <w:spacing w:before="120"/>
        <w:ind w:firstLine="709"/>
        <w:jc w:val="both"/>
        <w:rPr>
          <w:sz w:val="24"/>
          <w:szCs w:val="24"/>
        </w:rPr>
      </w:pPr>
      <w:r>
        <w:rPr>
          <w:sz w:val="24"/>
          <w:szCs w:val="24"/>
        </w:rPr>
        <w:t>Прогноз поступлений по статье «Доходы от оказания платных услуг и компенсации затрат государства» составлял 5 022,16 тыс.руб., фактическое исполнение – 5 434,28 тыс.руб., перевыполнение на 412,12 тыс.руб. или на 8,2%.</w:t>
      </w:r>
    </w:p>
    <w:p>
      <w:pPr>
        <w:pStyle w:val="a5"/>
        <w:spacing w:before="120" w:after="60"/>
        <w:ind w:firstLine="709"/>
        <w:jc w:val="both"/>
        <w:rPr>
          <w:sz w:val="24"/>
          <w:szCs w:val="24"/>
        </w:rPr>
      </w:pPr>
      <w:r>
        <w:rPr>
          <w:sz w:val="24"/>
          <w:szCs w:val="24"/>
        </w:rPr>
        <w:t>Таблица 36. Анализ поступлений доходов от оказания платных услуг и компенсации затрат государства в 2019 - 2020 гг.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134"/>
        <w:gridCol w:w="1276"/>
        <w:gridCol w:w="1276"/>
        <w:gridCol w:w="1042"/>
        <w:gridCol w:w="1028"/>
        <w:gridCol w:w="729"/>
      </w:tblGrid>
      <w:tr>
        <w:trPr>
          <w:trHeight w:val="235"/>
          <w:jc w:val="center"/>
        </w:trPr>
        <w:tc>
          <w:tcPr>
            <w:tcW w:w="3085" w:type="dxa"/>
            <w:vMerge w:val="restart"/>
            <w:vAlign w:val="center"/>
          </w:tcPr>
          <w:p>
            <w:pPr>
              <w:pStyle w:val="a5"/>
              <w:ind w:right="-2"/>
              <w:jc w:val="center"/>
            </w:pPr>
            <w:r>
              <w:t>Наименование статьи, наименование ГАД</w:t>
            </w:r>
          </w:p>
        </w:tc>
        <w:tc>
          <w:tcPr>
            <w:tcW w:w="1134" w:type="dxa"/>
            <w:vMerge w:val="restart"/>
            <w:vAlign w:val="center"/>
          </w:tcPr>
          <w:p>
            <w:pPr>
              <w:ind w:right="-57"/>
              <w:jc w:val="center"/>
              <w:rPr>
                <w:bCs/>
              </w:rPr>
            </w:pPr>
            <w:r>
              <w:rPr>
                <w:bCs/>
              </w:rPr>
              <w:t>Факт</w:t>
            </w:r>
          </w:p>
          <w:p>
            <w:pPr>
              <w:ind w:left="-158" w:right="-108"/>
              <w:jc w:val="center"/>
            </w:pPr>
            <w:r>
              <w:rPr>
                <w:bCs/>
              </w:rPr>
              <w:t>2019 год, тыс.руб</w:t>
            </w:r>
          </w:p>
        </w:tc>
        <w:tc>
          <w:tcPr>
            <w:tcW w:w="5351" w:type="dxa"/>
            <w:gridSpan w:val="5"/>
            <w:vAlign w:val="center"/>
          </w:tcPr>
          <w:p>
            <w:pPr>
              <w:ind w:left="-108" w:right="-108"/>
              <w:jc w:val="center"/>
            </w:pPr>
            <w:r>
              <w:t>2020 год</w:t>
            </w:r>
          </w:p>
        </w:tc>
      </w:tr>
      <w:tr>
        <w:trPr>
          <w:trHeight w:val="768"/>
          <w:jc w:val="center"/>
        </w:trPr>
        <w:tc>
          <w:tcPr>
            <w:tcW w:w="3085"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276" w:type="dxa"/>
          </w:tcPr>
          <w:p>
            <w:pPr>
              <w:ind w:left="-158" w:right="-108"/>
              <w:jc w:val="center"/>
            </w:pPr>
            <w:r>
              <w:t>Первона-чальный прогноз, тыс.руб.</w:t>
            </w:r>
          </w:p>
        </w:tc>
        <w:tc>
          <w:tcPr>
            <w:tcW w:w="1276" w:type="dxa"/>
            <w:vAlign w:val="center"/>
          </w:tcPr>
          <w:p>
            <w:pPr>
              <w:ind w:left="-158" w:right="-108"/>
              <w:jc w:val="center"/>
            </w:pPr>
            <w:r>
              <w:t>Уточненный прогноз,</w:t>
            </w:r>
            <w:r>
              <w:br/>
              <w:t>тыс.руб.</w:t>
            </w:r>
          </w:p>
        </w:tc>
        <w:tc>
          <w:tcPr>
            <w:tcW w:w="1042" w:type="dxa"/>
            <w:vAlign w:val="center"/>
          </w:tcPr>
          <w:p>
            <w:pPr>
              <w:ind w:left="-108" w:right="-108"/>
              <w:jc w:val="center"/>
            </w:pPr>
            <w:r>
              <w:t xml:space="preserve">Факт, </w:t>
            </w:r>
            <w:r>
              <w:br/>
              <w:t>тыс.руб.</w:t>
            </w:r>
          </w:p>
        </w:tc>
        <w:tc>
          <w:tcPr>
            <w:tcW w:w="0" w:type="auto"/>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0" w:type="auto"/>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34"/>
          <w:jc w:val="center"/>
        </w:trPr>
        <w:tc>
          <w:tcPr>
            <w:tcW w:w="3085"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276" w:type="dxa"/>
            <w:vAlign w:val="center"/>
          </w:tcPr>
          <w:p>
            <w:pPr>
              <w:jc w:val="center"/>
              <w:rPr>
                <w:color w:val="000000"/>
                <w:sz w:val="16"/>
                <w:szCs w:val="16"/>
              </w:rPr>
            </w:pPr>
            <w:r>
              <w:rPr>
                <w:color w:val="000000"/>
                <w:sz w:val="16"/>
                <w:szCs w:val="16"/>
              </w:rPr>
              <w:t>3</w:t>
            </w:r>
          </w:p>
        </w:tc>
        <w:tc>
          <w:tcPr>
            <w:tcW w:w="1276" w:type="dxa"/>
            <w:shd w:val="clear" w:color="auto" w:fill="auto"/>
            <w:vAlign w:val="center"/>
          </w:tcPr>
          <w:p>
            <w:pPr>
              <w:jc w:val="center"/>
              <w:rPr>
                <w:color w:val="000000"/>
                <w:sz w:val="16"/>
                <w:szCs w:val="16"/>
              </w:rPr>
            </w:pPr>
            <w:r>
              <w:rPr>
                <w:color w:val="000000"/>
                <w:sz w:val="16"/>
                <w:szCs w:val="16"/>
              </w:rPr>
              <w:t>4</w:t>
            </w:r>
          </w:p>
        </w:tc>
        <w:tc>
          <w:tcPr>
            <w:tcW w:w="1042" w:type="dxa"/>
            <w:shd w:val="clear" w:color="auto" w:fill="auto"/>
            <w:vAlign w:val="center"/>
          </w:tcPr>
          <w:p>
            <w:pPr>
              <w:jc w:val="center"/>
              <w:rPr>
                <w:color w:val="000000"/>
                <w:sz w:val="16"/>
                <w:szCs w:val="16"/>
              </w:rPr>
            </w:pPr>
            <w:r>
              <w:rPr>
                <w:color w:val="000000"/>
                <w:sz w:val="16"/>
                <w:szCs w:val="16"/>
              </w:rPr>
              <w:t>5</w:t>
            </w:r>
          </w:p>
        </w:tc>
        <w:tc>
          <w:tcPr>
            <w:tcW w:w="0" w:type="auto"/>
            <w:shd w:val="clear" w:color="auto" w:fill="auto"/>
            <w:vAlign w:val="center"/>
          </w:tcPr>
          <w:p>
            <w:pPr>
              <w:jc w:val="center"/>
              <w:rPr>
                <w:color w:val="000000"/>
                <w:sz w:val="16"/>
                <w:szCs w:val="16"/>
              </w:rPr>
            </w:pPr>
            <w:r>
              <w:rPr>
                <w:color w:val="000000"/>
                <w:sz w:val="16"/>
                <w:szCs w:val="16"/>
              </w:rPr>
              <w:t>6=5-4</w:t>
            </w:r>
          </w:p>
        </w:tc>
        <w:tc>
          <w:tcPr>
            <w:tcW w:w="0" w:type="auto"/>
            <w:shd w:val="clear" w:color="auto" w:fill="auto"/>
            <w:vAlign w:val="center"/>
          </w:tcPr>
          <w:p>
            <w:pPr>
              <w:pStyle w:val="a5"/>
              <w:spacing w:after="0"/>
              <w:ind w:left="-57" w:right="-57"/>
              <w:jc w:val="center"/>
              <w:rPr>
                <w:sz w:val="16"/>
                <w:szCs w:val="16"/>
              </w:rPr>
            </w:pPr>
            <w:r>
              <w:rPr>
                <w:sz w:val="16"/>
                <w:szCs w:val="16"/>
              </w:rPr>
              <w:t>7=5/4</w:t>
            </w:r>
          </w:p>
        </w:tc>
      </w:tr>
      <w:tr>
        <w:trPr>
          <w:trHeight w:val="267"/>
          <w:jc w:val="center"/>
        </w:trPr>
        <w:tc>
          <w:tcPr>
            <w:tcW w:w="3085" w:type="dxa"/>
            <w:vAlign w:val="center"/>
          </w:tcPr>
          <w:p>
            <w:pPr>
              <w:pStyle w:val="a5"/>
              <w:tabs>
                <w:tab w:val="left" w:pos="3966"/>
              </w:tabs>
              <w:spacing w:after="0"/>
              <w:ind w:right="-119"/>
            </w:pPr>
            <w:r>
              <w:t xml:space="preserve">Доходы от оказания платных услуг и компенсации затрат государства, </w:t>
            </w:r>
          </w:p>
          <w:p>
            <w:pPr>
              <w:pStyle w:val="a5"/>
              <w:tabs>
                <w:tab w:val="left" w:pos="3966"/>
              </w:tabs>
              <w:spacing w:after="0"/>
              <w:ind w:right="-119"/>
            </w:pPr>
            <w:r>
              <w:t>из них:</w:t>
            </w:r>
          </w:p>
        </w:tc>
        <w:tc>
          <w:tcPr>
            <w:tcW w:w="1134" w:type="dxa"/>
            <w:shd w:val="clear" w:color="auto" w:fill="auto"/>
            <w:vAlign w:val="center"/>
          </w:tcPr>
          <w:p>
            <w:pPr>
              <w:jc w:val="right"/>
            </w:pPr>
            <w:r>
              <w:rPr>
                <w:color w:val="000000"/>
              </w:rPr>
              <w:t>7 956,02</w:t>
            </w:r>
          </w:p>
        </w:tc>
        <w:tc>
          <w:tcPr>
            <w:tcW w:w="1276" w:type="dxa"/>
            <w:vAlign w:val="center"/>
          </w:tcPr>
          <w:p>
            <w:pPr>
              <w:jc w:val="right"/>
              <w:rPr>
                <w:color w:val="000000"/>
              </w:rPr>
            </w:pPr>
            <w:r>
              <w:rPr>
                <w:color w:val="000000"/>
              </w:rPr>
              <w:t>6 117,08</w:t>
            </w:r>
          </w:p>
        </w:tc>
        <w:tc>
          <w:tcPr>
            <w:tcW w:w="1276" w:type="dxa"/>
            <w:shd w:val="clear" w:color="auto" w:fill="auto"/>
            <w:vAlign w:val="center"/>
          </w:tcPr>
          <w:p>
            <w:pPr>
              <w:jc w:val="right"/>
              <w:rPr>
                <w:color w:val="000000"/>
              </w:rPr>
            </w:pPr>
            <w:r>
              <w:rPr>
                <w:color w:val="000000"/>
              </w:rPr>
              <w:t>5 022,16</w:t>
            </w:r>
          </w:p>
        </w:tc>
        <w:tc>
          <w:tcPr>
            <w:tcW w:w="1042" w:type="dxa"/>
            <w:shd w:val="clear" w:color="auto" w:fill="auto"/>
            <w:vAlign w:val="center"/>
          </w:tcPr>
          <w:p>
            <w:pPr>
              <w:jc w:val="right"/>
              <w:rPr>
                <w:color w:val="000000"/>
              </w:rPr>
            </w:pPr>
            <w:r>
              <w:rPr>
                <w:color w:val="000000"/>
              </w:rPr>
              <w:t>5 434,28</w:t>
            </w:r>
          </w:p>
        </w:tc>
        <w:tc>
          <w:tcPr>
            <w:tcW w:w="0" w:type="auto"/>
            <w:shd w:val="clear" w:color="auto" w:fill="auto"/>
            <w:vAlign w:val="center"/>
          </w:tcPr>
          <w:p>
            <w:pPr>
              <w:jc w:val="right"/>
              <w:rPr>
                <w:color w:val="000000"/>
              </w:rPr>
            </w:pPr>
            <w:r>
              <w:rPr>
                <w:color w:val="000000"/>
              </w:rPr>
              <w:t>412,12</w:t>
            </w:r>
          </w:p>
        </w:tc>
        <w:tc>
          <w:tcPr>
            <w:tcW w:w="0" w:type="auto"/>
            <w:shd w:val="clear" w:color="auto" w:fill="auto"/>
            <w:vAlign w:val="center"/>
          </w:tcPr>
          <w:p>
            <w:pPr>
              <w:pStyle w:val="a5"/>
              <w:spacing w:after="0"/>
              <w:ind w:left="-57" w:right="-57"/>
              <w:jc w:val="center"/>
            </w:pPr>
            <w:r>
              <w:t>108,2</w:t>
            </w:r>
          </w:p>
        </w:tc>
      </w:tr>
      <w:tr>
        <w:trPr>
          <w:trHeight w:val="296"/>
          <w:jc w:val="center"/>
        </w:trPr>
        <w:tc>
          <w:tcPr>
            <w:tcW w:w="3085" w:type="dxa"/>
            <w:vAlign w:val="center"/>
          </w:tcPr>
          <w:p>
            <w:pPr>
              <w:pStyle w:val="a5"/>
              <w:tabs>
                <w:tab w:val="left" w:pos="3966"/>
              </w:tabs>
              <w:spacing w:after="0"/>
              <w:ind w:right="-119"/>
            </w:pPr>
            <w:r>
              <w:t>Управление образования</w:t>
            </w:r>
          </w:p>
        </w:tc>
        <w:tc>
          <w:tcPr>
            <w:tcW w:w="1134" w:type="dxa"/>
            <w:shd w:val="clear" w:color="auto" w:fill="auto"/>
            <w:vAlign w:val="center"/>
          </w:tcPr>
          <w:p>
            <w:pPr>
              <w:jc w:val="right"/>
            </w:pPr>
            <w:r>
              <w:rPr>
                <w:color w:val="000000"/>
              </w:rPr>
              <w:t>2 495,33</w:t>
            </w:r>
          </w:p>
        </w:tc>
        <w:tc>
          <w:tcPr>
            <w:tcW w:w="1276" w:type="dxa"/>
            <w:vAlign w:val="center"/>
          </w:tcPr>
          <w:p>
            <w:pPr>
              <w:jc w:val="right"/>
              <w:rPr>
                <w:color w:val="000000"/>
              </w:rPr>
            </w:pPr>
            <w:r>
              <w:rPr>
                <w:color w:val="000000"/>
              </w:rPr>
              <w:t>2 446,70</w:t>
            </w:r>
          </w:p>
        </w:tc>
        <w:tc>
          <w:tcPr>
            <w:tcW w:w="1276" w:type="dxa"/>
            <w:shd w:val="clear" w:color="auto" w:fill="auto"/>
            <w:vAlign w:val="center"/>
          </w:tcPr>
          <w:p>
            <w:pPr>
              <w:jc w:val="right"/>
              <w:rPr>
                <w:color w:val="000000"/>
              </w:rPr>
            </w:pPr>
            <w:r>
              <w:rPr>
                <w:color w:val="000000"/>
              </w:rPr>
              <w:t>1 351,60</w:t>
            </w:r>
          </w:p>
        </w:tc>
        <w:tc>
          <w:tcPr>
            <w:tcW w:w="1042" w:type="dxa"/>
            <w:shd w:val="clear" w:color="auto" w:fill="auto"/>
            <w:vAlign w:val="center"/>
          </w:tcPr>
          <w:p>
            <w:pPr>
              <w:jc w:val="right"/>
              <w:rPr>
                <w:color w:val="000000"/>
              </w:rPr>
            </w:pPr>
            <w:r>
              <w:rPr>
                <w:color w:val="000000"/>
              </w:rPr>
              <w:t>1 338,41</w:t>
            </w:r>
          </w:p>
        </w:tc>
        <w:tc>
          <w:tcPr>
            <w:tcW w:w="0" w:type="auto"/>
            <w:shd w:val="clear" w:color="auto" w:fill="auto"/>
            <w:vAlign w:val="center"/>
          </w:tcPr>
          <w:p>
            <w:pPr>
              <w:jc w:val="right"/>
              <w:rPr>
                <w:color w:val="000000"/>
              </w:rPr>
            </w:pPr>
            <w:r>
              <w:rPr>
                <w:color w:val="000000"/>
              </w:rPr>
              <w:t>-13,19</w:t>
            </w:r>
          </w:p>
        </w:tc>
        <w:tc>
          <w:tcPr>
            <w:tcW w:w="0" w:type="auto"/>
            <w:shd w:val="clear" w:color="auto" w:fill="auto"/>
            <w:vAlign w:val="center"/>
          </w:tcPr>
          <w:p>
            <w:pPr>
              <w:pStyle w:val="a5"/>
              <w:spacing w:after="0"/>
              <w:ind w:left="-57" w:right="-57"/>
              <w:jc w:val="center"/>
            </w:pPr>
            <w:r>
              <w:t>99,0</w:t>
            </w:r>
          </w:p>
        </w:tc>
      </w:tr>
      <w:tr>
        <w:trPr>
          <w:trHeight w:val="267"/>
          <w:jc w:val="center"/>
        </w:trPr>
        <w:tc>
          <w:tcPr>
            <w:tcW w:w="3085" w:type="dxa"/>
            <w:vAlign w:val="center"/>
          </w:tcPr>
          <w:p>
            <w:pPr>
              <w:pStyle w:val="a5"/>
              <w:tabs>
                <w:tab w:val="left" w:pos="3966"/>
              </w:tabs>
              <w:spacing w:after="0"/>
              <w:ind w:right="-119"/>
            </w:pPr>
            <w:r>
              <w:t>Управление имущественных отношений</w:t>
            </w:r>
          </w:p>
        </w:tc>
        <w:tc>
          <w:tcPr>
            <w:tcW w:w="1134" w:type="dxa"/>
            <w:shd w:val="clear" w:color="auto" w:fill="auto"/>
            <w:vAlign w:val="center"/>
          </w:tcPr>
          <w:p>
            <w:pPr>
              <w:jc w:val="right"/>
            </w:pPr>
            <w:r>
              <w:rPr>
                <w:color w:val="000000"/>
              </w:rPr>
              <w:t>2 407,37</w:t>
            </w:r>
          </w:p>
        </w:tc>
        <w:tc>
          <w:tcPr>
            <w:tcW w:w="1276" w:type="dxa"/>
            <w:vAlign w:val="center"/>
          </w:tcPr>
          <w:p>
            <w:pPr>
              <w:jc w:val="right"/>
              <w:rPr>
                <w:color w:val="000000"/>
              </w:rPr>
            </w:pPr>
            <w:r>
              <w:rPr>
                <w:color w:val="000000"/>
              </w:rPr>
              <w:t>1 879,88</w:t>
            </w:r>
          </w:p>
        </w:tc>
        <w:tc>
          <w:tcPr>
            <w:tcW w:w="1276" w:type="dxa"/>
            <w:shd w:val="clear" w:color="auto" w:fill="auto"/>
            <w:vAlign w:val="center"/>
          </w:tcPr>
          <w:p>
            <w:pPr>
              <w:jc w:val="right"/>
              <w:rPr>
                <w:color w:val="000000"/>
              </w:rPr>
            </w:pPr>
            <w:r>
              <w:rPr>
                <w:color w:val="000000"/>
              </w:rPr>
              <w:t>1 879,88</w:t>
            </w:r>
          </w:p>
        </w:tc>
        <w:tc>
          <w:tcPr>
            <w:tcW w:w="1042" w:type="dxa"/>
            <w:shd w:val="clear" w:color="auto" w:fill="auto"/>
            <w:vAlign w:val="center"/>
          </w:tcPr>
          <w:p>
            <w:pPr>
              <w:jc w:val="right"/>
              <w:rPr>
                <w:color w:val="000000"/>
              </w:rPr>
            </w:pPr>
            <w:r>
              <w:rPr>
                <w:color w:val="000000"/>
              </w:rPr>
              <w:t>2 069,24</w:t>
            </w:r>
          </w:p>
        </w:tc>
        <w:tc>
          <w:tcPr>
            <w:tcW w:w="0" w:type="auto"/>
            <w:shd w:val="clear" w:color="auto" w:fill="auto"/>
            <w:vAlign w:val="center"/>
          </w:tcPr>
          <w:p>
            <w:pPr>
              <w:jc w:val="right"/>
              <w:rPr>
                <w:color w:val="000000"/>
              </w:rPr>
            </w:pPr>
            <w:r>
              <w:rPr>
                <w:color w:val="000000"/>
              </w:rPr>
              <w:t>189,36</w:t>
            </w:r>
          </w:p>
        </w:tc>
        <w:tc>
          <w:tcPr>
            <w:tcW w:w="0" w:type="auto"/>
            <w:shd w:val="clear" w:color="auto" w:fill="auto"/>
            <w:vAlign w:val="center"/>
          </w:tcPr>
          <w:p>
            <w:pPr>
              <w:pStyle w:val="a5"/>
              <w:spacing w:after="0"/>
              <w:ind w:left="-57" w:right="-57"/>
              <w:jc w:val="center"/>
            </w:pPr>
            <w:r>
              <w:t>110,1</w:t>
            </w:r>
          </w:p>
        </w:tc>
      </w:tr>
      <w:tr>
        <w:trPr>
          <w:trHeight w:val="364"/>
          <w:jc w:val="center"/>
        </w:trPr>
        <w:tc>
          <w:tcPr>
            <w:tcW w:w="3085" w:type="dxa"/>
            <w:vAlign w:val="center"/>
          </w:tcPr>
          <w:p>
            <w:pPr>
              <w:pStyle w:val="a5"/>
              <w:tabs>
                <w:tab w:val="left" w:pos="3966"/>
              </w:tabs>
              <w:spacing w:after="0"/>
              <w:ind w:right="-119"/>
            </w:pPr>
            <w:r>
              <w:t xml:space="preserve">Администрация ЗАТО Северк </w:t>
            </w:r>
          </w:p>
        </w:tc>
        <w:tc>
          <w:tcPr>
            <w:tcW w:w="1134" w:type="dxa"/>
            <w:shd w:val="clear" w:color="auto" w:fill="auto"/>
            <w:vAlign w:val="center"/>
          </w:tcPr>
          <w:p>
            <w:pPr>
              <w:jc w:val="right"/>
            </w:pPr>
            <w:r>
              <w:rPr>
                <w:color w:val="000000"/>
              </w:rPr>
              <w:t>2 961,75</w:t>
            </w:r>
          </w:p>
        </w:tc>
        <w:tc>
          <w:tcPr>
            <w:tcW w:w="1276" w:type="dxa"/>
            <w:vAlign w:val="center"/>
          </w:tcPr>
          <w:p>
            <w:pPr>
              <w:jc w:val="right"/>
              <w:rPr>
                <w:color w:val="000000"/>
              </w:rPr>
            </w:pPr>
            <w:r>
              <w:rPr>
                <w:color w:val="000000"/>
              </w:rPr>
              <w:t>1 774,04</w:t>
            </w:r>
          </w:p>
        </w:tc>
        <w:tc>
          <w:tcPr>
            <w:tcW w:w="1276" w:type="dxa"/>
            <w:shd w:val="clear" w:color="auto" w:fill="auto"/>
            <w:vAlign w:val="center"/>
          </w:tcPr>
          <w:p>
            <w:pPr>
              <w:jc w:val="right"/>
              <w:rPr>
                <w:color w:val="000000"/>
              </w:rPr>
            </w:pPr>
            <w:r>
              <w:rPr>
                <w:color w:val="000000"/>
              </w:rPr>
              <w:t>1 774,22</w:t>
            </w:r>
          </w:p>
        </w:tc>
        <w:tc>
          <w:tcPr>
            <w:tcW w:w="1042" w:type="dxa"/>
            <w:shd w:val="clear" w:color="auto" w:fill="auto"/>
            <w:vAlign w:val="center"/>
          </w:tcPr>
          <w:p>
            <w:pPr>
              <w:jc w:val="right"/>
              <w:rPr>
                <w:color w:val="000000"/>
              </w:rPr>
            </w:pPr>
            <w:r>
              <w:rPr>
                <w:color w:val="000000"/>
              </w:rPr>
              <w:t>1 705,10</w:t>
            </w:r>
          </w:p>
        </w:tc>
        <w:tc>
          <w:tcPr>
            <w:tcW w:w="0" w:type="auto"/>
            <w:shd w:val="clear" w:color="auto" w:fill="auto"/>
            <w:vAlign w:val="center"/>
          </w:tcPr>
          <w:p>
            <w:pPr>
              <w:jc w:val="right"/>
              <w:rPr>
                <w:color w:val="000000"/>
              </w:rPr>
            </w:pPr>
            <w:r>
              <w:rPr>
                <w:color w:val="000000"/>
              </w:rPr>
              <w:t>-69,12</w:t>
            </w:r>
          </w:p>
        </w:tc>
        <w:tc>
          <w:tcPr>
            <w:tcW w:w="0" w:type="auto"/>
            <w:shd w:val="clear" w:color="auto" w:fill="auto"/>
            <w:vAlign w:val="center"/>
          </w:tcPr>
          <w:p>
            <w:pPr>
              <w:pStyle w:val="a5"/>
              <w:spacing w:after="0"/>
              <w:ind w:left="-57" w:right="-57"/>
              <w:jc w:val="center"/>
            </w:pPr>
            <w:r>
              <w:t>96,1</w:t>
            </w:r>
          </w:p>
        </w:tc>
      </w:tr>
    </w:tbl>
    <w:p>
      <w:pPr>
        <w:pStyle w:val="a5"/>
        <w:spacing w:before="120" w:after="0"/>
        <w:ind w:firstLine="709"/>
        <w:jc w:val="both"/>
        <w:rPr>
          <w:sz w:val="24"/>
          <w:szCs w:val="24"/>
        </w:rPr>
      </w:pPr>
      <w:r>
        <w:rPr>
          <w:sz w:val="24"/>
          <w:szCs w:val="24"/>
        </w:rPr>
        <w:lastRenderedPageBreak/>
        <w:t>Удельный вес статьи в общей структуре фактически поступивших доходов составляет 0,1%, налоговых и неналоговых доходах - 0,5%.</w:t>
      </w:r>
    </w:p>
    <w:p>
      <w:pPr>
        <w:pStyle w:val="a8"/>
        <w:spacing w:after="0"/>
        <w:ind w:left="0" w:firstLine="720"/>
        <w:jc w:val="both"/>
        <w:rPr>
          <w:sz w:val="24"/>
          <w:szCs w:val="24"/>
        </w:rPr>
      </w:pPr>
      <w:r>
        <w:rPr>
          <w:sz w:val="24"/>
          <w:szCs w:val="24"/>
        </w:rPr>
        <w:t>Норматив зачисления в бюджет ЗАТО Северск 100%.</w:t>
      </w:r>
    </w:p>
    <w:p>
      <w:pPr>
        <w:pStyle w:val="a5"/>
        <w:spacing w:after="0"/>
        <w:ind w:firstLine="720"/>
        <w:jc w:val="both"/>
        <w:rPr>
          <w:color w:val="000000" w:themeColor="text1"/>
          <w:sz w:val="24"/>
          <w:szCs w:val="24"/>
        </w:rPr>
      </w:pPr>
      <w:r>
        <w:rPr>
          <w:sz w:val="24"/>
          <w:szCs w:val="24"/>
        </w:rPr>
        <w:t xml:space="preserve">Поступления обеспечены </w:t>
      </w:r>
      <w:r>
        <w:rPr>
          <w:color w:val="000000" w:themeColor="text1"/>
          <w:sz w:val="24"/>
          <w:szCs w:val="24"/>
        </w:rPr>
        <w:t>за счет доходов: от оказания платных услуг (работ) муниципальным казенным учреждением «Централизованная бухгалтерия» (главный администратор - Управление образования), доходов, понесенных в связи с эксплуатацией имущества городских округов (главные администраторы - Управление имущественных отношений, УЖКХ ТиС, Администрация ЗАТО Северск, Счетная палата), а также компенсации затрат (возврат дебиторской задолженности прошлых лет и прочая компенсация затрат).</w:t>
      </w:r>
    </w:p>
    <w:p>
      <w:pPr>
        <w:pStyle w:val="a8"/>
        <w:spacing w:after="0"/>
        <w:ind w:left="0" w:firstLine="720"/>
        <w:jc w:val="both"/>
        <w:rPr>
          <w:sz w:val="24"/>
          <w:szCs w:val="24"/>
        </w:rPr>
      </w:pPr>
      <w:r>
        <w:rPr>
          <w:sz w:val="24"/>
          <w:szCs w:val="24"/>
        </w:rPr>
        <w:t>По сравнению с 2019 годом сокращение поступлений по статье составило 2 521,74 тыс.руб. или на 31,7%.</w:t>
      </w:r>
    </w:p>
    <w:p>
      <w:pPr>
        <w:pStyle w:val="a5"/>
        <w:spacing w:after="0"/>
        <w:ind w:firstLine="720"/>
        <w:jc w:val="center"/>
        <w:rPr>
          <w:b/>
        </w:rPr>
      </w:pPr>
    </w:p>
    <w:p>
      <w:pPr>
        <w:pStyle w:val="a5"/>
        <w:spacing w:after="100"/>
        <w:ind w:firstLine="567"/>
        <w:jc w:val="center"/>
        <w:rPr>
          <w:b/>
          <w:sz w:val="24"/>
          <w:szCs w:val="24"/>
        </w:rPr>
      </w:pPr>
      <w:r>
        <w:rPr>
          <w:b/>
          <w:sz w:val="24"/>
          <w:szCs w:val="24"/>
        </w:rPr>
        <w:t>3.2.4. Доходы от продажи материальных и нематериальных активов</w:t>
      </w:r>
    </w:p>
    <w:p>
      <w:pPr>
        <w:pStyle w:val="a8"/>
        <w:spacing w:after="0"/>
        <w:ind w:left="0" w:firstLine="720"/>
        <w:jc w:val="both"/>
        <w:rPr>
          <w:color w:val="000000" w:themeColor="text1"/>
          <w:sz w:val="24"/>
          <w:szCs w:val="24"/>
        </w:rPr>
      </w:pPr>
      <w:r>
        <w:rPr>
          <w:sz w:val="24"/>
          <w:szCs w:val="24"/>
        </w:rPr>
        <w:t xml:space="preserve">Прогноз поступлений по статье «Доходы от продажи материальных и нематериальных активов» </w:t>
      </w:r>
      <w:r>
        <w:rPr>
          <w:color w:val="000000" w:themeColor="text1"/>
          <w:sz w:val="24"/>
          <w:szCs w:val="24"/>
        </w:rPr>
        <w:t>составлял 9 601,87 тыс.руб., фактическое исполнение – 9 795,80 тыс.руб., перевыполнение на 193,94 тыс.руб. или на 2,0%.</w:t>
      </w:r>
    </w:p>
    <w:p>
      <w:pPr>
        <w:spacing w:before="120" w:after="60"/>
        <w:ind w:firstLine="709"/>
        <w:jc w:val="both"/>
        <w:rPr>
          <w:sz w:val="24"/>
          <w:szCs w:val="24"/>
        </w:rPr>
      </w:pPr>
      <w:r>
        <w:rPr>
          <w:sz w:val="24"/>
          <w:szCs w:val="24"/>
        </w:rPr>
        <w:t>Таблица 37. Анализ поступления доходов от продажи материальных и нематериальных активов в 2019-2020 гг.</w:t>
      </w:r>
    </w:p>
    <w:tbl>
      <w:tblPr>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8"/>
        <w:gridCol w:w="1134"/>
        <w:gridCol w:w="1124"/>
        <w:gridCol w:w="1175"/>
        <w:gridCol w:w="1134"/>
        <w:gridCol w:w="1134"/>
        <w:gridCol w:w="992"/>
      </w:tblGrid>
      <w:tr>
        <w:trPr>
          <w:trHeight w:val="247"/>
          <w:jc w:val="center"/>
        </w:trPr>
        <w:tc>
          <w:tcPr>
            <w:tcW w:w="2798"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58" w:right="-108"/>
              <w:jc w:val="center"/>
            </w:pPr>
            <w:r>
              <w:rPr>
                <w:bCs/>
              </w:rPr>
              <w:t>2019 год, тыс.руб.</w:t>
            </w:r>
          </w:p>
        </w:tc>
        <w:tc>
          <w:tcPr>
            <w:tcW w:w="5559" w:type="dxa"/>
            <w:gridSpan w:val="5"/>
            <w:vAlign w:val="center"/>
          </w:tcPr>
          <w:p>
            <w:pPr>
              <w:ind w:left="-108" w:right="-108"/>
              <w:jc w:val="center"/>
            </w:pPr>
            <w:r>
              <w:t>2020 год</w:t>
            </w:r>
          </w:p>
        </w:tc>
      </w:tr>
      <w:tr>
        <w:trPr>
          <w:trHeight w:val="804"/>
          <w:jc w:val="center"/>
        </w:trPr>
        <w:tc>
          <w:tcPr>
            <w:tcW w:w="2798"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24" w:type="dxa"/>
          </w:tcPr>
          <w:p>
            <w:pPr>
              <w:ind w:left="-158" w:right="-108"/>
              <w:jc w:val="center"/>
            </w:pPr>
            <w:r>
              <w:t>Первона-чальный прогноз, тыс.руб.</w:t>
            </w:r>
          </w:p>
        </w:tc>
        <w:tc>
          <w:tcPr>
            <w:tcW w:w="1175" w:type="dxa"/>
            <w:vAlign w:val="center"/>
          </w:tcPr>
          <w:p>
            <w:pPr>
              <w:ind w:left="-250" w:right="-108" w:firstLine="92"/>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92"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243"/>
          <w:jc w:val="center"/>
        </w:trPr>
        <w:tc>
          <w:tcPr>
            <w:tcW w:w="2798"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24" w:type="dxa"/>
            <w:vAlign w:val="center"/>
          </w:tcPr>
          <w:p>
            <w:pPr>
              <w:jc w:val="center"/>
              <w:rPr>
                <w:color w:val="000000"/>
                <w:sz w:val="16"/>
                <w:szCs w:val="16"/>
              </w:rPr>
            </w:pPr>
            <w:r>
              <w:rPr>
                <w:color w:val="000000"/>
                <w:sz w:val="16"/>
                <w:szCs w:val="16"/>
              </w:rPr>
              <w:t>3</w:t>
            </w:r>
          </w:p>
        </w:tc>
        <w:tc>
          <w:tcPr>
            <w:tcW w:w="1175" w:type="dxa"/>
            <w:vAlign w:val="center"/>
          </w:tcPr>
          <w:p>
            <w:pPr>
              <w:jc w:val="center"/>
              <w:rPr>
                <w:color w:val="000000"/>
                <w:sz w:val="16"/>
                <w:szCs w:val="16"/>
              </w:rPr>
            </w:pPr>
            <w:r>
              <w:rPr>
                <w:color w:val="000000"/>
                <w:sz w:val="16"/>
                <w:szCs w:val="16"/>
              </w:rPr>
              <w:t>4</w:t>
            </w:r>
          </w:p>
        </w:tc>
        <w:tc>
          <w:tcPr>
            <w:tcW w:w="1134" w:type="dxa"/>
            <w:vAlign w:val="center"/>
          </w:tcPr>
          <w:p>
            <w:pPr>
              <w:jc w:val="center"/>
              <w:rPr>
                <w:color w:val="000000"/>
                <w:sz w:val="16"/>
                <w:szCs w:val="16"/>
              </w:rPr>
            </w:pPr>
            <w:r>
              <w:rPr>
                <w:color w:val="000000"/>
                <w:sz w:val="16"/>
                <w:szCs w:val="16"/>
              </w:rPr>
              <w:t>5</w:t>
            </w:r>
          </w:p>
        </w:tc>
        <w:tc>
          <w:tcPr>
            <w:tcW w:w="1134" w:type="dxa"/>
            <w:vAlign w:val="center"/>
          </w:tcPr>
          <w:p>
            <w:pPr>
              <w:jc w:val="center"/>
              <w:rPr>
                <w:color w:val="000000"/>
                <w:sz w:val="16"/>
                <w:szCs w:val="16"/>
              </w:rPr>
            </w:pPr>
            <w:r>
              <w:rPr>
                <w:color w:val="000000"/>
                <w:sz w:val="16"/>
                <w:szCs w:val="16"/>
              </w:rPr>
              <w:t>6=5-4</w:t>
            </w:r>
          </w:p>
        </w:tc>
        <w:tc>
          <w:tcPr>
            <w:tcW w:w="992" w:type="dxa"/>
            <w:vAlign w:val="center"/>
          </w:tcPr>
          <w:p>
            <w:pPr>
              <w:pStyle w:val="a5"/>
              <w:spacing w:after="0"/>
              <w:ind w:left="-57" w:right="-57"/>
              <w:jc w:val="center"/>
              <w:rPr>
                <w:sz w:val="16"/>
                <w:szCs w:val="16"/>
              </w:rPr>
            </w:pPr>
            <w:r>
              <w:rPr>
                <w:sz w:val="16"/>
                <w:szCs w:val="16"/>
              </w:rPr>
              <w:t>7=5/4</w:t>
            </w:r>
          </w:p>
        </w:tc>
      </w:tr>
      <w:tr>
        <w:trPr>
          <w:trHeight w:val="665"/>
          <w:jc w:val="center"/>
        </w:trPr>
        <w:tc>
          <w:tcPr>
            <w:tcW w:w="2798" w:type="dxa"/>
            <w:vAlign w:val="center"/>
          </w:tcPr>
          <w:p>
            <w:r>
              <w:t>Доходы от продажи материальных и нематериальных активов</w:t>
            </w:r>
          </w:p>
        </w:tc>
        <w:tc>
          <w:tcPr>
            <w:tcW w:w="1134" w:type="dxa"/>
            <w:vAlign w:val="center"/>
          </w:tcPr>
          <w:p>
            <w:pPr>
              <w:spacing w:before="40" w:after="40"/>
              <w:ind w:left="-108" w:right="-57"/>
              <w:jc w:val="right"/>
            </w:pPr>
            <w:r>
              <w:t>20 510,46</w:t>
            </w:r>
          </w:p>
        </w:tc>
        <w:tc>
          <w:tcPr>
            <w:tcW w:w="1124" w:type="dxa"/>
            <w:vAlign w:val="center"/>
          </w:tcPr>
          <w:p>
            <w:pPr>
              <w:spacing w:before="40" w:after="40"/>
              <w:ind w:left="-108" w:right="-57"/>
              <w:jc w:val="right"/>
            </w:pPr>
            <w:r>
              <w:t>36 574,34</w:t>
            </w:r>
          </w:p>
        </w:tc>
        <w:tc>
          <w:tcPr>
            <w:tcW w:w="1175" w:type="dxa"/>
            <w:vAlign w:val="center"/>
          </w:tcPr>
          <w:p>
            <w:pPr>
              <w:spacing w:before="40" w:after="40"/>
              <w:ind w:left="-108" w:right="-57"/>
              <w:jc w:val="right"/>
            </w:pPr>
            <w:r>
              <w:t>9 601,87</w:t>
            </w:r>
          </w:p>
        </w:tc>
        <w:tc>
          <w:tcPr>
            <w:tcW w:w="1134" w:type="dxa"/>
            <w:vAlign w:val="center"/>
          </w:tcPr>
          <w:p>
            <w:pPr>
              <w:spacing w:before="40" w:after="40"/>
              <w:ind w:left="-108" w:right="-57"/>
              <w:jc w:val="right"/>
            </w:pPr>
            <w:r>
              <w:t>9 795,80</w:t>
            </w:r>
          </w:p>
        </w:tc>
        <w:tc>
          <w:tcPr>
            <w:tcW w:w="1134" w:type="dxa"/>
            <w:vAlign w:val="center"/>
          </w:tcPr>
          <w:p>
            <w:pPr>
              <w:spacing w:before="40" w:after="40"/>
              <w:ind w:left="-108" w:right="-57"/>
              <w:jc w:val="right"/>
            </w:pPr>
            <w:r>
              <w:t>193,94</w:t>
            </w:r>
          </w:p>
        </w:tc>
        <w:tc>
          <w:tcPr>
            <w:tcW w:w="992" w:type="dxa"/>
            <w:vAlign w:val="center"/>
          </w:tcPr>
          <w:p>
            <w:pPr>
              <w:ind w:left="-108" w:right="-108"/>
              <w:jc w:val="center"/>
            </w:pPr>
            <w:r>
              <w:t>102,0</w:t>
            </w:r>
          </w:p>
        </w:tc>
      </w:tr>
    </w:tbl>
    <w:p>
      <w:pPr>
        <w:pStyle w:val="a5"/>
        <w:spacing w:before="120" w:after="0"/>
        <w:ind w:firstLine="709"/>
        <w:jc w:val="both"/>
        <w:rPr>
          <w:sz w:val="24"/>
          <w:szCs w:val="24"/>
        </w:rPr>
      </w:pPr>
      <w:r>
        <w:rPr>
          <w:sz w:val="24"/>
          <w:szCs w:val="24"/>
        </w:rPr>
        <w:t>Удельный вес статьи в общей структуре фактически поступивших доходов составляет 0,2%, налоговых и неналоговых доходах – 0,9%.</w:t>
      </w:r>
    </w:p>
    <w:p>
      <w:pPr>
        <w:pStyle w:val="a8"/>
        <w:spacing w:after="0"/>
        <w:ind w:left="0" w:firstLine="720"/>
        <w:jc w:val="both"/>
        <w:rPr>
          <w:sz w:val="24"/>
          <w:szCs w:val="24"/>
        </w:rPr>
      </w:pPr>
      <w:r>
        <w:rPr>
          <w:sz w:val="24"/>
          <w:szCs w:val="24"/>
        </w:rPr>
        <w:t>Норматив зачисления в бюджет ЗАТО Северск 100%.</w:t>
      </w:r>
    </w:p>
    <w:p>
      <w:pPr>
        <w:pStyle w:val="a8"/>
        <w:spacing w:after="0"/>
        <w:ind w:left="0" w:firstLine="720"/>
        <w:jc w:val="both"/>
        <w:rPr>
          <w:sz w:val="24"/>
          <w:szCs w:val="24"/>
        </w:rPr>
      </w:pPr>
      <w:r>
        <w:rPr>
          <w:sz w:val="24"/>
          <w:szCs w:val="24"/>
        </w:rPr>
        <w:t>По сравнению с 2019 годом уменьшение поступлений по статье составило 10 714,66 тыс.руб. или на 52,2%.</w:t>
      </w:r>
    </w:p>
    <w:p>
      <w:pPr>
        <w:pStyle w:val="a5"/>
        <w:spacing w:after="0"/>
        <w:jc w:val="center"/>
        <w:rPr>
          <w:b/>
          <w:i/>
          <w:sz w:val="18"/>
          <w:szCs w:val="18"/>
          <w:highlight w:val="yellow"/>
        </w:rPr>
      </w:pPr>
    </w:p>
    <w:p>
      <w:pPr>
        <w:pStyle w:val="a5"/>
        <w:spacing w:after="0"/>
        <w:jc w:val="center"/>
        <w:rPr>
          <w:b/>
          <w:i/>
          <w:sz w:val="24"/>
          <w:szCs w:val="24"/>
        </w:rPr>
      </w:pPr>
      <w:r>
        <w:rPr>
          <w:b/>
          <w:i/>
          <w:sz w:val="24"/>
          <w:szCs w:val="24"/>
        </w:rPr>
        <w:t xml:space="preserve">3.2.4.1. Доходы от реализации иного имущества, находящегося </w:t>
      </w:r>
    </w:p>
    <w:p>
      <w:pPr>
        <w:pStyle w:val="a5"/>
        <w:spacing w:after="100"/>
        <w:ind w:firstLine="567"/>
        <w:jc w:val="center"/>
        <w:rPr>
          <w:b/>
          <w:i/>
          <w:sz w:val="24"/>
          <w:szCs w:val="24"/>
        </w:rPr>
      </w:pPr>
      <w:r>
        <w:rPr>
          <w:b/>
          <w:i/>
          <w:sz w:val="24"/>
          <w:szCs w:val="24"/>
        </w:rPr>
        <w:t>в собственности городских округов</w:t>
      </w:r>
    </w:p>
    <w:p>
      <w:pPr>
        <w:pStyle w:val="a8"/>
        <w:spacing w:after="0"/>
        <w:ind w:left="0" w:firstLine="720"/>
        <w:jc w:val="both"/>
        <w:rPr>
          <w:color w:val="000000" w:themeColor="text1"/>
          <w:sz w:val="24"/>
          <w:szCs w:val="24"/>
        </w:rPr>
      </w:pPr>
      <w:r>
        <w:rPr>
          <w:color w:val="000000" w:themeColor="text1"/>
          <w:sz w:val="24"/>
          <w:szCs w:val="24"/>
        </w:rPr>
        <w:t>Прогноз поступлений по подстатье «Доходы от реализации иного имущества, находящегося в собственности городских округов» составлял 9 411,87 тыс.руб., фактическое исполнение – 9 382,93 тыс.руб., невыполнение на 28,94 тыс.руб. или на 0,3%.</w:t>
      </w:r>
    </w:p>
    <w:p>
      <w:pPr>
        <w:pStyle w:val="a8"/>
        <w:spacing w:after="0"/>
        <w:ind w:left="0" w:firstLine="720"/>
        <w:jc w:val="both"/>
        <w:rPr>
          <w:sz w:val="24"/>
          <w:szCs w:val="24"/>
        </w:rPr>
      </w:pPr>
      <w:r>
        <w:rPr>
          <w:sz w:val="24"/>
          <w:szCs w:val="24"/>
        </w:rPr>
        <w:t>Норматив зачисления в бюджет ЗАТО Северск 100%.</w:t>
      </w:r>
    </w:p>
    <w:p>
      <w:pPr>
        <w:pStyle w:val="a8"/>
        <w:spacing w:after="0"/>
        <w:ind w:left="0" w:firstLine="720"/>
        <w:jc w:val="both"/>
        <w:rPr>
          <w:sz w:val="24"/>
          <w:szCs w:val="24"/>
        </w:rPr>
      </w:pPr>
      <w:r>
        <w:rPr>
          <w:sz w:val="24"/>
          <w:szCs w:val="24"/>
        </w:rPr>
        <w:t>Приватизация объектов муниципальной собственности в 2020 году осуществлялась в соответствии с Прогнозным планом, утвержденным Решением Думы ЗАТО Северск от 19.11.2019 № 57/5 «Об утверждении Прогнозного плана (программы) приватизации муниципального имущества ЗАТО Северск на 2020 год» (далее – План приватизации).</w:t>
      </w:r>
    </w:p>
    <w:p>
      <w:pPr>
        <w:suppressAutoHyphens/>
        <w:autoSpaceDE w:val="0"/>
        <w:ind w:firstLine="700"/>
        <w:jc w:val="both"/>
        <w:rPr>
          <w:sz w:val="24"/>
          <w:szCs w:val="24"/>
          <w:lang w:eastAsia="ar-SA"/>
        </w:rPr>
      </w:pPr>
      <w:r>
        <w:rPr>
          <w:sz w:val="24"/>
          <w:szCs w:val="24"/>
          <w:lang w:eastAsia="ar-SA"/>
        </w:rPr>
        <w:t xml:space="preserve">Первоначальный План приватизации на 2020 год содержал 21 объект муниципального имущества ЗАТО Северск, подлежащих приватизации в 2020 году. </w:t>
      </w:r>
    </w:p>
    <w:p>
      <w:pPr>
        <w:suppressAutoHyphens/>
        <w:autoSpaceDE w:val="0"/>
        <w:ind w:firstLine="700"/>
        <w:jc w:val="both"/>
        <w:rPr>
          <w:sz w:val="24"/>
          <w:szCs w:val="24"/>
          <w:lang w:eastAsia="ar-SA"/>
        </w:rPr>
      </w:pPr>
      <w:r>
        <w:rPr>
          <w:sz w:val="24"/>
          <w:szCs w:val="24"/>
          <w:lang w:eastAsia="ar-SA"/>
        </w:rPr>
        <w:t>В течение отчетного года:</w:t>
      </w:r>
    </w:p>
    <w:p>
      <w:pPr>
        <w:autoSpaceDE w:val="0"/>
        <w:autoSpaceDN w:val="0"/>
        <w:adjustRightInd w:val="0"/>
        <w:ind w:firstLine="700"/>
        <w:jc w:val="both"/>
        <w:rPr>
          <w:sz w:val="24"/>
          <w:szCs w:val="24"/>
        </w:rPr>
      </w:pPr>
      <w:r>
        <w:rPr>
          <w:sz w:val="24"/>
          <w:szCs w:val="24"/>
          <w:lang w:eastAsia="ar-SA"/>
        </w:rPr>
        <w:t>1)</w:t>
      </w:r>
      <w:r>
        <w:rPr>
          <w:sz w:val="24"/>
          <w:szCs w:val="24"/>
          <w:lang w:val="en-US" w:eastAsia="ar-SA"/>
        </w:rPr>
        <w:t> </w:t>
      </w:r>
      <w:r>
        <w:rPr>
          <w:sz w:val="24"/>
          <w:szCs w:val="24"/>
          <w:lang w:eastAsia="ar-SA"/>
        </w:rPr>
        <w:t>дополнительно в План приватизации были включены 6 объектов недвижимого имущества ЗАТО Северск (Решения Думы ЗАТО Северск от 23.06.2020 № 65/10, от</w:t>
      </w:r>
      <w:r>
        <w:rPr>
          <w:sz w:val="24"/>
          <w:szCs w:val="24"/>
        </w:rPr>
        <w:t> 27.08.2020 № 66/19</w:t>
      </w:r>
      <w:r>
        <w:rPr>
          <w:sz w:val="24"/>
          <w:szCs w:val="24"/>
          <w:lang w:eastAsia="ar-SA"/>
        </w:rPr>
        <w:t>);</w:t>
      </w:r>
    </w:p>
    <w:p>
      <w:pPr>
        <w:suppressAutoHyphens/>
        <w:autoSpaceDE w:val="0"/>
        <w:ind w:firstLine="700"/>
        <w:jc w:val="both"/>
        <w:rPr>
          <w:sz w:val="24"/>
          <w:szCs w:val="24"/>
          <w:lang w:eastAsia="ar-SA"/>
        </w:rPr>
      </w:pPr>
      <w:r>
        <w:rPr>
          <w:sz w:val="24"/>
          <w:szCs w:val="24"/>
          <w:lang w:eastAsia="ar-SA"/>
        </w:rPr>
        <w:t>2)</w:t>
      </w:r>
      <w:r>
        <w:rPr>
          <w:sz w:val="24"/>
          <w:szCs w:val="24"/>
          <w:lang w:val="en-US" w:eastAsia="ar-SA"/>
        </w:rPr>
        <w:t> </w:t>
      </w:r>
      <w:r>
        <w:rPr>
          <w:sz w:val="24"/>
          <w:szCs w:val="24"/>
          <w:lang w:eastAsia="ar-SA"/>
        </w:rPr>
        <w:t>из Плана приватизации были исключены 5 объектов недвижимого имущества (Решение Думы ЗАТО Северск от 27.02.2020 № 61/3).</w:t>
      </w:r>
    </w:p>
    <w:p>
      <w:pPr>
        <w:suppressAutoHyphens/>
        <w:autoSpaceDE w:val="0"/>
        <w:ind w:firstLine="700"/>
        <w:jc w:val="both"/>
        <w:rPr>
          <w:sz w:val="24"/>
          <w:szCs w:val="24"/>
          <w:lang w:eastAsia="ar-SA"/>
        </w:rPr>
      </w:pPr>
      <w:r>
        <w:rPr>
          <w:sz w:val="24"/>
          <w:szCs w:val="24"/>
          <w:lang w:eastAsia="ar-SA"/>
        </w:rPr>
        <w:t xml:space="preserve">С учетом изменений в отчетном году приватизации подлежали 22 объекта муниципального имущества ЗАТО Северск, в том числе: </w:t>
      </w:r>
    </w:p>
    <w:p>
      <w:pPr>
        <w:shd w:val="clear" w:color="auto" w:fill="FFFFFF"/>
        <w:tabs>
          <w:tab w:val="left" w:pos="6115"/>
        </w:tabs>
        <w:suppressAutoHyphens/>
        <w:ind w:firstLine="700"/>
        <w:jc w:val="both"/>
        <w:rPr>
          <w:sz w:val="24"/>
          <w:szCs w:val="24"/>
          <w:lang w:eastAsia="ar-SA"/>
        </w:rPr>
      </w:pPr>
      <w:r>
        <w:rPr>
          <w:sz w:val="24"/>
          <w:szCs w:val="24"/>
          <w:lang w:eastAsia="ar-SA"/>
        </w:rPr>
        <w:lastRenderedPageBreak/>
        <w:t>1) 17 объектов недвижимого имущества;</w:t>
      </w:r>
      <w:r>
        <w:rPr>
          <w:sz w:val="24"/>
          <w:szCs w:val="24"/>
          <w:lang w:eastAsia="ar-SA"/>
        </w:rPr>
        <w:tab/>
      </w:r>
    </w:p>
    <w:p>
      <w:pPr>
        <w:suppressAutoHyphens/>
        <w:autoSpaceDE w:val="0"/>
        <w:ind w:firstLine="700"/>
        <w:jc w:val="both"/>
        <w:rPr>
          <w:sz w:val="24"/>
          <w:szCs w:val="24"/>
          <w:lang w:eastAsia="ar-SA"/>
        </w:rPr>
      </w:pPr>
      <w:r>
        <w:rPr>
          <w:sz w:val="24"/>
          <w:szCs w:val="24"/>
          <w:lang w:eastAsia="ar-SA"/>
        </w:rPr>
        <w:t>2) 5 объектов движимого имущества.</w:t>
      </w:r>
    </w:p>
    <w:p>
      <w:pPr>
        <w:pStyle w:val="a8"/>
        <w:spacing w:after="0"/>
        <w:ind w:left="0" w:firstLine="720"/>
        <w:jc w:val="both"/>
        <w:rPr>
          <w:color w:val="FF0000"/>
          <w:sz w:val="24"/>
          <w:szCs w:val="24"/>
        </w:rPr>
      </w:pPr>
      <w:r>
        <w:rPr>
          <w:sz w:val="24"/>
          <w:szCs w:val="24"/>
        </w:rPr>
        <w:t>В 2020 году приватизировано 2 объекта (9,1% от общего количества подлежащих приватизации объектов).</w:t>
      </w:r>
    </w:p>
    <w:p>
      <w:pPr>
        <w:spacing w:before="120" w:after="60"/>
        <w:ind w:firstLine="709"/>
        <w:jc w:val="both"/>
        <w:rPr>
          <w:sz w:val="24"/>
          <w:szCs w:val="24"/>
        </w:rPr>
      </w:pPr>
      <w:r>
        <w:rPr>
          <w:sz w:val="24"/>
          <w:szCs w:val="24"/>
        </w:rPr>
        <w:t xml:space="preserve">Таблица 38. Анализ поступления доходов от </w:t>
      </w:r>
      <w:r>
        <w:rPr>
          <w:color w:val="000000" w:themeColor="text1"/>
          <w:sz w:val="24"/>
          <w:szCs w:val="24"/>
        </w:rPr>
        <w:t>реализации иного имущества, находящегося в собственности городских округов</w:t>
      </w:r>
      <w:r>
        <w:rPr>
          <w:sz w:val="24"/>
          <w:szCs w:val="24"/>
        </w:rPr>
        <w:t xml:space="preserve"> в 2020 году</w:t>
      </w:r>
    </w:p>
    <w:tbl>
      <w:tblPr>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8"/>
        <w:gridCol w:w="1134"/>
        <w:gridCol w:w="1124"/>
        <w:gridCol w:w="1175"/>
        <w:gridCol w:w="1134"/>
        <w:gridCol w:w="1134"/>
        <w:gridCol w:w="992"/>
      </w:tblGrid>
      <w:tr>
        <w:trPr>
          <w:trHeight w:val="247"/>
          <w:jc w:val="center"/>
        </w:trPr>
        <w:tc>
          <w:tcPr>
            <w:tcW w:w="2798"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58" w:right="-108"/>
              <w:jc w:val="center"/>
            </w:pPr>
            <w:r>
              <w:rPr>
                <w:bCs/>
              </w:rPr>
              <w:t>2019 год, тыс.руб.</w:t>
            </w:r>
          </w:p>
        </w:tc>
        <w:tc>
          <w:tcPr>
            <w:tcW w:w="5559" w:type="dxa"/>
            <w:gridSpan w:val="5"/>
            <w:vAlign w:val="center"/>
          </w:tcPr>
          <w:p>
            <w:pPr>
              <w:ind w:left="-108" w:right="-108"/>
              <w:jc w:val="center"/>
            </w:pPr>
            <w:r>
              <w:t>2020 год</w:t>
            </w:r>
          </w:p>
        </w:tc>
      </w:tr>
      <w:tr>
        <w:trPr>
          <w:trHeight w:val="804"/>
          <w:jc w:val="center"/>
        </w:trPr>
        <w:tc>
          <w:tcPr>
            <w:tcW w:w="2798"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24" w:type="dxa"/>
          </w:tcPr>
          <w:p>
            <w:pPr>
              <w:ind w:left="-158" w:right="-108"/>
              <w:jc w:val="center"/>
            </w:pPr>
            <w:r>
              <w:t>Первона-чальный прогноз, тыс.руб.</w:t>
            </w:r>
          </w:p>
        </w:tc>
        <w:tc>
          <w:tcPr>
            <w:tcW w:w="1175" w:type="dxa"/>
            <w:vAlign w:val="center"/>
          </w:tcPr>
          <w:p>
            <w:pPr>
              <w:ind w:left="-250" w:right="-108" w:firstLine="92"/>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92"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243"/>
          <w:jc w:val="center"/>
        </w:trPr>
        <w:tc>
          <w:tcPr>
            <w:tcW w:w="2798"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24" w:type="dxa"/>
            <w:vAlign w:val="center"/>
          </w:tcPr>
          <w:p>
            <w:pPr>
              <w:jc w:val="center"/>
              <w:rPr>
                <w:color w:val="000000"/>
                <w:sz w:val="16"/>
                <w:szCs w:val="16"/>
              </w:rPr>
            </w:pPr>
            <w:r>
              <w:rPr>
                <w:color w:val="000000"/>
                <w:sz w:val="16"/>
                <w:szCs w:val="16"/>
              </w:rPr>
              <w:t>3</w:t>
            </w:r>
          </w:p>
        </w:tc>
        <w:tc>
          <w:tcPr>
            <w:tcW w:w="1175" w:type="dxa"/>
            <w:vAlign w:val="center"/>
          </w:tcPr>
          <w:p>
            <w:pPr>
              <w:jc w:val="center"/>
              <w:rPr>
                <w:color w:val="000000"/>
                <w:sz w:val="16"/>
                <w:szCs w:val="16"/>
              </w:rPr>
            </w:pPr>
            <w:r>
              <w:rPr>
                <w:color w:val="000000"/>
                <w:sz w:val="16"/>
                <w:szCs w:val="16"/>
              </w:rPr>
              <w:t>4</w:t>
            </w:r>
          </w:p>
        </w:tc>
        <w:tc>
          <w:tcPr>
            <w:tcW w:w="1134" w:type="dxa"/>
            <w:vAlign w:val="center"/>
          </w:tcPr>
          <w:p>
            <w:pPr>
              <w:jc w:val="center"/>
              <w:rPr>
                <w:color w:val="000000"/>
                <w:sz w:val="16"/>
                <w:szCs w:val="16"/>
              </w:rPr>
            </w:pPr>
            <w:r>
              <w:rPr>
                <w:color w:val="000000"/>
                <w:sz w:val="16"/>
                <w:szCs w:val="16"/>
              </w:rPr>
              <w:t>5</w:t>
            </w:r>
          </w:p>
        </w:tc>
        <w:tc>
          <w:tcPr>
            <w:tcW w:w="1134" w:type="dxa"/>
            <w:vAlign w:val="center"/>
          </w:tcPr>
          <w:p>
            <w:pPr>
              <w:jc w:val="center"/>
              <w:rPr>
                <w:color w:val="000000"/>
                <w:sz w:val="16"/>
                <w:szCs w:val="16"/>
              </w:rPr>
            </w:pPr>
            <w:r>
              <w:rPr>
                <w:color w:val="000000"/>
                <w:sz w:val="16"/>
                <w:szCs w:val="16"/>
              </w:rPr>
              <w:t>6=5-4</w:t>
            </w:r>
          </w:p>
        </w:tc>
        <w:tc>
          <w:tcPr>
            <w:tcW w:w="992" w:type="dxa"/>
            <w:vAlign w:val="center"/>
          </w:tcPr>
          <w:p>
            <w:pPr>
              <w:pStyle w:val="a5"/>
              <w:spacing w:after="0"/>
              <w:ind w:left="-57" w:right="-57"/>
              <w:jc w:val="center"/>
              <w:rPr>
                <w:sz w:val="16"/>
                <w:szCs w:val="16"/>
              </w:rPr>
            </w:pPr>
            <w:r>
              <w:rPr>
                <w:sz w:val="16"/>
                <w:szCs w:val="16"/>
              </w:rPr>
              <w:t>7=5/4</w:t>
            </w:r>
          </w:p>
        </w:tc>
      </w:tr>
      <w:tr>
        <w:trPr>
          <w:trHeight w:val="665"/>
          <w:jc w:val="center"/>
        </w:trPr>
        <w:tc>
          <w:tcPr>
            <w:tcW w:w="2798" w:type="dxa"/>
            <w:vAlign w:val="center"/>
          </w:tcPr>
          <w:p>
            <w:r>
              <w:t>Доходы от реализации иного имущества, находящегося в собственности городских округов</w:t>
            </w:r>
          </w:p>
        </w:tc>
        <w:tc>
          <w:tcPr>
            <w:tcW w:w="1134" w:type="dxa"/>
            <w:vAlign w:val="center"/>
          </w:tcPr>
          <w:p>
            <w:pPr>
              <w:spacing w:before="40" w:after="40"/>
              <w:ind w:left="-108" w:right="-57"/>
              <w:jc w:val="right"/>
            </w:pPr>
            <w:r>
              <w:t>20 302,74</w:t>
            </w:r>
          </w:p>
        </w:tc>
        <w:tc>
          <w:tcPr>
            <w:tcW w:w="1124" w:type="dxa"/>
            <w:vAlign w:val="center"/>
          </w:tcPr>
          <w:p>
            <w:pPr>
              <w:spacing w:before="40" w:after="40"/>
              <w:ind w:left="-108" w:right="-57"/>
              <w:jc w:val="right"/>
            </w:pPr>
            <w:r>
              <w:t>36 384,34</w:t>
            </w:r>
          </w:p>
        </w:tc>
        <w:tc>
          <w:tcPr>
            <w:tcW w:w="1175" w:type="dxa"/>
            <w:vAlign w:val="center"/>
          </w:tcPr>
          <w:p>
            <w:pPr>
              <w:spacing w:before="40" w:after="40"/>
              <w:ind w:left="-57" w:right="-57"/>
              <w:jc w:val="right"/>
            </w:pPr>
            <w:r>
              <w:t>9 411,87</w:t>
            </w:r>
          </w:p>
        </w:tc>
        <w:tc>
          <w:tcPr>
            <w:tcW w:w="1134" w:type="dxa"/>
            <w:vAlign w:val="center"/>
          </w:tcPr>
          <w:p>
            <w:pPr>
              <w:spacing w:before="40" w:after="40"/>
              <w:ind w:left="-57" w:right="-57"/>
              <w:jc w:val="right"/>
            </w:pPr>
            <w:r>
              <w:t>9 382,93</w:t>
            </w:r>
          </w:p>
        </w:tc>
        <w:tc>
          <w:tcPr>
            <w:tcW w:w="1134" w:type="dxa"/>
            <w:vAlign w:val="center"/>
          </w:tcPr>
          <w:p>
            <w:pPr>
              <w:spacing w:before="40" w:after="40"/>
              <w:ind w:left="-108" w:right="-57"/>
              <w:jc w:val="right"/>
            </w:pPr>
            <w:r>
              <w:t>-28,94</w:t>
            </w:r>
          </w:p>
        </w:tc>
        <w:tc>
          <w:tcPr>
            <w:tcW w:w="992" w:type="dxa"/>
            <w:vAlign w:val="center"/>
          </w:tcPr>
          <w:p>
            <w:pPr>
              <w:spacing w:before="40" w:after="40"/>
              <w:ind w:left="-108" w:right="-108"/>
              <w:jc w:val="center"/>
            </w:pPr>
            <w:r>
              <w:t>99,7</w:t>
            </w:r>
          </w:p>
        </w:tc>
      </w:tr>
    </w:tbl>
    <w:p>
      <w:pPr>
        <w:pStyle w:val="ConsPlusNormal"/>
        <w:ind w:firstLine="709"/>
        <w:jc w:val="both"/>
      </w:pPr>
    </w:p>
    <w:p>
      <w:pPr>
        <w:pStyle w:val="ConsPlusNormal"/>
        <w:ind w:firstLine="709"/>
        <w:jc w:val="both"/>
      </w:pPr>
      <w:r>
        <w:t>Доходы от приватизации муниципального имущества в 2020году составили:</w:t>
      </w:r>
    </w:p>
    <w:p>
      <w:pPr>
        <w:pStyle w:val="ConsPlusNormal"/>
        <w:ind w:firstLine="709"/>
        <w:jc w:val="both"/>
        <w:rPr>
          <w:color w:val="000000" w:themeColor="text1"/>
        </w:rPr>
      </w:pPr>
      <w:r>
        <w:t xml:space="preserve">-  в соответствии с Федеральным законом от 21.12.2001 № 178-ФЗ «О приватизации </w:t>
      </w:r>
      <w:r>
        <w:rPr>
          <w:color w:val="000000" w:themeColor="text1"/>
        </w:rPr>
        <w:t>государственного и муниципального имущества» – 5 501,04 тыс.руб. или 58,6% от общей суммы поступлений по подстатье;</w:t>
      </w:r>
    </w:p>
    <w:p>
      <w:pPr>
        <w:pStyle w:val="ConsPlusNormal"/>
        <w:ind w:firstLine="709"/>
        <w:jc w:val="both"/>
        <w:rPr>
          <w:color w:val="000000" w:themeColor="text1"/>
        </w:rPr>
      </w:pPr>
      <w:r>
        <w:rPr>
          <w:color w:val="000000" w:themeColor="text1"/>
        </w:rPr>
        <w:t>-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(доходы от приватизации в 2015-2020 гг. в рассрочку до 5 лет) – 3 881,89 тыс.руб. или 41,4% от общей суммы поступлений по подстатье.</w:t>
      </w:r>
    </w:p>
    <w:p>
      <w:pPr>
        <w:pStyle w:val="a8"/>
        <w:spacing w:after="0"/>
        <w:ind w:left="0" w:firstLine="720"/>
        <w:jc w:val="both"/>
        <w:rPr>
          <w:sz w:val="24"/>
          <w:szCs w:val="24"/>
        </w:rPr>
      </w:pPr>
      <w:r>
        <w:rPr>
          <w:sz w:val="24"/>
          <w:szCs w:val="24"/>
        </w:rPr>
        <w:t>По сравнению с 2019 годом снижение поступлений по подстатье составило 10 919,81 тыс.руб. или на 53,8%.</w:t>
      </w:r>
    </w:p>
    <w:p>
      <w:pPr>
        <w:pStyle w:val="a8"/>
        <w:spacing w:after="0"/>
        <w:ind w:left="0" w:firstLine="720"/>
        <w:jc w:val="both"/>
        <w:rPr>
          <w:sz w:val="24"/>
          <w:szCs w:val="24"/>
          <w:highlight w:val="yellow"/>
        </w:rPr>
      </w:pPr>
    </w:p>
    <w:p>
      <w:pPr>
        <w:pStyle w:val="a8"/>
        <w:ind w:left="0"/>
        <w:jc w:val="center"/>
        <w:rPr>
          <w:b/>
          <w:i/>
          <w:sz w:val="24"/>
          <w:szCs w:val="24"/>
        </w:rPr>
      </w:pPr>
      <w:r>
        <w:rPr>
          <w:b/>
          <w:i/>
          <w:sz w:val="24"/>
          <w:szCs w:val="24"/>
        </w:rPr>
        <w:t>3.2.4.2. Доходы от продажи земельных участков</w:t>
      </w:r>
    </w:p>
    <w:p>
      <w:pPr>
        <w:pStyle w:val="a8"/>
        <w:spacing w:after="0"/>
        <w:ind w:left="0" w:firstLine="720"/>
        <w:jc w:val="both"/>
        <w:rPr>
          <w:sz w:val="24"/>
          <w:szCs w:val="24"/>
        </w:rPr>
      </w:pPr>
      <w:r>
        <w:rPr>
          <w:sz w:val="24"/>
          <w:szCs w:val="24"/>
        </w:rPr>
        <w:t>Прогноз поступлений по доходам от продажи земельных участков составлял      190,00 тыс.руб., фактическое исполнение – 412,88 тыс.руб., перевыполнение                                        на 222,88 тыс.руб. или в 2,2 раза.</w:t>
      </w:r>
    </w:p>
    <w:p>
      <w:pPr>
        <w:spacing w:before="120" w:after="60"/>
        <w:ind w:firstLine="709"/>
        <w:jc w:val="both"/>
        <w:rPr>
          <w:sz w:val="24"/>
          <w:szCs w:val="24"/>
        </w:rPr>
      </w:pPr>
      <w:r>
        <w:rPr>
          <w:sz w:val="24"/>
          <w:szCs w:val="24"/>
        </w:rPr>
        <w:t>Таблица 39 Анализ поступления от продажи земельных участков в 2019 - 2020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134"/>
        <w:gridCol w:w="1134"/>
        <w:gridCol w:w="1233"/>
        <w:gridCol w:w="1177"/>
        <w:gridCol w:w="1082"/>
        <w:gridCol w:w="867"/>
      </w:tblGrid>
      <w:tr>
        <w:trPr>
          <w:trHeight w:val="302"/>
        </w:trPr>
        <w:tc>
          <w:tcPr>
            <w:tcW w:w="2943" w:type="dxa"/>
            <w:vMerge w:val="restart"/>
            <w:vAlign w:val="center"/>
          </w:tcPr>
          <w:p>
            <w:pPr>
              <w:jc w:val="center"/>
            </w:pPr>
            <w:r>
              <w:t xml:space="preserve">Наименование </w:t>
            </w:r>
          </w:p>
        </w:tc>
        <w:tc>
          <w:tcPr>
            <w:tcW w:w="1134" w:type="dxa"/>
            <w:vMerge w:val="restart"/>
          </w:tcPr>
          <w:p>
            <w:pPr>
              <w:ind w:left="-108" w:right="-108"/>
              <w:jc w:val="center"/>
              <w:rPr>
                <w:sz w:val="22"/>
                <w:szCs w:val="22"/>
              </w:rPr>
            </w:pPr>
          </w:p>
          <w:p>
            <w:pPr>
              <w:ind w:right="-57"/>
              <w:jc w:val="center"/>
              <w:rPr>
                <w:bCs/>
              </w:rPr>
            </w:pPr>
            <w:r>
              <w:rPr>
                <w:bCs/>
              </w:rPr>
              <w:t>Факт</w:t>
            </w:r>
          </w:p>
          <w:p>
            <w:pPr>
              <w:ind w:left="-108" w:right="-108"/>
              <w:jc w:val="center"/>
              <w:rPr>
                <w:sz w:val="22"/>
                <w:szCs w:val="22"/>
              </w:rPr>
            </w:pPr>
            <w:r>
              <w:rPr>
                <w:bCs/>
              </w:rPr>
              <w:t>2019 год, тыс.руб.</w:t>
            </w:r>
          </w:p>
        </w:tc>
        <w:tc>
          <w:tcPr>
            <w:tcW w:w="5493" w:type="dxa"/>
            <w:gridSpan w:val="5"/>
            <w:vAlign w:val="center"/>
          </w:tcPr>
          <w:p>
            <w:pPr>
              <w:pStyle w:val="a5"/>
              <w:spacing w:after="0"/>
              <w:ind w:left="-57" w:right="-57"/>
              <w:jc w:val="center"/>
            </w:pPr>
            <w:r>
              <w:t>2020 год</w:t>
            </w:r>
          </w:p>
        </w:tc>
      </w:tr>
      <w:tr>
        <w:trPr>
          <w:trHeight w:val="554"/>
        </w:trPr>
        <w:tc>
          <w:tcPr>
            <w:tcW w:w="2943" w:type="dxa"/>
            <w:vMerge/>
            <w:vAlign w:val="center"/>
          </w:tcPr>
          <w:p>
            <w:pPr>
              <w:jc w:val="center"/>
              <w:rPr>
                <w:sz w:val="22"/>
                <w:szCs w:val="22"/>
              </w:rPr>
            </w:pPr>
          </w:p>
        </w:tc>
        <w:tc>
          <w:tcPr>
            <w:tcW w:w="1134" w:type="dxa"/>
            <w:vMerge/>
          </w:tcPr>
          <w:p>
            <w:pPr>
              <w:ind w:left="-108" w:right="-108"/>
              <w:jc w:val="center"/>
              <w:rPr>
                <w:sz w:val="22"/>
                <w:szCs w:val="22"/>
              </w:rPr>
            </w:pPr>
          </w:p>
        </w:tc>
        <w:tc>
          <w:tcPr>
            <w:tcW w:w="1134" w:type="dxa"/>
          </w:tcPr>
          <w:p>
            <w:pPr>
              <w:ind w:left="-158" w:right="-108"/>
              <w:jc w:val="center"/>
            </w:pPr>
            <w:r>
              <w:t>Первона-чальный прогноз, тыс.руб.</w:t>
            </w:r>
          </w:p>
        </w:tc>
        <w:tc>
          <w:tcPr>
            <w:tcW w:w="1233" w:type="dxa"/>
            <w:vAlign w:val="center"/>
          </w:tcPr>
          <w:p>
            <w:pPr>
              <w:ind w:left="-158" w:right="-108"/>
              <w:jc w:val="center"/>
            </w:pPr>
            <w:r>
              <w:t>Уточненный прогноз,</w:t>
            </w:r>
            <w:r>
              <w:br/>
              <w:t>тыс.руб.</w:t>
            </w:r>
          </w:p>
        </w:tc>
        <w:tc>
          <w:tcPr>
            <w:tcW w:w="1177" w:type="dxa"/>
            <w:vAlign w:val="center"/>
          </w:tcPr>
          <w:p>
            <w:pPr>
              <w:ind w:left="-108" w:right="-108"/>
              <w:jc w:val="center"/>
            </w:pPr>
            <w:r>
              <w:t xml:space="preserve">Факт, </w:t>
            </w:r>
            <w:r>
              <w:br/>
              <w:t>тыс.руб.</w:t>
            </w:r>
          </w:p>
        </w:tc>
        <w:tc>
          <w:tcPr>
            <w:tcW w:w="1082"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67"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c>
          <w:tcPr>
            <w:tcW w:w="2943"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34" w:type="dxa"/>
            <w:shd w:val="clear" w:color="auto" w:fill="auto"/>
            <w:vAlign w:val="center"/>
          </w:tcPr>
          <w:p>
            <w:pPr>
              <w:jc w:val="center"/>
              <w:rPr>
                <w:color w:val="000000"/>
                <w:sz w:val="16"/>
                <w:szCs w:val="16"/>
              </w:rPr>
            </w:pPr>
            <w:r>
              <w:rPr>
                <w:color w:val="000000"/>
                <w:sz w:val="16"/>
                <w:szCs w:val="16"/>
              </w:rPr>
              <w:t>3</w:t>
            </w:r>
          </w:p>
        </w:tc>
        <w:tc>
          <w:tcPr>
            <w:tcW w:w="1233" w:type="dxa"/>
            <w:shd w:val="clear" w:color="auto" w:fill="auto"/>
            <w:vAlign w:val="center"/>
          </w:tcPr>
          <w:p>
            <w:pPr>
              <w:jc w:val="center"/>
              <w:rPr>
                <w:color w:val="000000"/>
                <w:sz w:val="16"/>
                <w:szCs w:val="16"/>
              </w:rPr>
            </w:pPr>
            <w:r>
              <w:rPr>
                <w:color w:val="000000"/>
                <w:sz w:val="16"/>
                <w:szCs w:val="16"/>
              </w:rPr>
              <w:t>4</w:t>
            </w:r>
          </w:p>
        </w:tc>
        <w:tc>
          <w:tcPr>
            <w:tcW w:w="1177" w:type="dxa"/>
            <w:shd w:val="clear" w:color="auto" w:fill="auto"/>
            <w:vAlign w:val="center"/>
          </w:tcPr>
          <w:p>
            <w:pPr>
              <w:jc w:val="center"/>
              <w:rPr>
                <w:color w:val="000000"/>
                <w:sz w:val="16"/>
                <w:szCs w:val="16"/>
              </w:rPr>
            </w:pPr>
            <w:r>
              <w:rPr>
                <w:color w:val="000000"/>
                <w:sz w:val="16"/>
                <w:szCs w:val="16"/>
              </w:rPr>
              <w:t>5</w:t>
            </w:r>
          </w:p>
        </w:tc>
        <w:tc>
          <w:tcPr>
            <w:tcW w:w="1082" w:type="dxa"/>
            <w:shd w:val="clear" w:color="auto" w:fill="auto"/>
            <w:vAlign w:val="center"/>
          </w:tcPr>
          <w:p>
            <w:pPr>
              <w:jc w:val="center"/>
              <w:rPr>
                <w:color w:val="000000"/>
                <w:sz w:val="16"/>
                <w:szCs w:val="16"/>
              </w:rPr>
            </w:pPr>
            <w:r>
              <w:rPr>
                <w:color w:val="000000"/>
                <w:sz w:val="16"/>
                <w:szCs w:val="16"/>
              </w:rPr>
              <w:t>6=5-4</w:t>
            </w:r>
          </w:p>
        </w:tc>
        <w:tc>
          <w:tcPr>
            <w:tcW w:w="867" w:type="dxa"/>
            <w:shd w:val="clear" w:color="auto" w:fill="auto"/>
            <w:vAlign w:val="center"/>
          </w:tcPr>
          <w:p>
            <w:pPr>
              <w:pStyle w:val="a5"/>
              <w:spacing w:after="0"/>
              <w:ind w:left="-57" w:right="-57"/>
              <w:jc w:val="center"/>
              <w:rPr>
                <w:sz w:val="16"/>
                <w:szCs w:val="16"/>
              </w:rPr>
            </w:pPr>
            <w:r>
              <w:rPr>
                <w:sz w:val="16"/>
                <w:szCs w:val="16"/>
              </w:rPr>
              <w:t>7=5/4</w:t>
            </w:r>
          </w:p>
        </w:tc>
      </w:tr>
      <w:tr>
        <w:trPr>
          <w:trHeight w:val="606"/>
        </w:trPr>
        <w:tc>
          <w:tcPr>
            <w:tcW w:w="2943" w:type="dxa"/>
            <w:vAlign w:val="center"/>
          </w:tcPr>
          <w:p>
            <w:pPr>
              <w:ind w:right="-108"/>
            </w:pPr>
            <w:r>
              <w:t>Доходы от продажи земельных участков</w:t>
            </w:r>
          </w:p>
        </w:tc>
        <w:tc>
          <w:tcPr>
            <w:tcW w:w="1134" w:type="dxa"/>
            <w:vAlign w:val="center"/>
          </w:tcPr>
          <w:p>
            <w:pPr>
              <w:spacing w:before="40" w:after="40"/>
              <w:ind w:left="-108" w:right="-57"/>
              <w:jc w:val="center"/>
            </w:pPr>
            <w:r>
              <w:t>207,72</w:t>
            </w:r>
          </w:p>
        </w:tc>
        <w:tc>
          <w:tcPr>
            <w:tcW w:w="1134" w:type="dxa"/>
            <w:shd w:val="clear" w:color="auto" w:fill="auto"/>
            <w:vAlign w:val="center"/>
          </w:tcPr>
          <w:p>
            <w:pPr>
              <w:spacing w:before="40" w:after="40"/>
              <w:ind w:left="-108" w:right="-57"/>
              <w:jc w:val="center"/>
            </w:pPr>
            <w:r>
              <w:t>190,00</w:t>
            </w:r>
          </w:p>
        </w:tc>
        <w:tc>
          <w:tcPr>
            <w:tcW w:w="1233" w:type="dxa"/>
            <w:shd w:val="clear" w:color="auto" w:fill="auto"/>
            <w:vAlign w:val="center"/>
          </w:tcPr>
          <w:p>
            <w:pPr>
              <w:spacing w:before="40" w:after="40"/>
              <w:ind w:left="-108" w:right="-57"/>
              <w:jc w:val="center"/>
            </w:pPr>
            <w:r>
              <w:t>190,00</w:t>
            </w:r>
          </w:p>
        </w:tc>
        <w:tc>
          <w:tcPr>
            <w:tcW w:w="1177" w:type="dxa"/>
            <w:shd w:val="clear" w:color="auto" w:fill="auto"/>
            <w:vAlign w:val="center"/>
          </w:tcPr>
          <w:p>
            <w:pPr>
              <w:spacing w:before="40" w:after="40"/>
              <w:ind w:left="-108" w:right="-57"/>
              <w:jc w:val="center"/>
            </w:pPr>
            <w:r>
              <w:t>412,88</w:t>
            </w:r>
          </w:p>
        </w:tc>
        <w:tc>
          <w:tcPr>
            <w:tcW w:w="1082" w:type="dxa"/>
            <w:shd w:val="clear" w:color="auto" w:fill="auto"/>
            <w:vAlign w:val="center"/>
          </w:tcPr>
          <w:p>
            <w:pPr>
              <w:spacing w:before="40" w:after="40"/>
              <w:ind w:left="-108" w:right="-57"/>
              <w:jc w:val="center"/>
            </w:pPr>
            <w:r>
              <w:t>222,88</w:t>
            </w:r>
          </w:p>
        </w:tc>
        <w:tc>
          <w:tcPr>
            <w:tcW w:w="867" w:type="dxa"/>
            <w:shd w:val="clear" w:color="auto" w:fill="auto"/>
            <w:vAlign w:val="center"/>
          </w:tcPr>
          <w:p>
            <w:pPr>
              <w:spacing w:before="40" w:after="40"/>
              <w:ind w:left="-108" w:right="-108"/>
              <w:jc w:val="center"/>
            </w:pPr>
            <w:r>
              <w:t>217,3</w:t>
            </w:r>
          </w:p>
        </w:tc>
      </w:tr>
    </w:tbl>
    <w:p>
      <w:pPr>
        <w:pStyle w:val="a8"/>
        <w:spacing w:before="120" w:after="0"/>
        <w:ind w:left="0" w:firstLine="709"/>
        <w:jc w:val="both"/>
        <w:rPr>
          <w:sz w:val="24"/>
          <w:szCs w:val="24"/>
        </w:rPr>
      </w:pPr>
      <w:r>
        <w:rPr>
          <w:sz w:val="24"/>
          <w:szCs w:val="24"/>
        </w:rPr>
        <w:t>Норматив зачисления в бюджет ЗАТО Северск 100%.</w:t>
      </w:r>
    </w:p>
    <w:p>
      <w:pPr>
        <w:pStyle w:val="a8"/>
        <w:spacing w:after="0"/>
        <w:ind w:left="0" w:firstLine="720"/>
        <w:jc w:val="both"/>
        <w:rPr>
          <w:sz w:val="24"/>
          <w:szCs w:val="24"/>
        </w:rPr>
      </w:pPr>
      <w:r>
        <w:rPr>
          <w:sz w:val="24"/>
          <w:szCs w:val="24"/>
        </w:rPr>
        <w:t>По сравнению с 2019 годом увеличение поступлений по статье составило 205,16 тыс.руб. или в 2 раза.</w:t>
      </w:r>
    </w:p>
    <w:p>
      <w:pPr>
        <w:pStyle w:val="a5"/>
        <w:jc w:val="center"/>
        <w:rPr>
          <w:b/>
          <w:sz w:val="24"/>
          <w:szCs w:val="24"/>
        </w:rPr>
      </w:pPr>
      <w:r>
        <w:rPr>
          <w:b/>
          <w:sz w:val="24"/>
          <w:szCs w:val="24"/>
        </w:rPr>
        <w:t>3.2.5. Штрафы, санкции, возмещение ущерба</w:t>
      </w:r>
    </w:p>
    <w:p>
      <w:pPr>
        <w:ind w:right="22" w:firstLine="720"/>
        <w:jc w:val="both"/>
        <w:rPr>
          <w:sz w:val="24"/>
          <w:szCs w:val="24"/>
        </w:rPr>
      </w:pPr>
      <w:r>
        <w:rPr>
          <w:sz w:val="24"/>
          <w:szCs w:val="24"/>
        </w:rPr>
        <w:t>Прогноз по статье «Штрафы, санкции, возмещение ущерба» составлял 5 659,62 тыс.руб., фактическое исполнение – 5 688,79 тыс.руб., перевыполнение на 29,17 тыс.руб. или на 0,5%.</w:t>
      </w:r>
    </w:p>
    <w:p>
      <w:pPr>
        <w:spacing w:before="120" w:after="60"/>
        <w:ind w:firstLine="709"/>
        <w:jc w:val="both"/>
        <w:rPr>
          <w:sz w:val="24"/>
          <w:szCs w:val="24"/>
        </w:rPr>
      </w:pPr>
    </w:p>
    <w:p>
      <w:pPr>
        <w:spacing w:before="120" w:after="60"/>
        <w:ind w:firstLine="709"/>
        <w:jc w:val="both"/>
        <w:rPr>
          <w:sz w:val="24"/>
          <w:szCs w:val="24"/>
        </w:rPr>
      </w:pPr>
      <w:r>
        <w:rPr>
          <w:sz w:val="24"/>
          <w:szCs w:val="24"/>
        </w:rPr>
        <w:lastRenderedPageBreak/>
        <w:t>Таблица 40. Анализ поступления статье «Штрафы, санкции, возмещение ущерба»      в 2019-2020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276"/>
        <w:gridCol w:w="1275"/>
        <w:gridCol w:w="1276"/>
        <w:gridCol w:w="1241"/>
        <w:gridCol w:w="1046"/>
        <w:gridCol w:w="796"/>
      </w:tblGrid>
      <w:tr>
        <w:trPr>
          <w:trHeight w:val="349"/>
        </w:trPr>
        <w:tc>
          <w:tcPr>
            <w:tcW w:w="2660" w:type="dxa"/>
            <w:vMerge w:val="restart"/>
            <w:vAlign w:val="center"/>
          </w:tcPr>
          <w:p>
            <w:pPr>
              <w:jc w:val="center"/>
            </w:pPr>
            <w:r>
              <w:t xml:space="preserve">Наименование </w:t>
            </w:r>
          </w:p>
        </w:tc>
        <w:tc>
          <w:tcPr>
            <w:tcW w:w="1276" w:type="dxa"/>
            <w:vMerge w:val="restart"/>
            <w:vAlign w:val="center"/>
          </w:tcPr>
          <w:p>
            <w:pPr>
              <w:ind w:right="-57"/>
              <w:jc w:val="center"/>
              <w:rPr>
                <w:bCs/>
              </w:rPr>
            </w:pPr>
            <w:r>
              <w:rPr>
                <w:bCs/>
              </w:rPr>
              <w:t>Факт</w:t>
            </w:r>
          </w:p>
          <w:p>
            <w:pPr>
              <w:ind w:left="-108" w:right="-108"/>
              <w:jc w:val="center"/>
              <w:rPr>
                <w:sz w:val="22"/>
                <w:szCs w:val="22"/>
              </w:rPr>
            </w:pPr>
            <w:r>
              <w:rPr>
                <w:bCs/>
              </w:rPr>
              <w:t>2019 год, тыс.руб.</w:t>
            </w:r>
          </w:p>
        </w:tc>
        <w:tc>
          <w:tcPr>
            <w:tcW w:w="5634" w:type="dxa"/>
            <w:gridSpan w:val="5"/>
            <w:vAlign w:val="center"/>
          </w:tcPr>
          <w:p>
            <w:pPr>
              <w:pStyle w:val="a5"/>
              <w:spacing w:after="0"/>
              <w:ind w:left="-57" w:right="-57"/>
              <w:jc w:val="center"/>
            </w:pPr>
            <w:r>
              <w:t>2020 год</w:t>
            </w:r>
          </w:p>
        </w:tc>
      </w:tr>
      <w:tr>
        <w:trPr>
          <w:trHeight w:val="821"/>
        </w:trPr>
        <w:tc>
          <w:tcPr>
            <w:tcW w:w="2660" w:type="dxa"/>
            <w:vMerge/>
            <w:vAlign w:val="center"/>
          </w:tcPr>
          <w:p>
            <w:pPr>
              <w:jc w:val="center"/>
              <w:rPr>
                <w:sz w:val="22"/>
                <w:szCs w:val="22"/>
              </w:rPr>
            </w:pPr>
          </w:p>
        </w:tc>
        <w:tc>
          <w:tcPr>
            <w:tcW w:w="1276" w:type="dxa"/>
            <w:vMerge/>
          </w:tcPr>
          <w:p>
            <w:pPr>
              <w:ind w:left="-108" w:right="-108"/>
              <w:jc w:val="center"/>
              <w:rPr>
                <w:sz w:val="22"/>
                <w:szCs w:val="22"/>
              </w:rPr>
            </w:pPr>
          </w:p>
        </w:tc>
        <w:tc>
          <w:tcPr>
            <w:tcW w:w="1275" w:type="dxa"/>
          </w:tcPr>
          <w:p>
            <w:pPr>
              <w:ind w:left="-158" w:right="-108"/>
              <w:jc w:val="center"/>
            </w:pPr>
            <w:r>
              <w:t>Первона-чальный прогноз, тыс.руб.</w:t>
            </w:r>
          </w:p>
        </w:tc>
        <w:tc>
          <w:tcPr>
            <w:tcW w:w="1276" w:type="dxa"/>
            <w:vAlign w:val="center"/>
          </w:tcPr>
          <w:p>
            <w:pPr>
              <w:ind w:left="-158" w:right="-108"/>
              <w:jc w:val="center"/>
            </w:pPr>
            <w:r>
              <w:t>Уточненный прогноз,</w:t>
            </w:r>
            <w:r>
              <w:br/>
              <w:t>тыс.руб.</w:t>
            </w:r>
          </w:p>
        </w:tc>
        <w:tc>
          <w:tcPr>
            <w:tcW w:w="1241" w:type="dxa"/>
            <w:vAlign w:val="center"/>
          </w:tcPr>
          <w:p>
            <w:pPr>
              <w:ind w:left="-108" w:right="-108"/>
              <w:jc w:val="center"/>
            </w:pPr>
            <w:r>
              <w:t xml:space="preserve">Факт, </w:t>
            </w:r>
            <w:r>
              <w:br/>
              <w:t>тыс.руб.</w:t>
            </w:r>
          </w:p>
        </w:tc>
        <w:tc>
          <w:tcPr>
            <w:tcW w:w="1046"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796"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c>
          <w:tcPr>
            <w:tcW w:w="2660" w:type="dxa"/>
            <w:vAlign w:val="center"/>
          </w:tcPr>
          <w:p>
            <w:pPr>
              <w:pStyle w:val="a5"/>
              <w:tabs>
                <w:tab w:val="left" w:pos="3966"/>
              </w:tabs>
              <w:spacing w:after="0"/>
              <w:ind w:right="-120"/>
              <w:jc w:val="center"/>
              <w:rPr>
                <w:sz w:val="16"/>
                <w:szCs w:val="16"/>
              </w:rPr>
            </w:pPr>
            <w:r>
              <w:rPr>
                <w:sz w:val="16"/>
                <w:szCs w:val="16"/>
              </w:rPr>
              <w:t>1</w:t>
            </w:r>
          </w:p>
        </w:tc>
        <w:tc>
          <w:tcPr>
            <w:tcW w:w="1276" w:type="dxa"/>
            <w:vAlign w:val="center"/>
          </w:tcPr>
          <w:p>
            <w:pPr>
              <w:jc w:val="center"/>
              <w:rPr>
                <w:color w:val="000000"/>
                <w:sz w:val="16"/>
                <w:szCs w:val="16"/>
              </w:rPr>
            </w:pPr>
            <w:r>
              <w:rPr>
                <w:color w:val="000000"/>
                <w:sz w:val="16"/>
                <w:szCs w:val="16"/>
              </w:rPr>
              <w:t>2</w:t>
            </w:r>
          </w:p>
        </w:tc>
        <w:tc>
          <w:tcPr>
            <w:tcW w:w="1275" w:type="dxa"/>
            <w:shd w:val="clear" w:color="auto" w:fill="auto"/>
            <w:vAlign w:val="center"/>
          </w:tcPr>
          <w:p>
            <w:pPr>
              <w:jc w:val="center"/>
              <w:rPr>
                <w:color w:val="000000"/>
                <w:sz w:val="16"/>
                <w:szCs w:val="16"/>
              </w:rPr>
            </w:pPr>
            <w:r>
              <w:rPr>
                <w:color w:val="000000"/>
                <w:sz w:val="16"/>
                <w:szCs w:val="16"/>
              </w:rPr>
              <w:t>3</w:t>
            </w:r>
          </w:p>
        </w:tc>
        <w:tc>
          <w:tcPr>
            <w:tcW w:w="1276" w:type="dxa"/>
            <w:shd w:val="clear" w:color="auto" w:fill="auto"/>
            <w:vAlign w:val="center"/>
          </w:tcPr>
          <w:p>
            <w:pPr>
              <w:jc w:val="center"/>
              <w:rPr>
                <w:color w:val="000000"/>
                <w:sz w:val="16"/>
                <w:szCs w:val="16"/>
              </w:rPr>
            </w:pPr>
            <w:r>
              <w:rPr>
                <w:color w:val="000000"/>
                <w:sz w:val="16"/>
                <w:szCs w:val="16"/>
              </w:rPr>
              <w:t>4</w:t>
            </w:r>
          </w:p>
        </w:tc>
        <w:tc>
          <w:tcPr>
            <w:tcW w:w="1241" w:type="dxa"/>
            <w:shd w:val="clear" w:color="auto" w:fill="auto"/>
            <w:vAlign w:val="center"/>
          </w:tcPr>
          <w:p>
            <w:pPr>
              <w:jc w:val="center"/>
              <w:rPr>
                <w:color w:val="000000"/>
                <w:sz w:val="16"/>
                <w:szCs w:val="16"/>
              </w:rPr>
            </w:pPr>
            <w:r>
              <w:rPr>
                <w:color w:val="000000"/>
                <w:sz w:val="16"/>
                <w:szCs w:val="16"/>
              </w:rPr>
              <w:t>5</w:t>
            </w:r>
          </w:p>
        </w:tc>
        <w:tc>
          <w:tcPr>
            <w:tcW w:w="1046" w:type="dxa"/>
            <w:shd w:val="clear" w:color="auto" w:fill="auto"/>
            <w:vAlign w:val="center"/>
          </w:tcPr>
          <w:p>
            <w:pPr>
              <w:jc w:val="center"/>
              <w:rPr>
                <w:color w:val="000000"/>
                <w:sz w:val="16"/>
                <w:szCs w:val="16"/>
              </w:rPr>
            </w:pPr>
            <w:r>
              <w:rPr>
                <w:color w:val="000000"/>
                <w:sz w:val="16"/>
                <w:szCs w:val="16"/>
              </w:rPr>
              <w:t>6=5-4</w:t>
            </w:r>
          </w:p>
        </w:tc>
        <w:tc>
          <w:tcPr>
            <w:tcW w:w="796" w:type="dxa"/>
            <w:shd w:val="clear" w:color="auto" w:fill="auto"/>
            <w:vAlign w:val="center"/>
          </w:tcPr>
          <w:p>
            <w:pPr>
              <w:pStyle w:val="a5"/>
              <w:spacing w:after="0"/>
              <w:ind w:left="-57" w:right="-57"/>
              <w:jc w:val="center"/>
              <w:rPr>
                <w:sz w:val="16"/>
                <w:szCs w:val="16"/>
              </w:rPr>
            </w:pPr>
            <w:r>
              <w:rPr>
                <w:sz w:val="16"/>
                <w:szCs w:val="16"/>
              </w:rPr>
              <w:t>7=5/4</w:t>
            </w:r>
          </w:p>
        </w:tc>
      </w:tr>
      <w:tr>
        <w:trPr>
          <w:trHeight w:val="538"/>
        </w:trPr>
        <w:tc>
          <w:tcPr>
            <w:tcW w:w="2660" w:type="dxa"/>
            <w:vAlign w:val="center"/>
          </w:tcPr>
          <w:p>
            <w:pPr>
              <w:ind w:right="-108"/>
            </w:pPr>
            <w:r>
              <w:t>Штрафы, санкции, возмещение ущерба</w:t>
            </w:r>
          </w:p>
        </w:tc>
        <w:tc>
          <w:tcPr>
            <w:tcW w:w="1276" w:type="dxa"/>
            <w:vAlign w:val="center"/>
          </w:tcPr>
          <w:p>
            <w:pPr>
              <w:spacing w:before="40" w:after="40"/>
              <w:ind w:left="-108" w:right="-57"/>
              <w:jc w:val="right"/>
            </w:pPr>
            <w:r>
              <w:t>12 368,61</w:t>
            </w:r>
          </w:p>
        </w:tc>
        <w:tc>
          <w:tcPr>
            <w:tcW w:w="1275" w:type="dxa"/>
            <w:shd w:val="clear" w:color="auto" w:fill="auto"/>
            <w:vAlign w:val="center"/>
          </w:tcPr>
          <w:p>
            <w:pPr>
              <w:spacing w:before="40" w:after="40"/>
              <w:ind w:left="-108" w:right="-57"/>
              <w:jc w:val="right"/>
            </w:pPr>
            <w:r>
              <w:t>5 659,62</w:t>
            </w:r>
          </w:p>
        </w:tc>
        <w:tc>
          <w:tcPr>
            <w:tcW w:w="1276" w:type="dxa"/>
            <w:shd w:val="clear" w:color="auto" w:fill="auto"/>
            <w:vAlign w:val="center"/>
          </w:tcPr>
          <w:p>
            <w:pPr>
              <w:spacing w:before="40" w:after="40"/>
              <w:ind w:left="-108" w:right="-57"/>
              <w:jc w:val="right"/>
            </w:pPr>
            <w:r>
              <w:t>5 659,62</w:t>
            </w:r>
          </w:p>
        </w:tc>
        <w:tc>
          <w:tcPr>
            <w:tcW w:w="1241" w:type="dxa"/>
            <w:shd w:val="clear" w:color="auto" w:fill="auto"/>
            <w:vAlign w:val="center"/>
          </w:tcPr>
          <w:p>
            <w:pPr>
              <w:spacing w:before="40" w:after="40"/>
              <w:ind w:left="-108" w:right="-57"/>
              <w:jc w:val="right"/>
            </w:pPr>
            <w:r>
              <w:t>5 688,79</w:t>
            </w:r>
          </w:p>
        </w:tc>
        <w:tc>
          <w:tcPr>
            <w:tcW w:w="1046" w:type="dxa"/>
            <w:shd w:val="clear" w:color="auto" w:fill="auto"/>
            <w:vAlign w:val="center"/>
          </w:tcPr>
          <w:p>
            <w:pPr>
              <w:spacing w:before="40" w:after="40"/>
              <w:ind w:left="-108" w:right="-57"/>
              <w:jc w:val="right"/>
            </w:pPr>
            <w:r>
              <w:t>29,17</w:t>
            </w:r>
          </w:p>
        </w:tc>
        <w:tc>
          <w:tcPr>
            <w:tcW w:w="796" w:type="dxa"/>
            <w:shd w:val="clear" w:color="auto" w:fill="auto"/>
            <w:vAlign w:val="center"/>
          </w:tcPr>
          <w:p>
            <w:pPr>
              <w:spacing w:before="40" w:after="40"/>
              <w:ind w:left="-108" w:right="-108"/>
              <w:jc w:val="center"/>
            </w:pPr>
            <w:r>
              <w:t>100,5</w:t>
            </w:r>
          </w:p>
        </w:tc>
      </w:tr>
    </w:tbl>
    <w:p>
      <w:pPr>
        <w:pStyle w:val="a5"/>
        <w:spacing w:before="120" w:after="0"/>
        <w:ind w:firstLine="720"/>
        <w:jc w:val="both"/>
        <w:rPr>
          <w:sz w:val="24"/>
          <w:szCs w:val="24"/>
        </w:rPr>
      </w:pPr>
      <w:r>
        <w:rPr>
          <w:sz w:val="24"/>
          <w:szCs w:val="24"/>
        </w:rPr>
        <w:t>Удельный вес статьи в общей структуре фактически поступивших доходов составляет 0,1%, налоговых и неналоговых доходах – 0,5%.</w:t>
      </w:r>
    </w:p>
    <w:p>
      <w:pPr>
        <w:pStyle w:val="a8"/>
        <w:spacing w:after="0"/>
        <w:ind w:left="0" w:firstLine="720"/>
        <w:jc w:val="both"/>
        <w:rPr>
          <w:sz w:val="24"/>
          <w:szCs w:val="24"/>
        </w:rPr>
      </w:pPr>
      <w:r>
        <w:rPr>
          <w:sz w:val="24"/>
          <w:szCs w:val="24"/>
        </w:rPr>
        <w:t>Доходы по статье «Штрафы, санкции, возмещение ущерба» зачисляются в бюджет ЗАТО Северск по нормативам, установленным статьей 46 Бюджетного кодекса Российской Федерации.</w:t>
      </w:r>
    </w:p>
    <w:p>
      <w:pPr>
        <w:ind w:firstLine="720"/>
        <w:jc w:val="both"/>
        <w:rPr>
          <w:bCs/>
          <w:sz w:val="24"/>
          <w:szCs w:val="24"/>
        </w:rPr>
      </w:pPr>
      <w:r>
        <w:rPr>
          <w:sz w:val="24"/>
          <w:szCs w:val="24"/>
        </w:rPr>
        <w:t>Администрирование данной статьи осуществляет 14 администраторов доходов. Наибольший объем поступлений от</w:t>
      </w:r>
      <w:r>
        <w:rPr>
          <w:bCs/>
          <w:sz w:val="24"/>
          <w:szCs w:val="24"/>
        </w:rPr>
        <w:t> общей суммы поступлений по статье</w:t>
      </w:r>
      <w:r>
        <w:rPr>
          <w:sz w:val="24"/>
          <w:szCs w:val="24"/>
        </w:rPr>
        <w:t xml:space="preserve"> приходится на Управление Министерства внутренних дел Российской Федерации по Томской области (29,7%), Управление жилищно-коммунального хозяйства, транспорта и связи Администрации ЗАТО Северск (23,0%), Комитет по обеспечению деятельности мировых судей Томской области (17,9%), Управление имущественных отношений Администрации ЗАТО Северск (17,4%)</w:t>
      </w:r>
      <w:r>
        <w:rPr>
          <w:bCs/>
          <w:sz w:val="24"/>
          <w:szCs w:val="24"/>
        </w:rPr>
        <w:t>.</w:t>
      </w:r>
    </w:p>
    <w:p>
      <w:pPr>
        <w:ind w:firstLine="720"/>
        <w:jc w:val="both"/>
        <w:rPr>
          <w:color w:val="000000"/>
          <w:sz w:val="24"/>
          <w:szCs w:val="24"/>
        </w:rPr>
      </w:pPr>
      <w:r>
        <w:rPr>
          <w:sz w:val="24"/>
          <w:szCs w:val="24"/>
        </w:rPr>
        <w:t xml:space="preserve">По сравнению с 2019 годом снижение поступлений по статье составило 6 679,82 тыс.руб. или на 54,0%, что </w:t>
      </w:r>
      <w:r>
        <w:rPr>
          <w:sz w:val="24"/>
        </w:rPr>
        <w:t xml:space="preserve">обусловлено изменением бюджетного законодательства. Согласно новой редакции статьи 46 Бюджетного кодекса Российской Федерации с 01.01.2020 </w:t>
      </w:r>
      <w:r>
        <w:rPr>
          <w:sz w:val="24"/>
          <w:szCs w:val="24"/>
        </w:rPr>
        <w:t xml:space="preserve">штрафы, вынесенные должностными лицами федеральных и территориальных органов исполнительной власти и их структурными подразделениями, </w:t>
      </w:r>
      <w:r>
        <w:rPr>
          <w:color w:val="000000"/>
          <w:sz w:val="24"/>
          <w:szCs w:val="24"/>
        </w:rPr>
        <w:t>в местные бюджеты не зачисляются.</w:t>
      </w:r>
    </w:p>
    <w:p>
      <w:pPr>
        <w:jc w:val="both"/>
        <w:rPr>
          <w:sz w:val="24"/>
          <w:szCs w:val="24"/>
        </w:rPr>
      </w:pPr>
    </w:p>
    <w:p>
      <w:pPr>
        <w:pStyle w:val="a5"/>
        <w:jc w:val="center"/>
        <w:rPr>
          <w:b/>
          <w:sz w:val="24"/>
          <w:szCs w:val="24"/>
        </w:rPr>
      </w:pPr>
      <w:r>
        <w:rPr>
          <w:b/>
          <w:sz w:val="24"/>
          <w:szCs w:val="24"/>
        </w:rPr>
        <w:t>3.2.6. Прочие неналоговые доходы</w:t>
      </w:r>
    </w:p>
    <w:p>
      <w:pPr>
        <w:ind w:firstLine="709"/>
        <w:jc w:val="both"/>
        <w:rPr>
          <w:sz w:val="24"/>
          <w:szCs w:val="24"/>
        </w:rPr>
      </w:pPr>
      <w:r>
        <w:rPr>
          <w:sz w:val="24"/>
          <w:szCs w:val="24"/>
        </w:rPr>
        <w:t>Прогноз по статье «Прочие неналоговые доходы» составлял 638,85 тыс.руб., фактическое исполнение – 649,97 тыс.руб., перевыполнение на 11,12 тыс.руб. или на 1,7%.</w:t>
      </w:r>
    </w:p>
    <w:p>
      <w:pPr>
        <w:tabs>
          <w:tab w:val="left" w:pos="0"/>
        </w:tabs>
        <w:ind w:firstLine="709"/>
        <w:jc w:val="both"/>
        <w:rPr>
          <w:sz w:val="24"/>
          <w:szCs w:val="24"/>
        </w:rPr>
      </w:pPr>
      <w:r>
        <w:rPr>
          <w:sz w:val="24"/>
          <w:szCs w:val="24"/>
        </w:rPr>
        <w:t>Удельный вес статьи в общей структуре фактически поступивших доходов составляет 0,01%, налоговых и неналоговых доходах - 0,1%.</w:t>
      </w:r>
    </w:p>
    <w:p>
      <w:pPr>
        <w:pStyle w:val="a8"/>
        <w:spacing w:after="0"/>
        <w:ind w:left="0" w:firstLine="720"/>
        <w:jc w:val="both"/>
        <w:rPr>
          <w:sz w:val="24"/>
          <w:szCs w:val="24"/>
        </w:rPr>
      </w:pPr>
      <w:r>
        <w:rPr>
          <w:sz w:val="24"/>
          <w:szCs w:val="24"/>
        </w:rPr>
        <w:t>Норматив зачисления в бюджет ЗАТО Северск 100%.</w:t>
      </w:r>
    </w:p>
    <w:p>
      <w:pPr>
        <w:tabs>
          <w:tab w:val="left" w:pos="0"/>
        </w:tabs>
        <w:ind w:firstLine="709"/>
        <w:jc w:val="both"/>
        <w:rPr>
          <w:sz w:val="24"/>
          <w:szCs w:val="24"/>
        </w:rPr>
      </w:pPr>
      <w:r>
        <w:rPr>
          <w:sz w:val="24"/>
          <w:szCs w:val="24"/>
        </w:rPr>
        <w:t>По сравнению с 2019 годом сокращение поступлений по статье составило 9 304,49 тыс.руб. или в 15 раз, что обусловлено поступлением в 2019 году денежных средств по результатам аукциона на перевозку тел умерших в морг (администратор - УЖКХ ТиС).</w:t>
      </w:r>
    </w:p>
    <w:p>
      <w:pPr>
        <w:tabs>
          <w:tab w:val="left" w:pos="0"/>
        </w:tabs>
        <w:spacing w:before="60"/>
        <w:jc w:val="both"/>
        <w:rPr>
          <w:sz w:val="24"/>
          <w:szCs w:val="24"/>
        </w:rPr>
      </w:pPr>
      <w:r>
        <w:rPr>
          <w:sz w:val="24"/>
          <w:szCs w:val="24"/>
        </w:rPr>
        <w:tab/>
        <w:t>Таблица 41. Анализ поступления статье «Прочие неналоговые доходы»                           в 2019 -2020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248"/>
        <w:gridCol w:w="1342"/>
        <w:gridCol w:w="1306"/>
        <w:gridCol w:w="1301"/>
        <w:gridCol w:w="1211"/>
        <w:gridCol w:w="900"/>
      </w:tblGrid>
      <w:tr>
        <w:trPr>
          <w:trHeight w:val="345"/>
        </w:trPr>
        <w:tc>
          <w:tcPr>
            <w:tcW w:w="2262" w:type="dxa"/>
            <w:vMerge w:val="restart"/>
            <w:vAlign w:val="center"/>
          </w:tcPr>
          <w:p>
            <w:pPr>
              <w:jc w:val="center"/>
            </w:pPr>
            <w:r>
              <w:t xml:space="preserve">Наименование </w:t>
            </w:r>
          </w:p>
        </w:tc>
        <w:tc>
          <w:tcPr>
            <w:tcW w:w="1248" w:type="dxa"/>
            <w:vMerge w:val="restart"/>
            <w:vAlign w:val="center"/>
          </w:tcPr>
          <w:p>
            <w:pPr>
              <w:ind w:right="-57"/>
              <w:jc w:val="center"/>
              <w:rPr>
                <w:bCs/>
              </w:rPr>
            </w:pPr>
            <w:r>
              <w:rPr>
                <w:bCs/>
              </w:rPr>
              <w:t>Факт</w:t>
            </w:r>
          </w:p>
          <w:p>
            <w:pPr>
              <w:ind w:left="-108" w:right="-108"/>
              <w:jc w:val="center"/>
              <w:rPr>
                <w:sz w:val="22"/>
                <w:szCs w:val="22"/>
              </w:rPr>
            </w:pPr>
            <w:r>
              <w:rPr>
                <w:bCs/>
              </w:rPr>
              <w:t>2019 год, тыс.руб.</w:t>
            </w:r>
          </w:p>
        </w:tc>
        <w:tc>
          <w:tcPr>
            <w:tcW w:w="6060" w:type="dxa"/>
            <w:gridSpan w:val="5"/>
            <w:vAlign w:val="center"/>
          </w:tcPr>
          <w:p>
            <w:pPr>
              <w:pStyle w:val="a5"/>
              <w:spacing w:after="0"/>
              <w:ind w:left="-57" w:right="-57"/>
              <w:jc w:val="center"/>
            </w:pPr>
            <w:r>
              <w:t>2020 год</w:t>
            </w:r>
          </w:p>
        </w:tc>
      </w:tr>
      <w:tr>
        <w:trPr>
          <w:trHeight w:val="821"/>
        </w:trPr>
        <w:tc>
          <w:tcPr>
            <w:tcW w:w="2262" w:type="dxa"/>
            <w:vMerge/>
            <w:vAlign w:val="center"/>
          </w:tcPr>
          <w:p>
            <w:pPr>
              <w:jc w:val="center"/>
              <w:rPr>
                <w:sz w:val="22"/>
                <w:szCs w:val="22"/>
              </w:rPr>
            </w:pPr>
          </w:p>
        </w:tc>
        <w:tc>
          <w:tcPr>
            <w:tcW w:w="1248" w:type="dxa"/>
            <w:vMerge/>
          </w:tcPr>
          <w:p>
            <w:pPr>
              <w:ind w:left="-108" w:right="-108"/>
              <w:jc w:val="center"/>
              <w:rPr>
                <w:sz w:val="22"/>
                <w:szCs w:val="22"/>
              </w:rPr>
            </w:pPr>
          </w:p>
        </w:tc>
        <w:tc>
          <w:tcPr>
            <w:tcW w:w="1342" w:type="dxa"/>
          </w:tcPr>
          <w:p>
            <w:pPr>
              <w:ind w:left="-158" w:right="-108"/>
              <w:jc w:val="center"/>
            </w:pPr>
            <w:r>
              <w:t>Первона-чальный прогноз, тыс.руб.</w:t>
            </w:r>
          </w:p>
        </w:tc>
        <w:tc>
          <w:tcPr>
            <w:tcW w:w="1306" w:type="dxa"/>
            <w:vAlign w:val="center"/>
          </w:tcPr>
          <w:p>
            <w:pPr>
              <w:ind w:left="-158" w:right="-108"/>
              <w:jc w:val="center"/>
            </w:pPr>
            <w:r>
              <w:t>Уточненный прогноз,</w:t>
            </w:r>
            <w:r>
              <w:br/>
              <w:t>тыс.руб.</w:t>
            </w:r>
          </w:p>
        </w:tc>
        <w:tc>
          <w:tcPr>
            <w:tcW w:w="1301" w:type="dxa"/>
            <w:vAlign w:val="center"/>
          </w:tcPr>
          <w:p>
            <w:pPr>
              <w:ind w:left="-108" w:right="-108"/>
              <w:jc w:val="center"/>
            </w:pPr>
            <w:r>
              <w:t xml:space="preserve">Факт, </w:t>
            </w:r>
            <w:r>
              <w:br/>
              <w:t>тыс.руб.</w:t>
            </w:r>
          </w:p>
        </w:tc>
        <w:tc>
          <w:tcPr>
            <w:tcW w:w="1211"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00"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c>
          <w:tcPr>
            <w:tcW w:w="2262" w:type="dxa"/>
            <w:vAlign w:val="center"/>
          </w:tcPr>
          <w:p>
            <w:pPr>
              <w:pStyle w:val="a5"/>
              <w:tabs>
                <w:tab w:val="left" w:pos="3966"/>
              </w:tabs>
              <w:spacing w:after="0"/>
              <w:ind w:right="-120"/>
              <w:jc w:val="center"/>
              <w:rPr>
                <w:sz w:val="16"/>
                <w:szCs w:val="16"/>
              </w:rPr>
            </w:pPr>
            <w:r>
              <w:rPr>
                <w:sz w:val="16"/>
                <w:szCs w:val="16"/>
              </w:rPr>
              <w:t>1</w:t>
            </w:r>
          </w:p>
        </w:tc>
        <w:tc>
          <w:tcPr>
            <w:tcW w:w="1248" w:type="dxa"/>
            <w:vAlign w:val="center"/>
          </w:tcPr>
          <w:p>
            <w:pPr>
              <w:jc w:val="center"/>
              <w:rPr>
                <w:color w:val="000000"/>
                <w:sz w:val="16"/>
                <w:szCs w:val="16"/>
              </w:rPr>
            </w:pPr>
            <w:r>
              <w:rPr>
                <w:color w:val="000000"/>
                <w:sz w:val="16"/>
                <w:szCs w:val="16"/>
              </w:rPr>
              <w:t>2</w:t>
            </w:r>
          </w:p>
        </w:tc>
        <w:tc>
          <w:tcPr>
            <w:tcW w:w="1342" w:type="dxa"/>
            <w:shd w:val="clear" w:color="auto" w:fill="auto"/>
            <w:vAlign w:val="center"/>
          </w:tcPr>
          <w:p>
            <w:pPr>
              <w:jc w:val="center"/>
              <w:rPr>
                <w:color w:val="000000"/>
                <w:sz w:val="16"/>
                <w:szCs w:val="16"/>
              </w:rPr>
            </w:pPr>
            <w:r>
              <w:rPr>
                <w:color w:val="000000"/>
                <w:sz w:val="16"/>
                <w:szCs w:val="16"/>
              </w:rPr>
              <w:t>3</w:t>
            </w:r>
          </w:p>
        </w:tc>
        <w:tc>
          <w:tcPr>
            <w:tcW w:w="1306" w:type="dxa"/>
            <w:shd w:val="clear" w:color="auto" w:fill="auto"/>
            <w:vAlign w:val="center"/>
          </w:tcPr>
          <w:p>
            <w:pPr>
              <w:jc w:val="center"/>
              <w:rPr>
                <w:color w:val="000000"/>
                <w:sz w:val="16"/>
                <w:szCs w:val="16"/>
              </w:rPr>
            </w:pPr>
            <w:r>
              <w:rPr>
                <w:color w:val="000000"/>
                <w:sz w:val="16"/>
                <w:szCs w:val="16"/>
              </w:rPr>
              <w:t>4</w:t>
            </w:r>
          </w:p>
        </w:tc>
        <w:tc>
          <w:tcPr>
            <w:tcW w:w="1301" w:type="dxa"/>
            <w:shd w:val="clear" w:color="auto" w:fill="auto"/>
            <w:vAlign w:val="center"/>
          </w:tcPr>
          <w:p>
            <w:pPr>
              <w:jc w:val="center"/>
              <w:rPr>
                <w:color w:val="000000"/>
                <w:sz w:val="16"/>
                <w:szCs w:val="16"/>
              </w:rPr>
            </w:pPr>
            <w:r>
              <w:rPr>
                <w:color w:val="000000"/>
                <w:sz w:val="16"/>
                <w:szCs w:val="16"/>
              </w:rPr>
              <w:t>5</w:t>
            </w:r>
          </w:p>
        </w:tc>
        <w:tc>
          <w:tcPr>
            <w:tcW w:w="1211" w:type="dxa"/>
            <w:shd w:val="clear" w:color="auto" w:fill="auto"/>
            <w:vAlign w:val="center"/>
          </w:tcPr>
          <w:p>
            <w:pPr>
              <w:jc w:val="center"/>
              <w:rPr>
                <w:color w:val="000000"/>
                <w:sz w:val="16"/>
                <w:szCs w:val="16"/>
              </w:rPr>
            </w:pPr>
            <w:r>
              <w:rPr>
                <w:color w:val="000000"/>
                <w:sz w:val="16"/>
                <w:szCs w:val="16"/>
              </w:rPr>
              <w:t>6=5-4</w:t>
            </w:r>
          </w:p>
        </w:tc>
        <w:tc>
          <w:tcPr>
            <w:tcW w:w="900" w:type="dxa"/>
            <w:shd w:val="clear" w:color="auto" w:fill="auto"/>
            <w:vAlign w:val="center"/>
          </w:tcPr>
          <w:p>
            <w:pPr>
              <w:pStyle w:val="a5"/>
              <w:spacing w:after="0"/>
              <w:ind w:left="-57" w:right="-57"/>
              <w:jc w:val="center"/>
              <w:rPr>
                <w:sz w:val="16"/>
                <w:szCs w:val="16"/>
              </w:rPr>
            </w:pPr>
            <w:r>
              <w:rPr>
                <w:sz w:val="16"/>
                <w:szCs w:val="16"/>
              </w:rPr>
              <w:t>7=5/4</w:t>
            </w:r>
          </w:p>
        </w:tc>
      </w:tr>
      <w:tr>
        <w:trPr>
          <w:trHeight w:val="392"/>
        </w:trPr>
        <w:tc>
          <w:tcPr>
            <w:tcW w:w="2262" w:type="dxa"/>
            <w:vAlign w:val="center"/>
          </w:tcPr>
          <w:p>
            <w:pPr>
              <w:ind w:right="-108"/>
            </w:pPr>
            <w:r>
              <w:t>Прочие неналоговые доходы</w:t>
            </w:r>
          </w:p>
        </w:tc>
        <w:tc>
          <w:tcPr>
            <w:tcW w:w="1248" w:type="dxa"/>
            <w:vAlign w:val="center"/>
          </w:tcPr>
          <w:p>
            <w:pPr>
              <w:spacing w:before="40" w:after="40"/>
              <w:ind w:left="-108" w:right="-57"/>
              <w:jc w:val="right"/>
            </w:pPr>
            <w:r>
              <w:t>9 954,46</w:t>
            </w:r>
          </w:p>
        </w:tc>
        <w:tc>
          <w:tcPr>
            <w:tcW w:w="1342" w:type="dxa"/>
            <w:shd w:val="clear" w:color="auto" w:fill="auto"/>
            <w:vAlign w:val="center"/>
          </w:tcPr>
          <w:p>
            <w:pPr>
              <w:spacing w:before="40" w:after="40"/>
              <w:ind w:left="-108" w:right="-57"/>
              <w:jc w:val="right"/>
            </w:pPr>
            <w:r>
              <w:t>53,15</w:t>
            </w:r>
          </w:p>
        </w:tc>
        <w:tc>
          <w:tcPr>
            <w:tcW w:w="1306" w:type="dxa"/>
            <w:shd w:val="clear" w:color="auto" w:fill="auto"/>
            <w:vAlign w:val="center"/>
          </w:tcPr>
          <w:p>
            <w:pPr>
              <w:spacing w:before="40" w:after="40"/>
              <w:ind w:left="-108" w:right="-57"/>
              <w:jc w:val="right"/>
            </w:pPr>
            <w:r>
              <w:t>638,85</w:t>
            </w:r>
          </w:p>
        </w:tc>
        <w:tc>
          <w:tcPr>
            <w:tcW w:w="1301" w:type="dxa"/>
            <w:shd w:val="clear" w:color="auto" w:fill="auto"/>
            <w:vAlign w:val="center"/>
          </w:tcPr>
          <w:p>
            <w:pPr>
              <w:spacing w:before="40" w:after="40"/>
              <w:ind w:left="-108" w:right="-57"/>
              <w:jc w:val="right"/>
            </w:pPr>
            <w:r>
              <w:t>649,97</w:t>
            </w:r>
          </w:p>
        </w:tc>
        <w:tc>
          <w:tcPr>
            <w:tcW w:w="1211" w:type="dxa"/>
            <w:shd w:val="clear" w:color="auto" w:fill="auto"/>
            <w:vAlign w:val="center"/>
          </w:tcPr>
          <w:p>
            <w:pPr>
              <w:spacing w:before="40" w:after="40"/>
              <w:ind w:left="-108" w:right="-57"/>
              <w:jc w:val="right"/>
            </w:pPr>
            <w:r>
              <w:t>11,12</w:t>
            </w:r>
          </w:p>
        </w:tc>
        <w:tc>
          <w:tcPr>
            <w:tcW w:w="900" w:type="dxa"/>
            <w:shd w:val="clear" w:color="auto" w:fill="auto"/>
            <w:vAlign w:val="center"/>
          </w:tcPr>
          <w:p>
            <w:pPr>
              <w:spacing w:before="40" w:after="40"/>
              <w:ind w:left="-108" w:right="-108"/>
              <w:jc w:val="center"/>
            </w:pPr>
            <w:r>
              <w:t>101,7</w:t>
            </w:r>
          </w:p>
        </w:tc>
      </w:tr>
    </w:tbl>
    <w:p>
      <w:pPr>
        <w:tabs>
          <w:tab w:val="left" w:pos="0"/>
        </w:tabs>
        <w:jc w:val="both"/>
        <w:rPr>
          <w:sz w:val="24"/>
          <w:szCs w:val="24"/>
        </w:rPr>
      </w:pPr>
    </w:p>
    <w:p>
      <w:pPr>
        <w:pStyle w:val="a5"/>
        <w:spacing w:before="120" w:after="0"/>
        <w:jc w:val="center"/>
        <w:rPr>
          <w:b/>
          <w:sz w:val="24"/>
          <w:szCs w:val="24"/>
        </w:rPr>
      </w:pPr>
      <w:r>
        <w:rPr>
          <w:b/>
          <w:sz w:val="24"/>
          <w:szCs w:val="24"/>
        </w:rPr>
        <w:t>3.3. БЕЗВОЗМЕЗДНЫЕ ПОСТУПЛЕНИЯ</w:t>
      </w:r>
    </w:p>
    <w:p>
      <w:pPr>
        <w:pStyle w:val="a5"/>
        <w:spacing w:after="0"/>
        <w:ind w:firstLine="709"/>
        <w:jc w:val="center"/>
        <w:rPr>
          <w:b/>
          <w:sz w:val="24"/>
          <w:szCs w:val="24"/>
        </w:rPr>
      </w:pPr>
    </w:p>
    <w:p>
      <w:pPr>
        <w:pStyle w:val="a8"/>
        <w:spacing w:after="0"/>
        <w:ind w:left="0" w:firstLine="748"/>
        <w:jc w:val="both"/>
        <w:rPr>
          <w:sz w:val="24"/>
          <w:szCs w:val="24"/>
        </w:rPr>
      </w:pPr>
      <w:r>
        <w:rPr>
          <w:sz w:val="24"/>
          <w:szCs w:val="24"/>
        </w:rPr>
        <w:t xml:space="preserve">Безвозмездные поступления – это основная составляющая поступлений доходов бюджета ЗАТО Северск. </w:t>
      </w:r>
    </w:p>
    <w:p>
      <w:pPr>
        <w:ind w:firstLine="748"/>
        <w:jc w:val="both"/>
        <w:rPr>
          <w:sz w:val="24"/>
          <w:szCs w:val="24"/>
        </w:rPr>
      </w:pPr>
      <w:r>
        <w:rPr>
          <w:sz w:val="24"/>
          <w:szCs w:val="24"/>
        </w:rPr>
        <w:lastRenderedPageBreak/>
        <w:t xml:space="preserve">Первоначально утвержденный прогноз 2020 года составлял 2 735 465,20 тыс.руб., уточненный прогноз - 3 581 735,36 тыс.руб., фактическое исполнение – 3 554 657,93 тыс.руб. или 99,2%. </w:t>
      </w:r>
    </w:p>
    <w:p>
      <w:pPr>
        <w:ind w:firstLine="748"/>
        <w:jc w:val="both"/>
        <w:rPr>
          <w:sz w:val="24"/>
          <w:szCs w:val="24"/>
        </w:rPr>
      </w:pPr>
      <w:r>
        <w:rPr>
          <w:sz w:val="24"/>
          <w:szCs w:val="24"/>
        </w:rPr>
        <w:t>Удельный вес доходов по данной группе в общей структуре фактически поступивших доходов составляет 76,0%.</w:t>
      </w:r>
    </w:p>
    <w:p>
      <w:pPr>
        <w:spacing w:before="120" w:after="60"/>
        <w:ind w:firstLine="748"/>
        <w:jc w:val="both"/>
        <w:rPr>
          <w:sz w:val="24"/>
          <w:szCs w:val="24"/>
        </w:rPr>
      </w:pPr>
      <w:r>
        <w:rPr>
          <w:sz w:val="24"/>
          <w:szCs w:val="24"/>
        </w:rPr>
        <w:t>Таблица 42. Сравнительный анализ безвозмездных поступлений в бюджет ЗАТО Северск за 2019-2020 гг.</w:t>
      </w:r>
    </w:p>
    <w:tbl>
      <w:tblPr>
        <w:tblW w:w="9651" w:type="dxa"/>
        <w:tblInd w:w="96" w:type="dxa"/>
        <w:shd w:val="clear" w:color="auto" w:fill="F2F2F2" w:themeFill="background1" w:themeFillShade="F2"/>
        <w:tblLayout w:type="fixed"/>
        <w:tblLook w:val="0000" w:firstRow="0" w:lastRow="0" w:firstColumn="0" w:lastColumn="0" w:noHBand="0" w:noVBand="0"/>
      </w:tblPr>
      <w:tblGrid>
        <w:gridCol w:w="1997"/>
        <w:gridCol w:w="1134"/>
        <w:gridCol w:w="1276"/>
        <w:gridCol w:w="1275"/>
        <w:gridCol w:w="1276"/>
        <w:gridCol w:w="992"/>
        <w:gridCol w:w="993"/>
        <w:gridCol w:w="708"/>
      </w:tblGrid>
      <w:tr>
        <w:trPr>
          <w:trHeight w:val="444"/>
        </w:trPr>
        <w:tc>
          <w:tcPr>
            <w:tcW w:w="199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pPr>
              <w:ind w:right="-170"/>
              <w:jc w:val="center"/>
            </w:pPr>
            <w:r>
              <w:t>Наименование</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center"/>
            </w:pPr>
            <w:r>
              <w:t>Факт 2019 год,</w:t>
            </w:r>
            <w:r>
              <w:br/>
              <w:t>тыс.руб.</w:t>
            </w:r>
          </w:p>
        </w:tc>
        <w:tc>
          <w:tcPr>
            <w:tcW w:w="4819" w:type="dxa"/>
            <w:gridSpan w:val="4"/>
            <w:tcBorders>
              <w:top w:val="single" w:sz="4" w:space="0" w:color="auto"/>
              <w:left w:val="nil"/>
              <w:bottom w:val="single" w:sz="4" w:space="0" w:color="auto"/>
              <w:right w:val="single" w:sz="4" w:space="0" w:color="auto"/>
            </w:tcBorders>
            <w:shd w:val="clear" w:color="auto" w:fill="FFFFFF" w:themeFill="background1"/>
            <w:vAlign w:val="center"/>
          </w:tcPr>
          <w:p>
            <w:pPr>
              <w:jc w:val="center"/>
            </w:pPr>
            <w:r>
              <w:t>2020 год, тыс.руб.</w:t>
            </w:r>
          </w:p>
        </w:tc>
        <w:tc>
          <w:tcPr>
            <w:tcW w:w="1701" w:type="dxa"/>
            <w:gridSpan w:val="2"/>
            <w:tcBorders>
              <w:top w:val="single" w:sz="4" w:space="0" w:color="auto"/>
              <w:left w:val="nil"/>
              <w:bottom w:val="single" w:sz="4" w:space="0" w:color="auto"/>
              <w:right w:val="single" w:sz="4" w:space="0" w:color="auto"/>
            </w:tcBorders>
            <w:shd w:val="clear" w:color="auto" w:fill="FFFFFF" w:themeFill="background1"/>
            <w:vAlign w:val="center"/>
          </w:tcPr>
          <w:p>
            <w:pPr>
              <w:ind w:left="-108" w:right="-108"/>
              <w:jc w:val="center"/>
            </w:pPr>
            <w:r>
              <w:t>Отклонение (факт 2020г.- факт 2019г.)</w:t>
            </w:r>
          </w:p>
        </w:tc>
      </w:tr>
      <w:tr>
        <w:trPr>
          <w:trHeight w:val="811"/>
        </w:trPr>
        <w:tc>
          <w:tcPr>
            <w:tcW w:w="199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ind w:right="-170"/>
            </w:pPr>
          </w:p>
        </w:tc>
        <w:tc>
          <w:tcPr>
            <w:tcW w:w="11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Прогноз перво-начальный</w:t>
            </w:r>
          </w:p>
        </w:tc>
        <w:tc>
          <w:tcPr>
            <w:tcW w:w="1275"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 xml:space="preserve">Прогноз уточненный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 xml:space="preserve">Факт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Откло-нение</w:t>
            </w:r>
          </w:p>
        </w:tc>
        <w:tc>
          <w:tcPr>
            <w:tcW w:w="993"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абсол., тыс.руб.</w:t>
            </w:r>
          </w:p>
        </w:tc>
        <w:tc>
          <w:tcPr>
            <w:tcW w:w="708" w:type="dxa"/>
            <w:tcBorders>
              <w:top w:val="single" w:sz="4" w:space="0" w:color="auto"/>
              <w:left w:val="nil"/>
              <w:bottom w:val="single" w:sz="4" w:space="0" w:color="auto"/>
              <w:right w:val="single" w:sz="4" w:space="0" w:color="auto"/>
            </w:tcBorders>
            <w:shd w:val="clear" w:color="auto" w:fill="FFFFFF" w:themeFill="background1"/>
            <w:vAlign w:val="center"/>
          </w:tcPr>
          <w:p>
            <w:pPr>
              <w:ind w:left="-113" w:right="-113"/>
              <w:jc w:val="center"/>
            </w:pPr>
            <w:r>
              <w:t>% испол-нения</w:t>
            </w:r>
          </w:p>
        </w:tc>
      </w:tr>
      <w:tr>
        <w:trPr>
          <w:trHeight w:val="125"/>
        </w:trPr>
        <w:tc>
          <w:tcPr>
            <w:tcW w:w="19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ind w:right="-170"/>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108" w:right="-57"/>
              <w:jc w:val="center"/>
              <w:rPr>
                <w:bCs/>
                <w:sz w:val="16"/>
                <w:szCs w:val="16"/>
              </w:rPr>
            </w:pPr>
            <w:r>
              <w:rPr>
                <w:bCs/>
                <w:sz w:val="16"/>
                <w:szCs w:val="16"/>
              </w:rPr>
              <w:t>2</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57" w:right="-57"/>
              <w:jc w:val="center"/>
              <w:rPr>
                <w:bCs/>
                <w:sz w:val="16"/>
                <w:szCs w:val="16"/>
              </w:rPr>
            </w:pPr>
            <w:r>
              <w:rPr>
                <w:bCs/>
                <w:sz w:val="16"/>
                <w:szCs w:val="16"/>
              </w:rPr>
              <w:t>3</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57" w:right="-57"/>
              <w:jc w:val="center"/>
              <w:rPr>
                <w:bCs/>
                <w:sz w:val="16"/>
                <w:szCs w:val="16"/>
              </w:rPr>
            </w:pPr>
            <w:r>
              <w:rPr>
                <w:bCs/>
                <w:sz w:val="16"/>
                <w:szCs w:val="16"/>
              </w:rPr>
              <w:t>4</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57" w:right="-57"/>
              <w:jc w:val="center"/>
              <w:rPr>
                <w:bCs/>
                <w:sz w:val="16"/>
                <w:szCs w:val="16"/>
              </w:rPr>
            </w:pPr>
            <w:r>
              <w:rPr>
                <w:bCs/>
                <w:sz w:val="16"/>
                <w:szCs w:val="16"/>
              </w:rPr>
              <w:t>5</w:t>
            </w:r>
          </w:p>
        </w:tc>
        <w:tc>
          <w:tcPr>
            <w:tcW w:w="992" w:type="dxa"/>
            <w:tcBorders>
              <w:top w:val="single" w:sz="4" w:space="0" w:color="auto"/>
              <w:left w:val="nil"/>
              <w:bottom w:val="nil"/>
              <w:right w:val="single" w:sz="4" w:space="0" w:color="auto"/>
            </w:tcBorders>
            <w:shd w:val="clear" w:color="auto" w:fill="FFFFFF" w:themeFill="background1"/>
            <w:vAlign w:val="center"/>
          </w:tcPr>
          <w:p>
            <w:pPr>
              <w:ind w:left="-57" w:right="-57"/>
              <w:jc w:val="center"/>
              <w:rPr>
                <w:bCs/>
                <w:sz w:val="16"/>
                <w:szCs w:val="16"/>
              </w:rPr>
            </w:pPr>
            <w:r>
              <w:rPr>
                <w:bCs/>
                <w:sz w:val="16"/>
                <w:szCs w:val="16"/>
              </w:rPr>
              <w:t>6=5-4</w:t>
            </w:r>
          </w:p>
        </w:tc>
        <w:tc>
          <w:tcPr>
            <w:tcW w:w="993" w:type="dxa"/>
            <w:tcBorders>
              <w:top w:val="single" w:sz="4" w:space="0" w:color="auto"/>
              <w:left w:val="nil"/>
              <w:bottom w:val="nil"/>
              <w:right w:val="single" w:sz="4" w:space="0" w:color="auto"/>
            </w:tcBorders>
            <w:shd w:val="clear" w:color="auto" w:fill="FFFFFF" w:themeFill="background1"/>
            <w:vAlign w:val="center"/>
          </w:tcPr>
          <w:p>
            <w:pPr>
              <w:ind w:left="-57" w:right="-57"/>
              <w:jc w:val="center"/>
              <w:rPr>
                <w:bCs/>
                <w:sz w:val="16"/>
                <w:szCs w:val="16"/>
              </w:rPr>
            </w:pPr>
            <w:r>
              <w:rPr>
                <w:bCs/>
                <w:sz w:val="16"/>
                <w:szCs w:val="16"/>
              </w:rPr>
              <w:t>7=5-2</w:t>
            </w:r>
          </w:p>
        </w:tc>
        <w:tc>
          <w:tcPr>
            <w:tcW w:w="708" w:type="dxa"/>
            <w:tcBorders>
              <w:top w:val="single" w:sz="4" w:space="0" w:color="auto"/>
              <w:left w:val="nil"/>
              <w:bottom w:val="nil"/>
              <w:right w:val="single" w:sz="4" w:space="0" w:color="auto"/>
            </w:tcBorders>
            <w:shd w:val="clear" w:color="auto" w:fill="FFFFFF" w:themeFill="background1"/>
            <w:vAlign w:val="center"/>
          </w:tcPr>
          <w:p>
            <w:pPr>
              <w:ind w:left="-108" w:right="-108"/>
              <w:jc w:val="center"/>
              <w:rPr>
                <w:bCs/>
                <w:sz w:val="16"/>
                <w:szCs w:val="16"/>
              </w:rPr>
            </w:pPr>
            <w:r>
              <w:rPr>
                <w:bCs/>
                <w:sz w:val="16"/>
                <w:szCs w:val="16"/>
              </w:rPr>
              <w:t>8=5/2</w:t>
            </w:r>
          </w:p>
        </w:tc>
      </w:tr>
      <w:tr>
        <w:trPr>
          <w:trHeight w:val="602"/>
        </w:trPr>
        <w:tc>
          <w:tcPr>
            <w:tcW w:w="19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ind w:right="-170"/>
              <w:rPr>
                <w:b/>
                <w:bCs/>
              </w:rPr>
            </w:pPr>
            <w:r>
              <w:rPr>
                <w:b/>
                <w:bCs/>
              </w:rPr>
              <w:t xml:space="preserve">БЕЗВОЗМЕЗДНЫЕ ПОСТУПЛЕНИЯ </w:t>
            </w:r>
          </w:p>
        </w:tc>
        <w:tc>
          <w:tcPr>
            <w:tcW w:w="1134"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3 405 413,15</w:t>
            </w:r>
          </w:p>
        </w:tc>
        <w:tc>
          <w:tcPr>
            <w:tcW w:w="1276"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2 735 465,20</w:t>
            </w:r>
          </w:p>
        </w:tc>
        <w:tc>
          <w:tcPr>
            <w:tcW w:w="1275"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3 581 735,36</w:t>
            </w:r>
          </w:p>
        </w:tc>
        <w:tc>
          <w:tcPr>
            <w:tcW w:w="1276"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3 554 657,93</w:t>
            </w:r>
          </w:p>
        </w:tc>
        <w:tc>
          <w:tcPr>
            <w:tcW w:w="992"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ind w:left="-57" w:right="-28"/>
              <w:jc w:val="right"/>
            </w:pPr>
            <w:r>
              <w:t>-27 077,43</w:t>
            </w:r>
          </w:p>
        </w:tc>
        <w:tc>
          <w:tcPr>
            <w:tcW w:w="993"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ind w:left="-57" w:right="-28"/>
              <w:jc w:val="right"/>
            </w:pPr>
            <w:r>
              <w:t>149 244,78</w:t>
            </w:r>
          </w:p>
        </w:tc>
        <w:tc>
          <w:tcPr>
            <w:tcW w:w="708"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ind w:right="-57"/>
              <w:jc w:val="center"/>
            </w:pPr>
            <w:r>
              <w:t>104,4</w:t>
            </w:r>
          </w:p>
        </w:tc>
      </w:tr>
      <w:tr>
        <w:trPr>
          <w:trHeight w:val="413"/>
        </w:trPr>
        <w:tc>
          <w:tcPr>
            <w:tcW w:w="1997" w:type="dxa"/>
            <w:tcBorders>
              <w:top w:val="nil"/>
              <w:left w:val="single" w:sz="4" w:space="0" w:color="auto"/>
              <w:bottom w:val="single" w:sz="4" w:space="0" w:color="auto"/>
              <w:right w:val="single" w:sz="4" w:space="0" w:color="auto"/>
            </w:tcBorders>
            <w:shd w:val="clear" w:color="auto" w:fill="FFFFFF" w:themeFill="background1"/>
            <w:vAlign w:val="center"/>
          </w:tcPr>
          <w:p>
            <w:pPr>
              <w:ind w:left="-57" w:right="-113"/>
            </w:pPr>
            <w:r>
              <w:t>От других бюджетов</w:t>
            </w:r>
          </w:p>
        </w:tc>
        <w:tc>
          <w:tcPr>
            <w:tcW w:w="1134"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3 413 480,09</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2 735 465,20</w:t>
            </w:r>
          </w:p>
        </w:tc>
        <w:tc>
          <w:tcPr>
            <w:tcW w:w="1275"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3 587 991,10</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3 560 914,55</w:t>
            </w:r>
          </w:p>
        </w:tc>
        <w:tc>
          <w:tcPr>
            <w:tcW w:w="992"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ind w:left="-57" w:right="-28"/>
              <w:jc w:val="right"/>
            </w:pPr>
            <w:r>
              <w:t>-27 076,55</w:t>
            </w:r>
          </w:p>
        </w:tc>
        <w:tc>
          <w:tcPr>
            <w:tcW w:w="993"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ind w:left="-57" w:right="-28"/>
              <w:jc w:val="right"/>
            </w:pPr>
            <w:r>
              <w:t>147 434,46</w:t>
            </w:r>
          </w:p>
        </w:tc>
        <w:tc>
          <w:tcPr>
            <w:tcW w:w="708"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ind w:right="-57"/>
              <w:jc w:val="center"/>
            </w:pPr>
            <w:r>
              <w:t>104,3</w:t>
            </w:r>
          </w:p>
        </w:tc>
      </w:tr>
      <w:tr>
        <w:trPr>
          <w:trHeight w:val="240"/>
        </w:trPr>
        <w:tc>
          <w:tcPr>
            <w:tcW w:w="1997" w:type="dxa"/>
            <w:tcBorders>
              <w:top w:val="nil"/>
              <w:left w:val="single" w:sz="4" w:space="0" w:color="auto"/>
              <w:bottom w:val="single" w:sz="4" w:space="0" w:color="auto"/>
              <w:right w:val="single" w:sz="4" w:space="0" w:color="auto"/>
            </w:tcBorders>
            <w:shd w:val="clear" w:color="auto" w:fill="FFFFFF" w:themeFill="background1"/>
            <w:vAlign w:val="center"/>
          </w:tcPr>
          <w:p>
            <w:pPr>
              <w:ind w:left="-57" w:right="-113"/>
            </w:pPr>
            <w:r>
              <w:t>Прочие безвозмездные поступления</w:t>
            </w:r>
          </w:p>
        </w:tc>
        <w:tc>
          <w:tcPr>
            <w:tcW w:w="1134"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80,06</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w:t>
            </w:r>
          </w:p>
        </w:tc>
        <w:tc>
          <w:tcPr>
            <w:tcW w:w="1275"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82,55</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82,54</w:t>
            </w:r>
          </w:p>
        </w:tc>
        <w:tc>
          <w:tcPr>
            <w:tcW w:w="992" w:type="dxa"/>
            <w:tcBorders>
              <w:top w:val="nil"/>
              <w:left w:val="nil"/>
              <w:bottom w:val="single" w:sz="4" w:space="0" w:color="auto"/>
              <w:right w:val="single" w:sz="4" w:space="0" w:color="auto"/>
            </w:tcBorders>
            <w:shd w:val="clear" w:color="auto" w:fill="FFFFFF" w:themeFill="background1"/>
            <w:tcMar>
              <w:left w:w="57" w:type="dxa"/>
              <w:right w:w="57" w:type="dxa"/>
            </w:tcMar>
            <w:vAlign w:val="center"/>
          </w:tcPr>
          <w:p>
            <w:pPr>
              <w:ind w:left="-57" w:right="-28"/>
              <w:jc w:val="right"/>
            </w:pPr>
            <w:r>
              <w:t>-0,01</w:t>
            </w:r>
          </w:p>
        </w:tc>
        <w:tc>
          <w:tcPr>
            <w:tcW w:w="993"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ind w:left="-57" w:right="-28"/>
              <w:jc w:val="right"/>
            </w:pPr>
            <w:r>
              <w:t>2,48</w:t>
            </w:r>
          </w:p>
        </w:tc>
        <w:tc>
          <w:tcPr>
            <w:tcW w:w="708"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ind w:right="-57"/>
              <w:jc w:val="center"/>
            </w:pPr>
            <w:r>
              <w:t>103,1</w:t>
            </w:r>
          </w:p>
        </w:tc>
      </w:tr>
      <w:tr>
        <w:trPr>
          <w:trHeight w:val="730"/>
        </w:trPr>
        <w:tc>
          <w:tcPr>
            <w:tcW w:w="1997" w:type="dxa"/>
            <w:tcBorders>
              <w:top w:val="nil"/>
              <w:left w:val="single" w:sz="4" w:space="0" w:color="auto"/>
              <w:bottom w:val="single" w:sz="4" w:space="0" w:color="auto"/>
              <w:right w:val="single" w:sz="4" w:space="0" w:color="auto"/>
            </w:tcBorders>
            <w:shd w:val="clear" w:color="auto" w:fill="FFFFFF" w:themeFill="background1"/>
            <w:vAlign w:val="center"/>
          </w:tcPr>
          <w:p>
            <w:pPr>
              <w:ind w:left="-57" w:right="-113"/>
            </w:pPr>
            <w:r>
              <w:t>Доходы от возврата  остатков субсидий прошлых лет</w:t>
            </w:r>
          </w:p>
        </w:tc>
        <w:tc>
          <w:tcPr>
            <w:tcW w:w="1134"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205,24</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w:t>
            </w:r>
          </w:p>
        </w:tc>
        <w:tc>
          <w:tcPr>
            <w:tcW w:w="1275"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295,43</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295,43</w:t>
            </w:r>
          </w:p>
        </w:tc>
        <w:tc>
          <w:tcPr>
            <w:tcW w:w="992" w:type="dxa"/>
            <w:tcBorders>
              <w:top w:val="nil"/>
              <w:left w:val="nil"/>
              <w:bottom w:val="single" w:sz="4" w:space="0" w:color="auto"/>
              <w:right w:val="single" w:sz="4" w:space="0" w:color="auto"/>
            </w:tcBorders>
            <w:shd w:val="clear" w:color="auto" w:fill="FFFFFF" w:themeFill="background1"/>
            <w:tcMar>
              <w:left w:w="57" w:type="dxa"/>
              <w:right w:w="57" w:type="dxa"/>
            </w:tcMar>
            <w:vAlign w:val="center"/>
          </w:tcPr>
          <w:p>
            <w:pPr>
              <w:ind w:left="-57" w:right="-28"/>
              <w:jc w:val="right"/>
            </w:pPr>
            <w:r>
              <w:t>-</w:t>
            </w:r>
          </w:p>
        </w:tc>
        <w:tc>
          <w:tcPr>
            <w:tcW w:w="993"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ind w:left="-57" w:right="-28"/>
              <w:jc w:val="right"/>
            </w:pPr>
            <w:r>
              <w:t>90,19</w:t>
            </w:r>
          </w:p>
        </w:tc>
        <w:tc>
          <w:tcPr>
            <w:tcW w:w="708"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ind w:right="-57"/>
              <w:jc w:val="center"/>
            </w:pPr>
            <w:r>
              <w:t>143,9</w:t>
            </w:r>
          </w:p>
        </w:tc>
      </w:tr>
      <w:tr>
        <w:trPr>
          <w:trHeight w:val="839"/>
        </w:trPr>
        <w:tc>
          <w:tcPr>
            <w:tcW w:w="1997" w:type="dxa"/>
            <w:tcBorders>
              <w:top w:val="nil"/>
              <w:left w:val="single" w:sz="4" w:space="0" w:color="auto"/>
              <w:bottom w:val="single" w:sz="4" w:space="0" w:color="auto"/>
              <w:right w:val="single" w:sz="4" w:space="0" w:color="auto"/>
            </w:tcBorders>
            <w:shd w:val="clear" w:color="auto" w:fill="FFFFFF" w:themeFill="background1"/>
            <w:vAlign w:val="center"/>
          </w:tcPr>
          <w:p>
            <w:pPr>
              <w:ind w:left="-57" w:right="-113"/>
            </w:pPr>
            <w:r>
              <w:t>Возврат остатков субсидий и субвенций прошлых лет</w:t>
            </w:r>
          </w:p>
        </w:tc>
        <w:tc>
          <w:tcPr>
            <w:tcW w:w="1134"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-8 352,24</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w:t>
            </w:r>
          </w:p>
        </w:tc>
        <w:tc>
          <w:tcPr>
            <w:tcW w:w="1275"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-6 633,72</w:t>
            </w:r>
          </w:p>
        </w:tc>
        <w:tc>
          <w:tcPr>
            <w:tcW w:w="127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ind w:left="-57" w:right="-28"/>
              <w:jc w:val="right"/>
            </w:pPr>
            <w:r>
              <w:t>-6 634,59</w:t>
            </w:r>
          </w:p>
        </w:tc>
        <w:tc>
          <w:tcPr>
            <w:tcW w:w="992" w:type="dxa"/>
            <w:tcBorders>
              <w:top w:val="nil"/>
              <w:left w:val="nil"/>
              <w:bottom w:val="single" w:sz="4" w:space="0" w:color="auto"/>
              <w:right w:val="single" w:sz="4" w:space="0" w:color="auto"/>
            </w:tcBorders>
            <w:shd w:val="clear" w:color="auto" w:fill="FFFFFF" w:themeFill="background1"/>
            <w:tcMar>
              <w:left w:w="57" w:type="dxa"/>
              <w:right w:w="57" w:type="dxa"/>
            </w:tcMar>
            <w:vAlign w:val="center"/>
          </w:tcPr>
          <w:p>
            <w:pPr>
              <w:ind w:left="-57" w:right="-28"/>
              <w:jc w:val="right"/>
            </w:pPr>
            <w:r>
              <w:t>-0,87</w:t>
            </w:r>
          </w:p>
        </w:tc>
        <w:tc>
          <w:tcPr>
            <w:tcW w:w="993"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ind w:left="-57" w:right="-28"/>
              <w:jc w:val="right"/>
            </w:pPr>
            <w:r>
              <w:t>1 717,65</w:t>
            </w:r>
          </w:p>
        </w:tc>
        <w:tc>
          <w:tcPr>
            <w:tcW w:w="708"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ind w:right="-57"/>
              <w:jc w:val="center"/>
            </w:pPr>
            <w:r>
              <w:t>79,4</w:t>
            </w:r>
          </w:p>
        </w:tc>
      </w:tr>
    </w:tbl>
    <w:p>
      <w:pPr>
        <w:ind w:right="22"/>
        <w:rPr>
          <w:b/>
          <w:sz w:val="24"/>
          <w:szCs w:val="24"/>
          <w:highlight w:val="yellow"/>
        </w:rPr>
      </w:pPr>
    </w:p>
    <w:p>
      <w:pPr>
        <w:ind w:right="22" w:firstLine="720"/>
        <w:jc w:val="center"/>
        <w:rPr>
          <w:b/>
          <w:sz w:val="16"/>
          <w:szCs w:val="16"/>
        </w:rPr>
      </w:pPr>
    </w:p>
    <w:p>
      <w:pPr>
        <w:ind w:right="22" w:firstLine="720"/>
        <w:jc w:val="center"/>
        <w:rPr>
          <w:b/>
          <w:sz w:val="24"/>
          <w:szCs w:val="24"/>
        </w:rPr>
      </w:pPr>
      <w:r>
        <w:rPr>
          <w:b/>
          <w:sz w:val="24"/>
          <w:szCs w:val="24"/>
        </w:rPr>
        <w:t>3.3.1. Безвозмездные поступления от других бюджетов</w:t>
      </w:r>
    </w:p>
    <w:p>
      <w:pPr>
        <w:spacing w:after="200"/>
        <w:ind w:right="23" w:firstLine="720"/>
        <w:jc w:val="center"/>
        <w:rPr>
          <w:sz w:val="24"/>
          <w:szCs w:val="24"/>
        </w:rPr>
      </w:pPr>
      <w:r>
        <w:rPr>
          <w:b/>
          <w:sz w:val="24"/>
          <w:szCs w:val="24"/>
        </w:rPr>
        <w:t>бюджетной системы Российской</w:t>
      </w:r>
      <w:r>
        <w:rPr>
          <w:sz w:val="24"/>
          <w:szCs w:val="24"/>
        </w:rPr>
        <w:t xml:space="preserve"> </w:t>
      </w:r>
      <w:r>
        <w:rPr>
          <w:b/>
          <w:sz w:val="24"/>
          <w:szCs w:val="24"/>
        </w:rPr>
        <w:t>Федерации</w:t>
      </w:r>
    </w:p>
    <w:p>
      <w:pPr>
        <w:ind w:right="22" w:firstLine="720"/>
        <w:jc w:val="both"/>
        <w:rPr>
          <w:sz w:val="24"/>
          <w:szCs w:val="24"/>
        </w:rPr>
      </w:pPr>
      <w:r>
        <w:rPr>
          <w:sz w:val="24"/>
          <w:szCs w:val="24"/>
        </w:rPr>
        <w:t xml:space="preserve">Первоначально утвержденный прогноз по данной статье составлял 2 735 465,20 тыс.руб. В течение года в соответствии с законодательными актами Томской области, на основании уведомлений департаментов Томской области межбюджетные трансферты сальдировано увеличились на 852 525,90 тыс.руб., в том числе: </w:t>
      </w:r>
    </w:p>
    <w:p>
      <w:pPr>
        <w:pStyle w:val="af8"/>
        <w:tabs>
          <w:tab w:val="left" w:pos="993"/>
        </w:tabs>
        <w:spacing w:before="40"/>
        <w:ind w:left="709" w:right="23"/>
        <w:jc w:val="both"/>
        <w:rPr>
          <w:sz w:val="24"/>
          <w:szCs w:val="24"/>
        </w:rPr>
      </w:pPr>
      <w:r>
        <w:rPr>
          <w:sz w:val="24"/>
          <w:szCs w:val="24"/>
        </w:rPr>
        <w:t>- 443 679,50 тыс.руб. по субсидиям;</w:t>
      </w:r>
    </w:p>
    <w:p>
      <w:pPr>
        <w:pStyle w:val="af8"/>
        <w:tabs>
          <w:tab w:val="left" w:pos="993"/>
        </w:tabs>
        <w:spacing w:before="40"/>
        <w:ind w:left="709" w:right="23"/>
        <w:jc w:val="both"/>
        <w:rPr>
          <w:sz w:val="24"/>
          <w:szCs w:val="24"/>
        </w:rPr>
      </w:pPr>
      <w:r>
        <w:rPr>
          <w:sz w:val="24"/>
          <w:szCs w:val="24"/>
        </w:rPr>
        <w:t>- 242 339,86 тыс.руб. по иным межбюджетным трансфертам;</w:t>
      </w:r>
    </w:p>
    <w:p>
      <w:pPr>
        <w:pStyle w:val="af8"/>
        <w:tabs>
          <w:tab w:val="left" w:pos="993"/>
        </w:tabs>
        <w:spacing w:before="40"/>
        <w:ind w:left="709" w:right="23"/>
        <w:jc w:val="both"/>
        <w:rPr>
          <w:sz w:val="24"/>
          <w:szCs w:val="24"/>
        </w:rPr>
      </w:pPr>
      <w:r>
        <w:rPr>
          <w:sz w:val="24"/>
          <w:szCs w:val="24"/>
        </w:rPr>
        <w:t>- 104 015,93 тыс.руб. по дотациям;</w:t>
      </w:r>
    </w:p>
    <w:p>
      <w:pPr>
        <w:pStyle w:val="af8"/>
        <w:tabs>
          <w:tab w:val="left" w:pos="993"/>
        </w:tabs>
        <w:spacing w:before="40"/>
        <w:ind w:left="709" w:right="23"/>
        <w:jc w:val="both"/>
        <w:rPr>
          <w:sz w:val="24"/>
          <w:szCs w:val="24"/>
        </w:rPr>
      </w:pPr>
      <w:r>
        <w:rPr>
          <w:sz w:val="24"/>
          <w:szCs w:val="24"/>
        </w:rPr>
        <w:t>- 62 490,61 тыс.руб. по субвенциям.</w:t>
      </w:r>
    </w:p>
    <w:p>
      <w:pPr>
        <w:ind w:right="22" w:firstLine="720"/>
        <w:jc w:val="both"/>
        <w:rPr>
          <w:sz w:val="24"/>
          <w:szCs w:val="24"/>
        </w:rPr>
      </w:pPr>
      <w:r>
        <w:rPr>
          <w:sz w:val="24"/>
          <w:szCs w:val="24"/>
        </w:rPr>
        <w:t>Последняя редакция прогноза доходов по безвозмездным поступлениям от других бюджетов была утверждена Решением Думы ЗАТО Северск от 10.12.2020 № 5/3 в сумме 3 583 742,33 тыс.руб. и уточнена Приказами начальника Финансового управления от 17.12.20120 № 124, от 26.12.2020 № 127 и от 29.12.2020 № 130 с учетом поступивших уведомлений Департаментов Томской области на 4 248,77 тыс.руб.</w:t>
      </w:r>
    </w:p>
    <w:p>
      <w:pPr>
        <w:spacing w:before="120"/>
        <w:ind w:right="23" w:firstLine="720"/>
        <w:jc w:val="both"/>
        <w:rPr>
          <w:sz w:val="24"/>
          <w:szCs w:val="24"/>
        </w:rPr>
      </w:pPr>
      <w:r>
        <w:rPr>
          <w:sz w:val="24"/>
          <w:szCs w:val="24"/>
        </w:rPr>
        <w:t>Фактически за 2020 год поступило межбюджетных трансфертов на сумму 3 560 914,55 тыс.руб., исполнение 99,2%. Невыполнение в сумме 27 076,55 тыс.руб. обусловлено в основном недофинансированием по субсидиям:</w:t>
      </w:r>
    </w:p>
    <w:p>
      <w:pPr>
        <w:ind w:right="22" w:firstLine="720"/>
        <w:jc w:val="both"/>
        <w:rPr>
          <w:sz w:val="24"/>
          <w:szCs w:val="24"/>
        </w:rPr>
      </w:pPr>
      <w:r>
        <w:rPr>
          <w:sz w:val="24"/>
          <w:szCs w:val="24"/>
        </w:rPr>
        <w:t>-  на реализацию мероприятий по благоустройству дворовых территорий на сумму 17 512,01 тыс.руб.;</w:t>
      </w:r>
    </w:p>
    <w:p>
      <w:pPr>
        <w:ind w:right="22" w:firstLine="720"/>
        <w:jc w:val="both"/>
        <w:rPr>
          <w:sz w:val="24"/>
          <w:szCs w:val="24"/>
        </w:rPr>
      </w:pPr>
      <w:r>
        <w:rPr>
          <w:sz w:val="24"/>
          <w:szCs w:val="24"/>
        </w:rPr>
        <w:t>-  на софинансирование капитальных вложений в объекты муниципальной собственности (в объекты муниципальной собственности в сфере газификации) на сумму 5 229,60 тыс.руб.;</w:t>
      </w:r>
    </w:p>
    <w:p>
      <w:pPr>
        <w:ind w:right="22" w:firstLine="720"/>
        <w:jc w:val="both"/>
        <w:rPr>
          <w:sz w:val="24"/>
          <w:szCs w:val="24"/>
        </w:rPr>
      </w:pPr>
      <w:r>
        <w:rPr>
          <w:sz w:val="24"/>
          <w:szCs w:val="24"/>
        </w:rPr>
        <w:t>- на организацию бесплатного горячего питания обучающихся, получающих начальное образование, на сумму 1 790,46 тыс.руб.</w:t>
      </w:r>
    </w:p>
    <w:p>
      <w:pPr>
        <w:ind w:right="22" w:firstLine="720"/>
        <w:jc w:val="both"/>
        <w:rPr>
          <w:sz w:val="24"/>
          <w:szCs w:val="24"/>
        </w:rPr>
      </w:pPr>
      <w:r>
        <w:rPr>
          <w:sz w:val="24"/>
          <w:szCs w:val="24"/>
        </w:rPr>
        <w:lastRenderedPageBreak/>
        <w:t>-  на компенсацию расходов по организации теплоснабжения на сумму 603,97 тыс.руб.</w:t>
      </w:r>
    </w:p>
    <w:p>
      <w:pPr>
        <w:pStyle w:val="a5"/>
        <w:spacing w:before="120" w:after="0"/>
        <w:ind w:firstLine="720"/>
        <w:jc w:val="both"/>
        <w:rPr>
          <w:sz w:val="24"/>
          <w:szCs w:val="24"/>
        </w:rPr>
      </w:pPr>
      <w:r>
        <w:rPr>
          <w:sz w:val="24"/>
          <w:szCs w:val="24"/>
        </w:rPr>
        <w:t>По сравнению с 2019 годом поступление межбюджетных трансфертов сальдировано увеличилось на 147 434,46 тыс.руб., в том числе:</w:t>
      </w:r>
    </w:p>
    <w:p>
      <w:pPr>
        <w:pStyle w:val="a5"/>
        <w:shd w:val="clear" w:color="auto" w:fill="FFFFFF" w:themeFill="background1"/>
        <w:spacing w:after="0"/>
        <w:ind w:firstLine="720"/>
        <w:jc w:val="both"/>
        <w:rPr>
          <w:sz w:val="24"/>
          <w:szCs w:val="24"/>
        </w:rPr>
      </w:pPr>
      <w:r>
        <w:rPr>
          <w:sz w:val="24"/>
          <w:szCs w:val="24"/>
          <w:shd w:val="clear" w:color="auto" w:fill="FFFFFF" w:themeFill="background1"/>
        </w:rPr>
        <w:t>- по дотациям увеличение на 162 375,28 тыс.руб., в</w:t>
      </w:r>
      <w:r>
        <w:rPr>
          <w:sz w:val="24"/>
          <w:szCs w:val="24"/>
        </w:rPr>
        <w:t xml:space="preserve"> том числе: из федерального бюджета на 57 527,50 тыс.руб., из областного бюджета на 104 847,78 тыс.руб.</w:t>
      </w:r>
    </w:p>
    <w:p>
      <w:pPr>
        <w:pStyle w:val="a5"/>
        <w:shd w:val="clear" w:color="auto" w:fill="FFFFFF" w:themeFill="background1"/>
        <w:spacing w:after="0"/>
        <w:ind w:firstLine="720"/>
        <w:jc w:val="both"/>
        <w:rPr>
          <w:sz w:val="24"/>
          <w:szCs w:val="24"/>
        </w:rPr>
      </w:pPr>
      <w:r>
        <w:rPr>
          <w:sz w:val="24"/>
          <w:szCs w:val="24"/>
          <w:shd w:val="clear" w:color="auto" w:fill="FFFFFF" w:themeFill="background1"/>
        </w:rPr>
        <w:t xml:space="preserve">- по иным межбюджетным трансфертам увеличение на 42 101,41 тыс.руб., </w:t>
      </w:r>
      <w:r>
        <w:rPr>
          <w:sz w:val="24"/>
          <w:szCs w:val="24"/>
        </w:rPr>
        <w:t>из них по трансфертам на ежемесячное денежное вознаграждение за классное рурководство – 19 097,63 тыс.руб.; по «дорожным картам» в части повышения заработной платы педагогическим работникам на 24 280,70 тыс.руб., на исполнение судебных актов – 4 684,07 тыс.руб.;</w:t>
      </w:r>
    </w:p>
    <w:p>
      <w:pPr>
        <w:pStyle w:val="a5"/>
        <w:shd w:val="clear" w:color="auto" w:fill="FFFFFF" w:themeFill="background1"/>
        <w:spacing w:after="0"/>
        <w:ind w:firstLine="720"/>
        <w:jc w:val="both"/>
        <w:rPr>
          <w:sz w:val="24"/>
          <w:szCs w:val="24"/>
        </w:rPr>
      </w:pPr>
      <w:r>
        <w:rPr>
          <w:sz w:val="24"/>
          <w:szCs w:val="24"/>
        </w:rPr>
        <w:t>- по субвенциям увеличение на 41 996,39 тыс.руб., из них по государственным гарантиям на получение образования – 40 397,30 тыс.руб.; по субвенциям на регулирование численности безнадзорных животных – 1 860,60 тыс.руб.</w:t>
      </w:r>
    </w:p>
    <w:p>
      <w:pPr>
        <w:pStyle w:val="a5"/>
        <w:shd w:val="clear" w:color="auto" w:fill="FFFFFF" w:themeFill="background1"/>
        <w:spacing w:after="0"/>
        <w:ind w:firstLine="709"/>
        <w:jc w:val="both"/>
        <w:rPr>
          <w:sz w:val="24"/>
          <w:szCs w:val="24"/>
        </w:rPr>
      </w:pPr>
      <w:r>
        <w:rPr>
          <w:sz w:val="24"/>
          <w:szCs w:val="24"/>
        </w:rPr>
        <w:t>- по субсидиям в целом снижение на 99 038,62 тыс.руб., из них:</w:t>
      </w:r>
    </w:p>
    <w:p>
      <w:pPr>
        <w:pStyle w:val="a5"/>
        <w:numPr>
          <w:ilvl w:val="0"/>
          <w:numId w:val="18"/>
        </w:numPr>
        <w:shd w:val="clear" w:color="auto" w:fill="FFFFFF" w:themeFill="background1"/>
        <w:tabs>
          <w:tab w:val="left" w:pos="0"/>
          <w:tab w:val="left" w:pos="993"/>
        </w:tabs>
        <w:spacing w:after="100" w:afterAutospacing="1"/>
        <w:ind w:left="0" w:firstLine="709"/>
        <w:jc w:val="both"/>
        <w:rPr>
          <w:sz w:val="24"/>
          <w:szCs w:val="24"/>
        </w:rPr>
      </w:pPr>
      <w:r>
        <w:rPr>
          <w:sz w:val="24"/>
          <w:szCs w:val="24"/>
        </w:rPr>
        <w:t xml:space="preserve">уменьшение по субсидиям на софинансирование капитальных вложений в объекты муниципальной собственности – 74 976,35 тыс.руб.; на поддержку отрасли культуры – 45 718,63 тыс.руб.; по «дорожным картам» в части повышения заработной – 80 172,85 тыс.руб.; </w:t>
      </w:r>
    </w:p>
    <w:p>
      <w:pPr>
        <w:pStyle w:val="a5"/>
        <w:numPr>
          <w:ilvl w:val="0"/>
          <w:numId w:val="18"/>
        </w:numPr>
        <w:shd w:val="clear" w:color="auto" w:fill="FFFFFF" w:themeFill="background1"/>
        <w:tabs>
          <w:tab w:val="left" w:pos="0"/>
          <w:tab w:val="left" w:pos="710"/>
          <w:tab w:val="left" w:pos="993"/>
        </w:tabs>
        <w:ind w:left="0" w:firstLine="709"/>
        <w:jc w:val="both"/>
        <w:rPr>
          <w:sz w:val="24"/>
          <w:szCs w:val="24"/>
        </w:rPr>
      </w:pPr>
      <w:r>
        <w:rPr>
          <w:sz w:val="24"/>
          <w:szCs w:val="24"/>
        </w:rPr>
        <w:t>увеличение по субсидиям на поддержку предпринимательства – 27 377,69 тыс.руб.; на приобретение спортивного оборудования и инвентаря – 22 863,41 тыс.руб.; на организацию бесплатного горячего питания обучающихся – 16 463,18 тыс.руб.; на внедрение целевой модели цифровой образовательной среды – 14 892,24 тыс.руб.; на формирование современной городской среды – 10 812,29 тыс.руб.</w:t>
      </w:r>
    </w:p>
    <w:p>
      <w:pPr>
        <w:pStyle w:val="a5"/>
        <w:shd w:val="clear" w:color="auto" w:fill="FFFFFF" w:themeFill="background1"/>
        <w:tabs>
          <w:tab w:val="left" w:pos="0"/>
          <w:tab w:val="left" w:pos="710"/>
          <w:tab w:val="left" w:pos="993"/>
        </w:tabs>
        <w:spacing w:after="100" w:afterAutospacing="1"/>
        <w:jc w:val="both"/>
        <w:rPr>
          <w:sz w:val="24"/>
          <w:szCs w:val="24"/>
        </w:rPr>
      </w:pPr>
      <w:r>
        <w:rPr>
          <w:sz w:val="24"/>
          <w:szCs w:val="24"/>
        </w:rPr>
        <w:tab/>
        <w:t>Таблица 43. Анализ исполнения по безвозмездным поступлениям от других бюджетов бюджетной системы Российской Федерации за 2019 - 2020 гг.</w:t>
      </w:r>
    </w:p>
    <w:tbl>
      <w:tblPr>
        <w:tblW w:w="9458" w:type="dxa"/>
        <w:tblInd w:w="96" w:type="dxa"/>
        <w:shd w:val="clear" w:color="auto" w:fill="F2F2F2" w:themeFill="background1" w:themeFillShade="F2"/>
        <w:tblLayout w:type="fixed"/>
        <w:tblLook w:val="0000" w:firstRow="0" w:lastRow="0" w:firstColumn="0" w:lastColumn="0" w:noHBand="0" w:noVBand="0"/>
      </w:tblPr>
      <w:tblGrid>
        <w:gridCol w:w="2280"/>
        <w:gridCol w:w="1190"/>
        <w:gridCol w:w="1362"/>
        <w:gridCol w:w="1293"/>
        <w:gridCol w:w="1366"/>
        <w:gridCol w:w="1155"/>
        <w:gridCol w:w="812"/>
      </w:tblGrid>
      <w:tr>
        <w:trPr>
          <w:trHeight w:val="320"/>
        </w:trPr>
        <w:tc>
          <w:tcPr>
            <w:tcW w:w="22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pPr>
              <w:ind w:right="-170"/>
              <w:jc w:val="center"/>
            </w:pPr>
            <w:r>
              <w:t>Наименование</w:t>
            </w:r>
          </w:p>
        </w:tc>
        <w:tc>
          <w:tcPr>
            <w:tcW w:w="119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center"/>
            </w:pPr>
            <w:r>
              <w:t>Факт 2019 год,</w:t>
            </w:r>
            <w:r>
              <w:br/>
              <w:t>тыс.руб.</w:t>
            </w:r>
          </w:p>
        </w:tc>
        <w:tc>
          <w:tcPr>
            <w:tcW w:w="5988" w:type="dxa"/>
            <w:gridSpan w:val="5"/>
            <w:tcBorders>
              <w:top w:val="single" w:sz="4" w:space="0" w:color="auto"/>
              <w:left w:val="nil"/>
              <w:bottom w:val="single" w:sz="4" w:space="0" w:color="auto"/>
              <w:right w:val="single" w:sz="4" w:space="0" w:color="auto"/>
            </w:tcBorders>
            <w:shd w:val="clear" w:color="auto" w:fill="FFFFFF" w:themeFill="background1"/>
            <w:vAlign w:val="center"/>
          </w:tcPr>
          <w:p>
            <w:pPr>
              <w:ind w:left="-108" w:right="-108"/>
              <w:jc w:val="center"/>
            </w:pPr>
            <w:r>
              <w:t>2020 год, тыс.руб.</w:t>
            </w:r>
          </w:p>
        </w:tc>
      </w:tr>
      <w:tr>
        <w:trPr>
          <w:trHeight w:val="765"/>
        </w:trPr>
        <w:tc>
          <w:tcPr>
            <w:tcW w:w="22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ind w:right="-170"/>
            </w:pPr>
          </w:p>
        </w:tc>
        <w:tc>
          <w:tcPr>
            <w:tcW w:w="119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tc>
        <w:tc>
          <w:tcPr>
            <w:tcW w:w="1362"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Прогноз перво-начальный</w:t>
            </w:r>
          </w:p>
        </w:tc>
        <w:tc>
          <w:tcPr>
            <w:tcW w:w="1293"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 xml:space="preserve">Прогноз уточненный </w:t>
            </w:r>
          </w:p>
        </w:tc>
        <w:tc>
          <w:tcPr>
            <w:tcW w:w="1366"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 xml:space="preserve">Факт </w:t>
            </w:r>
          </w:p>
        </w:tc>
        <w:tc>
          <w:tcPr>
            <w:tcW w:w="1155" w:type="dxa"/>
            <w:tcBorders>
              <w:top w:val="single" w:sz="4" w:space="0" w:color="auto"/>
              <w:left w:val="nil"/>
              <w:bottom w:val="single" w:sz="4" w:space="0" w:color="auto"/>
              <w:right w:val="single" w:sz="4" w:space="0" w:color="auto"/>
            </w:tcBorders>
            <w:shd w:val="clear" w:color="auto" w:fill="FFFFFF" w:themeFill="background1"/>
            <w:vAlign w:val="center"/>
          </w:tcPr>
          <w:p>
            <w:pPr>
              <w:ind w:left="-57" w:right="-57"/>
              <w:jc w:val="center"/>
            </w:pPr>
            <w:r>
              <w:t>Откло-нение</w:t>
            </w:r>
          </w:p>
        </w:tc>
        <w:tc>
          <w:tcPr>
            <w:tcW w:w="812" w:type="dxa"/>
            <w:tcBorders>
              <w:top w:val="single" w:sz="4" w:space="0" w:color="auto"/>
              <w:left w:val="nil"/>
              <w:bottom w:val="single" w:sz="4" w:space="0" w:color="auto"/>
              <w:right w:val="single" w:sz="4" w:space="0" w:color="auto"/>
            </w:tcBorders>
            <w:shd w:val="clear" w:color="auto" w:fill="FFFFFF" w:themeFill="background1"/>
            <w:vAlign w:val="center"/>
          </w:tcPr>
          <w:p>
            <w:pPr>
              <w:ind w:left="-113" w:right="-113"/>
              <w:jc w:val="center"/>
            </w:pPr>
            <w:r>
              <w:t>% испол-нения</w:t>
            </w:r>
          </w:p>
        </w:tc>
      </w:tr>
      <w:tr>
        <w:trPr>
          <w:trHeight w:val="125"/>
        </w:trPr>
        <w:tc>
          <w:tcPr>
            <w:tcW w:w="2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ind w:right="-170"/>
              <w:jc w:val="center"/>
              <w:rPr>
                <w:bCs/>
                <w:sz w:val="16"/>
                <w:szCs w:val="16"/>
              </w:rPr>
            </w:pPr>
            <w:r>
              <w:rPr>
                <w:bCs/>
                <w:sz w:val="16"/>
                <w:szCs w:val="16"/>
              </w:rPr>
              <w:t>1</w:t>
            </w:r>
          </w:p>
        </w:tc>
        <w:tc>
          <w:tcPr>
            <w:tcW w:w="1190"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108" w:right="-57"/>
              <w:jc w:val="center"/>
              <w:rPr>
                <w:bCs/>
                <w:sz w:val="16"/>
                <w:szCs w:val="16"/>
              </w:rPr>
            </w:pPr>
            <w:r>
              <w:rPr>
                <w:bCs/>
                <w:sz w:val="16"/>
                <w:szCs w:val="16"/>
              </w:rPr>
              <w:t>2</w:t>
            </w:r>
          </w:p>
        </w:tc>
        <w:tc>
          <w:tcPr>
            <w:tcW w:w="1362"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57" w:right="-57"/>
              <w:jc w:val="center"/>
              <w:rPr>
                <w:bCs/>
                <w:sz w:val="16"/>
                <w:szCs w:val="16"/>
              </w:rPr>
            </w:pPr>
            <w:r>
              <w:rPr>
                <w:bCs/>
                <w:sz w:val="16"/>
                <w:szCs w:val="16"/>
              </w:rPr>
              <w:t>3</w:t>
            </w:r>
          </w:p>
        </w:tc>
        <w:tc>
          <w:tcPr>
            <w:tcW w:w="1293"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57" w:right="-57"/>
              <w:jc w:val="center"/>
              <w:rPr>
                <w:bCs/>
                <w:sz w:val="16"/>
                <w:szCs w:val="16"/>
              </w:rPr>
            </w:pPr>
            <w:r>
              <w:rPr>
                <w:bCs/>
                <w:sz w:val="16"/>
                <w:szCs w:val="16"/>
              </w:rPr>
              <w:t>4</w:t>
            </w:r>
          </w:p>
        </w:tc>
        <w:tc>
          <w:tcPr>
            <w:tcW w:w="1366" w:type="dxa"/>
            <w:tcBorders>
              <w:top w:val="single" w:sz="4" w:space="0" w:color="auto"/>
              <w:left w:val="nil"/>
              <w:bottom w:val="single" w:sz="4" w:space="0" w:color="auto"/>
              <w:right w:val="single" w:sz="4" w:space="0" w:color="auto"/>
            </w:tcBorders>
            <w:shd w:val="clear" w:color="auto" w:fill="FFFFFF" w:themeFill="background1"/>
            <w:noWrap/>
            <w:vAlign w:val="center"/>
          </w:tcPr>
          <w:p>
            <w:pPr>
              <w:ind w:left="-57" w:right="-57"/>
              <w:jc w:val="center"/>
              <w:rPr>
                <w:bCs/>
                <w:sz w:val="16"/>
                <w:szCs w:val="16"/>
              </w:rPr>
            </w:pPr>
            <w:r>
              <w:rPr>
                <w:bCs/>
                <w:sz w:val="16"/>
                <w:szCs w:val="16"/>
              </w:rPr>
              <w:t>5</w:t>
            </w:r>
          </w:p>
        </w:tc>
        <w:tc>
          <w:tcPr>
            <w:tcW w:w="1155" w:type="dxa"/>
            <w:tcBorders>
              <w:top w:val="single" w:sz="4" w:space="0" w:color="auto"/>
              <w:left w:val="nil"/>
              <w:bottom w:val="nil"/>
              <w:right w:val="single" w:sz="4" w:space="0" w:color="auto"/>
            </w:tcBorders>
            <w:shd w:val="clear" w:color="auto" w:fill="FFFFFF" w:themeFill="background1"/>
            <w:vAlign w:val="center"/>
          </w:tcPr>
          <w:p>
            <w:pPr>
              <w:ind w:left="-57" w:right="-57"/>
              <w:jc w:val="center"/>
              <w:rPr>
                <w:bCs/>
                <w:sz w:val="16"/>
                <w:szCs w:val="16"/>
              </w:rPr>
            </w:pPr>
            <w:r>
              <w:rPr>
                <w:bCs/>
                <w:sz w:val="16"/>
                <w:szCs w:val="16"/>
              </w:rPr>
              <w:t>6=5-4</w:t>
            </w:r>
          </w:p>
        </w:tc>
        <w:tc>
          <w:tcPr>
            <w:tcW w:w="812" w:type="dxa"/>
            <w:tcBorders>
              <w:top w:val="single" w:sz="4" w:space="0" w:color="auto"/>
              <w:left w:val="nil"/>
              <w:bottom w:val="nil"/>
              <w:right w:val="single" w:sz="4" w:space="0" w:color="auto"/>
            </w:tcBorders>
            <w:shd w:val="clear" w:color="auto" w:fill="FFFFFF" w:themeFill="background1"/>
            <w:vAlign w:val="center"/>
          </w:tcPr>
          <w:p>
            <w:pPr>
              <w:ind w:left="-108" w:right="-108"/>
              <w:jc w:val="center"/>
              <w:rPr>
                <w:bCs/>
                <w:sz w:val="16"/>
                <w:szCs w:val="16"/>
              </w:rPr>
            </w:pPr>
            <w:r>
              <w:rPr>
                <w:bCs/>
                <w:sz w:val="16"/>
                <w:szCs w:val="16"/>
              </w:rPr>
              <w:t>7=5/4</w:t>
            </w:r>
          </w:p>
        </w:tc>
      </w:tr>
      <w:tr>
        <w:trPr>
          <w:trHeight w:val="264"/>
        </w:trPr>
        <w:tc>
          <w:tcPr>
            <w:tcW w:w="2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
              <w:t>Безвозмездные поступления от других бюджетов</w:t>
            </w:r>
          </w:p>
        </w:tc>
        <w:tc>
          <w:tcPr>
            <w:tcW w:w="1190"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3 413 480,09</w:t>
            </w:r>
          </w:p>
        </w:tc>
        <w:tc>
          <w:tcPr>
            <w:tcW w:w="1362"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2 735 465,20</w:t>
            </w:r>
          </w:p>
        </w:tc>
        <w:tc>
          <w:tcPr>
            <w:tcW w:w="1293"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3 587 991,10</w:t>
            </w:r>
          </w:p>
        </w:tc>
        <w:tc>
          <w:tcPr>
            <w:tcW w:w="1366" w:type="dxa"/>
            <w:tcBorders>
              <w:top w:val="single" w:sz="4" w:space="0" w:color="auto"/>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3 560 914,55</w:t>
            </w:r>
          </w:p>
        </w:tc>
        <w:tc>
          <w:tcPr>
            <w:tcW w:w="1155"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jc w:val="right"/>
            </w:pPr>
            <w:r>
              <w:t>-27 076,55</w:t>
            </w:r>
          </w:p>
        </w:tc>
        <w:tc>
          <w:tcPr>
            <w:tcW w:w="812"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jc w:val="right"/>
            </w:pPr>
            <w:r>
              <w:t>99,2</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themeFill="background1"/>
            <w:vAlign w:val="center"/>
          </w:tcPr>
          <w:p>
            <w:r>
              <w:t>1. Дотации</w:t>
            </w:r>
          </w:p>
        </w:tc>
        <w:tc>
          <w:tcPr>
            <w:tcW w:w="1190"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1 226 980,05</w:t>
            </w:r>
          </w:p>
        </w:tc>
        <w:tc>
          <w:tcPr>
            <w:tcW w:w="1362"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1 285 339,40</w:t>
            </w:r>
          </w:p>
        </w:tc>
        <w:tc>
          <w:tcPr>
            <w:tcW w:w="1293"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1 389 355,33</w:t>
            </w:r>
          </w:p>
        </w:tc>
        <w:tc>
          <w:tcPr>
            <w:tcW w:w="136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1 389 355,33</w:t>
            </w:r>
          </w:p>
        </w:tc>
        <w:tc>
          <w:tcPr>
            <w:tcW w:w="1155"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jc w:val="right"/>
            </w:pPr>
            <w:r>
              <w:t>0,00</w:t>
            </w:r>
          </w:p>
        </w:tc>
        <w:tc>
          <w:tcPr>
            <w:tcW w:w="812"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jc w:val="right"/>
            </w:pPr>
            <w:r>
              <w:t>100,0</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themeFill="background1"/>
            <w:vAlign w:val="center"/>
          </w:tcPr>
          <w:p>
            <w:r>
              <w:t>2. Субсидии</w:t>
            </w:r>
          </w:p>
        </w:tc>
        <w:tc>
          <w:tcPr>
            <w:tcW w:w="1190"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597 773,01</w:t>
            </w:r>
          </w:p>
        </w:tc>
        <w:tc>
          <w:tcPr>
            <w:tcW w:w="1362"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80 487,80</w:t>
            </w:r>
          </w:p>
        </w:tc>
        <w:tc>
          <w:tcPr>
            <w:tcW w:w="1293"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524 167,30</w:t>
            </w:r>
          </w:p>
        </w:tc>
        <w:tc>
          <w:tcPr>
            <w:tcW w:w="136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498 734,39</w:t>
            </w:r>
          </w:p>
        </w:tc>
        <w:tc>
          <w:tcPr>
            <w:tcW w:w="1155" w:type="dxa"/>
            <w:tcBorders>
              <w:top w:val="nil"/>
              <w:left w:val="nil"/>
              <w:bottom w:val="single" w:sz="4" w:space="0" w:color="auto"/>
              <w:right w:val="single" w:sz="4" w:space="0" w:color="auto"/>
            </w:tcBorders>
            <w:shd w:val="clear" w:color="auto" w:fill="FFFFFF" w:themeFill="background1"/>
            <w:tcMar>
              <w:left w:w="57" w:type="dxa"/>
              <w:right w:w="57" w:type="dxa"/>
            </w:tcMar>
            <w:vAlign w:val="center"/>
          </w:tcPr>
          <w:p>
            <w:pPr>
              <w:jc w:val="right"/>
            </w:pPr>
            <w:r>
              <w:t>-25 432,91</w:t>
            </w:r>
          </w:p>
        </w:tc>
        <w:tc>
          <w:tcPr>
            <w:tcW w:w="812"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jc w:val="right"/>
            </w:pPr>
            <w:r>
              <w:t>95,1</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themeFill="background1"/>
            <w:vAlign w:val="center"/>
          </w:tcPr>
          <w:p>
            <w:r>
              <w:t>3. Субвенции</w:t>
            </w:r>
          </w:p>
        </w:tc>
        <w:tc>
          <w:tcPr>
            <w:tcW w:w="1190"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1 300 178,67</w:t>
            </w:r>
          </w:p>
        </w:tc>
        <w:tc>
          <w:tcPr>
            <w:tcW w:w="1362"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1 280 667,60</w:t>
            </w:r>
          </w:p>
        </w:tc>
        <w:tc>
          <w:tcPr>
            <w:tcW w:w="1293"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1 343 158,21</w:t>
            </w:r>
          </w:p>
        </w:tc>
        <w:tc>
          <w:tcPr>
            <w:tcW w:w="136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1 342 175,06</w:t>
            </w:r>
          </w:p>
        </w:tc>
        <w:tc>
          <w:tcPr>
            <w:tcW w:w="1155" w:type="dxa"/>
            <w:tcBorders>
              <w:top w:val="nil"/>
              <w:left w:val="nil"/>
              <w:bottom w:val="single" w:sz="4" w:space="0" w:color="auto"/>
              <w:right w:val="single" w:sz="4" w:space="0" w:color="auto"/>
            </w:tcBorders>
            <w:shd w:val="clear" w:color="auto" w:fill="FFFFFF" w:themeFill="background1"/>
            <w:tcMar>
              <w:left w:w="57" w:type="dxa"/>
              <w:right w:w="57" w:type="dxa"/>
            </w:tcMar>
            <w:vAlign w:val="center"/>
          </w:tcPr>
          <w:p>
            <w:pPr>
              <w:jc w:val="right"/>
            </w:pPr>
            <w:r>
              <w:t>-983,16</w:t>
            </w:r>
          </w:p>
        </w:tc>
        <w:tc>
          <w:tcPr>
            <w:tcW w:w="812" w:type="dxa"/>
            <w:tcBorders>
              <w:top w:val="single" w:sz="4" w:space="0" w:color="auto"/>
              <w:left w:val="nil"/>
              <w:bottom w:val="nil"/>
              <w:right w:val="single" w:sz="4" w:space="0" w:color="auto"/>
            </w:tcBorders>
            <w:shd w:val="clear" w:color="auto" w:fill="FFFFFF" w:themeFill="background1"/>
            <w:tcMar>
              <w:left w:w="57" w:type="dxa"/>
              <w:right w:w="57" w:type="dxa"/>
            </w:tcMar>
            <w:vAlign w:val="center"/>
          </w:tcPr>
          <w:p>
            <w:pPr>
              <w:jc w:val="right"/>
            </w:pPr>
            <w:r>
              <w:t>99,9</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themeFill="background1"/>
            <w:vAlign w:val="center"/>
          </w:tcPr>
          <w:p>
            <w:r>
              <w:t>4. Иные МБТ</w:t>
            </w:r>
          </w:p>
        </w:tc>
        <w:tc>
          <w:tcPr>
            <w:tcW w:w="1190"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288 548,36</w:t>
            </w:r>
          </w:p>
        </w:tc>
        <w:tc>
          <w:tcPr>
            <w:tcW w:w="1362"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88 970,40</w:t>
            </w:r>
          </w:p>
        </w:tc>
        <w:tc>
          <w:tcPr>
            <w:tcW w:w="1293"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331 310,26</w:t>
            </w:r>
          </w:p>
        </w:tc>
        <w:tc>
          <w:tcPr>
            <w:tcW w:w="1366" w:type="dxa"/>
            <w:tcBorders>
              <w:top w:val="nil"/>
              <w:left w:val="nil"/>
              <w:bottom w:val="single" w:sz="4" w:space="0" w:color="auto"/>
              <w:right w:val="single" w:sz="4" w:space="0" w:color="auto"/>
            </w:tcBorders>
            <w:shd w:val="clear" w:color="auto" w:fill="FFFFFF" w:themeFill="background1"/>
            <w:noWrap/>
            <w:tcMar>
              <w:left w:w="57" w:type="dxa"/>
              <w:right w:w="57" w:type="dxa"/>
            </w:tcMar>
            <w:vAlign w:val="center"/>
          </w:tcPr>
          <w:p>
            <w:pPr>
              <w:jc w:val="right"/>
            </w:pPr>
            <w:r>
              <w:t>330 649,77</w:t>
            </w:r>
          </w:p>
        </w:tc>
        <w:tc>
          <w:tcPr>
            <w:tcW w:w="1155" w:type="dxa"/>
            <w:tcBorders>
              <w:top w:val="nil"/>
              <w:left w:val="nil"/>
              <w:bottom w:val="single" w:sz="4" w:space="0" w:color="auto"/>
              <w:right w:val="single" w:sz="4" w:space="0" w:color="auto"/>
            </w:tcBorders>
            <w:shd w:val="clear" w:color="auto" w:fill="FFFFFF" w:themeFill="background1"/>
            <w:tcMar>
              <w:left w:w="57" w:type="dxa"/>
              <w:right w:w="57" w:type="dxa"/>
            </w:tcMar>
            <w:vAlign w:val="center"/>
          </w:tcPr>
          <w:p>
            <w:pPr>
              <w:jc w:val="right"/>
            </w:pPr>
            <w:r>
              <w:t>-660,49</w:t>
            </w:r>
          </w:p>
        </w:tc>
        <w:tc>
          <w:tcPr>
            <w:tcW w:w="812" w:type="dxa"/>
            <w:tcBorders>
              <w:top w:val="single" w:sz="4" w:space="0" w:color="auto"/>
              <w:left w:val="nil"/>
              <w:bottom w:val="single" w:sz="4" w:space="0" w:color="auto"/>
              <w:right w:val="single" w:sz="4" w:space="0" w:color="auto"/>
            </w:tcBorders>
            <w:shd w:val="clear" w:color="auto" w:fill="FFFFFF" w:themeFill="background1"/>
            <w:tcMar>
              <w:left w:w="57" w:type="dxa"/>
              <w:right w:w="57" w:type="dxa"/>
            </w:tcMar>
            <w:vAlign w:val="center"/>
          </w:tcPr>
          <w:p>
            <w:pPr>
              <w:jc w:val="right"/>
            </w:pPr>
            <w:r>
              <w:t>99,8</w:t>
            </w:r>
          </w:p>
        </w:tc>
      </w:tr>
    </w:tbl>
    <w:p>
      <w:pPr>
        <w:pStyle w:val="a5"/>
        <w:shd w:val="clear" w:color="auto" w:fill="FFFFFF" w:themeFill="background1"/>
        <w:spacing w:after="0"/>
        <w:jc w:val="center"/>
        <w:rPr>
          <w:b/>
          <w:sz w:val="24"/>
          <w:szCs w:val="24"/>
          <w:highlight w:val="yellow"/>
        </w:rPr>
      </w:pPr>
    </w:p>
    <w:p>
      <w:pPr>
        <w:pStyle w:val="a5"/>
        <w:shd w:val="clear" w:color="auto" w:fill="FFFFFF" w:themeFill="background1"/>
        <w:jc w:val="center"/>
        <w:rPr>
          <w:b/>
          <w:sz w:val="24"/>
          <w:szCs w:val="24"/>
        </w:rPr>
      </w:pPr>
      <w:r>
        <w:rPr>
          <w:b/>
          <w:sz w:val="24"/>
          <w:szCs w:val="24"/>
        </w:rPr>
        <w:t>3.3.2. Прочие безвозмездные поступления в бюджеты городских округов</w:t>
      </w:r>
    </w:p>
    <w:p>
      <w:pPr>
        <w:pStyle w:val="a5"/>
        <w:shd w:val="clear" w:color="auto" w:fill="FFFFFF" w:themeFill="background1"/>
        <w:spacing w:before="120" w:after="0"/>
        <w:ind w:firstLine="709"/>
        <w:jc w:val="both"/>
        <w:rPr>
          <w:sz w:val="24"/>
          <w:szCs w:val="24"/>
        </w:rPr>
      </w:pPr>
      <w:r>
        <w:rPr>
          <w:sz w:val="24"/>
          <w:szCs w:val="24"/>
        </w:rPr>
        <w:t>Прогноз поступлений по статье составлял 82,55 тыс.руб. и исполнен на 100,0% в сумме 82,54 тыс.руб. В бюджет ЗАТО Северск поступили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p>
      <w:pPr>
        <w:pStyle w:val="a5"/>
        <w:shd w:val="clear" w:color="auto" w:fill="FFFFFF" w:themeFill="background1"/>
        <w:spacing w:after="0"/>
        <w:ind w:firstLine="709"/>
        <w:jc w:val="both"/>
        <w:rPr>
          <w:sz w:val="24"/>
          <w:szCs w:val="24"/>
          <w:highlight w:val="yellow"/>
        </w:rPr>
      </w:pPr>
    </w:p>
    <w:p>
      <w:pPr>
        <w:pStyle w:val="a5"/>
        <w:shd w:val="clear" w:color="auto" w:fill="FFFFFF" w:themeFill="background1"/>
        <w:spacing w:after="0"/>
        <w:jc w:val="center"/>
        <w:rPr>
          <w:b/>
          <w:sz w:val="24"/>
          <w:szCs w:val="24"/>
        </w:rPr>
      </w:pPr>
    </w:p>
    <w:p>
      <w:pPr>
        <w:pStyle w:val="a5"/>
        <w:shd w:val="clear" w:color="auto" w:fill="FFFFFF" w:themeFill="background1"/>
        <w:spacing w:after="0"/>
        <w:jc w:val="center"/>
        <w:rPr>
          <w:b/>
          <w:sz w:val="24"/>
          <w:szCs w:val="24"/>
        </w:rPr>
      </w:pPr>
    </w:p>
    <w:p>
      <w:pPr>
        <w:pStyle w:val="a5"/>
        <w:shd w:val="clear" w:color="auto" w:fill="FFFFFF" w:themeFill="background1"/>
        <w:spacing w:after="0"/>
        <w:jc w:val="center"/>
        <w:rPr>
          <w:b/>
          <w:sz w:val="24"/>
          <w:szCs w:val="24"/>
        </w:rPr>
      </w:pPr>
    </w:p>
    <w:p>
      <w:pPr>
        <w:pStyle w:val="a5"/>
        <w:shd w:val="clear" w:color="auto" w:fill="FFFFFF" w:themeFill="background1"/>
        <w:spacing w:after="0"/>
        <w:jc w:val="center"/>
        <w:rPr>
          <w:b/>
          <w:sz w:val="24"/>
          <w:szCs w:val="24"/>
        </w:rPr>
      </w:pPr>
    </w:p>
    <w:p>
      <w:pPr>
        <w:pStyle w:val="a5"/>
        <w:shd w:val="clear" w:color="auto" w:fill="FFFFFF" w:themeFill="background1"/>
        <w:spacing w:after="0"/>
        <w:jc w:val="center"/>
        <w:rPr>
          <w:b/>
          <w:sz w:val="24"/>
          <w:szCs w:val="24"/>
        </w:rPr>
      </w:pPr>
      <w:r>
        <w:rPr>
          <w:b/>
          <w:sz w:val="24"/>
          <w:szCs w:val="24"/>
        </w:rPr>
        <w:lastRenderedPageBreak/>
        <w:t xml:space="preserve">3.3.3. Доходы бюджетов городских округов от возврата организациями </w:t>
      </w:r>
    </w:p>
    <w:p>
      <w:pPr>
        <w:pStyle w:val="a5"/>
        <w:shd w:val="clear" w:color="auto" w:fill="FFFFFF" w:themeFill="background1"/>
        <w:jc w:val="center"/>
        <w:rPr>
          <w:b/>
          <w:sz w:val="24"/>
          <w:szCs w:val="24"/>
        </w:rPr>
      </w:pPr>
      <w:r>
        <w:rPr>
          <w:b/>
          <w:sz w:val="24"/>
          <w:szCs w:val="24"/>
        </w:rPr>
        <w:t xml:space="preserve">остатков субсидий прошлых лет </w:t>
      </w:r>
    </w:p>
    <w:p>
      <w:pPr>
        <w:pStyle w:val="a5"/>
        <w:shd w:val="clear" w:color="auto" w:fill="FFFFFF" w:themeFill="background1"/>
        <w:spacing w:after="0"/>
        <w:ind w:firstLine="720"/>
        <w:jc w:val="both"/>
        <w:rPr>
          <w:sz w:val="24"/>
          <w:szCs w:val="24"/>
        </w:rPr>
      </w:pPr>
      <w:r>
        <w:rPr>
          <w:sz w:val="24"/>
          <w:szCs w:val="24"/>
        </w:rPr>
        <w:t xml:space="preserve">Прогноз поступлений по статье составлял 295,43 тыс.руб. и исполнен на 100,0%. В бюджет ЗАТО Северск поступили доходы от возврата бюджетными, автономными учреждениями и иными организациями остатков субсидий прошлых лет. </w:t>
      </w:r>
    </w:p>
    <w:p>
      <w:pPr>
        <w:pStyle w:val="a5"/>
        <w:shd w:val="clear" w:color="auto" w:fill="FFFFFF" w:themeFill="background1"/>
        <w:spacing w:after="0"/>
        <w:ind w:firstLine="720"/>
        <w:jc w:val="both"/>
        <w:rPr>
          <w:sz w:val="24"/>
          <w:szCs w:val="24"/>
        </w:rPr>
      </w:pPr>
    </w:p>
    <w:p>
      <w:pPr>
        <w:shd w:val="clear" w:color="auto" w:fill="FFFFFF" w:themeFill="background1"/>
        <w:spacing w:after="120"/>
        <w:ind w:right="23"/>
        <w:jc w:val="center"/>
        <w:rPr>
          <w:b/>
          <w:sz w:val="24"/>
          <w:szCs w:val="24"/>
        </w:rPr>
      </w:pPr>
      <w:r>
        <w:rPr>
          <w:b/>
          <w:sz w:val="24"/>
          <w:szCs w:val="24"/>
        </w:rPr>
        <w:t>3.3.4. Возврат остатков субсидий, субвенций и иных межбюджетных трансфертов, имеющих целевое назначение, прошлых лет</w:t>
      </w:r>
    </w:p>
    <w:p>
      <w:pPr>
        <w:ind w:firstLine="720"/>
        <w:jc w:val="both"/>
        <w:rPr>
          <w:sz w:val="24"/>
          <w:szCs w:val="24"/>
        </w:rPr>
      </w:pPr>
      <w:r>
        <w:rPr>
          <w:sz w:val="24"/>
          <w:szCs w:val="24"/>
        </w:rPr>
        <w:t xml:space="preserve">В соответствии со статьей 242 Бюджетного кодекса Российской Федерации, Порядком завершения операций по исполнению областного бюджета в текущем финансовом году, утвержденным приказом Департамента финансов Томской области от 24.05.2017 № 32, в 2020 году в бюджет Томской области возвращены остатки неиспользованных в 2019 году безвозмездных поступлений в сумме 7 630,79 тыс.руб. </w:t>
      </w:r>
    </w:p>
    <w:p>
      <w:pPr>
        <w:ind w:firstLine="720"/>
        <w:jc w:val="both"/>
        <w:rPr>
          <w:sz w:val="24"/>
          <w:szCs w:val="24"/>
        </w:rPr>
      </w:pPr>
      <w:r>
        <w:rPr>
          <w:sz w:val="24"/>
          <w:szCs w:val="24"/>
        </w:rPr>
        <w:t xml:space="preserve">После рассмотрения и подтверждения главными администраторами Томской области заявленной главными распорядителями бюджетных средств ЗАТО Северск потребности в использовании остатков средств областного бюджета в течение года были возвращены межбюджетные трансферты в сумме 996,20 тыс.руб. </w:t>
      </w:r>
    </w:p>
    <w:p>
      <w:pPr>
        <w:shd w:val="clear" w:color="auto" w:fill="FFFFFF" w:themeFill="background1"/>
        <w:ind w:firstLine="720"/>
        <w:jc w:val="both"/>
        <w:rPr>
          <w:sz w:val="24"/>
          <w:szCs w:val="24"/>
        </w:rPr>
      </w:pPr>
      <w:r>
        <w:rPr>
          <w:sz w:val="24"/>
          <w:szCs w:val="24"/>
        </w:rPr>
        <w:t>Сальдированный результат возврата межбюджетных трансфертов в 2020 году составил 6 634,59 тыс.руб.</w:t>
      </w:r>
    </w:p>
    <w:p>
      <w:pPr>
        <w:ind w:right="45"/>
        <w:jc w:val="both"/>
        <w:rPr>
          <w:sz w:val="24"/>
          <w:szCs w:val="24"/>
          <w:highlight w:val="yellow"/>
        </w:rPr>
      </w:pPr>
    </w:p>
    <w:p>
      <w:pPr>
        <w:jc w:val="center"/>
        <w:rPr>
          <w:b/>
          <w:sz w:val="24"/>
          <w:szCs w:val="24"/>
          <w:highlight w:val="yellow"/>
        </w:rPr>
      </w:pPr>
    </w:p>
    <w:p>
      <w:pPr>
        <w:jc w:val="center"/>
        <w:rPr>
          <w:b/>
          <w:sz w:val="24"/>
          <w:szCs w:val="24"/>
        </w:rPr>
      </w:pPr>
      <w:r>
        <w:rPr>
          <w:b/>
          <w:sz w:val="24"/>
          <w:szCs w:val="24"/>
          <w:lang w:val="en-US"/>
        </w:rPr>
        <w:t>IV</w:t>
      </w:r>
      <w:r>
        <w:rPr>
          <w:b/>
          <w:sz w:val="24"/>
          <w:szCs w:val="24"/>
        </w:rPr>
        <w:t>. РАСХОДЫ</w:t>
      </w:r>
    </w:p>
    <w:p>
      <w:pPr>
        <w:jc w:val="center"/>
        <w:rPr>
          <w:b/>
          <w:sz w:val="16"/>
          <w:szCs w:val="16"/>
        </w:rPr>
      </w:pPr>
    </w:p>
    <w:p>
      <w:pPr>
        <w:pStyle w:val="31"/>
        <w:ind w:right="45" w:firstLine="709"/>
        <w:jc w:val="center"/>
        <w:rPr>
          <w:b/>
          <w:sz w:val="24"/>
          <w:szCs w:val="24"/>
        </w:rPr>
      </w:pPr>
      <w:r>
        <w:rPr>
          <w:b/>
          <w:sz w:val="24"/>
          <w:szCs w:val="24"/>
        </w:rPr>
        <w:t xml:space="preserve">4.1. Исполнение расходной части бюджета по разделам </w:t>
      </w:r>
    </w:p>
    <w:p>
      <w:pPr>
        <w:pStyle w:val="31"/>
        <w:spacing w:after="120"/>
        <w:ind w:right="45" w:firstLine="709"/>
        <w:jc w:val="center"/>
        <w:rPr>
          <w:b/>
          <w:sz w:val="24"/>
          <w:szCs w:val="24"/>
        </w:rPr>
      </w:pPr>
      <w:r>
        <w:rPr>
          <w:b/>
          <w:sz w:val="24"/>
          <w:szCs w:val="24"/>
        </w:rPr>
        <w:t>и статьям расходов бюджета ЗАТО Северск за 2020 год</w:t>
      </w:r>
    </w:p>
    <w:p>
      <w:pPr>
        <w:jc w:val="both"/>
        <w:rPr>
          <w:sz w:val="24"/>
          <w:szCs w:val="24"/>
        </w:rPr>
      </w:pPr>
      <w:r>
        <w:rPr>
          <w:b/>
          <w:sz w:val="24"/>
          <w:szCs w:val="24"/>
        </w:rPr>
        <w:tab/>
      </w:r>
      <w:r>
        <w:rPr>
          <w:sz w:val="24"/>
          <w:szCs w:val="24"/>
        </w:rPr>
        <w:t>Кассовое исполнение расходной части бюджета ЗАТО Северск за 2020 год составило 98,4 %. При плане 4 800 951,30 тыс.руб. фактическое исполнение составило 4 723 671,21 тыс.руб.</w:t>
      </w:r>
    </w:p>
    <w:p>
      <w:pPr>
        <w:pStyle w:val="31"/>
        <w:spacing w:before="120" w:after="60"/>
        <w:ind w:right="57" w:firstLine="709"/>
        <w:rPr>
          <w:color w:val="000000"/>
          <w:sz w:val="24"/>
          <w:szCs w:val="24"/>
        </w:rPr>
      </w:pPr>
      <w:r>
        <w:rPr>
          <w:color w:val="000000"/>
          <w:sz w:val="24"/>
          <w:szCs w:val="24"/>
        </w:rPr>
        <w:t>Таблица 44. Анализ исполнения расходов бюджета ЗАТО Северск по разделам бюджетной классификации за 2020 год</w:t>
      </w:r>
    </w:p>
    <w:tbl>
      <w:tblPr>
        <w:tblW w:w="97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269"/>
        <w:gridCol w:w="1282"/>
        <w:gridCol w:w="1282"/>
        <w:gridCol w:w="1270"/>
        <w:gridCol w:w="844"/>
        <w:gridCol w:w="1276"/>
      </w:tblGrid>
      <w:tr>
        <w:trPr>
          <w:cantSplit/>
          <w:trHeight w:val="1408"/>
        </w:trPr>
        <w:tc>
          <w:tcPr>
            <w:tcW w:w="2552" w:type="dxa"/>
            <w:tcBorders>
              <w:left w:val="single" w:sz="4" w:space="0" w:color="auto"/>
              <w:bottom w:val="single" w:sz="4" w:space="0" w:color="auto"/>
              <w:right w:val="single" w:sz="4" w:space="0" w:color="auto"/>
            </w:tcBorders>
            <w:shd w:val="clear" w:color="auto" w:fill="auto"/>
            <w:vAlign w:val="center"/>
          </w:tcPr>
          <w:p>
            <w:pPr>
              <w:pStyle w:val="31"/>
              <w:ind w:right="55"/>
              <w:jc w:val="center"/>
              <w:rPr>
                <w:sz w:val="20"/>
              </w:rPr>
            </w:pPr>
            <w:r>
              <w:rPr>
                <w:sz w:val="20"/>
              </w:rPr>
              <w:t>Наименование раздела</w:t>
            </w:r>
          </w:p>
        </w:tc>
        <w:tc>
          <w:tcPr>
            <w:tcW w:w="1269" w:type="dxa"/>
            <w:tcBorders>
              <w:left w:val="single" w:sz="4" w:space="0" w:color="auto"/>
              <w:bottom w:val="single" w:sz="4" w:space="0" w:color="auto"/>
              <w:right w:val="single" w:sz="4" w:space="0" w:color="auto"/>
            </w:tcBorders>
          </w:tcPr>
          <w:p>
            <w:pPr>
              <w:pStyle w:val="31"/>
              <w:ind w:left="-108" w:right="-103"/>
              <w:jc w:val="center"/>
              <w:rPr>
                <w:sz w:val="20"/>
              </w:rPr>
            </w:pPr>
          </w:p>
          <w:p>
            <w:pPr>
              <w:pStyle w:val="31"/>
              <w:ind w:left="-108" w:right="-103"/>
              <w:jc w:val="center"/>
              <w:rPr>
                <w:sz w:val="20"/>
              </w:rPr>
            </w:pPr>
          </w:p>
          <w:p>
            <w:pPr>
              <w:pStyle w:val="31"/>
              <w:ind w:left="-108" w:right="-103"/>
              <w:jc w:val="center"/>
              <w:rPr>
                <w:sz w:val="20"/>
              </w:rPr>
            </w:pPr>
            <w:r>
              <w:rPr>
                <w:sz w:val="20"/>
              </w:rPr>
              <w:t xml:space="preserve">Исполнено </w:t>
            </w:r>
          </w:p>
          <w:p>
            <w:pPr>
              <w:pStyle w:val="31"/>
              <w:ind w:left="-108" w:right="-103"/>
              <w:jc w:val="center"/>
              <w:rPr>
                <w:sz w:val="20"/>
              </w:rPr>
            </w:pPr>
            <w:r>
              <w:rPr>
                <w:sz w:val="20"/>
              </w:rPr>
              <w:t>за 2019 год, тыс.руб.</w:t>
            </w:r>
          </w:p>
        </w:tc>
        <w:tc>
          <w:tcPr>
            <w:tcW w:w="1282" w:type="dxa"/>
            <w:tcBorders>
              <w:left w:val="single" w:sz="4" w:space="0" w:color="auto"/>
              <w:bottom w:val="single" w:sz="4" w:space="0" w:color="auto"/>
              <w:right w:val="single" w:sz="4" w:space="0" w:color="auto"/>
            </w:tcBorders>
            <w:vAlign w:val="center"/>
          </w:tcPr>
          <w:p>
            <w:pPr>
              <w:pStyle w:val="31"/>
              <w:ind w:left="-103" w:right="-103"/>
              <w:jc w:val="center"/>
              <w:rPr>
                <w:sz w:val="20"/>
              </w:rPr>
            </w:pPr>
            <w:r>
              <w:rPr>
                <w:sz w:val="20"/>
              </w:rPr>
              <w:t>Первоначаль-ный план на 2020 год, тыс.руб.</w:t>
            </w:r>
          </w:p>
        </w:tc>
        <w:tc>
          <w:tcPr>
            <w:tcW w:w="1282" w:type="dxa"/>
            <w:tcBorders>
              <w:top w:val="single" w:sz="4" w:space="0" w:color="auto"/>
              <w:left w:val="single" w:sz="4" w:space="0" w:color="auto"/>
              <w:bottom w:val="single" w:sz="4" w:space="0" w:color="auto"/>
              <w:right w:val="single" w:sz="4" w:space="0" w:color="auto"/>
            </w:tcBorders>
            <w:vAlign w:val="center"/>
          </w:tcPr>
          <w:p>
            <w:pPr>
              <w:pStyle w:val="31"/>
              <w:ind w:left="-103" w:right="-103"/>
              <w:jc w:val="center"/>
              <w:rPr>
                <w:sz w:val="20"/>
              </w:rPr>
            </w:pPr>
            <w:r>
              <w:rPr>
                <w:sz w:val="20"/>
              </w:rPr>
              <w:t xml:space="preserve">Уточненный план </w:t>
            </w:r>
          </w:p>
          <w:p>
            <w:pPr>
              <w:pStyle w:val="31"/>
              <w:ind w:left="-103" w:right="-103"/>
              <w:jc w:val="center"/>
              <w:rPr>
                <w:sz w:val="20"/>
              </w:rPr>
            </w:pPr>
            <w:r>
              <w:rPr>
                <w:sz w:val="20"/>
              </w:rPr>
              <w:t>2020 года, тыс.руб.</w:t>
            </w:r>
          </w:p>
        </w:tc>
        <w:tc>
          <w:tcPr>
            <w:tcW w:w="1270" w:type="dxa"/>
            <w:tcBorders>
              <w:top w:val="single" w:sz="4" w:space="0" w:color="auto"/>
              <w:left w:val="single" w:sz="4" w:space="0" w:color="auto"/>
              <w:bottom w:val="single" w:sz="4" w:space="0" w:color="auto"/>
              <w:right w:val="single" w:sz="4" w:space="0" w:color="auto"/>
            </w:tcBorders>
            <w:vAlign w:val="center"/>
          </w:tcPr>
          <w:p>
            <w:pPr>
              <w:pStyle w:val="31"/>
              <w:ind w:left="-108" w:right="-103"/>
              <w:jc w:val="center"/>
              <w:rPr>
                <w:sz w:val="20"/>
              </w:rPr>
            </w:pPr>
            <w:r>
              <w:rPr>
                <w:sz w:val="20"/>
              </w:rPr>
              <w:t xml:space="preserve">Исполнено </w:t>
            </w:r>
          </w:p>
          <w:p>
            <w:pPr>
              <w:pStyle w:val="31"/>
              <w:ind w:left="-108" w:right="-103"/>
              <w:jc w:val="center"/>
              <w:rPr>
                <w:sz w:val="20"/>
              </w:rPr>
            </w:pPr>
            <w:r>
              <w:rPr>
                <w:sz w:val="20"/>
              </w:rPr>
              <w:t>за 2020 год, тыс.руб.</w:t>
            </w:r>
          </w:p>
        </w:tc>
        <w:tc>
          <w:tcPr>
            <w:tcW w:w="844" w:type="dxa"/>
            <w:tcBorders>
              <w:top w:val="single" w:sz="4" w:space="0" w:color="auto"/>
              <w:left w:val="single" w:sz="4" w:space="0" w:color="auto"/>
              <w:bottom w:val="single" w:sz="4" w:space="0" w:color="auto"/>
              <w:right w:val="single" w:sz="4" w:space="0" w:color="auto"/>
            </w:tcBorders>
            <w:textDirection w:val="btLr"/>
          </w:tcPr>
          <w:p>
            <w:pPr>
              <w:pStyle w:val="31"/>
              <w:ind w:left="-103" w:right="-103"/>
              <w:jc w:val="center"/>
              <w:rPr>
                <w:sz w:val="20"/>
                <w:lang w:val="en-US"/>
              </w:rPr>
            </w:pPr>
            <w:r>
              <w:rPr>
                <w:sz w:val="20"/>
              </w:rPr>
              <w:t xml:space="preserve">% исполнения </w:t>
            </w:r>
          </w:p>
          <w:p>
            <w:pPr>
              <w:pStyle w:val="31"/>
              <w:ind w:left="-103" w:right="-103"/>
              <w:jc w:val="center"/>
              <w:rPr>
                <w:sz w:val="20"/>
              </w:rPr>
            </w:pPr>
            <w:r>
              <w:rPr>
                <w:sz w:val="20"/>
              </w:rPr>
              <w:t>к уточненному плану года</w:t>
            </w:r>
          </w:p>
          <w:p>
            <w:pPr>
              <w:pStyle w:val="31"/>
              <w:ind w:left="-103" w:right="-103"/>
              <w:rPr>
                <w:sz w:val="20"/>
              </w:rPr>
            </w:pPr>
          </w:p>
        </w:tc>
        <w:tc>
          <w:tcPr>
            <w:tcW w:w="1276" w:type="dxa"/>
            <w:tcBorders>
              <w:left w:val="single" w:sz="4" w:space="0" w:color="auto"/>
              <w:bottom w:val="single" w:sz="4" w:space="0" w:color="auto"/>
              <w:right w:val="single" w:sz="4" w:space="0" w:color="auto"/>
            </w:tcBorders>
            <w:shd w:val="clear" w:color="auto" w:fill="auto"/>
            <w:vAlign w:val="center"/>
          </w:tcPr>
          <w:p>
            <w:pPr>
              <w:pStyle w:val="31"/>
              <w:ind w:left="-108" w:right="-103"/>
              <w:jc w:val="center"/>
              <w:rPr>
                <w:sz w:val="20"/>
              </w:rPr>
            </w:pPr>
            <w:r>
              <w:rPr>
                <w:sz w:val="20"/>
              </w:rPr>
              <w:t xml:space="preserve">Отклонение </w:t>
            </w:r>
          </w:p>
          <w:p>
            <w:pPr>
              <w:pStyle w:val="31"/>
              <w:ind w:left="-108" w:right="-103"/>
              <w:jc w:val="center"/>
              <w:rPr>
                <w:sz w:val="20"/>
              </w:rPr>
            </w:pPr>
            <w:r>
              <w:rPr>
                <w:sz w:val="20"/>
              </w:rPr>
              <w:t xml:space="preserve">2020 г. </w:t>
            </w:r>
          </w:p>
          <w:p>
            <w:pPr>
              <w:pStyle w:val="31"/>
              <w:ind w:left="-108" w:right="-103"/>
              <w:jc w:val="center"/>
              <w:rPr>
                <w:sz w:val="20"/>
              </w:rPr>
            </w:pPr>
            <w:r>
              <w:rPr>
                <w:sz w:val="20"/>
              </w:rPr>
              <w:t>от 2019 г., тыс.руб.</w:t>
            </w:r>
          </w:p>
        </w:tc>
      </w:tr>
      <w:tr>
        <w:trPr>
          <w:cantSplit/>
          <w:trHeight w:val="175"/>
        </w:trPr>
        <w:tc>
          <w:tcPr>
            <w:tcW w:w="2552" w:type="dxa"/>
            <w:tcBorders>
              <w:left w:val="single" w:sz="4" w:space="0" w:color="auto"/>
              <w:bottom w:val="single" w:sz="4" w:space="0" w:color="auto"/>
              <w:right w:val="single" w:sz="4" w:space="0" w:color="auto"/>
            </w:tcBorders>
            <w:shd w:val="clear" w:color="auto" w:fill="auto"/>
            <w:vAlign w:val="center"/>
          </w:tcPr>
          <w:p>
            <w:pPr>
              <w:pStyle w:val="31"/>
              <w:ind w:right="55"/>
              <w:jc w:val="center"/>
              <w:rPr>
                <w:sz w:val="20"/>
              </w:rPr>
            </w:pPr>
            <w:r>
              <w:rPr>
                <w:sz w:val="20"/>
              </w:rPr>
              <w:t>1</w:t>
            </w:r>
          </w:p>
        </w:tc>
        <w:tc>
          <w:tcPr>
            <w:tcW w:w="1269" w:type="dxa"/>
            <w:tcBorders>
              <w:left w:val="single" w:sz="4" w:space="0" w:color="auto"/>
              <w:bottom w:val="single" w:sz="4" w:space="0" w:color="auto"/>
              <w:right w:val="single" w:sz="4" w:space="0" w:color="auto"/>
            </w:tcBorders>
          </w:tcPr>
          <w:p>
            <w:pPr>
              <w:pStyle w:val="31"/>
              <w:ind w:left="-108" w:right="-103"/>
              <w:jc w:val="center"/>
              <w:rPr>
                <w:sz w:val="20"/>
              </w:rPr>
            </w:pPr>
            <w:r>
              <w:rPr>
                <w:sz w:val="20"/>
              </w:rPr>
              <w:t>2</w:t>
            </w:r>
          </w:p>
        </w:tc>
        <w:tc>
          <w:tcPr>
            <w:tcW w:w="1282" w:type="dxa"/>
            <w:tcBorders>
              <w:left w:val="single" w:sz="4" w:space="0" w:color="auto"/>
              <w:bottom w:val="single" w:sz="4" w:space="0" w:color="auto"/>
              <w:right w:val="single" w:sz="4" w:space="0" w:color="auto"/>
            </w:tcBorders>
          </w:tcPr>
          <w:p>
            <w:pPr>
              <w:pStyle w:val="31"/>
              <w:ind w:left="-103" w:right="-103"/>
              <w:jc w:val="center"/>
              <w:rPr>
                <w:sz w:val="20"/>
              </w:rPr>
            </w:pPr>
            <w:r>
              <w:rPr>
                <w:sz w:val="20"/>
              </w:rPr>
              <w:t>3</w:t>
            </w:r>
          </w:p>
        </w:tc>
        <w:tc>
          <w:tcPr>
            <w:tcW w:w="1282" w:type="dxa"/>
            <w:tcBorders>
              <w:top w:val="single" w:sz="4" w:space="0" w:color="auto"/>
              <w:left w:val="single" w:sz="4" w:space="0" w:color="auto"/>
              <w:bottom w:val="single" w:sz="4" w:space="0" w:color="auto"/>
              <w:right w:val="single" w:sz="4" w:space="0" w:color="auto"/>
            </w:tcBorders>
            <w:vAlign w:val="center"/>
          </w:tcPr>
          <w:p>
            <w:pPr>
              <w:pStyle w:val="31"/>
              <w:ind w:left="-103" w:right="-103"/>
              <w:jc w:val="center"/>
              <w:rPr>
                <w:sz w:val="20"/>
              </w:rPr>
            </w:pPr>
            <w:r>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pPr>
              <w:pStyle w:val="31"/>
              <w:ind w:left="-108" w:right="-103"/>
              <w:jc w:val="center"/>
              <w:rPr>
                <w:sz w:val="20"/>
              </w:rPr>
            </w:pPr>
            <w:r>
              <w:rPr>
                <w:sz w:val="20"/>
              </w:rPr>
              <w:t>5</w:t>
            </w:r>
          </w:p>
        </w:tc>
        <w:tc>
          <w:tcPr>
            <w:tcW w:w="844" w:type="dxa"/>
            <w:tcBorders>
              <w:top w:val="single" w:sz="4" w:space="0" w:color="auto"/>
              <w:left w:val="single" w:sz="4" w:space="0" w:color="auto"/>
              <w:bottom w:val="single" w:sz="4" w:space="0" w:color="auto"/>
              <w:right w:val="single" w:sz="4" w:space="0" w:color="auto"/>
            </w:tcBorders>
          </w:tcPr>
          <w:p>
            <w:pPr>
              <w:pStyle w:val="31"/>
              <w:ind w:left="-103" w:right="-103"/>
              <w:jc w:val="center"/>
              <w:rPr>
                <w:sz w:val="20"/>
              </w:rPr>
            </w:pPr>
            <w:r>
              <w:rPr>
                <w:sz w:val="20"/>
              </w:rPr>
              <w:t>6</w:t>
            </w:r>
          </w:p>
        </w:tc>
        <w:tc>
          <w:tcPr>
            <w:tcW w:w="1276" w:type="dxa"/>
            <w:tcBorders>
              <w:left w:val="single" w:sz="4" w:space="0" w:color="auto"/>
              <w:bottom w:val="single" w:sz="4" w:space="0" w:color="auto"/>
              <w:right w:val="single" w:sz="4" w:space="0" w:color="auto"/>
            </w:tcBorders>
            <w:shd w:val="clear" w:color="auto" w:fill="auto"/>
            <w:vAlign w:val="center"/>
          </w:tcPr>
          <w:p>
            <w:pPr>
              <w:pStyle w:val="31"/>
              <w:ind w:left="-108" w:right="-103"/>
              <w:jc w:val="center"/>
              <w:rPr>
                <w:sz w:val="20"/>
              </w:rPr>
            </w:pPr>
            <w:r>
              <w:rPr>
                <w:sz w:val="20"/>
              </w:rPr>
              <w:t>7</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Общегосударственные вопросы</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338 806,64</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358 971,09</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362 649,22</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355 255,89</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98,0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16 449,25</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Национальная оборона</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79,11</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79,11</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39,64</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39,64</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100,0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-39,47</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Национальная безопасность и правоохранительная деятельность</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25 439,20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25 968,22</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26 103,90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25 861,03</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99,1</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421,83</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tabs>
                <w:tab w:val="left" w:pos="2520"/>
              </w:tabs>
              <w:ind w:right="-76"/>
              <w:jc w:val="left"/>
              <w:rPr>
                <w:sz w:val="20"/>
              </w:rPr>
            </w:pPr>
            <w:r>
              <w:rPr>
                <w:sz w:val="20"/>
              </w:rPr>
              <w:t>Национальная экономика</w:t>
            </w:r>
          </w:p>
        </w:tc>
        <w:tc>
          <w:tcPr>
            <w:tcW w:w="1269" w:type="dxa"/>
            <w:tcBorders>
              <w:top w:val="single" w:sz="4" w:space="0" w:color="auto"/>
              <w:left w:val="single" w:sz="4" w:space="0" w:color="auto"/>
              <w:right w:val="single" w:sz="4" w:space="0" w:color="auto"/>
            </w:tcBorders>
            <w:vAlign w:val="center"/>
          </w:tcPr>
          <w:p>
            <w:pPr>
              <w:jc w:val="right"/>
            </w:pPr>
            <w:r>
              <w:t>546 516,06</w:t>
            </w:r>
          </w:p>
        </w:tc>
        <w:tc>
          <w:tcPr>
            <w:tcW w:w="1282" w:type="dxa"/>
            <w:tcBorders>
              <w:top w:val="single" w:sz="4" w:space="0" w:color="auto"/>
              <w:left w:val="single" w:sz="4" w:space="0" w:color="auto"/>
              <w:right w:val="single" w:sz="4" w:space="0" w:color="auto"/>
            </w:tcBorders>
            <w:vAlign w:val="center"/>
          </w:tcPr>
          <w:p>
            <w:pPr>
              <w:jc w:val="right"/>
              <w:rPr>
                <w:color w:val="000000"/>
              </w:rPr>
            </w:pPr>
            <w:r>
              <w:rPr>
                <w:color w:val="000000"/>
              </w:rPr>
              <w:t>503 032,99</w:t>
            </w:r>
          </w:p>
        </w:tc>
        <w:tc>
          <w:tcPr>
            <w:tcW w:w="1282" w:type="dxa"/>
            <w:tcBorders>
              <w:top w:val="single" w:sz="4" w:space="0" w:color="auto"/>
              <w:left w:val="single" w:sz="4" w:space="0" w:color="auto"/>
              <w:right w:val="single" w:sz="4" w:space="0" w:color="auto"/>
            </w:tcBorders>
            <w:vAlign w:val="center"/>
          </w:tcPr>
          <w:p>
            <w:pPr>
              <w:jc w:val="right"/>
              <w:rPr>
                <w:sz w:val="24"/>
                <w:szCs w:val="24"/>
              </w:rPr>
            </w:pPr>
            <w:r>
              <w:t>567 238,37</w:t>
            </w:r>
          </w:p>
        </w:tc>
        <w:tc>
          <w:tcPr>
            <w:tcW w:w="1270" w:type="dxa"/>
            <w:tcBorders>
              <w:top w:val="single" w:sz="4" w:space="0" w:color="auto"/>
              <w:left w:val="single" w:sz="4" w:space="0" w:color="auto"/>
              <w:right w:val="single" w:sz="4" w:space="0" w:color="auto"/>
            </w:tcBorders>
            <w:vAlign w:val="center"/>
          </w:tcPr>
          <w:p>
            <w:pPr>
              <w:jc w:val="right"/>
              <w:rPr>
                <w:sz w:val="24"/>
                <w:szCs w:val="24"/>
              </w:rPr>
            </w:pPr>
            <w:r>
              <w:t>556 936,59</w:t>
            </w:r>
          </w:p>
        </w:tc>
        <w:tc>
          <w:tcPr>
            <w:tcW w:w="844" w:type="dxa"/>
            <w:tcBorders>
              <w:top w:val="single" w:sz="4" w:space="0" w:color="auto"/>
              <w:left w:val="single" w:sz="4" w:space="0" w:color="auto"/>
              <w:right w:val="single" w:sz="4" w:space="0" w:color="auto"/>
            </w:tcBorders>
            <w:vAlign w:val="center"/>
          </w:tcPr>
          <w:p>
            <w:pPr>
              <w:jc w:val="right"/>
              <w:rPr>
                <w:sz w:val="24"/>
                <w:szCs w:val="24"/>
              </w:rPr>
            </w:pPr>
            <w:r>
              <w:t>98,2</w:t>
            </w:r>
          </w:p>
        </w:tc>
        <w:tc>
          <w:tcPr>
            <w:tcW w:w="1276" w:type="dxa"/>
            <w:tcBorders>
              <w:top w:val="single" w:sz="4" w:space="0" w:color="auto"/>
              <w:left w:val="single" w:sz="4" w:space="0" w:color="auto"/>
              <w:right w:val="single" w:sz="4" w:space="0" w:color="auto"/>
            </w:tcBorders>
            <w:vAlign w:val="center"/>
          </w:tcPr>
          <w:p>
            <w:pPr>
              <w:jc w:val="right"/>
              <w:rPr>
                <w:sz w:val="24"/>
                <w:szCs w:val="24"/>
              </w:rPr>
            </w:pPr>
            <w:r>
              <w:t>10 420,53</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ЖКХ</w:t>
            </w:r>
          </w:p>
        </w:tc>
        <w:tc>
          <w:tcPr>
            <w:tcW w:w="1269" w:type="dxa"/>
            <w:tcBorders>
              <w:left w:val="single" w:sz="4" w:space="0" w:color="auto"/>
              <w:bottom w:val="single" w:sz="4" w:space="0" w:color="auto"/>
              <w:right w:val="single" w:sz="4" w:space="0" w:color="auto"/>
            </w:tcBorders>
            <w:vAlign w:val="center"/>
          </w:tcPr>
          <w:p>
            <w:pPr>
              <w:jc w:val="right"/>
            </w:pPr>
            <w:r>
              <w:t>372 205,23</w:t>
            </w:r>
          </w:p>
        </w:tc>
        <w:tc>
          <w:tcPr>
            <w:tcW w:w="1282" w:type="dxa"/>
            <w:tcBorders>
              <w:left w:val="single" w:sz="4" w:space="0" w:color="auto"/>
              <w:bottom w:val="single" w:sz="4" w:space="0" w:color="auto"/>
              <w:right w:val="single" w:sz="4" w:space="0" w:color="auto"/>
            </w:tcBorders>
            <w:vAlign w:val="center"/>
          </w:tcPr>
          <w:p>
            <w:pPr>
              <w:jc w:val="right"/>
              <w:rPr>
                <w:color w:val="000000"/>
              </w:rPr>
            </w:pPr>
            <w:r>
              <w:rPr>
                <w:color w:val="000000"/>
              </w:rPr>
              <w:t>219 744,23</w:t>
            </w:r>
          </w:p>
        </w:tc>
        <w:tc>
          <w:tcPr>
            <w:tcW w:w="1282" w:type="dxa"/>
            <w:tcBorders>
              <w:left w:val="single" w:sz="4" w:space="0" w:color="auto"/>
              <w:bottom w:val="single" w:sz="4" w:space="0" w:color="auto"/>
              <w:right w:val="single" w:sz="4" w:space="0" w:color="auto"/>
            </w:tcBorders>
            <w:vAlign w:val="center"/>
          </w:tcPr>
          <w:p>
            <w:pPr>
              <w:jc w:val="right"/>
              <w:rPr>
                <w:sz w:val="24"/>
                <w:szCs w:val="24"/>
              </w:rPr>
            </w:pPr>
            <w:r>
              <w:t>354 219,68</w:t>
            </w:r>
          </w:p>
        </w:tc>
        <w:tc>
          <w:tcPr>
            <w:tcW w:w="1270" w:type="dxa"/>
            <w:tcBorders>
              <w:left w:val="single" w:sz="4" w:space="0" w:color="auto"/>
              <w:bottom w:val="single" w:sz="4" w:space="0" w:color="auto"/>
              <w:right w:val="single" w:sz="4" w:space="0" w:color="auto"/>
            </w:tcBorders>
            <w:vAlign w:val="center"/>
          </w:tcPr>
          <w:p>
            <w:pPr>
              <w:jc w:val="right"/>
              <w:rPr>
                <w:sz w:val="24"/>
                <w:szCs w:val="24"/>
              </w:rPr>
            </w:pPr>
            <w:r>
              <w:t>322 141,07</w:t>
            </w:r>
          </w:p>
        </w:tc>
        <w:tc>
          <w:tcPr>
            <w:tcW w:w="844" w:type="dxa"/>
            <w:tcBorders>
              <w:left w:val="single" w:sz="4" w:space="0" w:color="auto"/>
              <w:bottom w:val="single" w:sz="4" w:space="0" w:color="auto"/>
              <w:right w:val="single" w:sz="4" w:space="0" w:color="auto"/>
            </w:tcBorders>
            <w:vAlign w:val="center"/>
          </w:tcPr>
          <w:p>
            <w:pPr>
              <w:jc w:val="right"/>
              <w:rPr>
                <w:sz w:val="24"/>
                <w:szCs w:val="24"/>
              </w:rPr>
            </w:pPr>
            <w:r>
              <w:t>90,9</w:t>
            </w:r>
          </w:p>
        </w:tc>
        <w:tc>
          <w:tcPr>
            <w:tcW w:w="1276" w:type="dxa"/>
            <w:tcBorders>
              <w:left w:val="single" w:sz="4" w:space="0" w:color="auto"/>
              <w:bottom w:val="single" w:sz="4" w:space="0" w:color="auto"/>
              <w:right w:val="single" w:sz="4" w:space="0" w:color="auto"/>
            </w:tcBorders>
            <w:vAlign w:val="center"/>
          </w:tcPr>
          <w:p>
            <w:pPr>
              <w:jc w:val="right"/>
              <w:rPr>
                <w:sz w:val="24"/>
                <w:szCs w:val="24"/>
              </w:rPr>
            </w:pPr>
            <w:r>
              <w:t>-50 064,16</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Охрана окружающей среды</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224,22</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300,10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199,20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199,16</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100,0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-25,06</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Образование</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2 581 759,58</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2 308 632,55</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2 664 198,70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2 652 861,63</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99,6</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71 102,05</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 xml:space="preserve">Культура и кинематография </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455 708,11</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228 494,00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414 217,41</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411 373,60</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99,3</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-44 334,51</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Здравоохранение</w:t>
            </w:r>
          </w:p>
        </w:tc>
        <w:tc>
          <w:tcPr>
            <w:tcW w:w="1269" w:type="dxa"/>
            <w:tcBorders>
              <w:top w:val="single" w:sz="4" w:space="0" w:color="auto"/>
              <w:left w:val="single" w:sz="4" w:space="0" w:color="auto"/>
              <w:bottom w:val="single" w:sz="4" w:space="0" w:color="auto"/>
              <w:right w:val="single" w:sz="4" w:space="0" w:color="auto"/>
            </w:tcBorders>
            <w:vAlign w:val="center"/>
          </w:tcPr>
          <w:p>
            <w:r>
              <w:t> </w:t>
            </w:r>
          </w:p>
        </w:tc>
        <w:tc>
          <w:tcPr>
            <w:tcW w:w="1282" w:type="dxa"/>
            <w:tcBorders>
              <w:top w:val="single" w:sz="4" w:space="0" w:color="auto"/>
              <w:left w:val="single" w:sz="4" w:space="0" w:color="auto"/>
              <w:bottom w:val="single" w:sz="4" w:space="0" w:color="auto"/>
              <w:right w:val="single" w:sz="4" w:space="0" w:color="auto"/>
            </w:tcBorders>
            <w:vAlign w:val="center"/>
          </w:tcPr>
          <w:p>
            <w:pPr>
              <w:rPr>
                <w:color w:val="000000"/>
              </w:rPr>
            </w:pPr>
            <w:r>
              <w:rPr>
                <w:color w:val="000000"/>
              </w:rPr>
              <w:t> </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9 142,76</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9 142,76</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100,0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9 142,76</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Социальная политика</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124 702,23</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98 462,68</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129 045,94</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121 328,51</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94,0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-3 373,72</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tabs>
                <w:tab w:val="left" w:pos="1985"/>
              </w:tabs>
              <w:ind w:right="-108"/>
              <w:jc w:val="left"/>
              <w:rPr>
                <w:sz w:val="20"/>
              </w:rPr>
            </w:pPr>
            <w:r>
              <w:rPr>
                <w:sz w:val="20"/>
              </w:rPr>
              <w:t>Физкультура и спорт</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148 338,20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154 712,04</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257 177,16</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257 177,15</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100,0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108 838,95</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Обслуживание муниципального долга</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 10 442,82</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color w:val="000000"/>
              </w:rPr>
            </w:pPr>
            <w:r>
              <w:rPr>
                <w:color w:val="000000"/>
              </w:rPr>
              <w:t> </w:t>
            </w:r>
            <w:r>
              <w:t>16 719,32</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16 719,32</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11 354,18</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67,9</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911,36</w:t>
            </w:r>
          </w:p>
        </w:tc>
      </w:tr>
      <w:tr>
        <w:trPr>
          <w:trHeight w:val="253"/>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Итого</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rPr>
                <w:bCs/>
                <w:color w:val="000000"/>
              </w:rPr>
            </w:pPr>
            <w:r>
              <w:rPr>
                <w:bCs/>
                <w:color w:val="000000"/>
              </w:rPr>
              <w:t>4 604 221,40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bCs/>
                <w:color w:val="000000"/>
              </w:rPr>
            </w:pPr>
            <w:r>
              <w:rPr>
                <w:bCs/>
                <w:color w:val="000000"/>
              </w:rPr>
              <w:t>3 915 116,33</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bCs/>
                <w:sz w:val="24"/>
                <w:szCs w:val="24"/>
              </w:rPr>
            </w:pPr>
            <w:r>
              <w:rPr>
                <w:bCs/>
              </w:rPr>
              <w:t>4 800 951,30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bCs/>
                <w:sz w:val="24"/>
                <w:szCs w:val="24"/>
              </w:rPr>
            </w:pPr>
            <w:r>
              <w:rPr>
                <w:bCs/>
              </w:rPr>
              <w:t>4 723 671,21</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bCs/>
                <w:sz w:val="24"/>
                <w:szCs w:val="24"/>
              </w:rPr>
            </w:pPr>
            <w:r>
              <w:rPr>
                <w:bCs/>
              </w:rPr>
              <w:t>98,4</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sz w:val="24"/>
                <w:szCs w:val="24"/>
              </w:rPr>
            </w:pPr>
            <w:r>
              <w:t>119 449,81</w:t>
            </w:r>
          </w:p>
        </w:tc>
      </w:tr>
    </w:tbl>
    <w:p>
      <w:pPr>
        <w:shd w:val="clear" w:color="auto" w:fill="FFFFFF"/>
        <w:spacing w:before="5"/>
        <w:ind w:right="10" w:firstLine="708"/>
        <w:jc w:val="both"/>
        <w:rPr>
          <w:sz w:val="24"/>
          <w:szCs w:val="24"/>
          <w:highlight w:val="yellow"/>
        </w:rPr>
      </w:pPr>
    </w:p>
    <w:p>
      <w:pPr>
        <w:shd w:val="clear" w:color="auto" w:fill="FFFFFF"/>
        <w:spacing w:before="5"/>
        <w:ind w:right="10" w:firstLine="708"/>
        <w:jc w:val="both"/>
        <w:rPr>
          <w:sz w:val="24"/>
          <w:szCs w:val="24"/>
        </w:rPr>
      </w:pPr>
      <w:r>
        <w:rPr>
          <w:sz w:val="24"/>
          <w:szCs w:val="24"/>
        </w:rPr>
        <w:lastRenderedPageBreak/>
        <w:t xml:space="preserve">Традиционно наибольшая сумма расходов (56,2%) была направлена на «Образование»: 2 652 861,63 тыс.руб., что на 11 337,07 тыс. руб. или на 2,7% больше, чем в 2019 году. </w:t>
      </w:r>
    </w:p>
    <w:p>
      <w:pPr>
        <w:shd w:val="clear" w:color="auto" w:fill="FFFFFF"/>
        <w:spacing w:before="5"/>
        <w:ind w:right="10"/>
        <w:jc w:val="both"/>
        <w:rPr>
          <w:b/>
          <w:noProof/>
          <w:sz w:val="24"/>
          <w:szCs w:val="24"/>
          <w:highlight w:val="yellow"/>
        </w:rPr>
      </w:pPr>
    </w:p>
    <w:p>
      <w:pPr>
        <w:shd w:val="clear" w:color="auto" w:fill="FFFFFF"/>
        <w:spacing w:before="5"/>
        <w:ind w:right="10"/>
        <w:jc w:val="both"/>
        <w:rPr>
          <w:b/>
          <w:noProof/>
          <w:sz w:val="24"/>
          <w:szCs w:val="24"/>
          <w:highlight w:val="yellow"/>
        </w:rPr>
      </w:pPr>
      <w:r>
        <w:rPr>
          <w:b/>
          <w:noProof/>
          <w:sz w:val="24"/>
          <w:szCs w:val="24"/>
        </w:rPr>
        <w:drawing>
          <wp:inline distT="0" distB="0" distL="0" distR="0">
            <wp:extent cx="5746750" cy="2730500"/>
            <wp:effectExtent l="0" t="0" r="0"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shd w:val="clear" w:color="auto" w:fill="FFFFFF"/>
        <w:spacing w:before="5"/>
        <w:ind w:right="10"/>
        <w:jc w:val="center"/>
        <w:rPr>
          <w:noProof/>
          <w:sz w:val="24"/>
          <w:szCs w:val="24"/>
        </w:rPr>
      </w:pPr>
      <w:r>
        <w:rPr>
          <w:noProof/>
          <w:sz w:val="24"/>
          <w:szCs w:val="24"/>
        </w:rPr>
        <w:t>Рисунок 8. Структура расходов бюджета ЗАТО Северск в разрезе по разделам за 2020 год</w:t>
      </w:r>
    </w:p>
    <w:p>
      <w:pPr>
        <w:shd w:val="clear" w:color="auto" w:fill="FFFFFF"/>
        <w:spacing w:before="5"/>
        <w:ind w:right="10"/>
        <w:jc w:val="center"/>
        <w:rPr>
          <w:noProof/>
          <w:sz w:val="24"/>
          <w:szCs w:val="24"/>
          <w:highlight w:val="yellow"/>
        </w:rPr>
      </w:pPr>
    </w:p>
    <w:p>
      <w:pPr>
        <w:shd w:val="clear" w:color="auto" w:fill="FFFFFF"/>
        <w:spacing w:before="5"/>
        <w:ind w:right="10" w:firstLine="708"/>
        <w:jc w:val="both"/>
        <w:rPr>
          <w:sz w:val="24"/>
          <w:szCs w:val="24"/>
        </w:rPr>
      </w:pPr>
      <w:r>
        <w:rPr>
          <w:sz w:val="24"/>
          <w:szCs w:val="24"/>
        </w:rPr>
        <w:t>В сравнении с 2019 годом в 2020 году увеличены расходы на 119 449,81 тыс.руб. из них по разделам:</w:t>
      </w:r>
    </w:p>
    <w:p>
      <w:pPr>
        <w:pStyle w:val="af8"/>
        <w:numPr>
          <w:ilvl w:val="0"/>
          <w:numId w:val="10"/>
        </w:numPr>
        <w:shd w:val="clear" w:color="auto" w:fill="FFFFFF"/>
        <w:spacing w:before="5"/>
        <w:ind w:left="0" w:firstLine="709"/>
        <w:jc w:val="both"/>
        <w:rPr>
          <w:sz w:val="24"/>
          <w:szCs w:val="24"/>
        </w:rPr>
      </w:pPr>
      <w:r>
        <w:rPr>
          <w:sz w:val="24"/>
          <w:szCs w:val="24"/>
        </w:rPr>
        <w:t xml:space="preserve">«Общегосударственные вопросы» на 16 449,25 тыс.руб., или на 4,9% на </w:t>
      </w:r>
      <w:r>
        <w:t xml:space="preserve"> </w:t>
      </w:r>
      <w:r>
        <w:rPr>
          <w:sz w:val="24"/>
          <w:szCs w:val="24"/>
        </w:rPr>
        <w:t>Избирательную комиссию муниципального образования ЗАТО Северск;</w:t>
      </w:r>
    </w:p>
    <w:p>
      <w:pPr>
        <w:pStyle w:val="af8"/>
        <w:numPr>
          <w:ilvl w:val="0"/>
          <w:numId w:val="10"/>
        </w:numPr>
        <w:shd w:val="clear" w:color="auto" w:fill="FFFFFF"/>
        <w:spacing w:before="5"/>
        <w:ind w:left="0" w:firstLine="709"/>
        <w:jc w:val="both"/>
        <w:rPr>
          <w:sz w:val="24"/>
          <w:szCs w:val="24"/>
        </w:rPr>
      </w:pPr>
      <w:r>
        <w:t xml:space="preserve"> </w:t>
      </w:r>
      <w:r>
        <w:rPr>
          <w:sz w:val="24"/>
          <w:szCs w:val="24"/>
        </w:rPr>
        <w:t xml:space="preserve"> «Национальная экономика» на 10 420,53 тыс.руб. или на 1,9% в связи с увеличением расходов на поддержку деятельности субъектов малого и среднего предпринимательства;</w:t>
      </w:r>
    </w:p>
    <w:p>
      <w:pPr>
        <w:pStyle w:val="af8"/>
        <w:numPr>
          <w:ilvl w:val="0"/>
          <w:numId w:val="10"/>
        </w:numPr>
        <w:shd w:val="clear" w:color="auto" w:fill="FFFFFF"/>
        <w:spacing w:before="5"/>
        <w:ind w:left="0" w:firstLine="709"/>
        <w:jc w:val="both"/>
        <w:rPr>
          <w:sz w:val="24"/>
          <w:szCs w:val="24"/>
        </w:rPr>
      </w:pPr>
      <w:r>
        <w:rPr>
          <w:sz w:val="24"/>
          <w:szCs w:val="24"/>
        </w:rPr>
        <w:t xml:space="preserve"> «Образование» на 71 102,05 тыс.руб., или на 2,7%, их них на ежемесячное денежное вознаграждение за классное руководство (19 096,70 тыс.руб.), организацию бесплатного горячего питания обучающихся, получающих начальное общее образование в муниципальных образовательных организациях (18 102,98 тыс.руб.), участие в региональном проекте «Цифровая образовательная среда» (14 892,24 тыс.руб.), приобретение учебно-методических комплектов для поэтапного введения федеральных государственных образовательных стандартов  (6 266,30 тыс.руб.), на предупреждение коронавирусной инфекции (8 952,4 тыс.руб.), приобретение автобуса (2 676,0 тыс.руб.); </w:t>
      </w:r>
    </w:p>
    <w:p>
      <w:pPr>
        <w:numPr>
          <w:ilvl w:val="0"/>
          <w:numId w:val="10"/>
        </w:numPr>
        <w:shd w:val="clear" w:color="auto" w:fill="FFFFFF"/>
        <w:spacing w:before="5"/>
        <w:ind w:left="0" w:firstLine="709"/>
        <w:jc w:val="both"/>
        <w:rPr>
          <w:sz w:val="24"/>
          <w:szCs w:val="24"/>
        </w:rPr>
      </w:pPr>
      <w:r>
        <w:rPr>
          <w:sz w:val="24"/>
          <w:szCs w:val="24"/>
        </w:rPr>
        <w:t>«Здравоохранение» на 9 142,76 тыс.руб. на организацию работы обсерватора на базе МАУ ЗАТО Северск  ДОЛ «Зеленый мыс» для лиц, прибывших в Томскую область из эпидемически неблагополучных территорий по новой коронавирусной инфекции и проведение мероприятий, связанных с профилактикой и устранением последствий новой коронавирусной инфекции (COVID-19);</w:t>
      </w:r>
    </w:p>
    <w:p>
      <w:pPr>
        <w:pStyle w:val="af8"/>
        <w:numPr>
          <w:ilvl w:val="0"/>
          <w:numId w:val="10"/>
        </w:numPr>
        <w:shd w:val="clear" w:color="auto" w:fill="FFFFFF" w:themeFill="background1"/>
        <w:spacing w:before="5"/>
        <w:ind w:left="0" w:firstLine="709"/>
        <w:jc w:val="both"/>
        <w:rPr>
          <w:sz w:val="24"/>
          <w:szCs w:val="24"/>
        </w:rPr>
      </w:pPr>
      <w:r>
        <w:rPr>
          <w:sz w:val="24"/>
          <w:szCs w:val="24"/>
        </w:rPr>
        <w:t xml:space="preserve">«Физкультура и спорт» на 108 838,95 тыс.руб., или в 73,4%, в связи с перераспределением расходов между тренировочной и методической деятельностью </w:t>
      </w:r>
      <w:r>
        <w:rPr>
          <w:sz w:val="24"/>
          <w:szCs w:val="24"/>
        </w:rPr>
        <w:br/>
        <w:t>в области физической культуры и спорта в соответствии с п. 21. Приказа Министерства спорта РФ от 27.12.2013 № 1125, поручением Губернатора от 22.02.2017 № СЖ-07-459;</w:t>
      </w:r>
    </w:p>
    <w:p>
      <w:pPr>
        <w:pStyle w:val="af8"/>
        <w:numPr>
          <w:ilvl w:val="0"/>
          <w:numId w:val="10"/>
        </w:numPr>
        <w:shd w:val="clear" w:color="auto" w:fill="FFFFFF"/>
        <w:spacing w:before="5"/>
        <w:ind w:left="0" w:firstLine="709"/>
        <w:jc w:val="both"/>
        <w:rPr>
          <w:sz w:val="24"/>
          <w:szCs w:val="24"/>
        </w:rPr>
      </w:pPr>
      <w:r>
        <w:rPr>
          <w:sz w:val="24"/>
          <w:szCs w:val="24"/>
        </w:rPr>
        <w:t xml:space="preserve"> «Обслуживание муниципального долга» на 911,36 тыс.руб. или на 8,7% в связи с увеличением муниципальных заимствований.</w:t>
      </w:r>
    </w:p>
    <w:p>
      <w:pPr>
        <w:pStyle w:val="af8"/>
        <w:shd w:val="clear" w:color="auto" w:fill="FFFFFF"/>
        <w:ind w:left="0" w:firstLine="709"/>
        <w:jc w:val="both"/>
        <w:rPr>
          <w:noProof/>
          <w:sz w:val="24"/>
          <w:szCs w:val="24"/>
          <w:highlight w:val="yellow"/>
        </w:rPr>
      </w:pPr>
      <w:r>
        <w:rPr>
          <w:sz w:val="24"/>
          <w:szCs w:val="24"/>
        </w:rPr>
        <w:t>По некоторым разделам отмечено снижение расходов. Наибольшее снижение расходов к уровню 2019 года по разделам: «ЖКХ» на 50 064,16 тыс.руб., что обусловлено сокращением расходов на строительство полигона ТБО в п.Самусь ЗАТО Северск Томской области; «Культура и кинематография» на 44 334,51 тыс.руб. – из-за снижения расходов в рамках регионального проекта «Культурная среда» (</w:t>
      </w:r>
      <w:r>
        <w:rPr>
          <w:i/>
          <w:sz w:val="24"/>
          <w:szCs w:val="24"/>
        </w:rPr>
        <w:t>капитальный ремонт Самусьского ДК</w:t>
      </w:r>
      <w:r>
        <w:rPr>
          <w:sz w:val="24"/>
          <w:szCs w:val="24"/>
        </w:rPr>
        <w:t>).</w:t>
      </w:r>
    </w:p>
    <w:p>
      <w:pPr>
        <w:shd w:val="clear" w:color="auto" w:fill="FFFFFF"/>
        <w:spacing w:before="5"/>
        <w:ind w:right="10"/>
        <w:jc w:val="both"/>
        <w:rPr>
          <w:noProof/>
          <w:sz w:val="24"/>
          <w:szCs w:val="24"/>
          <w:highlight w:val="yellow"/>
        </w:rPr>
      </w:pPr>
    </w:p>
    <w:p>
      <w:pPr>
        <w:shd w:val="clear" w:color="auto" w:fill="FFFFFF"/>
        <w:spacing w:before="5"/>
        <w:ind w:right="10"/>
        <w:jc w:val="both"/>
        <w:rPr>
          <w:noProof/>
          <w:sz w:val="24"/>
          <w:szCs w:val="24"/>
          <w:highlight w:val="yellow"/>
        </w:rPr>
      </w:pPr>
      <w:r>
        <w:rPr>
          <w:noProof/>
          <w:sz w:val="24"/>
          <w:szCs w:val="24"/>
        </w:rPr>
        <w:drawing>
          <wp:inline distT="0" distB="0" distL="0" distR="0">
            <wp:extent cx="6056354" cy="3625795"/>
            <wp:effectExtent l="19050" t="0" r="1546" b="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shd w:val="clear" w:color="auto" w:fill="FFFFFF"/>
        <w:spacing w:before="5"/>
        <w:ind w:right="10"/>
        <w:jc w:val="center"/>
        <w:rPr>
          <w:noProof/>
          <w:sz w:val="24"/>
          <w:szCs w:val="24"/>
        </w:rPr>
      </w:pPr>
      <w:r>
        <w:rPr>
          <w:noProof/>
          <w:sz w:val="24"/>
          <w:szCs w:val="24"/>
        </w:rPr>
        <w:t xml:space="preserve">Рисунок 9. Темпы роста по функциональной структуре расходов </w:t>
      </w:r>
    </w:p>
    <w:p>
      <w:pPr>
        <w:shd w:val="clear" w:color="auto" w:fill="FFFFFF"/>
        <w:spacing w:before="5"/>
        <w:ind w:right="10" w:firstLine="708"/>
        <w:jc w:val="center"/>
        <w:rPr>
          <w:noProof/>
          <w:sz w:val="24"/>
          <w:szCs w:val="24"/>
        </w:rPr>
      </w:pPr>
      <w:r>
        <w:rPr>
          <w:noProof/>
          <w:sz w:val="24"/>
          <w:szCs w:val="24"/>
        </w:rPr>
        <w:t>бюджета ЗАТО Северск 2020 года</w:t>
      </w:r>
    </w:p>
    <w:p>
      <w:pPr>
        <w:shd w:val="clear" w:color="auto" w:fill="FFFFFF"/>
        <w:spacing w:before="5"/>
        <w:ind w:right="10" w:firstLine="708"/>
        <w:rPr>
          <w:highlight w:val="yellow"/>
        </w:rPr>
      </w:pPr>
    </w:p>
    <w:p>
      <w:pPr>
        <w:spacing w:after="120"/>
        <w:ind w:right="57"/>
        <w:jc w:val="center"/>
        <w:rPr>
          <w:b/>
          <w:sz w:val="24"/>
          <w:szCs w:val="24"/>
          <w:highlight w:val="yellow"/>
        </w:rPr>
      </w:pPr>
    </w:p>
    <w:p>
      <w:pPr>
        <w:spacing w:after="120"/>
        <w:ind w:right="57"/>
        <w:jc w:val="center"/>
        <w:rPr>
          <w:b/>
          <w:sz w:val="24"/>
          <w:szCs w:val="24"/>
        </w:rPr>
      </w:pPr>
      <w:r>
        <w:rPr>
          <w:b/>
          <w:sz w:val="24"/>
          <w:szCs w:val="24"/>
        </w:rPr>
        <w:t xml:space="preserve">4.1.1. Расходы </w:t>
      </w:r>
      <w:r>
        <w:rPr>
          <w:b/>
          <w:bCs/>
          <w:color w:val="000000"/>
          <w:sz w:val="24"/>
          <w:szCs w:val="24"/>
        </w:rPr>
        <w:t>капитального характера</w:t>
      </w:r>
    </w:p>
    <w:p>
      <w:pPr>
        <w:ind w:firstLine="709"/>
        <w:jc w:val="both"/>
        <w:rPr>
          <w:bCs/>
          <w:sz w:val="24"/>
          <w:szCs w:val="24"/>
        </w:rPr>
      </w:pPr>
      <w:r>
        <w:rPr>
          <w:bCs/>
          <w:sz w:val="24"/>
          <w:szCs w:val="24"/>
        </w:rPr>
        <w:t>В 2020 году за счёт средств бюджета ЗАТО Северск были осуществлены следующие расходы капитального характера на общую сумму 277 746,71 тыс.руб.:</w:t>
      </w:r>
    </w:p>
    <w:p>
      <w:pPr>
        <w:ind w:firstLine="709"/>
        <w:jc w:val="both"/>
        <w:rPr>
          <w:bCs/>
          <w:sz w:val="24"/>
          <w:szCs w:val="24"/>
        </w:rPr>
      </w:pPr>
      <w:r>
        <w:rPr>
          <w:bCs/>
          <w:sz w:val="24"/>
          <w:szCs w:val="24"/>
        </w:rPr>
        <w:t>1)</w:t>
      </w:r>
      <w:r>
        <w:rPr>
          <w:b/>
          <w:bCs/>
          <w:sz w:val="24"/>
          <w:szCs w:val="24"/>
          <w:lang w:val="en-US"/>
        </w:rPr>
        <w:t> </w:t>
      </w:r>
      <w:r>
        <w:rPr>
          <w:b/>
          <w:bCs/>
          <w:sz w:val="24"/>
          <w:szCs w:val="24"/>
        </w:rPr>
        <w:t>приобретены основные средства</w:t>
      </w:r>
      <w:r>
        <w:rPr>
          <w:bCs/>
          <w:sz w:val="24"/>
          <w:szCs w:val="24"/>
        </w:rPr>
        <w:t xml:space="preserve"> на сумму 99 416,06 тыс.руб., в том числе:</w:t>
      </w:r>
    </w:p>
    <w:p>
      <w:pPr>
        <w:ind w:firstLine="709"/>
        <w:jc w:val="both"/>
        <w:rPr>
          <w:bCs/>
          <w:sz w:val="24"/>
          <w:szCs w:val="24"/>
        </w:rPr>
      </w:pPr>
      <w:r>
        <w:rPr>
          <w:bCs/>
          <w:sz w:val="24"/>
          <w:szCs w:val="24"/>
        </w:rPr>
        <w:t>-</w:t>
      </w:r>
      <w:r>
        <w:rPr>
          <w:bCs/>
          <w:sz w:val="24"/>
          <w:szCs w:val="24"/>
          <w:lang w:val="en-US"/>
        </w:rPr>
        <w:t> </w:t>
      </w:r>
      <w:r>
        <w:rPr>
          <w:bCs/>
          <w:i/>
          <w:sz w:val="24"/>
          <w:szCs w:val="24"/>
        </w:rPr>
        <w:t>по разделу «</w:t>
      </w:r>
      <w:r>
        <w:rPr>
          <w:bCs/>
          <w:i/>
          <w:color w:val="000000" w:themeColor="text1"/>
          <w:sz w:val="24"/>
          <w:szCs w:val="24"/>
        </w:rPr>
        <w:t xml:space="preserve">Общегосударственные </w:t>
      </w:r>
      <w:r>
        <w:rPr>
          <w:bCs/>
          <w:i/>
          <w:sz w:val="24"/>
          <w:szCs w:val="24"/>
        </w:rPr>
        <w:t>вопросы» на 3 866,53тыс.руб.,</w:t>
      </w:r>
      <w:r>
        <w:rPr>
          <w:bCs/>
          <w:sz w:val="24"/>
          <w:szCs w:val="24"/>
        </w:rPr>
        <w:t xml:space="preserve"> из них:</w:t>
      </w:r>
    </w:p>
    <w:p>
      <w:pPr>
        <w:numPr>
          <w:ilvl w:val="0"/>
          <w:numId w:val="2"/>
        </w:numPr>
        <w:tabs>
          <w:tab w:val="left" w:pos="993"/>
        </w:tabs>
        <w:ind w:left="0" w:firstLine="709"/>
        <w:jc w:val="both"/>
        <w:rPr>
          <w:bCs/>
          <w:sz w:val="24"/>
          <w:szCs w:val="24"/>
        </w:rPr>
      </w:pPr>
      <w:r>
        <w:rPr>
          <w:color w:val="000000"/>
          <w:sz w:val="24"/>
          <w:szCs w:val="24"/>
        </w:rPr>
        <w:t>3 472,48 тыс.руб. – приобретение вычислительной техники, оргтехники мебели;</w:t>
      </w:r>
      <w:r>
        <w:rPr>
          <w:bCs/>
          <w:sz w:val="24"/>
          <w:szCs w:val="24"/>
        </w:rPr>
        <w:t xml:space="preserve"> </w:t>
      </w:r>
    </w:p>
    <w:p>
      <w:pPr>
        <w:numPr>
          <w:ilvl w:val="0"/>
          <w:numId w:val="1"/>
        </w:numPr>
        <w:tabs>
          <w:tab w:val="left" w:pos="993"/>
        </w:tabs>
        <w:ind w:left="0" w:firstLine="709"/>
        <w:jc w:val="both"/>
        <w:rPr>
          <w:color w:val="000000"/>
          <w:sz w:val="24"/>
          <w:szCs w:val="24"/>
        </w:rPr>
      </w:pPr>
      <w:r>
        <w:rPr>
          <w:bCs/>
          <w:sz w:val="24"/>
          <w:szCs w:val="24"/>
        </w:rPr>
        <w:t xml:space="preserve">253,46 тыс.руб. – </w:t>
      </w:r>
      <w:r>
        <w:rPr>
          <w:bCs/>
          <w:color w:val="000000" w:themeColor="text1"/>
          <w:sz w:val="24"/>
          <w:szCs w:val="24"/>
        </w:rPr>
        <w:t>приобретение оборудования и средств индивидуальной защиты для реализации мероприятий, направленных на предупреждение распространения новой коронавирусной инфекции</w:t>
      </w:r>
      <w:r>
        <w:rPr>
          <w:color w:val="000000"/>
          <w:sz w:val="24"/>
          <w:szCs w:val="24"/>
        </w:rPr>
        <w:t>.</w:t>
      </w:r>
    </w:p>
    <w:p>
      <w:pPr>
        <w:ind w:firstLine="709"/>
        <w:jc w:val="both"/>
        <w:rPr>
          <w:bCs/>
          <w:sz w:val="24"/>
          <w:szCs w:val="24"/>
        </w:rPr>
      </w:pPr>
      <w:r>
        <w:rPr>
          <w:bCs/>
          <w:sz w:val="24"/>
          <w:szCs w:val="24"/>
        </w:rPr>
        <w:t xml:space="preserve">- </w:t>
      </w:r>
      <w:r>
        <w:rPr>
          <w:bCs/>
          <w:i/>
          <w:sz w:val="24"/>
          <w:szCs w:val="24"/>
        </w:rPr>
        <w:t>по разделу «Национальная безопасность и правоохранительная деятельность» на 250,63 тыс.руб.</w:t>
      </w:r>
      <w:r>
        <w:rPr>
          <w:bCs/>
          <w:sz w:val="24"/>
          <w:szCs w:val="24"/>
        </w:rPr>
        <w:t xml:space="preserve">, средства направлены на </w:t>
      </w:r>
      <w:r>
        <w:rPr>
          <w:sz w:val="24"/>
          <w:szCs w:val="24"/>
        </w:rPr>
        <w:t>приобретение компьютерной,</w:t>
      </w:r>
      <w:r>
        <w:rPr>
          <w:bCs/>
          <w:sz w:val="24"/>
          <w:szCs w:val="24"/>
        </w:rPr>
        <w:t xml:space="preserve"> оргтехники, мебели для нужд МКУ «ЕДДС» и Управления ЧС; </w:t>
      </w:r>
    </w:p>
    <w:p>
      <w:pPr>
        <w:ind w:firstLine="709"/>
        <w:jc w:val="both"/>
        <w:rPr>
          <w:bCs/>
          <w:sz w:val="24"/>
          <w:szCs w:val="24"/>
        </w:rPr>
      </w:pPr>
      <w:r>
        <w:rPr>
          <w:bCs/>
          <w:sz w:val="24"/>
          <w:szCs w:val="24"/>
        </w:rPr>
        <w:t xml:space="preserve">- </w:t>
      </w:r>
      <w:r>
        <w:rPr>
          <w:bCs/>
          <w:i/>
          <w:sz w:val="24"/>
          <w:szCs w:val="24"/>
        </w:rPr>
        <w:t>по разделу «Национальная экономика» на 2 203,10 тыс.руб.</w:t>
      </w:r>
      <w:r>
        <w:rPr>
          <w:bCs/>
          <w:sz w:val="24"/>
          <w:szCs w:val="24"/>
        </w:rPr>
        <w:t xml:space="preserve">, из них: </w:t>
      </w:r>
    </w:p>
    <w:p>
      <w:pPr>
        <w:numPr>
          <w:ilvl w:val="0"/>
          <w:numId w:val="2"/>
        </w:numPr>
        <w:tabs>
          <w:tab w:val="left" w:pos="993"/>
        </w:tabs>
        <w:ind w:left="0" w:firstLine="709"/>
        <w:jc w:val="both"/>
        <w:rPr>
          <w:bCs/>
          <w:sz w:val="24"/>
          <w:szCs w:val="24"/>
        </w:rPr>
      </w:pPr>
      <w:r>
        <w:rPr>
          <w:bCs/>
          <w:sz w:val="24"/>
          <w:szCs w:val="24"/>
        </w:rPr>
        <w:t>1 049,12 тыс.руб. – приобретение и установка 194 дорожных знаков на территории города Северск;</w:t>
      </w:r>
    </w:p>
    <w:p>
      <w:pPr>
        <w:numPr>
          <w:ilvl w:val="0"/>
          <w:numId w:val="2"/>
        </w:numPr>
        <w:tabs>
          <w:tab w:val="left" w:pos="993"/>
        </w:tabs>
        <w:ind w:left="0" w:firstLine="709"/>
        <w:jc w:val="both"/>
        <w:rPr>
          <w:bCs/>
          <w:sz w:val="24"/>
          <w:szCs w:val="24"/>
        </w:rPr>
      </w:pPr>
      <w:r>
        <w:rPr>
          <w:bCs/>
          <w:sz w:val="24"/>
          <w:szCs w:val="24"/>
        </w:rPr>
        <w:t>595,88 тыс.руб. – приобретение мебели, компьютерного и серверного оборудования, МФУ, системы видеонаблюдения, ручных инструментов, жалюзей, огнетушителя, навигатора, изготовление вывески на фасад здания;</w:t>
      </w:r>
    </w:p>
    <w:p>
      <w:pPr>
        <w:ind w:firstLine="709"/>
        <w:jc w:val="both"/>
        <w:rPr>
          <w:bCs/>
          <w:sz w:val="24"/>
          <w:szCs w:val="24"/>
        </w:rPr>
      </w:pPr>
      <w:r>
        <w:rPr>
          <w:bCs/>
          <w:sz w:val="24"/>
          <w:szCs w:val="24"/>
        </w:rPr>
        <w:t>-</w:t>
      </w:r>
      <w:r>
        <w:rPr>
          <w:bCs/>
          <w:sz w:val="24"/>
          <w:szCs w:val="24"/>
          <w:lang w:val="en-US"/>
        </w:rPr>
        <w:t> </w:t>
      </w:r>
      <w:r>
        <w:rPr>
          <w:bCs/>
          <w:i/>
          <w:sz w:val="24"/>
          <w:szCs w:val="24"/>
        </w:rPr>
        <w:t>по разделу «</w:t>
      </w:r>
      <w:r>
        <w:rPr>
          <w:i/>
          <w:sz w:val="24"/>
          <w:szCs w:val="24"/>
        </w:rPr>
        <w:t>Жилищно-коммунальное хозяйство</w:t>
      </w:r>
      <w:r>
        <w:rPr>
          <w:bCs/>
          <w:i/>
          <w:sz w:val="24"/>
          <w:szCs w:val="24"/>
        </w:rPr>
        <w:t>» на 4 477,07 тыс.руб</w:t>
      </w:r>
      <w:r>
        <w:rPr>
          <w:bCs/>
          <w:sz w:val="24"/>
          <w:szCs w:val="24"/>
        </w:rPr>
        <w:t>., в том числе:</w:t>
      </w:r>
    </w:p>
    <w:p>
      <w:pPr>
        <w:numPr>
          <w:ilvl w:val="0"/>
          <w:numId w:val="1"/>
        </w:numPr>
        <w:tabs>
          <w:tab w:val="left" w:pos="993"/>
        </w:tabs>
        <w:ind w:left="0" w:firstLine="709"/>
        <w:jc w:val="both"/>
        <w:rPr>
          <w:color w:val="000000"/>
          <w:sz w:val="24"/>
          <w:szCs w:val="24"/>
        </w:rPr>
      </w:pPr>
      <w:r>
        <w:rPr>
          <w:bCs/>
          <w:sz w:val="24"/>
          <w:szCs w:val="24"/>
        </w:rPr>
        <w:t>1 701,79 тыс.руб. – приобретение и установка спортивного оборудования, детских игровых комплексов по адресу: пос.Самусь, ул.Пекарского, 29;</w:t>
      </w:r>
    </w:p>
    <w:p>
      <w:pPr>
        <w:numPr>
          <w:ilvl w:val="0"/>
          <w:numId w:val="1"/>
        </w:numPr>
        <w:tabs>
          <w:tab w:val="left" w:pos="993"/>
        </w:tabs>
        <w:ind w:left="0" w:firstLine="709"/>
        <w:jc w:val="both"/>
        <w:rPr>
          <w:color w:val="000000"/>
          <w:sz w:val="24"/>
          <w:szCs w:val="24"/>
        </w:rPr>
      </w:pPr>
      <w:r>
        <w:rPr>
          <w:bCs/>
          <w:sz w:val="24"/>
          <w:szCs w:val="24"/>
        </w:rPr>
        <w:t>1 118,13 тыс.руб. – приобретение и установку дополнительных элементов праздничной иллюминации;</w:t>
      </w:r>
    </w:p>
    <w:p>
      <w:pPr>
        <w:numPr>
          <w:ilvl w:val="0"/>
          <w:numId w:val="1"/>
        </w:numPr>
        <w:tabs>
          <w:tab w:val="left" w:pos="993"/>
        </w:tabs>
        <w:ind w:left="0" w:firstLine="709"/>
        <w:jc w:val="both"/>
      </w:pPr>
      <w:r>
        <w:rPr>
          <w:color w:val="000000"/>
          <w:sz w:val="24"/>
          <w:szCs w:val="24"/>
        </w:rPr>
        <w:t xml:space="preserve">1 059,30 тыс.руб. – </w:t>
      </w:r>
      <w:r>
        <w:rPr>
          <w:sz w:val="24"/>
          <w:szCs w:val="24"/>
        </w:rPr>
        <w:t>приобретение 30 шт. урн, 116 шт. контейнеров, обустройство 1 площадки наземного типа под контейнеры;</w:t>
      </w:r>
    </w:p>
    <w:p>
      <w:pPr>
        <w:numPr>
          <w:ilvl w:val="0"/>
          <w:numId w:val="1"/>
        </w:numPr>
        <w:tabs>
          <w:tab w:val="left" w:pos="993"/>
        </w:tabs>
        <w:ind w:left="0" w:firstLine="709"/>
        <w:jc w:val="both"/>
      </w:pPr>
      <w:r>
        <w:rPr>
          <w:sz w:val="24"/>
          <w:szCs w:val="24"/>
        </w:rPr>
        <w:lastRenderedPageBreak/>
        <w:t>528,40 тыс.руб. – установка опор и устройство линий наружного освещения на участке автодороги по ул.Транспортной, от ул. Спортивной до ул.Свердлова;</w:t>
      </w:r>
    </w:p>
    <w:p>
      <w:pPr>
        <w:numPr>
          <w:ilvl w:val="0"/>
          <w:numId w:val="1"/>
        </w:numPr>
        <w:tabs>
          <w:tab w:val="left" w:pos="993"/>
        </w:tabs>
        <w:ind w:left="0" w:firstLine="709"/>
        <w:jc w:val="both"/>
      </w:pPr>
      <w:r>
        <w:rPr>
          <w:sz w:val="24"/>
          <w:szCs w:val="24"/>
        </w:rPr>
        <w:t>69,45 тыс.руб. – приобретение малых архитектурных форм за счет средств резервного фонда финансирования непредвиденных расходов Администрации Томской области;</w:t>
      </w:r>
    </w:p>
    <w:p>
      <w:pPr>
        <w:tabs>
          <w:tab w:val="left" w:pos="993"/>
        </w:tabs>
        <w:ind w:left="709"/>
        <w:jc w:val="both"/>
      </w:pPr>
    </w:p>
    <w:p>
      <w:pPr>
        <w:tabs>
          <w:tab w:val="left" w:pos="993"/>
        </w:tabs>
        <w:ind w:left="709"/>
        <w:jc w:val="both"/>
        <w:rPr>
          <w:bCs/>
          <w:sz w:val="24"/>
          <w:szCs w:val="24"/>
        </w:rPr>
      </w:pPr>
      <w:r>
        <w:rPr>
          <w:bCs/>
          <w:sz w:val="24"/>
          <w:szCs w:val="24"/>
        </w:rPr>
        <w:t>-</w:t>
      </w:r>
      <w:r>
        <w:rPr>
          <w:bCs/>
          <w:sz w:val="24"/>
          <w:szCs w:val="24"/>
          <w:lang w:val="en-US"/>
        </w:rPr>
        <w:t> </w:t>
      </w:r>
      <w:r>
        <w:rPr>
          <w:bCs/>
          <w:i/>
          <w:sz w:val="24"/>
          <w:szCs w:val="24"/>
        </w:rPr>
        <w:t>по разделу «Образование» на 42 055,96 тыс.руб.,</w:t>
      </w:r>
      <w:r>
        <w:rPr>
          <w:bCs/>
          <w:sz w:val="24"/>
          <w:szCs w:val="24"/>
        </w:rPr>
        <w:t xml:space="preserve"> из них:</w:t>
      </w:r>
    </w:p>
    <w:p>
      <w:pPr>
        <w:pStyle w:val="af8"/>
        <w:numPr>
          <w:ilvl w:val="0"/>
          <w:numId w:val="6"/>
        </w:numPr>
        <w:tabs>
          <w:tab w:val="left" w:pos="993"/>
        </w:tabs>
        <w:ind w:left="0" w:firstLine="709"/>
        <w:jc w:val="both"/>
        <w:rPr>
          <w:bCs/>
          <w:sz w:val="24"/>
          <w:szCs w:val="24"/>
        </w:rPr>
      </w:pPr>
      <w:r>
        <w:rPr>
          <w:bCs/>
          <w:sz w:val="24"/>
          <w:szCs w:val="24"/>
        </w:rPr>
        <w:t>15 341,06 тыс.руб. </w:t>
      </w:r>
      <w:r>
        <w:rPr>
          <w:color w:val="000000"/>
          <w:sz w:val="24"/>
          <w:szCs w:val="24"/>
        </w:rPr>
        <w:t>–</w:t>
      </w:r>
      <w:r>
        <w:rPr>
          <w:bCs/>
          <w:sz w:val="24"/>
          <w:szCs w:val="24"/>
        </w:rPr>
        <w:t> приобретение учебного, спортивного, компьютерного, кухонного оборудования, мебели для образовательных организаций;</w:t>
      </w:r>
    </w:p>
    <w:p>
      <w:pPr>
        <w:pStyle w:val="af8"/>
        <w:numPr>
          <w:ilvl w:val="0"/>
          <w:numId w:val="6"/>
        </w:numPr>
        <w:tabs>
          <w:tab w:val="left" w:pos="993"/>
        </w:tabs>
        <w:ind w:left="0" w:firstLine="709"/>
        <w:jc w:val="both"/>
        <w:rPr>
          <w:bCs/>
          <w:sz w:val="24"/>
          <w:szCs w:val="24"/>
        </w:rPr>
      </w:pPr>
      <w:r>
        <w:rPr>
          <w:bCs/>
          <w:sz w:val="24"/>
          <w:szCs w:val="24"/>
        </w:rPr>
        <w:t>13 488,51 тыс.руб. </w:t>
      </w:r>
      <w:r>
        <w:rPr>
          <w:color w:val="000000"/>
          <w:sz w:val="24"/>
          <w:szCs w:val="24"/>
        </w:rPr>
        <w:t>– </w:t>
      </w:r>
      <w:r>
        <w:rPr>
          <w:bCs/>
          <w:sz w:val="24"/>
          <w:szCs w:val="24"/>
        </w:rPr>
        <w:t xml:space="preserve">приобретение многофункциональных устройств, ноутбуков, интерактивных панелей, предоставление лицензий на право использовать программное обеспечение в рамках регионального проекта «Цифровая образовательная среда»; </w:t>
      </w:r>
    </w:p>
    <w:p>
      <w:pPr>
        <w:pStyle w:val="af8"/>
        <w:numPr>
          <w:ilvl w:val="0"/>
          <w:numId w:val="6"/>
        </w:numPr>
        <w:tabs>
          <w:tab w:val="left" w:pos="993"/>
        </w:tabs>
        <w:ind w:left="0" w:firstLine="709"/>
        <w:jc w:val="both"/>
        <w:rPr>
          <w:bCs/>
          <w:sz w:val="24"/>
          <w:szCs w:val="24"/>
        </w:rPr>
      </w:pPr>
      <w:r>
        <w:rPr>
          <w:bCs/>
          <w:sz w:val="24"/>
          <w:szCs w:val="24"/>
        </w:rPr>
        <w:t xml:space="preserve">9 763,48 тыс.руб.  </w:t>
      </w:r>
      <w:r>
        <w:rPr>
          <w:color w:val="000000"/>
          <w:sz w:val="24"/>
          <w:szCs w:val="24"/>
        </w:rPr>
        <w:t>–</w:t>
      </w:r>
      <w:r>
        <w:rPr>
          <w:bCs/>
          <w:sz w:val="24"/>
          <w:szCs w:val="24"/>
        </w:rPr>
        <w:t xml:space="preserve"> </w:t>
      </w:r>
      <w:r>
        <w:rPr>
          <w:bCs/>
          <w:color w:val="000000" w:themeColor="text1"/>
          <w:sz w:val="24"/>
          <w:szCs w:val="24"/>
        </w:rPr>
        <w:t>приобретение оборудования и средств индивидуальной защиты для реализации мероприятий, направленных на предупреждение распространения новой коронавирусной инфекции</w:t>
      </w:r>
      <w:r>
        <w:rPr>
          <w:color w:val="000000"/>
          <w:sz w:val="24"/>
          <w:szCs w:val="24"/>
        </w:rPr>
        <w:t xml:space="preserve">;  </w:t>
      </w:r>
    </w:p>
    <w:p>
      <w:pPr>
        <w:pStyle w:val="af8"/>
        <w:numPr>
          <w:ilvl w:val="0"/>
          <w:numId w:val="3"/>
        </w:numPr>
        <w:tabs>
          <w:tab w:val="left" w:pos="993"/>
        </w:tabs>
        <w:ind w:left="0" w:firstLine="709"/>
        <w:jc w:val="both"/>
        <w:rPr>
          <w:bCs/>
          <w:sz w:val="24"/>
          <w:szCs w:val="24"/>
        </w:rPr>
      </w:pPr>
      <w:r>
        <w:rPr>
          <w:bCs/>
          <w:sz w:val="24"/>
          <w:szCs w:val="24"/>
        </w:rPr>
        <w:t xml:space="preserve">2 676,0 тыс.руб. </w:t>
      </w:r>
      <w:r>
        <w:rPr>
          <w:color w:val="000000"/>
          <w:sz w:val="24"/>
          <w:szCs w:val="24"/>
        </w:rPr>
        <w:t>–</w:t>
      </w:r>
      <w:r>
        <w:rPr>
          <w:bCs/>
          <w:sz w:val="24"/>
          <w:szCs w:val="24"/>
        </w:rPr>
        <w:t xml:space="preserve"> приобретение школьного автобуса;</w:t>
      </w:r>
    </w:p>
    <w:p>
      <w:pPr>
        <w:pStyle w:val="af8"/>
        <w:numPr>
          <w:ilvl w:val="0"/>
          <w:numId w:val="6"/>
        </w:numPr>
        <w:tabs>
          <w:tab w:val="left" w:pos="993"/>
        </w:tabs>
        <w:ind w:left="0" w:firstLine="709"/>
        <w:jc w:val="both"/>
        <w:rPr>
          <w:bCs/>
          <w:sz w:val="24"/>
          <w:szCs w:val="24"/>
        </w:rPr>
      </w:pPr>
      <w:r>
        <w:rPr>
          <w:bCs/>
          <w:sz w:val="24"/>
          <w:szCs w:val="24"/>
        </w:rPr>
        <w:t xml:space="preserve">413,12 тыс.руб. – </w:t>
      </w:r>
      <w:r>
        <w:rPr>
          <w:color w:val="000000"/>
          <w:sz w:val="24"/>
          <w:szCs w:val="24"/>
        </w:rPr>
        <w:t>приобретение музыкальных инструментов, костюмов для учреждений дополнительного образования художественно-эстетической направленности</w:t>
      </w:r>
    </w:p>
    <w:p>
      <w:pPr>
        <w:pStyle w:val="af8"/>
        <w:numPr>
          <w:ilvl w:val="0"/>
          <w:numId w:val="6"/>
        </w:numPr>
        <w:tabs>
          <w:tab w:val="left" w:pos="993"/>
        </w:tabs>
        <w:ind w:left="0" w:firstLine="709"/>
        <w:jc w:val="both"/>
        <w:rPr>
          <w:bCs/>
          <w:sz w:val="24"/>
          <w:szCs w:val="24"/>
        </w:rPr>
      </w:pPr>
      <w:r>
        <w:rPr>
          <w:bCs/>
          <w:sz w:val="24"/>
          <w:szCs w:val="24"/>
        </w:rPr>
        <w:t>240,0 тыс.руб.  </w:t>
      </w:r>
      <w:r>
        <w:rPr>
          <w:color w:val="000000"/>
          <w:sz w:val="24"/>
          <w:szCs w:val="24"/>
        </w:rPr>
        <w:t>–</w:t>
      </w:r>
      <w:r>
        <w:rPr>
          <w:bCs/>
          <w:sz w:val="24"/>
          <w:szCs w:val="24"/>
        </w:rPr>
        <w:t xml:space="preserve"> приобретение палаток для МБУ ДО ДЮСШ «Лидер»;</w:t>
      </w:r>
    </w:p>
    <w:p>
      <w:pPr>
        <w:pStyle w:val="af8"/>
        <w:tabs>
          <w:tab w:val="left" w:pos="993"/>
        </w:tabs>
        <w:ind w:left="709"/>
        <w:jc w:val="both"/>
        <w:rPr>
          <w:bCs/>
        </w:rPr>
      </w:pPr>
    </w:p>
    <w:p>
      <w:pPr>
        <w:ind w:firstLine="709"/>
        <w:jc w:val="both"/>
        <w:rPr>
          <w:bCs/>
          <w:sz w:val="24"/>
          <w:szCs w:val="24"/>
        </w:rPr>
      </w:pPr>
      <w:r>
        <w:rPr>
          <w:bCs/>
          <w:sz w:val="24"/>
          <w:szCs w:val="24"/>
        </w:rPr>
        <w:t>-</w:t>
      </w:r>
      <w:r>
        <w:rPr>
          <w:bCs/>
          <w:sz w:val="24"/>
          <w:szCs w:val="24"/>
          <w:lang w:val="en-US"/>
        </w:rPr>
        <w:t> </w:t>
      </w:r>
      <w:r>
        <w:rPr>
          <w:bCs/>
          <w:i/>
          <w:sz w:val="24"/>
          <w:szCs w:val="24"/>
        </w:rPr>
        <w:t xml:space="preserve">по разделу </w:t>
      </w:r>
      <w:r>
        <w:rPr>
          <w:bCs/>
          <w:i/>
          <w:color w:val="000000" w:themeColor="text1"/>
          <w:sz w:val="24"/>
          <w:szCs w:val="24"/>
        </w:rPr>
        <w:t>«Культура, кинематография</w:t>
      </w:r>
      <w:r>
        <w:rPr>
          <w:bCs/>
          <w:i/>
          <w:sz w:val="24"/>
          <w:szCs w:val="24"/>
        </w:rPr>
        <w:t>» на 13 529,63 тыс.руб.,</w:t>
      </w:r>
      <w:r>
        <w:rPr>
          <w:bCs/>
          <w:sz w:val="24"/>
          <w:szCs w:val="24"/>
        </w:rPr>
        <w:t xml:space="preserve"> из них:</w:t>
      </w:r>
    </w:p>
    <w:p>
      <w:pPr>
        <w:numPr>
          <w:ilvl w:val="0"/>
          <w:numId w:val="12"/>
        </w:numPr>
        <w:tabs>
          <w:tab w:val="left" w:pos="993"/>
        </w:tabs>
        <w:ind w:left="0" w:firstLine="709"/>
        <w:jc w:val="both"/>
        <w:rPr>
          <w:color w:val="000000"/>
          <w:sz w:val="24"/>
          <w:szCs w:val="24"/>
        </w:rPr>
      </w:pPr>
      <w:r>
        <w:rPr>
          <w:color w:val="000000"/>
          <w:sz w:val="24"/>
          <w:szCs w:val="24"/>
        </w:rPr>
        <w:t>6 442,99 тыс.руб. – приобретение пассажирского автобуса, мебели, светового и звукового оборудования, музыкальных инструментов и оборудование механики сцены в рамках проекта «Поддержка творческой деятельности и укрепления материально-технической базы муниципальных театров в населенных пунктах с численностью населения до 300 тысяч человек»;</w:t>
      </w:r>
    </w:p>
    <w:p>
      <w:pPr>
        <w:numPr>
          <w:ilvl w:val="0"/>
          <w:numId w:val="12"/>
        </w:numPr>
        <w:tabs>
          <w:tab w:val="left" w:pos="993"/>
        </w:tabs>
        <w:ind w:left="0" w:firstLine="709"/>
        <w:jc w:val="both"/>
        <w:rPr>
          <w:color w:val="000000"/>
          <w:sz w:val="24"/>
          <w:szCs w:val="24"/>
        </w:rPr>
      </w:pPr>
      <w:r>
        <w:rPr>
          <w:color w:val="000000"/>
          <w:sz w:val="24"/>
          <w:szCs w:val="24"/>
        </w:rPr>
        <w:t>1 779,51 тыс.руб. – приобретение светового и звукового оборудования, одежды сцены,   специального технического оборудования, оснащение производственных цехов, оборудование механики сцены для реализации творческого проекта «Поддержка творческой деятельности и техническое оснащение детских и кукольных театров»;</w:t>
      </w:r>
    </w:p>
    <w:p>
      <w:pPr>
        <w:numPr>
          <w:ilvl w:val="0"/>
          <w:numId w:val="12"/>
        </w:numPr>
        <w:tabs>
          <w:tab w:val="left" w:pos="993"/>
        </w:tabs>
        <w:ind w:left="0" w:firstLine="709"/>
        <w:jc w:val="both"/>
        <w:rPr>
          <w:color w:val="000000"/>
          <w:sz w:val="24"/>
          <w:szCs w:val="24"/>
        </w:rPr>
      </w:pPr>
      <w:r>
        <w:rPr>
          <w:color w:val="000000"/>
          <w:sz w:val="24"/>
          <w:szCs w:val="24"/>
        </w:rPr>
        <w:t>2 940,76 тыс.руб. – проведение работ по механике сцены для обеспечение развития и укрепления материально-технической базы домов культуры в населенных пунктах с числом жителей до 50 тысяч человек;</w:t>
      </w:r>
    </w:p>
    <w:p>
      <w:pPr>
        <w:numPr>
          <w:ilvl w:val="0"/>
          <w:numId w:val="12"/>
        </w:numPr>
        <w:tabs>
          <w:tab w:val="left" w:pos="993"/>
        </w:tabs>
        <w:ind w:left="0" w:firstLine="709"/>
        <w:jc w:val="both"/>
        <w:rPr>
          <w:color w:val="000000"/>
          <w:sz w:val="24"/>
          <w:szCs w:val="24"/>
        </w:rPr>
      </w:pPr>
      <w:r>
        <w:rPr>
          <w:color w:val="000000"/>
          <w:sz w:val="24"/>
          <w:szCs w:val="24"/>
        </w:rPr>
        <w:t>1 282,95 тыс.руб. – приобретение компьютерного оборудования, мебели и библиотечного оборудования для создания модельных библиотек в том числе в рамках регионального проекта «Культурная среда»;</w:t>
      </w:r>
    </w:p>
    <w:p>
      <w:pPr>
        <w:numPr>
          <w:ilvl w:val="0"/>
          <w:numId w:val="12"/>
        </w:numPr>
        <w:tabs>
          <w:tab w:val="left" w:pos="993"/>
        </w:tabs>
        <w:ind w:left="0" w:firstLine="709"/>
        <w:jc w:val="both"/>
        <w:rPr>
          <w:color w:val="000000"/>
          <w:sz w:val="24"/>
          <w:szCs w:val="24"/>
        </w:rPr>
      </w:pPr>
      <w:r>
        <w:rPr>
          <w:color w:val="000000"/>
          <w:sz w:val="24"/>
          <w:szCs w:val="24"/>
        </w:rPr>
        <w:t>790,92 тыс.руб. – приобретение звукового оборудования, специального технического оборудования, снегоуборочной машины, музыкальных инструментов, обуви;</w:t>
      </w:r>
    </w:p>
    <w:p>
      <w:pPr>
        <w:tabs>
          <w:tab w:val="left" w:pos="993"/>
        </w:tabs>
        <w:ind w:left="709"/>
        <w:jc w:val="both"/>
        <w:rPr>
          <w:color w:val="000000"/>
        </w:rPr>
      </w:pPr>
    </w:p>
    <w:p>
      <w:pPr>
        <w:ind w:left="709"/>
        <w:jc w:val="both"/>
        <w:rPr>
          <w:bCs/>
          <w:sz w:val="24"/>
          <w:szCs w:val="24"/>
        </w:rPr>
      </w:pPr>
      <w:r>
        <w:rPr>
          <w:bCs/>
          <w:sz w:val="24"/>
          <w:szCs w:val="24"/>
        </w:rPr>
        <w:t xml:space="preserve">- </w:t>
      </w:r>
      <w:r>
        <w:rPr>
          <w:bCs/>
          <w:i/>
          <w:sz w:val="24"/>
          <w:szCs w:val="24"/>
        </w:rPr>
        <w:t>по разделу «Здравоохранение» на 809,02 тыс.руб.</w:t>
      </w:r>
      <w:r>
        <w:rPr>
          <w:bCs/>
          <w:sz w:val="24"/>
          <w:szCs w:val="24"/>
        </w:rPr>
        <w:t xml:space="preserve">, в том числе: </w:t>
      </w:r>
    </w:p>
    <w:p>
      <w:pPr>
        <w:numPr>
          <w:ilvl w:val="0"/>
          <w:numId w:val="2"/>
        </w:numPr>
        <w:tabs>
          <w:tab w:val="left" w:pos="993"/>
        </w:tabs>
        <w:ind w:left="0" w:firstLine="709"/>
        <w:jc w:val="both"/>
        <w:rPr>
          <w:bCs/>
          <w:sz w:val="24"/>
          <w:szCs w:val="24"/>
        </w:rPr>
      </w:pPr>
      <w:r>
        <w:rPr>
          <w:bCs/>
          <w:sz w:val="24"/>
          <w:szCs w:val="24"/>
        </w:rPr>
        <w:t>457,82 тыс.руб. –</w:t>
      </w:r>
      <w:r>
        <w:rPr>
          <w:sz w:val="24"/>
          <w:szCs w:val="24"/>
        </w:rPr>
        <w:t xml:space="preserve"> приобретение мебели для обеспечения мероприятий по созданию условий для работы персонала ФГБУ СибФНКЦ ФМБА России;</w:t>
      </w:r>
    </w:p>
    <w:p>
      <w:pPr>
        <w:numPr>
          <w:ilvl w:val="0"/>
          <w:numId w:val="2"/>
        </w:numPr>
        <w:tabs>
          <w:tab w:val="left" w:pos="993"/>
        </w:tabs>
        <w:ind w:left="0" w:firstLine="709"/>
        <w:jc w:val="both"/>
        <w:rPr>
          <w:bCs/>
          <w:sz w:val="24"/>
          <w:szCs w:val="24"/>
        </w:rPr>
      </w:pPr>
      <w:r>
        <w:rPr>
          <w:bCs/>
          <w:sz w:val="24"/>
          <w:szCs w:val="24"/>
        </w:rPr>
        <w:t>351,20 тыс.руб. – приобретение оборудования для</w:t>
      </w:r>
      <w:r>
        <w:rPr>
          <w:sz w:val="24"/>
          <w:szCs w:val="24"/>
        </w:rPr>
        <w:t xml:space="preserve"> организации работы обсерватора на базе</w:t>
      </w:r>
      <w:r>
        <w:rPr>
          <w:bCs/>
          <w:sz w:val="24"/>
          <w:szCs w:val="24"/>
        </w:rPr>
        <w:t xml:space="preserve"> МАУ ЗАТО Северск ДОЛ «Зеленый мыс».</w:t>
      </w:r>
    </w:p>
    <w:p>
      <w:pPr>
        <w:tabs>
          <w:tab w:val="left" w:pos="993"/>
        </w:tabs>
        <w:ind w:left="709"/>
        <w:jc w:val="both"/>
        <w:rPr>
          <w:bCs/>
        </w:rPr>
      </w:pPr>
    </w:p>
    <w:p>
      <w:pPr>
        <w:ind w:firstLine="709"/>
        <w:jc w:val="both"/>
        <w:rPr>
          <w:bCs/>
          <w:sz w:val="24"/>
          <w:szCs w:val="24"/>
        </w:rPr>
      </w:pPr>
      <w:r>
        <w:rPr>
          <w:bCs/>
          <w:sz w:val="24"/>
          <w:szCs w:val="24"/>
        </w:rPr>
        <w:t>-</w:t>
      </w:r>
      <w:r>
        <w:rPr>
          <w:bCs/>
          <w:sz w:val="24"/>
          <w:szCs w:val="24"/>
          <w:lang w:val="en-US"/>
        </w:rPr>
        <w:t> </w:t>
      </w:r>
      <w:r>
        <w:rPr>
          <w:bCs/>
          <w:i/>
          <w:sz w:val="24"/>
          <w:szCs w:val="24"/>
        </w:rPr>
        <w:t>по разделу «</w:t>
      </w:r>
      <w:r>
        <w:rPr>
          <w:bCs/>
          <w:i/>
          <w:color w:val="000000" w:themeColor="text1"/>
          <w:sz w:val="24"/>
          <w:szCs w:val="24"/>
        </w:rPr>
        <w:t>Физическая культура и</w:t>
      </w:r>
      <w:r>
        <w:rPr>
          <w:bCs/>
          <w:i/>
          <w:sz w:val="24"/>
          <w:szCs w:val="24"/>
        </w:rPr>
        <w:t xml:space="preserve"> спорт» на 32 224,13тыс.руб.,</w:t>
      </w:r>
      <w:r>
        <w:rPr>
          <w:bCs/>
          <w:sz w:val="24"/>
          <w:szCs w:val="24"/>
        </w:rPr>
        <w:t xml:space="preserve"> из них:</w:t>
      </w:r>
    </w:p>
    <w:p>
      <w:pPr>
        <w:numPr>
          <w:ilvl w:val="0"/>
          <w:numId w:val="1"/>
        </w:numPr>
        <w:tabs>
          <w:tab w:val="left" w:pos="993"/>
        </w:tabs>
        <w:ind w:left="0" w:firstLine="709"/>
        <w:jc w:val="both"/>
        <w:rPr>
          <w:color w:val="000000"/>
          <w:sz w:val="24"/>
          <w:szCs w:val="24"/>
        </w:rPr>
      </w:pPr>
      <w:r>
        <w:rPr>
          <w:color w:val="000000"/>
          <w:sz w:val="24"/>
          <w:szCs w:val="24"/>
        </w:rPr>
        <w:t>29 530,0 тыс.руб. –</w:t>
      </w:r>
      <w:r>
        <w:rPr>
          <w:bCs/>
          <w:sz w:val="24"/>
          <w:szCs w:val="24"/>
        </w:rPr>
        <w:t xml:space="preserve"> приобретение спортивного оборудования и инвентаря для учреждений дополнительного образования физкультурно-спортивной направленности в рамках реализации регионального проекта «Спорт - норма жизни» (ледозаливочная машина, тренажеры);</w:t>
      </w:r>
    </w:p>
    <w:p>
      <w:pPr>
        <w:tabs>
          <w:tab w:val="left" w:pos="993"/>
        </w:tabs>
        <w:ind w:left="709"/>
        <w:jc w:val="both"/>
        <w:rPr>
          <w:color w:val="000000"/>
        </w:rPr>
      </w:pPr>
    </w:p>
    <w:p>
      <w:pPr>
        <w:ind w:firstLine="709"/>
        <w:jc w:val="both"/>
        <w:rPr>
          <w:bCs/>
          <w:sz w:val="24"/>
          <w:szCs w:val="24"/>
        </w:rPr>
      </w:pPr>
      <w:r>
        <w:rPr>
          <w:bCs/>
          <w:sz w:val="24"/>
          <w:szCs w:val="24"/>
        </w:rPr>
        <w:t>2) </w:t>
      </w:r>
      <w:r>
        <w:rPr>
          <w:b/>
          <w:bCs/>
          <w:sz w:val="24"/>
          <w:szCs w:val="24"/>
        </w:rPr>
        <w:t xml:space="preserve">приобретено в части недвижимого имущества </w:t>
      </w:r>
      <w:r>
        <w:rPr>
          <w:bCs/>
          <w:sz w:val="24"/>
          <w:szCs w:val="24"/>
        </w:rPr>
        <w:t xml:space="preserve">14 жилых помещений для детей-сирот и детей, оставшихся без попечения родителей (из них: для 8 человек </w:t>
      </w:r>
      <w:r>
        <w:rPr>
          <w:bCs/>
          <w:sz w:val="24"/>
          <w:szCs w:val="24"/>
        </w:rPr>
        <w:lastRenderedPageBreak/>
        <w:t xml:space="preserve">в соответствии с решениями Северского городского суда ТО) на общую сумму 15 984,14 тыс.руб., в том числе: 1 406,60 тыс. руб. – за счет средств федерального бюджета, 14 577,54 тыс. руб. – за счет средств областного бюджета; </w:t>
      </w:r>
    </w:p>
    <w:p>
      <w:pPr>
        <w:ind w:firstLine="709"/>
        <w:jc w:val="both"/>
        <w:rPr>
          <w:bCs/>
          <w:sz w:val="16"/>
          <w:szCs w:val="16"/>
        </w:rPr>
      </w:pPr>
    </w:p>
    <w:p>
      <w:pPr>
        <w:pStyle w:val="a5"/>
        <w:spacing w:after="0"/>
        <w:ind w:firstLine="709"/>
        <w:jc w:val="both"/>
        <w:rPr>
          <w:sz w:val="24"/>
          <w:szCs w:val="24"/>
        </w:rPr>
      </w:pPr>
      <w:r>
        <w:rPr>
          <w:bCs/>
          <w:sz w:val="24"/>
          <w:szCs w:val="24"/>
        </w:rPr>
        <w:t>3) </w:t>
      </w:r>
      <w:r>
        <w:rPr>
          <w:b/>
          <w:sz w:val="24"/>
          <w:szCs w:val="24"/>
        </w:rPr>
        <w:t>осуществлены бюджетные инвестиции в объекты капитального строительства</w:t>
      </w:r>
      <w:r>
        <w:rPr>
          <w:sz w:val="24"/>
          <w:szCs w:val="24"/>
        </w:rPr>
        <w:t xml:space="preserve"> муниципальной собственности на общую сумму 40 598,63 тыс.руб., из них наибольшие суммы направлены:</w:t>
      </w:r>
    </w:p>
    <w:p>
      <w:pPr>
        <w:pStyle w:val="a5"/>
        <w:spacing w:after="0"/>
        <w:ind w:firstLine="709"/>
        <w:jc w:val="both"/>
        <w:rPr>
          <w:sz w:val="24"/>
          <w:szCs w:val="24"/>
        </w:rPr>
      </w:pPr>
      <w:r>
        <w:rPr>
          <w:sz w:val="24"/>
          <w:szCs w:val="24"/>
        </w:rPr>
        <w:t xml:space="preserve">- 30 893,94 тыс.руб. </w:t>
      </w:r>
      <w:r>
        <w:rPr>
          <w:color w:val="000000"/>
          <w:sz w:val="24"/>
          <w:szCs w:val="24"/>
        </w:rPr>
        <w:t>–</w:t>
      </w:r>
      <w:r>
        <w:rPr>
          <w:sz w:val="24"/>
          <w:szCs w:val="24"/>
        </w:rPr>
        <w:t xml:space="preserve"> строительство муниципального общественного кладбища в г.Северске;</w:t>
      </w:r>
    </w:p>
    <w:p>
      <w:pPr>
        <w:pStyle w:val="a5"/>
        <w:spacing w:after="0"/>
        <w:ind w:firstLine="709"/>
        <w:jc w:val="both"/>
        <w:rPr>
          <w:sz w:val="24"/>
          <w:szCs w:val="24"/>
        </w:rPr>
      </w:pPr>
      <w:r>
        <w:rPr>
          <w:sz w:val="24"/>
          <w:szCs w:val="24"/>
        </w:rPr>
        <w:t xml:space="preserve">- 5 449,55 тыс.руб. </w:t>
      </w:r>
      <w:r>
        <w:rPr>
          <w:color w:val="000000"/>
          <w:sz w:val="24"/>
          <w:szCs w:val="24"/>
        </w:rPr>
        <w:t>–</w:t>
      </w:r>
      <w:r>
        <w:rPr>
          <w:sz w:val="24"/>
          <w:szCs w:val="24"/>
        </w:rPr>
        <w:t xml:space="preserve"> строительство полигона ТБО в п. Самусь;</w:t>
      </w:r>
    </w:p>
    <w:p>
      <w:pPr>
        <w:pStyle w:val="a5"/>
        <w:spacing w:after="0"/>
        <w:ind w:firstLine="709"/>
        <w:jc w:val="both"/>
        <w:rPr>
          <w:sz w:val="24"/>
          <w:szCs w:val="24"/>
        </w:rPr>
      </w:pPr>
      <w:r>
        <w:rPr>
          <w:sz w:val="24"/>
          <w:szCs w:val="24"/>
        </w:rPr>
        <w:t xml:space="preserve">- 1 849,18 тыс.руб. </w:t>
      </w:r>
      <w:r>
        <w:rPr>
          <w:color w:val="000000"/>
          <w:sz w:val="24"/>
          <w:szCs w:val="24"/>
        </w:rPr>
        <w:t xml:space="preserve">– </w:t>
      </w:r>
      <w:r>
        <w:rPr>
          <w:sz w:val="24"/>
          <w:szCs w:val="24"/>
        </w:rPr>
        <w:t>строительство полигона твердых бытовых отходов в г.Северске;</w:t>
      </w:r>
    </w:p>
    <w:p>
      <w:pPr>
        <w:pStyle w:val="a5"/>
        <w:spacing w:after="0"/>
        <w:ind w:firstLine="709"/>
        <w:jc w:val="both"/>
        <w:rPr>
          <w:sz w:val="24"/>
          <w:szCs w:val="24"/>
        </w:rPr>
      </w:pPr>
      <w:r>
        <w:rPr>
          <w:sz w:val="24"/>
          <w:szCs w:val="24"/>
        </w:rPr>
        <w:t xml:space="preserve">- 1 587,08 </w:t>
      </w:r>
      <w:r>
        <w:rPr>
          <w:color w:val="000000"/>
          <w:sz w:val="24"/>
          <w:szCs w:val="24"/>
        </w:rPr>
        <w:t>–</w:t>
      </w:r>
      <w:r>
        <w:rPr>
          <w:sz w:val="24"/>
          <w:szCs w:val="24"/>
        </w:rPr>
        <w:t xml:space="preserve"> строительство 6 скважин на существующих подземных водозаборах (3 очередь). Водозабор № 1. Скважины № 7а, 15а в г.Северске;</w:t>
      </w:r>
    </w:p>
    <w:p>
      <w:pPr>
        <w:pStyle w:val="a5"/>
        <w:spacing w:after="0"/>
        <w:ind w:firstLine="709"/>
        <w:jc w:val="both"/>
        <w:rPr>
          <w:sz w:val="24"/>
          <w:szCs w:val="24"/>
        </w:rPr>
      </w:pPr>
      <w:r>
        <w:rPr>
          <w:sz w:val="24"/>
          <w:szCs w:val="24"/>
        </w:rPr>
        <w:t xml:space="preserve">- 486,02 тыс.руб. </w:t>
      </w:r>
      <w:r>
        <w:rPr>
          <w:color w:val="000000"/>
          <w:sz w:val="24"/>
          <w:szCs w:val="24"/>
        </w:rPr>
        <w:t>–</w:t>
      </w:r>
      <w:r>
        <w:rPr>
          <w:sz w:val="24"/>
          <w:szCs w:val="24"/>
        </w:rPr>
        <w:t xml:space="preserve"> разработку схемы газоснабжения ЗАТО Северск;</w:t>
      </w:r>
    </w:p>
    <w:p>
      <w:pPr>
        <w:pStyle w:val="a5"/>
        <w:spacing w:after="0"/>
        <w:ind w:firstLine="709"/>
        <w:jc w:val="both"/>
        <w:rPr>
          <w:sz w:val="24"/>
          <w:szCs w:val="24"/>
        </w:rPr>
      </w:pPr>
      <w:r>
        <w:rPr>
          <w:sz w:val="24"/>
          <w:szCs w:val="24"/>
        </w:rPr>
        <w:t xml:space="preserve">- 165,72 тыс.руб. </w:t>
      </w:r>
      <w:r>
        <w:rPr>
          <w:color w:val="000000"/>
          <w:sz w:val="24"/>
          <w:szCs w:val="24"/>
        </w:rPr>
        <w:t>–</w:t>
      </w:r>
      <w:r>
        <w:rPr>
          <w:sz w:val="24"/>
          <w:szCs w:val="24"/>
        </w:rPr>
        <w:t xml:space="preserve"> строительство пешеходного тротуара от жилого дома по ул.Царевского, 4 до здания по ул.Ленина, 88 в г. Северске;</w:t>
      </w:r>
    </w:p>
    <w:p>
      <w:pPr>
        <w:pStyle w:val="a5"/>
        <w:spacing w:after="0"/>
        <w:ind w:firstLine="709"/>
        <w:jc w:val="both"/>
        <w:rPr>
          <w:sz w:val="10"/>
          <w:szCs w:val="10"/>
        </w:rPr>
      </w:pPr>
    </w:p>
    <w:p>
      <w:pPr>
        <w:pStyle w:val="a5"/>
        <w:spacing w:after="0"/>
        <w:ind w:firstLine="709"/>
        <w:jc w:val="both"/>
        <w:rPr>
          <w:sz w:val="24"/>
          <w:szCs w:val="24"/>
        </w:rPr>
      </w:pPr>
      <w:r>
        <w:rPr>
          <w:sz w:val="24"/>
          <w:szCs w:val="24"/>
        </w:rPr>
        <w:t xml:space="preserve">4) </w:t>
      </w:r>
      <w:r>
        <w:rPr>
          <w:b/>
          <w:sz w:val="24"/>
          <w:szCs w:val="24"/>
        </w:rPr>
        <w:t>расходы на капитальный ремонт</w:t>
      </w:r>
      <w:r>
        <w:rPr>
          <w:sz w:val="24"/>
          <w:szCs w:val="24"/>
        </w:rPr>
        <w:t xml:space="preserve"> составили 121 747,88 тыс.руб. в том числе на:</w:t>
      </w:r>
    </w:p>
    <w:p>
      <w:pPr>
        <w:pStyle w:val="a5"/>
        <w:spacing w:after="0"/>
        <w:ind w:firstLine="709"/>
        <w:jc w:val="both"/>
        <w:rPr>
          <w:sz w:val="24"/>
          <w:szCs w:val="24"/>
        </w:rPr>
      </w:pPr>
      <w:r>
        <w:rPr>
          <w:sz w:val="24"/>
          <w:szCs w:val="24"/>
        </w:rPr>
        <w:t>- капитальный ремонт в сфере дорожного хозяйства на сумму 100 318,09 тыс.руб.;</w:t>
      </w:r>
    </w:p>
    <w:p>
      <w:pPr>
        <w:pStyle w:val="a5"/>
        <w:spacing w:after="0"/>
        <w:ind w:firstLine="709"/>
        <w:jc w:val="both"/>
        <w:rPr>
          <w:sz w:val="24"/>
          <w:szCs w:val="24"/>
        </w:rPr>
      </w:pPr>
      <w:r>
        <w:rPr>
          <w:sz w:val="24"/>
          <w:szCs w:val="24"/>
        </w:rPr>
        <w:t>- капитальный ремонт объектов жилищно-коммунального хозяйства и благоустройства на сумму 4 436,75 тыс.руб.;</w:t>
      </w:r>
    </w:p>
    <w:p>
      <w:pPr>
        <w:pStyle w:val="a5"/>
        <w:spacing w:after="0"/>
        <w:ind w:firstLine="709"/>
        <w:jc w:val="both"/>
        <w:rPr>
          <w:sz w:val="24"/>
          <w:szCs w:val="24"/>
        </w:rPr>
      </w:pPr>
      <w:r>
        <w:rPr>
          <w:sz w:val="24"/>
          <w:szCs w:val="24"/>
        </w:rPr>
        <w:t>- капитальный ремонт объектов социальной сферы на сумму 16 893,04 тыс.руб., из них:</w:t>
      </w:r>
    </w:p>
    <w:p>
      <w:pPr>
        <w:pStyle w:val="a5"/>
        <w:numPr>
          <w:ilvl w:val="0"/>
          <w:numId w:val="2"/>
        </w:numPr>
        <w:spacing w:after="0"/>
        <w:ind w:left="0" w:firstLine="709"/>
        <w:jc w:val="both"/>
        <w:rPr>
          <w:sz w:val="24"/>
          <w:szCs w:val="24"/>
        </w:rPr>
      </w:pPr>
      <w:r>
        <w:rPr>
          <w:sz w:val="24"/>
          <w:szCs w:val="24"/>
        </w:rPr>
        <w:t>автоматической системы тушения пожара и противопожарного водопровода в здании МБУ СМТ по адресу: г.Северск Томская область, просп.Коммунистический, 119 - 4 258,97 тыс.руб.;</w:t>
      </w:r>
    </w:p>
    <w:p>
      <w:pPr>
        <w:pStyle w:val="a5"/>
        <w:numPr>
          <w:ilvl w:val="0"/>
          <w:numId w:val="2"/>
        </w:numPr>
        <w:spacing w:after="0"/>
        <w:ind w:left="0" w:firstLine="709"/>
        <w:jc w:val="both"/>
        <w:rPr>
          <w:sz w:val="24"/>
          <w:szCs w:val="24"/>
        </w:rPr>
      </w:pPr>
      <w:r>
        <w:rPr>
          <w:sz w:val="24"/>
          <w:szCs w:val="24"/>
        </w:rPr>
        <w:t>благоустройства территории многопрофильного спортивного комплекса «Олимпия» по адресу: г.Северск, ул.Калинина, 66/1 (устройство ограждения) - 3 276,62 тыс.руб.;</w:t>
      </w:r>
    </w:p>
    <w:p>
      <w:pPr>
        <w:pStyle w:val="a5"/>
        <w:numPr>
          <w:ilvl w:val="0"/>
          <w:numId w:val="2"/>
        </w:numPr>
        <w:spacing w:after="0"/>
        <w:ind w:left="0" w:firstLine="709"/>
        <w:jc w:val="both"/>
        <w:rPr>
          <w:sz w:val="24"/>
          <w:szCs w:val="24"/>
        </w:rPr>
      </w:pPr>
      <w:r>
        <w:rPr>
          <w:sz w:val="24"/>
          <w:szCs w:val="24"/>
        </w:rPr>
        <w:t>здания МБУ «Самусьский ДК» - 1 487,69 тыс.руб.;</w:t>
      </w:r>
    </w:p>
    <w:p>
      <w:pPr>
        <w:pStyle w:val="a5"/>
        <w:numPr>
          <w:ilvl w:val="0"/>
          <w:numId w:val="2"/>
        </w:numPr>
        <w:spacing w:after="0"/>
        <w:ind w:left="0" w:firstLine="709"/>
        <w:jc w:val="both"/>
        <w:rPr>
          <w:sz w:val="24"/>
          <w:szCs w:val="24"/>
        </w:rPr>
      </w:pPr>
      <w:r>
        <w:rPr>
          <w:sz w:val="24"/>
          <w:szCs w:val="24"/>
        </w:rPr>
        <w:t>наружного противопожарного водоснабжения МБОУ «Северский лицей» - 1 334,94 тыс.руб.;</w:t>
      </w:r>
    </w:p>
    <w:p>
      <w:pPr>
        <w:pStyle w:val="a5"/>
        <w:numPr>
          <w:ilvl w:val="0"/>
          <w:numId w:val="2"/>
        </w:numPr>
        <w:spacing w:after="0"/>
        <w:ind w:left="0" w:firstLine="709"/>
        <w:jc w:val="both"/>
        <w:rPr>
          <w:sz w:val="24"/>
          <w:szCs w:val="24"/>
        </w:rPr>
      </w:pPr>
      <w:r>
        <w:rPr>
          <w:sz w:val="24"/>
          <w:szCs w:val="24"/>
        </w:rPr>
        <w:t>кровли МБДОУ «Детский сад № 55» (корпус № 2, ул.Калинина, 141) и здания МБДОУ «Детский сад № 55» корпус № 1, по адресу: Томская область, г. Северск, ул. Калинина, 107 - 4 760,37 тыс.руб.;</w:t>
      </w:r>
    </w:p>
    <w:p>
      <w:pPr>
        <w:pStyle w:val="a5"/>
        <w:numPr>
          <w:ilvl w:val="0"/>
          <w:numId w:val="2"/>
        </w:numPr>
        <w:spacing w:after="0"/>
        <w:ind w:left="0" w:firstLine="709"/>
        <w:jc w:val="both"/>
        <w:rPr>
          <w:sz w:val="24"/>
          <w:szCs w:val="24"/>
        </w:rPr>
      </w:pPr>
      <w:r>
        <w:rPr>
          <w:sz w:val="24"/>
          <w:szCs w:val="24"/>
        </w:rPr>
        <w:t>здания МАУ ДО «Детская школа искусств», корпус 2, по адресу: Томская область, г.Северск, ул.40 Лет Октября, 4 - 598,87 тыс.руб.;</w:t>
      </w:r>
    </w:p>
    <w:p>
      <w:pPr>
        <w:pStyle w:val="a5"/>
        <w:numPr>
          <w:ilvl w:val="0"/>
          <w:numId w:val="2"/>
        </w:numPr>
        <w:spacing w:after="0"/>
        <w:ind w:left="0" w:firstLine="709"/>
        <w:jc w:val="both"/>
        <w:rPr>
          <w:sz w:val="24"/>
          <w:szCs w:val="24"/>
        </w:rPr>
      </w:pPr>
      <w:r>
        <w:rPr>
          <w:sz w:val="24"/>
          <w:szCs w:val="24"/>
        </w:rPr>
        <w:t>здания МБУДО «Самусьская ДШИ», по адресу: Томская область, п.Самусь, ул. Гагарина, 4 - 549,37 тыс.руб.;</w:t>
      </w:r>
    </w:p>
    <w:p>
      <w:pPr>
        <w:pStyle w:val="a5"/>
        <w:numPr>
          <w:ilvl w:val="0"/>
          <w:numId w:val="2"/>
        </w:numPr>
        <w:spacing w:after="0"/>
        <w:ind w:left="0" w:firstLine="709"/>
        <w:jc w:val="both"/>
        <w:rPr>
          <w:sz w:val="24"/>
          <w:szCs w:val="24"/>
        </w:rPr>
      </w:pPr>
      <w:r>
        <w:rPr>
          <w:sz w:val="24"/>
          <w:szCs w:val="24"/>
        </w:rPr>
        <w:t>здания МБУ «Центральная детская библиотека» по адресу: Томская область, г.Северск, ул. 40 лет Октября, 15 - 479,57 тыс.руб.;</w:t>
      </w:r>
    </w:p>
    <w:p>
      <w:pPr>
        <w:pStyle w:val="a5"/>
        <w:numPr>
          <w:ilvl w:val="0"/>
          <w:numId w:val="2"/>
        </w:numPr>
        <w:spacing w:after="0"/>
        <w:ind w:left="0" w:firstLine="709"/>
        <w:jc w:val="both"/>
        <w:rPr>
          <w:sz w:val="24"/>
          <w:szCs w:val="24"/>
        </w:rPr>
      </w:pPr>
      <w:r>
        <w:rPr>
          <w:sz w:val="24"/>
          <w:szCs w:val="24"/>
        </w:rPr>
        <w:t>наружной стены здания СК «Молодость» МАУДО ДЮСШ им.Л.Егоровой по адресу: Томская область, г.Северск, ул.Мира, 27 - 146,65 тыс.руб.</w:t>
      </w:r>
    </w:p>
    <w:p>
      <w:pPr>
        <w:pStyle w:val="a5"/>
        <w:spacing w:after="0"/>
        <w:ind w:firstLine="703"/>
        <w:jc w:val="center"/>
        <w:rPr>
          <w:b/>
          <w:sz w:val="24"/>
          <w:szCs w:val="24"/>
        </w:rPr>
      </w:pPr>
    </w:p>
    <w:p>
      <w:pPr>
        <w:pStyle w:val="a5"/>
        <w:spacing w:after="0"/>
        <w:ind w:firstLine="703"/>
        <w:jc w:val="center"/>
        <w:rPr>
          <w:b/>
          <w:sz w:val="24"/>
          <w:szCs w:val="24"/>
        </w:rPr>
      </w:pPr>
      <w:r>
        <w:rPr>
          <w:b/>
          <w:sz w:val="24"/>
          <w:szCs w:val="24"/>
        </w:rPr>
        <w:t xml:space="preserve">4.1.2. Расходы на финансовое обеспечение выполнения </w:t>
      </w:r>
    </w:p>
    <w:p>
      <w:pPr>
        <w:pStyle w:val="a5"/>
        <w:ind w:firstLine="705"/>
        <w:jc w:val="center"/>
        <w:rPr>
          <w:b/>
          <w:sz w:val="24"/>
          <w:szCs w:val="24"/>
        </w:rPr>
      </w:pPr>
      <w:r>
        <w:rPr>
          <w:b/>
          <w:sz w:val="24"/>
          <w:szCs w:val="24"/>
        </w:rPr>
        <w:t>учреждениями муниципальных заданий</w:t>
      </w:r>
    </w:p>
    <w:p>
      <w:pPr>
        <w:pStyle w:val="a5"/>
        <w:spacing w:after="0"/>
        <w:ind w:firstLine="703"/>
        <w:jc w:val="both"/>
        <w:rPr>
          <w:sz w:val="24"/>
          <w:szCs w:val="24"/>
        </w:rPr>
      </w:pPr>
      <w:r>
        <w:rPr>
          <w:sz w:val="24"/>
          <w:szCs w:val="24"/>
        </w:rPr>
        <w:t>На территории ЗАТО Северск реализуется одно из основных направлений бюджетной политики в части планирования бюджетных ассигнований и исполнения расходов бюджета по предоставлению субсидий муниципальным бюджетным, автономным учреждениям, связанных с оказанием ими муниципальных услуг (выполнением работ), на иные цели.</w:t>
      </w:r>
    </w:p>
    <w:p>
      <w:pPr>
        <w:pStyle w:val="a5"/>
        <w:spacing w:after="0"/>
        <w:ind w:firstLine="703"/>
        <w:jc w:val="both"/>
        <w:rPr>
          <w:sz w:val="24"/>
          <w:szCs w:val="24"/>
        </w:rPr>
      </w:pPr>
      <w:r>
        <w:rPr>
          <w:sz w:val="24"/>
          <w:szCs w:val="24"/>
        </w:rPr>
        <w:lastRenderedPageBreak/>
        <w:t xml:space="preserve">Расходы бюджета ЗАТО Северск на финансовое обеспечение муниципальных заданий составили 2 738 928,50 тыс.руб., или 58 % от общей суммы расходов бюджета ЗАТО Северск. </w:t>
      </w:r>
    </w:p>
    <w:p>
      <w:pPr>
        <w:pStyle w:val="a5"/>
        <w:spacing w:before="60" w:after="60"/>
        <w:ind w:firstLine="703"/>
        <w:jc w:val="both"/>
        <w:rPr>
          <w:color w:val="000000"/>
          <w:sz w:val="24"/>
          <w:szCs w:val="24"/>
        </w:rPr>
      </w:pPr>
      <w:r>
        <w:rPr>
          <w:color w:val="000000"/>
          <w:sz w:val="24"/>
          <w:szCs w:val="24"/>
        </w:rPr>
        <w:t>Таблица 45. Структура расходов субсидий на муниципальное задание и на иные цели в 2020 году</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9"/>
        <w:gridCol w:w="1417"/>
        <w:gridCol w:w="1276"/>
        <w:gridCol w:w="723"/>
        <w:gridCol w:w="1225"/>
        <w:gridCol w:w="1312"/>
        <w:gridCol w:w="709"/>
      </w:tblGrid>
      <w:tr>
        <w:trPr>
          <w:trHeight w:val="300"/>
        </w:trPr>
        <w:tc>
          <w:tcPr>
            <w:tcW w:w="2709" w:type="dxa"/>
            <w:vMerge w:val="restart"/>
            <w:shd w:val="clear" w:color="auto" w:fill="auto"/>
            <w:noWrap/>
            <w:vAlign w:val="center"/>
          </w:tcPr>
          <w:p>
            <w:pPr>
              <w:jc w:val="center"/>
            </w:pPr>
            <w:r>
              <w:t>Направление расходов</w:t>
            </w:r>
          </w:p>
        </w:tc>
        <w:tc>
          <w:tcPr>
            <w:tcW w:w="3416" w:type="dxa"/>
            <w:gridSpan w:val="3"/>
            <w:shd w:val="clear" w:color="auto" w:fill="auto"/>
            <w:vAlign w:val="center"/>
          </w:tcPr>
          <w:p>
            <w:pPr>
              <w:jc w:val="center"/>
            </w:pPr>
            <w:r>
              <w:t>Субсидии на мун.задание</w:t>
            </w:r>
          </w:p>
        </w:tc>
        <w:tc>
          <w:tcPr>
            <w:tcW w:w="3246" w:type="dxa"/>
            <w:gridSpan w:val="3"/>
            <w:shd w:val="clear" w:color="auto" w:fill="auto"/>
            <w:vAlign w:val="center"/>
          </w:tcPr>
          <w:p>
            <w:pPr>
              <w:jc w:val="center"/>
            </w:pPr>
            <w:r>
              <w:t>Целевые субсидии</w:t>
            </w:r>
          </w:p>
        </w:tc>
      </w:tr>
      <w:tr>
        <w:trPr>
          <w:cantSplit/>
          <w:trHeight w:val="1155"/>
        </w:trPr>
        <w:tc>
          <w:tcPr>
            <w:tcW w:w="2709" w:type="dxa"/>
            <w:vMerge/>
            <w:vAlign w:val="center"/>
          </w:tcPr>
          <w:p/>
        </w:tc>
        <w:tc>
          <w:tcPr>
            <w:tcW w:w="1417" w:type="dxa"/>
            <w:shd w:val="clear" w:color="auto" w:fill="auto"/>
            <w:vAlign w:val="center"/>
          </w:tcPr>
          <w:p>
            <w:pPr>
              <w:ind w:left="-108" w:right="-108"/>
              <w:jc w:val="center"/>
            </w:pPr>
            <w:r>
              <w:t xml:space="preserve">Утверждено на 2020 год, тыс.руб. </w:t>
            </w:r>
          </w:p>
        </w:tc>
        <w:tc>
          <w:tcPr>
            <w:tcW w:w="1276" w:type="dxa"/>
            <w:shd w:val="clear" w:color="auto" w:fill="auto"/>
            <w:vAlign w:val="center"/>
          </w:tcPr>
          <w:p>
            <w:pPr>
              <w:jc w:val="center"/>
            </w:pPr>
            <w:r>
              <w:t>Исполнено за 2020год, тыс.руб.</w:t>
            </w:r>
          </w:p>
        </w:tc>
        <w:tc>
          <w:tcPr>
            <w:tcW w:w="723" w:type="dxa"/>
            <w:shd w:val="clear" w:color="auto" w:fill="auto"/>
            <w:textDirection w:val="btLr"/>
            <w:vAlign w:val="center"/>
          </w:tcPr>
          <w:p>
            <w:pPr>
              <w:ind w:left="113" w:right="113"/>
              <w:jc w:val="center"/>
            </w:pPr>
            <w:r>
              <w:t>Удельный вес статьи, %</w:t>
            </w:r>
          </w:p>
        </w:tc>
        <w:tc>
          <w:tcPr>
            <w:tcW w:w="1225" w:type="dxa"/>
            <w:shd w:val="clear" w:color="auto" w:fill="auto"/>
            <w:vAlign w:val="center"/>
          </w:tcPr>
          <w:p>
            <w:pPr>
              <w:ind w:left="-108" w:right="-108"/>
              <w:jc w:val="center"/>
            </w:pPr>
            <w:r>
              <w:t>Утверждено на 2020 год, тыс.руб.</w:t>
            </w:r>
          </w:p>
        </w:tc>
        <w:tc>
          <w:tcPr>
            <w:tcW w:w="1312" w:type="dxa"/>
            <w:shd w:val="clear" w:color="auto" w:fill="auto"/>
            <w:vAlign w:val="center"/>
          </w:tcPr>
          <w:p>
            <w:pPr>
              <w:jc w:val="center"/>
            </w:pPr>
            <w:r>
              <w:t>Исполнено за 2020 год, тыс.руб.</w:t>
            </w:r>
          </w:p>
        </w:tc>
        <w:tc>
          <w:tcPr>
            <w:tcW w:w="709" w:type="dxa"/>
            <w:shd w:val="clear" w:color="auto" w:fill="auto"/>
            <w:textDirection w:val="btLr"/>
            <w:vAlign w:val="center"/>
          </w:tcPr>
          <w:p>
            <w:pPr>
              <w:ind w:left="113" w:right="113"/>
              <w:jc w:val="center"/>
            </w:pPr>
            <w:r>
              <w:t>Удельный вес статьи, %</w:t>
            </w:r>
          </w:p>
        </w:tc>
      </w:tr>
      <w:tr>
        <w:trPr>
          <w:trHeight w:val="300"/>
        </w:trPr>
        <w:tc>
          <w:tcPr>
            <w:tcW w:w="2709" w:type="dxa"/>
            <w:shd w:val="clear" w:color="auto" w:fill="auto"/>
            <w:noWrap/>
            <w:vAlign w:val="center"/>
          </w:tcPr>
          <w:p>
            <w:r>
              <w:t>Всего расходов, в т.ч.</w:t>
            </w:r>
          </w:p>
        </w:tc>
        <w:tc>
          <w:tcPr>
            <w:tcW w:w="1417" w:type="dxa"/>
            <w:shd w:val="clear" w:color="auto" w:fill="auto"/>
            <w:vAlign w:val="center"/>
          </w:tcPr>
          <w:p>
            <w:pPr>
              <w:jc w:val="right"/>
              <w:rPr>
                <w:bCs/>
              </w:rPr>
            </w:pPr>
            <w:r>
              <w:rPr>
                <w:bCs/>
              </w:rPr>
              <w:t>2 738 928,50</w:t>
            </w:r>
          </w:p>
        </w:tc>
        <w:tc>
          <w:tcPr>
            <w:tcW w:w="1276" w:type="dxa"/>
            <w:shd w:val="clear" w:color="auto" w:fill="auto"/>
            <w:vAlign w:val="center"/>
          </w:tcPr>
          <w:p>
            <w:pPr>
              <w:jc w:val="right"/>
              <w:rPr>
                <w:bCs/>
                <w:highlight w:val="yellow"/>
              </w:rPr>
            </w:pPr>
            <w:r>
              <w:rPr>
                <w:bCs/>
              </w:rPr>
              <w:t>2 738 928,50</w:t>
            </w:r>
          </w:p>
        </w:tc>
        <w:tc>
          <w:tcPr>
            <w:tcW w:w="723" w:type="dxa"/>
            <w:shd w:val="clear" w:color="auto" w:fill="auto"/>
            <w:vAlign w:val="center"/>
          </w:tcPr>
          <w:p>
            <w:pPr>
              <w:ind w:left="-67" w:right="-108"/>
              <w:jc w:val="center"/>
              <w:rPr>
                <w:highlight w:val="yellow"/>
              </w:rPr>
            </w:pPr>
            <w:r>
              <w:t>100,0</w:t>
            </w:r>
          </w:p>
        </w:tc>
        <w:tc>
          <w:tcPr>
            <w:tcW w:w="1225" w:type="dxa"/>
            <w:shd w:val="clear" w:color="auto" w:fill="auto"/>
            <w:vAlign w:val="center"/>
          </w:tcPr>
          <w:p>
            <w:pPr>
              <w:jc w:val="right"/>
            </w:pPr>
            <w:r>
              <w:t>652 198,64</w:t>
            </w:r>
          </w:p>
        </w:tc>
        <w:tc>
          <w:tcPr>
            <w:tcW w:w="1312" w:type="dxa"/>
            <w:shd w:val="clear" w:color="auto" w:fill="auto"/>
            <w:vAlign w:val="center"/>
          </w:tcPr>
          <w:p>
            <w:pPr>
              <w:jc w:val="right"/>
            </w:pPr>
            <w:r>
              <w:t>640 448,61</w:t>
            </w:r>
          </w:p>
        </w:tc>
        <w:tc>
          <w:tcPr>
            <w:tcW w:w="709" w:type="dxa"/>
            <w:shd w:val="clear" w:color="auto" w:fill="auto"/>
            <w:vAlign w:val="center"/>
          </w:tcPr>
          <w:p>
            <w:pPr>
              <w:ind w:left="-102" w:right="-108"/>
              <w:jc w:val="center"/>
            </w:pPr>
            <w:r>
              <w:t>100,0</w:t>
            </w:r>
          </w:p>
        </w:tc>
      </w:tr>
      <w:tr>
        <w:trPr>
          <w:trHeight w:val="300"/>
        </w:trPr>
        <w:tc>
          <w:tcPr>
            <w:tcW w:w="2709" w:type="dxa"/>
            <w:shd w:val="clear" w:color="auto" w:fill="auto"/>
            <w:noWrap/>
            <w:vAlign w:val="center"/>
          </w:tcPr>
          <w:p>
            <w:pPr>
              <w:ind w:left="-93" w:right="-108"/>
              <w:rPr>
                <w:sz w:val="22"/>
                <w:szCs w:val="22"/>
                <w:lang w:val="en-US"/>
              </w:rPr>
            </w:pPr>
            <w:r>
              <w:rPr>
                <w:sz w:val="22"/>
                <w:szCs w:val="22"/>
                <w:lang w:val="en-US"/>
              </w:rPr>
              <w:t xml:space="preserve">  </w:t>
            </w:r>
            <w:r>
              <w:rPr>
                <w:sz w:val="22"/>
                <w:szCs w:val="22"/>
              </w:rPr>
              <w:t>Оплата труда и</w:t>
            </w:r>
          </w:p>
          <w:p>
            <w:pPr>
              <w:ind w:left="-93" w:right="-108"/>
              <w:rPr>
                <w:sz w:val="22"/>
                <w:szCs w:val="22"/>
              </w:rPr>
            </w:pPr>
            <w:r>
              <w:rPr>
                <w:sz w:val="22"/>
                <w:szCs w:val="22"/>
                <w:lang w:val="en-US"/>
              </w:rPr>
              <w:t xml:space="preserve">  </w:t>
            </w:r>
            <w:r>
              <w:rPr>
                <w:sz w:val="22"/>
                <w:szCs w:val="22"/>
              </w:rPr>
              <w:t>начисления</w:t>
            </w:r>
          </w:p>
        </w:tc>
        <w:tc>
          <w:tcPr>
            <w:tcW w:w="1417" w:type="dxa"/>
            <w:shd w:val="clear" w:color="auto" w:fill="auto"/>
            <w:noWrap/>
            <w:vAlign w:val="center"/>
          </w:tcPr>
          <w:p>
            <w:pPr>
              <w:jc w:val="right"/>
              <w:rPr>
                <w:sz w:val="24"/>
                <w:szCs w:val="24"/>
              </w:rPr>
            </w:pPr>
            <w:r>
              <w:t>2 180 325,07</w:t>
            </w:r>
          </w:p>
        </w:tc>
        <w:tc>
          <w:tcPr>
            <w:tcW w:w="1276" w:type="dxa"/>
            <w:shd w:val="clear" w:color="auto" w:fill="auto"/>
            <w:noWrap/>
            <w:vAlign w:val="center"/>
          </w:tcPr>
          <w:p>
            <w:pPr>
              <w:jc w:val="right"/>
              <w:rPr>
                <w:sz w:val="24"/>
                <w:szCs w:val="24"/>
              </w:rPr>
            </w:pPr>
            <w:r>
              <w:t>2 180 325,07</w:t>
            </w:r>
          </w:p>
        </w:tc>
        <w:tc>
          <w:tcPr>
            <w:tcW w:w="723" w:type="dxa"/>
            <w:shd w:val="clear" w:color="auto" w:fill="auto"/>
            <w:noWrap/>
            <w:vAlign w:val="center"/>
          </w:tcPr>
          <w:p>
            <w:pPr>
              <w:jc w:val="center"/>
            </w:pPr>
            <w:r>
              <w:t>79,6</w:t>
            </w:r>
          </w:p>
        </w:tc>
        <w:tc>
          <w:tcPr>
            <w:tcW w:w="1225" w:type="dxa"/>
            <w:shd w:val="clear" w:color="auto" w:fill="auto"/>
            <w:noWrap/>
            <w:vAlign w:val="center"/>
          </w:tcPr>
          <w:p>
            <w:pPr>
              <w:jc w:val="right"/>
            </w:pPr>
            <w:r>
              <w:t>425 841,11</w:t>
            </w:r>
          </w:p>
        </w:tc>
        <w:tc>
          <w:tcPr>
            <w:tcW w:w="1312" w:type="dxa"/>
            <w:shd w:val="clear" w:color="auto" w:fill="auto"/>
            <w:noWrap/>
            <w:vAlign w:val="center"/>
          </w:tcPr>
          <w:p>
            <w:pPr>
              <w:jc w:val="right"/>
            </w:pPr>
            <w:r>
              <w:t>422 370,51</w:t>
            </w:r>
          </w:p>
        </w:tc>
        <w:tc>
          <w:tcPr>
            <w:tcW w:w="709" w:type="dxa"/>
            <w:shd w:val="clear" w:color="auto" w:fill="auto"/>
            <w:noWrap/>
            <w:vAlign w:val="center"/>
          </w:tcPr>
          <w:p>
            <w:pPr>
              <w:jc w:val="center"/>
            </w:pPr>
            <w:r>
              <w:t>66</w:t>
            </w:r>
          </w:p>
        </w:tc>
      </w:tr>
      <w:tr>
        <w:trPr>
          <w:trHeight w:val="300"/>
        </w:trPr>
        <w:tc>
          <w:tcPr>
            <w:tcW w:w="2709" w:type="dxa"/>
            <w:shd w:val="clear" w:color="auto" w:fill="auto"/>
            <w:noWrap/>
            <w:vAlign w:val="center"/>
          </w:tcPr>
          <w:p>
            <w:pPr>
              <w:rPr>
                <w:sz w:val="22"/>
                <w:szCs w:val="22"/>
              </w:rPr>
            </w:pPr>
            <w:r>
              <w:rPr>
                <w:sz w:val="22"/>
                <w:szCs w:val="22"/>
              </w:rPr>
              <w:t>Оплата коммунальных услуг</w:t>
            </w:r>
          </w:p>
        </w:tc>
        <w:tc>
          <w:tcPr>
            <w:tcW w:w="1417" w:type="dxa"/>
            <w:shd w:val="clear" w:color="auto" w:fill="auto"/>
            <w:noWrap/>
            <w:vAlign w:val="center"/>
          </w:tcPr>
          <w:p>
            <w:pPr>
              <w:jc w:val="right"/>
              <w:rPr>
                <w:sz w:val="24"/>
                <w:szCs w:val="24"/>
              </w:rPr>
            </w:pPr>
            <w:r>
              <w:t>195 361,17</w:t>
            </w:r>
          </w:p>
        </w:tc>
        <w:tc>
          <w:tcPr>
            <w:tcW w:w="1276" w:type="dxa"/>
            <w:shd w:val="clear" w:color="auto" w:fill="auto"/>
            <w:noWrap/>
            <w:vAlign w:val="center"/>
          </w:tcPr>
          <w:p>
            <w:pPr>
              <w:jc w:val="right"/>
              <w:rPr>
                <w:sz w:val="24"/>
                <w:szCs w:val="24"/>
              </w:rPr>
            </w:pPr>
            <w:r>
              <w:t>195 361,17</w:t>
            </w:r>
          </w:p>
        </w:tc>
        <w:tc>
          <w:tcPr>
            <w:tcW w:w="723" w:type="dxa"/>
            <w:shd w:val="clear" w:color="auto" w:fill="auto"/>
            <w:noWrap/>
            <w:vAlign w:val="center"/>
          </w:tcPr>
          <w:p>
            <w:pPr>
              <w:jc w:val="center"/>
            </w:pPr>
            <w:r>
              <w:t>7,1</w:t>
            </w:r>
          </w:p>
        </w:tc>
        <w:tc>
          <w:tcPr>
            <w:tcW w:w="1225" w:type="dxa"/>
            <w:shd w:val="clear" w:color="auto" w:fill="auto"/>
            <w:noWrap/>
            <w:vAlign w:val="center"/>
          </w:tcPr>
          <w:p>
            <w:pPr>
              <w:jc w:val="right"/>
            </w:pPr>
            <w:r>
              <w:t>3 103,49</w:t>
            </w:r>
          </w:p>
        </w:tc>
        <w:tc>
          <w:tcPr>
            <w:tcW w:w="1312" w:type="dxa"/>
            <w:shd w:val="clear" w:color="auto" w:fill="auto"/>
            <w:noWrap/>
            <w:vAlign w:val="center"/>
          </w:tcPr>
          <w:p>
            <w:pPr>
              <w:jc w:val="right"/>
            </w:pPr>
            <w:r>
              <w:t>3 103,48</w:t>
            </w:r>
          </w:p>
        </w:tc>
        <w:tc>
          <w:tcPr>
            <w:tcW w:w="709" w:type="dxa"/>
            <w:shd w:val="clear" w:color="auto" w:fill="auto"/>
            <w:noWrap/>
            <w:vAlign w:val="center"/>
          </w:tcPr>
          <w:p>
            <w:pPr>
              <w:jc w:val="center"/>
            </w:pPr>
            <w:r>
              <w:t>0,5</w:t>
            </w:r>
          </w:p>
        </w:tc>
      </w:tr>
      <w:tr>
        <w:trPr>
          <w:trHeight w:val="300"/>
        </w:trPr>
        <w:tc>
          <w:tcPr>
            <w:tcW w:w="2709" w:type="dxa"/>
            <w:shd w:val="clear" w:color="auto" w:fill="auto"/>
            <w:noWrap/>
            <w:vAlign w:val="center"/>
          </w:tcPr>
          <w:p>
            <w:pPr>
              <w:rPr>
                <w:sz w:val="22"/>
                <w:szCs w:val="22"/>
              </w:rPr>
            </w:pPr>
            <w:r>
              <w:rPr>
                <w:sz w:val="22"/>
                <w:szCs w:val="22"/>
              </w:rPr>
              <w:t>Приобретение оборудования</w:t>
            </w:r>
          </w:p>
        </w:tc>
        <w:tc>
          <w:tcPr>
            <w:tcW w:w="1417" w:type="dxa"/>
            <w:shd w:val="clear" w:color="auto" w:fill="auto"/>
            <w:noWrap/>
            <w:vAlign w:val="center"/>
          </w:tcPr>
          <w:p>
            <w:pPr>
              <w:jc w:val="right"/>
              <w:rPr>
                <w:sz w:val="24"/>
                <w:szCs w:val="24"/>
              </w:rPr>
            </w:pPr>
            <w:r>
              <w:t>14 046,88</w:t>
            </w:r>
          </w:p>
        </w:tc>
        <w:tc>
          <w:tcPr>
            <w:tcW w:w="1276" w:type="dxa"/>
            <w:shd w:val="clear" w:color="auto" w:fill="auto"/>
            <w:noWrap/>
            <w:vAlign w:val="center"/>
          </w:tcPr>
          <w:p>
            <w:pPr>
              <w:jc w:val="right"/>
              <w:rPr>
                <w:sz w:val="24"/>
                <w:szCs w:val="24"/>
              </w:rPr>
            </w:pPr>
            <w:r>
              <w:t>14 046,88</w:t>
            </w:r>
          </w:p>
        </w:tc>
        <w:tc>
          <w:tcPr>
            <w:tcW w:w="723" w:type="dxa"/>
            <w:shd w:val="clear" w:color="auto" w:fill="auto"/>
            <w:noWrap/>
            <w:vAlign w:val="center"/>
          </w:tcPr>
          <w:p>
            <w:pPr>
              <w:jc w:val="center"/>
            </w:pPr>
            <w:r>
              <w:t>0,6</w:t>
            </w:r>
          </w:p>
        </w:tc>
        <w:tc>
          <w:tcPr>
            <w:tcW w:w="1225" w:type="dxa"/>
            <w:shd w:val="clear" w:color="auto" w:fill="auto"/>
            <w:noWrap/>
            <w:vAlign w:val="center"/>
          </w:tcPr>
          <w:p>
            <w:pPr>
              <w:jc w:val="right"/>
            </w:pPr>
            <w:r>
              <w:t>60 464,19</w:t>
            </w:r>
          </w:p>
        </w:tc>
        <w:tc>
          <w:tcPr>
            <w:tcW w:w="1312" w:type="dxa"/>
            <w:shd w:val="clear" w:color="auto" w:fill="auto"/>
            <w:noWrap/>
            <w:vAlign w:val="center"/>
          </w:tcPr>
          <w:p>
            <w:pPr>
              <w:jc w:val="right"/>
            </w:pPr>
            <w:r>
              <w:t>60 312,06</w:t>
            </w:r>
          </w:p>
        </w:tc>
        <w:tc>
          <w:tcPr>
            <w:tcW w:w="709" w:type="dxa"/>
            <w:shd w:val="clear" w:color="auto" w:fill="auto"/>
            <w:noWrap/>
            <w:vAlign w:val="center"/>
          </w:tcPr>
          <w:p>
            <w:pPr>
              <w:jc w:val="center"/>
            </w:pPr>
            <w:r>
              <w:t>9,4</w:t>
            </w:r>
          </w:p>
        </w:tc>
      </w:tr>
      <w:tr>
        <w:trPr>
          <w:trHeight w:val="315"/>
        </w:trPr>
        <w:tc>
          <w:tcPr>
            <w:tcW w:w="2709" w:type="dxa"/>
            <w:shd w:val="clear" w:color="auto" w:fill="auto"/>
            <w:noWrap/>
            <w:vAlign w:val="center"/>
          </w:tcPr>
          <w:p>
            <w:pPr>
              <w:ind w:left="-93" w:right="-108"/>
              <w:rPr>
                <w:sz w:val="22"/>
                <w:szCs w:val="22"/>
              </w:rPr>
            </w:pPr>
            <w:r>
              <w:rPr>
                <w:sz w:val="22"/>
                <w:szCs w:val="22"/>
              </w:rPr>
              <w:t xml:space="preserve">  Прочие расходы</w:t>
            </w:r>
          </w:p>
        </w:tc>
        <w:tc>
          <w:tcPr>
            <w:tcW w:w="1417" w:type="dxa"/>
            <w:shd w:val="clear" w:color="auto" w:fill="auto"/>
            <w:noWrap/>
            <w:vAlign w:val="center"/>
          </w:tcPr>
          <w:p>
            <w:pPr>
              <w:jc w:val="right"/>
            </w:pPr>
            <w:r>
              <w:t>349 195,38</w:t>
            </w:r>
          </w:p>
        </w:tc>
        <w:tc>
          <w:tcPr>
            <w:tcW w:w="1276" w:type="dxa"/>
            <w:shd w:val="clear" w:color="auto" w:fill="auto"/>
            <w:noWrap/>
            <w:vAlign w:val="center"/>
          </w:tcPr>
          <w:p>
            <w:pPr>
              <w:jc w:val="right"/>
            </w:pPr>
            <w:r>
              <w:t>349 195,38</w:t>
            </w:r>
          </w:p>
        </w:tc>
        <w:tc>
          <w:tcPr>
            <w:tcW w:w="723" w:type="dxa"/>
            <w:shd w:val="clear" w:color="auto" w:fill="auto"/>
            <w:noWrap/>
            <w:vAlign w:val="center"/>
          </w:tcPr>
          <w:p>
            <w:pPr>
              <w:jc w:val="center"/>
            </w:pPr>
            <w:r>
              <w:t>12,7</w:t>
            </w:r>
          </w:p>
        </w:tc>
        <w:tc>
          <w:tcPr>
            <w:tcW w:w="1225" w:type="dxa"/>
            <w:shd w:val="clear" w:color="auto" w:fill="auto"/>
            <w:noWrap/>
            <w:vAlign w:val="center"/>
          </w:tcPr>
          <w:p>
            <w:pPr>
              <w:jc w:val="right"/>
            </w:pPr>
            <w:r>
              <w:t>162 789,85</w:t>
            </w:r>
          </w:p>
        </w:tc>
        <w:tc>
          <w:tcPr>
            <w:tcW w:w="1312" w:type="dxa"/>
            <w:shd w:val="clear" w:color="auto" w:fill="auto"/>
            <w:noWrap/>
            <w:vAlign w:val="center"/>
          </w:tcPr>
          <w:p>
            <w:pPr>
              <w:jc w:val="right"/>
            </w:pPr>
            <w:r>
              <w:t>154 662,56</w:t>
            </w:r>
          </w:p>
        </w:tc>
        <w:tc>
          <w:tcPr>
            <w:tcW w:w="709" w:type="dxa"/>
            <w:shd w:val="clear" w:color="auto" w:fill="auto"/>
            <w:noWrap/>
            <w:vAlign w:val="center"/>
          </w:tcPr>
          <w:p>
            <w:pPr>
              <w:jc w:val="center"/>
            </w:pPr>
            <w:r>
              <w:t>24,1</w:t>
            </w:r>
          </w:p>
        </w:tc>
      </w:tr>
    </w:tbl>
    <w:p>
      <w:pPr>
        <w:pStyle w:val="a5"/>
        <w:spacing w:after="0"/>
        <w:ind w:firstLine="703"/>
        <w:jc w:val="both"/>
        <w:rPr>
          <w:sz w:val="24"/>
          <w:szCs w:val="24"/>
        </w:rPr>
      </w:pPr>
      <w:r>
        <w:rPr>
          <w:sz w:val="24"/>
          <w:szCs w:val="24"/>
        </w:rPr>
        <w:t>Наибольший удельный вес в структуре расходов, осуществляемых учреждениями за счет средств субсидий на муниципальные задания, занимают расходы на оплату труда и отчисления во внебюджетные государственныйе фонды – 80 %; соответственно, на оплату коммунальных услуг, уплату налогов, организацию питания и иных расходов для обеспечения текущей деятельности учреждений расходуется 20 %.</w:t>
      </w:r>
    </w:p>
    <w:p>
      <w:pPr>
        <w:pStyle w:val="a5"/>
        <w:spacing w:after="0"/>
        <w:ind w:firstLine="703"/>
        <w:jc w:val="both"/>
        <w:rPr>
          <w:color w:val="000000" w:themeColor="text1"/>
          <w:sz w:val="24"/>
          <w:szCs w:val="24"/>
        </w:rPr>
      </w:pPr>
      <w:r>
        <w:rPr>
          <w:color w:val="000000" w:themeColor="text1"/>
          <w:sz w:val="24"/>
          <w:szCs w:val="24"/>
        </w:rPr>
        <w:t xml:space="preserve">В сравнении с 2019 годом расходы </w:t>
      </w:r>
      <w:r>
        <w:rPr>
          <w:sz w:val="24"/>
          <w:szCs w:val="24"/>
        </w:rPr>
        <w:t>на финансовое обеспечение муниципальных заданий</w:t>
      </w:r>
      <w:r>
        <w:rPr>
          <w:color w:val="000000" w:themeColor="text1"/>
          <w:sz w:val="24"/>
          <w:szCs w:val="24"/>
        </w:rPr>
        <w:t xml:space="preserve"> в 2020 году увеличились на 188 802,02 тыс.руб.  </w:t>
      </w:r>
    </w:p>
    <w:p>
      <w:pPr>
        <w:pStyle w:val="a5"/>
        <w:spacing w:after="0"/>
        <w:ind w:firstLine="703"/>
        <w:jc w:val="both"/>
        <w:rPr>
          <w:sz w:val="24"/>
          <w:szCs w:val="24"/>
          <w:highlight w:val="yellow"/>
        </w:rPr>
      </w:pPr>
      <w:r>
        <w:rPr>
          <w:sz w:val="24"/>
          <w:szCs w:val="24"/>
        </w:rPr>
        <w:t xml:space="preserve">По результатам исполнения планов финансово-хозяйственной деятельности на 01.01.2021 на счетах учреждений образованы остатки, по субсидиям на выполнение </w:t>
      </w:r>
      <w:r>
        <w:rPr>
          <w:color w:val="0D0D0D" w:themeColor="text1" w:themeTint="F2"/>
          <w:sz w:val="24"/>
          <w:szCs w:val="24"/>
        </w:rPr>
        <w:t>муниципальных заданий, в объеме 40 643,60 тыс.руб.</w:t>
      </w:r>
    </w:p>
    <w:p>
      <w:pPr>
        <w:pStyle w:val="a5"/>
        <w:spacing w:after="0"/>
        <w:ind w:firstLine="703"/>
        <w:jc w:val="both"/>
        <w:rPr>
          <w:sz w:val="24"/>
          <w:szCs w:val="24"/>
        </w:rPr>
      </w:pPr>
      <w:r>
        <w:rPr>
          <w:sz w:val="24"/>
          <w:szCs w:val="24"/>
        </w:rPr>
        <w:t>В структуре расходов средств субсидий на муниципальные задания наибольшую долю занимают учреждения дошкольного образования и общеобразовательные учреждения (34,5 % и 32,3 % соответственно).</w:t>
      </w:r>
    </w:p>
    <w:p>
      <w:pPr>
        <w:pStyle w:val="a5"/>
        <w:spacing w:after="0"/>
        <w:rPr>
          <w:noProof/>
          <w:sz w:val="16"/>
          <w:szCs w:val="16"/>
          <w:highlight w:val="yellow"/>
        </w:rPr>
      </w:pPr>
      <w:r>
        <w:rPr>
          <w:noProof/>
          <w:sz w:val="16"/>
          <w:szCs w:val="16"/>
        </w:rPr>
        <w:drawing>
          <wp:inline distT="0" distB="0" distL="0" distR="0">
            <wp:extent cx="5823585" cy="3616411"/>
            <wp:effectExtent l="19050" t="0" r="571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pStyle w:val="a5"/>
        <w:spacing w:after="0"/>
        <w:jc w:val="center"/>
        <w:rPr>
          <w:noProof/>
          <w:sz w:val="24"/>
          <w:szCs w:val="24"/>
        </w:rPr>
      </w:pPr>
      <w:r>
        <w:rPr>
          <w:noProof/>
          <w:sz w:val="24"/>
          <w:szCs w:val="24"/>
        </w:rPr>
        <w:t>Рисунок 10. Структура расходов на финансовое обеспечение</w:t>
      </w:r>
    </w:p>
    <w:p>
      <w:pPr>
        <w:shd w:val="clear" w:color="auto" w:fill="FFFFFF"/>
        <w:spacing w:before="5"/>
        <w:ind w:right="10"/>
        <w:jc w:val="center"/>
        <w:rPr>
          <w:noProof/>
          <w:sz w:val="24"/>
          <w:szCs w:val="24"/>
        </w:rPr>
      </w:pPr>
      <w:r>
        <w:rPr>
          <w:noProof/>
          <w:sz w:val="24"/>
          <w:szCs w:val="24"/>
        </w:rPr>
        <w:t>муниципальных заданий по типам учреждений</w:t>
      </w:r>
    </w:p>
    <w:p>
      <w:pPr>
        <w:spacing w:after="120"/>
        <w:ind w:right="57"/>
        <w:jc w:val="center"/>
        <w:rPr>
          <w:b/>
          <w:sz w:val="24"/>
          <w:szCs w:val="24"/>
          <w:highlight w:val="yellow"/>
        </w:rPr>
      </w:pPr>
    </w:p>
    <w:p>
      <w:pPr>
        <w:spacing w:after="120"/>
        <w:ind w:right="57"/>
        <w:jc w:val="center"/>
        <w:rPr>
          <w:b/>
          <w:sz w:val="24"/>
          <w:szCs w:val="24"/>
        </w:rPr>
      </w:pPr>
      <w:r>
        <w:rPr>
          <w:b/>
          <w:sz w:val="24"/>
          <w:szCs w:val="24"/>
        </w:rPr>
        <w:t>4.1.3. Информация об исполнении дорожного фонда ЗАТО Северск</w:t>
      </w:r>
    </w:p>
    <w:p>
      <w:pPr>
        <w:ind w:firstLine="709"/>
        <w:jc w:val="both"/>
        <w:rPr>
          <w:sz w:val="24"/>
          <w:szCs w:val="24"/>
        </w:rPr>
      </w:pPr>
      <w:r>
        <w:rPr>
          <w:sz w:val="24"/>
          <w:szCs w:val="24"/>
        </w:rPr>
        <w:t xml:space="preserve">Плановый годовой объем доходов дорожного фонда на 2020 год составил                 125 663,26 тыс. руб.; исполнение за 2020 год 125 764,38 тыс. руб. или 100,1% от годового прогноза. </w:t>
      </w:r>
    </w:p>
    <w:p>
      <w:pPr>
        <w:ind w:firstLine="709"/>
        <w:jc w:val="both"/>
        <w:rPr>
          <w:sz w:val="24"/>
          <w:szCs w:val="24"/>
        </w:rPr>
      </w:pPr>
      <w:r>
        <w:rPr>
          <w:sz w:val="24"/>
          <w:szCs w:val="24"/>
        </w:rPr>
        <w:t xml:space="preserve">Плановый годовой объем бюджетных ассигнований дорожного фонда предусмотрен в сумме 341 747,44 тыс.руб. Исполнение дорожного фонда составило        340 783,24  тыс. руб. или 99,7% от годового плана. </w:t>
      </w:r>
    </w:p>
    <w:p>
      <w:pPr>
        <w:ind w:firstLine="709"/>
        <w:jc w:val="both"/>
        <w:rPr>
          <w:sz w:val="24"/>
          <w:szCs w:val="24"/>
        </w:rPr>
      </w:pPr>
      <w:r>
        <w:rPr>
          <w:sz w:val="24"/>
          <w:szCs w:val="24"/>
        </w:rPr>
        <w:t xml:space="preserve">Основные направления расходования бюджетных ассигнований по реализации мероприятий: </w:t>
      </w:r>
    </w:p>
    <w:p>
      <w:pPr>
        <w:ind w:firstLine="709"/>
        <w:jc w:val="both"/>
        <w:rPr>
          <w:sz w:val="24"/>
          <w:szCs w:val="24"/>
        </w:rPr>
      </w:pPr>
      <w:r>
        <w:rPr>
          <w:sz w:val="24"/>
          <w:szCs w:val="24"/>
        </w:rPr>
        <w:t>- по участию в региональном проекте «Дорожная сеть» в сумме 160 000,00 тыс.руб.;</w:t>
      </w:r>
    </w:p>
    <w:p>
      <w:pPr>
        <w:ind w:firstLine="709"/>
        <w:jc w:val="both"/>
        <w:rPr>
          <w:sz w:val="24"/>
          <w:szCs w:val="24"/>
        </w:rPr>
      </w:pPr>
      <w:r>
        <w:rPr>
          <w:sz w:val="24"/>
          <w:szCs w:val="24"/>
        </w:rPr>
        <w:t>- ведомственной целевой программы «Организация мероприятий по текущему содержанию и ремонту объектов улично-дорожной сети и внешнего благоустройства» МБЭУ в сумме 135 824,92 тыс. руб.;</w:t>
      </w:r>
    </w:p>
    <w:p>
      <w:pPr>
        <w:ind w:firstLine="709"/>
        <w:jc w:val="both"/>
        <w:rPr>
          <w:sz w:val="24"/>
          <w:szCs w:val="24"/>
        </w:rPr>
      </w:pPr>
      <w:r>
        <w:rPr>
          <w:sz w:val="24"/>
          <w:szCs w:val="24"/>
        </w:rPr>
        <w:t>-  ведомственной целевой программы «Организация мероприятий по текущему содержанию и ремонту объектов улично-дорожной сети и внешнего благоустройства»      в сумме 21 908,07 тыс.руб.;</w:t>
      </w:r>
    </w:p>
    <w:p>
      <w:pPr>
        <w:ind w:firstLine="709"/>
        <w:jc w:val="both"/>
        <w:rPr>
          <w:sz w:val="24"/>
          <w:szCs w:val="24"/>
        </w:rPr>
      </w:pPr>
      <w:r>
        <w:rPr>
          <w:sz w:val="24"/>
          <w:szCs w:val="24"/>
        </w:rPr>
        <w:t>- ведомственной целевой программы «Содержание и ремонт улично-дорожной сети внегородских территорий ЗАТО Северск» в сумме 9 751,03 тыс.руб.;</w:t>
      </w:r>
    </w:p>
    <w:p>
      <w:pPr>
        <w:ind w:firstLine="709"/>
        <w:jc w:val="both"/>
        <w:rPr>
          <w:sz w:val="24"/>
          <w:szCs w:val="24"/>
        </w:rPr>
      </w:pPr>
      <w:r>
        <w:rPr>
          <w:sz w:val="24"/>
          <w:szCs w:val="24"/>
        </w:rPr>
        <w:t>- подпрограммы «Повышение безопасности дорожного движения на территории ЗАТО Северск» в сумме 8 739,12 тыс. руб.;</w:t>
      </w:r>
    </w:p>
    <w:p>
      <w:pPr>
        <w:ind w:firstLine="709"/>
        <w:jc w:val="both"/>
        <w:rPr>
          <w:sz w:val="24"/>
          <w:szCs w:val="24"/>
        </w:rPr>
      </w:pPr>
      <w:r>
        <w:rPr>
          <w:sz w:val="24"/>
          <w:szCs w:val="24"/>
        </w:rPr>
        <w:t>- ведомственной целевой программы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 МБЭУ в сумме 1 761,73 тыс. руб;</w:t>
      </w:r>
    </w:p>
    <w:p>
      <w:pPr>
        <w:ind w:firstLine="709"/>
        <w:jc w:val="both"/>
        <w:rPr>
          <w:sz w:val="24"/>
          <w:szCs w:val="24"/>
        </w:rPr>
      </w:pPr>
      <w:r>
        <w:rPr>
          <w:sz w:val="24"/>
          <w:szCs w:val="24"/>
        </w:rPr>
        <w:t>- ведомственной целевой программы «Организация уличного освещения                  и текущего содержания электрооборудования объектов благоустройства и объектов дорожного обустройства ЗАТО Северск» МБЭУ в сумме 1 685,44 тыс.руб.;</w:t>
      </w:r>
    </w:p>
    <w:p>
      <w:pPr>
        <w:ind w:firstLine="709"/>
        <w:jc w:val="both"/>
        <w:rPr>
          <w:sz w:val="24"/>
          <w:szCs w:val="24"/>
        </w:rPr>
      </w:pPr>
      <w:r>
        <w:rPr>
          <w:sz w:val="24"/>
          <w:szCs w:val="24"/>
        </w:rPr>
        <w:t xml:space="preserve">Дефицит средств дорожного фонда восполнялся за счет доходов бюджета ЗАТО Северск, получаемых в виде налоговых и неналоговых поступлений и сумм дотаций. </w:t>
      </w:r>
    </w:p>
    <w:p>
      <w:pPr>
        <w:ind w:right="57" w:firstLine="709"/>
        <w:jc w:val="center"/>
        <w:rPr>
          <w:b/>
          <w:bCs/>
          <w:sz w:val="24"/>
          <w:szCs w:val="24"/>
          <w:highlight w:val="yellow"/>
        </w:rPr>
      </w:pPr>
    </w:p>
    <w:p>
      <w:pPr>
        <w:ind w:right="55"/>
        <w:jc w:val="center"/>
        <w:rPr>
          <w:b/>
          <w:bCs/>
          <w:sz w:val="24"/>
          <w:szCs w:val="24"/>
        </w:rPr>
      </w:pPr>
      <w:r>
        <w:rPr>
          <w:b/>
          <w:bCs/>
          <w:sz w:val="24"/>
          <w:szCs w:val="24"/>
        </w:rPr>
        <w:t>4.1.4. Информация по резервным фондам Администрации ЗАТО Северск</w:t>
      </w:r>
    </w:p>
    <w:p>
      <w:pPr>
        <w:tabs>
          <w:tab w:val="left" w:pos="5529"/>
        </w:tabs>
        <w:spacing w:before="120"/>
        <w:ind w:firstLine="709"/>
        <w:jc w:val="both"/>
        <w:rPr>
          <w:sz w:val="24"/>
          <w:szCs w:val="24"/>
        </w:rPr>
      </w:pPr>
      <w:r>
        <w:rPr>
          <w:sz w:val="24"/>
          <w:szCs w:val="24"/>
        </w:rPr>
        <w:t>Общий объем утвержденных резервных фондов Администрации ЗАТО Северск составляет 10 759,64 тыс. руб., в том числе:</w:t>
      </w:r>
    </w:p>
    <w:p>
      <w:pPr>
        <w:tabs>
          <w:tab w:val="left" w:pos="5529"/>
        </w:tabs>
        <w:ind w:firstLine="709"/>
        <w:jc w:val="both"/>
        <w:rPr>
          <w:sz w:val="24"/>
          <w:szCs w:val="24"/>
        </w:rPr>
      </w:pPr>
      <w:r>
        <w:rPr>
          <w:sz w:val="24"/>
          <w:szCs w:val="24"/>
        </w:rPr>
        <w:t>- резервный фонд Администрации ЗАТО Северск по предупреждению, ликвидации чрезвычайных ситуаций и последствий стихийных бедствий – 1 595,14 тыс. руб.</w:t>
      </w:r>
    </w:p>
    <w:p>
      <w:pPr>
        <w:tabs>
          <w:tab w:val="left" w:pos="5529"/>
        </w:tabs>
        <w:ind w:firstLine="709"/>
        <w:jc w:val="both"/>
        <w:rPr>
          <w:sz w:val="24"/>
          <w:szCs w:val="24"/>
        </w:rPr>
      </w:pPr>
      <w:r>
        <w:rPr>
          <w:sz w:val="24"/>
          <w:szCs w:val="24"/>
        </w:rPr>
        <w:t>- фонд непредвиденных расходов Администрации ЗАТО Северск (далее – ФНР) – 9 164,50 тыс. руб.</w:t>
      </w:r>
    </w:p>
    <w:p>
      <w:pPr>
        <w:tabs>
          <w:tab w:val="left" w:pos="5529"/>
        </w:tabs>
        <w:ind w:firstLine="709"/>
        <w:jc w:val="both"/>
        <w:rPr>
          <w:sz w:val="24"/>
          <w:szCs w:val="24"/>
        </w:rPr>
      </w:pPr>
      <w:r>
        <w:rPr>
          <w:sz w:val="24"/>
          <w:szCs w:val="24"/>
        </w:rPr>
        <w:t>Удельный вес резервных фондов Администрации ЗАТО Северск в общем объеме расходов бюджета ЗАТО Северск составляет 0,2%.</w:t>
      </w:r>
    </w:p>
    <w:p>
      <w:pPr>
        <w:ind w:firstLine="709"/>
        <w:jc w:val="both"/>
        <w:rPr>
          <w:sz w:val="24"/>
          <w:szCs w:val="24"/>
        </w:rPr>
      </w:pPr>
      <w:r>
        <w:rPr>
          <w:sz w:val="24"/>
          <w:szCs w:val="24"/>
        </w:rPr>
        <w:t>Исполнение расходов за счет средств ФНР составило 8 241,50 тыс. руб. Средства фонда были направлены на приобретение программного обеспечения системы видео-конференц-связи и веб-камер в целях предупреждения распространения новой коронавирусной инфекции (COVID-19), на выплату единовременных пособий лицам, замещавшим муниципальные должности, при прекращении полномочий в связи с истечением их срока и на выплату однократного единовременного поощрения в связи с прекращением муниципальной службы (выходом на пенсию).</w:t>
      </w:r>
    </w:p>
    <w:p>
      <w:pPr>
        <w:ind w:firstLine="709"/>
        <w:jc w:val="both"/>
        <w:rPr>
          <w:sz w:val="24"/>
          <w:szCs w:val="24"/>
        </w:rPr>
      </w:pPr>
      <w:r>
        <w:rPr>
          <w:sz w:val="24"/>
          <w:szCs w:val="24"/>
        </w:rPr>
        <w:t>Исполнение расходов за счет средств резервного фонда Администрации ЗАТО Северск по предупреждению, ликвидации чрезвычайных ситуаций и последствий стихийных бедствий составило 1 588,43 тыс.руб. Средства фонда были направлены на</w:t>
      </w:r>
      <w:r>
        <w:t xml:space="preserve"> п</w:t>
      </w:r>
      <w:r>
        <w:rPr>
          <w:sz w:val="24"/>
          <w:szCs w:val="24"/>
        </w:rPr>
        <w:t xml:space="preserve">риобретение материалов для проведения обработки дезинфицирующими средствами </w:t>
      </w:r>
      <w:r>
        <w:rPr>
          <w:sz w:val="24"/>
          <w:szCs w:val="24"/>
        </w:rPr>
        <w:lastRenderedPageBreak/>
        <w:t>мест общего пользования в многоквартирных домах, улиц г. Северска, в целях профилактики нераспространения новой коронавирусной инфекции.</w:t>
      </w:r>
    </w:p>
    <w:p>
      <w:pPr>
        <w:spacing w:after="120"/>
        <w:ind w:firstLine="709"/>
        <w:jc w:val="center"/>
        <w:rPr>
          <w:b/>
          <w:bCs/>
          <w:sz w:val="16"/>
          <w:szCs w:val="16"/>
        </w:rPr>
      </w:pPr>
    </w:p>
    <w:p>
      <w:pPr>
        <w:spacing w:after="120"/>
        <w:ind w:firstLine="709"/>
        <w:jc w:val="center"/>
        <w:rPr>
          <w:sz w:val="24"/>
          <w:szCs w:val="24"/>
        </w:rPr>
      </w:pPr>
      <w:r>
        <w:rPr>
          <w:b/>
          <w:bCs/>
          <w:sz w:val="24"/>
          <w:szCs w:val="24"/>
        </w:rPr>
        <w:t>4.1.5. Информация об исполнении программ</w:t>
      </w:r>
    </w:p>
    <w:p>
      <w:pPr>
        <w:widowControl w:val="0"/>
        <w:ind w:right="57" w:firstLine="709"/>
        <w:jc w:val="both"/>
        <w:rPr>
          <w:bCs/>
          <w:sz w:val="24"/>
          <w:szCs w:val="24"/>
        </w:rPr>
      </w:pPr>
      <w:r>
        <w:rPr>
          <w:bCs/>
          <w:sz w:val="24"/>
          <w:szCs w:val="24"/>
        </w:rPr>
        <w:t xml:space="preserve">В 2020 году бюджет ЗАТО Северск исполнялся по программно-целевому методу, программные расходы на реализацию 18 программ при плане </w:t>
      </w:r>
      <w:r>
        <w:rPr>
          <w:sz w:val="24"/>
          <w:szCs w:val="24"/>
        </w:rPr>
        <w:t xml:space="preserve">4 466 433,08 </w:t>
      </w:r>
      <w:r>
        <w:rPr>
          <w:bCs/>
          <w:sz w:val="24"/>
          <w:szCs w:val="24"/>
        </w:rPr>
        <w:t xml:space="preserve">тыс.руб. составили </w:t>
      </w:r>
      <w:r>
        <w:rPr>
          <w:sz w:val="24"/>
          <w:szCs w:val="24"/>
        </w:rPr>
        <w:t xml:space="preserve">4 401 028,63 </w:t>
      </w:r>
      <w:r>
        <w:rPr>
          <w:bCs/>
          <w:sz w:val="24"/>
          <w:szCs w:val="24"/>
        </w:rPr>
        <w:t>тыс.руб. или 98,5% к плану года.</w:t>
      </w:r>
    </w:p>
    <w:p>
      <w:pPr>
        <w:spacing w:before="60" w:after="60"/>
        <w:ind w:right="57" w:firstLine="709"/>
        <w:rPr>
          <w:bCs/>
          <w:sz w:val="24"/>
          <w:szCs w:val="24"/>
        </w:rPr>
      </w:pPr>
      <w:r>
        <w:rPr>
          <w:bCs/>
          <w:sz w:val="24"/>
          <w:szCs w:val="24"/>
        </w:rPr>
        <w:t>Таблица 46. Анализ расходов в разрезе программ</w:t>
      </w:r>
    </w:p>
    <w:tbl>
      <w:tblPr>
        <w:tblW w:w="93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678"/>
        <w:gridCol w:w="1275"/>
        <w:gridCol w:w="1277"/>
        <w:gridCol w:w="850"/>
        <w:gridCol w:w="708"/>
      </w:tblGrid>
      <w:tr>
        <w:trPr>
          <w:trHeight w:val="804"/>
        </w:trPr>
        <w:tc>
          <w:tcPr>
            <w:tcW w:w="582" w:type="dxa"/>
            <w:vAlign w:val="center"/>
          </w:tcPr>
          <w:p>
            <w:pPr>
              <w:jc w:val="center"/>
            </w:pPr>
            <w:r>
              <w:t>№ п/п</w:t>
            </w:r>
          </w:p>
        </w:tc>
        <w:tc>
          <w:tcPr>
            <w:tcW w:w="4678" w:type="dxa"/>
            <w:shd w:val="clear" w:color="auto" w:fill="auto"/>
            <w:vAlign w:val="center"/>
          </w:tcPr>
          <w:p>
            <w:pPr>
              <w:jc w:val="center"/>
            </w:pPr>
            <w:r>
              <w:t>Наименование программы</w:t>
            </w:r>
          </w:p>
        </w:tc>
        <w:tc>
          <w:tcPr>
            <w:tcW w:w="1275" w:type="dxa"/>
            <w:shd w:val="clear" w:color="auto" w:fill="auto"/>
            <w:vAlign w:val="center"/>
          </w:tcPr>
          <w:p>
            <w:pPr>
              <w:jc w:val="center"/>
              <w:rPr>
                <w:sz w:val="18"/>
                <w:szCs w:val="18"/>
              </w:rPr>
            </w:pPr>
            <w:r>
              <w:rPr>
                <w:sz w:val="18"/>
                <w:szCs w:val="18"/>
              </w:rPr>
              <w:t>Уточненный план</w:t>
            </w:r>
            <w:r>
              <w:rPr>
                <w:sz w:val="18"/>
                <w:szCs w:val="18"/>
              </w:rPr>
              <w:br/>
              <w:t>2020 г., тыс.руб.</w:t>
            </w:r>
          </w:p>
        </w:tc>
        <w:tc>
          <w:tcPr>
            <w:tcW w:w="1277" w:type="dxa"/>
            <w:shd w:val="clear" w:color="auto" w:fill="auto"/>
            <w:vAlign w:val="center"/>
          </w:tcPr>
          <w:p>
            <w:pPr>
              <w:jc w:val="center"/>
              <w:rPr>
                <w:sz w:val="18"/>
                <w:szCs w:val="18"/>
              </w:rPr>
            </w:pPr>
            <w:r>
              <w:rPr>
                <w:sz w:val="18"/>
                <w:szCs w:val="18"/>
              </w:rPr>
              <w:t>Исполнено</w:t>
            </w:r>
          </w:p>
          <w:p>
            <w:pPr>
              <w:ind w:right="-42"/>
              <w:jc w:val="center"/>
              <w:rPr>
                <w:sz w:val="18"/>
                <w:szCs w:val="18"/>
              </w:rPr>
            </w:pPr>
            <w:r>
              <w:rPr>
                <w:sz w:val="18"/>
                <w:szCs w:val="18"/>
              </w:rPr>
              <w:t>за 2020 г., тыс.руб.</w:t>
            </w:r>
          </w:p>
        </w:tc>
        <w:tc>
          <w:tcPr>
            <w:tcW w:w="850" w:type="dxa"/>
            <w:shd w:val="clear" w:color="auto" w:fill="auto"/>
            <w:vAlign w:val="center"/>
          </w:tcPr>
          <w:p>
            <w:pPr>
              <w:jc w:val="center"/>
              <w:rPr>
                <w:sz w:val="18"/>
                <w:szCs w:val="18"/>
              </w:rPr>
            </w:pPr>
            <w:r>
              <w:rPr>
                <w:sz w:val="18"/>
                <w:szCs w:val="18"/>
              </w:rPr>
              <w:t>Испол-нение, %</w:t>
            </w:r>
          </w:p>
        </w:tc>
        <w:tc>
          <w:tcPr>
            <w:tcW w:w="708" w:type="dxa"/>
            <w:vAlign w:val="center"/>
          </w:tcPr>
          <w:p>
            <w:pPr>
              <w:jc w:val="center"/>
              <w:rPr>
                <w:sz w:val="18"/>
                <w:szCs w:val="18"/>
              </w:rPr>
            </w:pPr>
            <w:r>
              <w:rPr>
                <w:sz w:val="18"/>
                <w:szCs w:val="18"/>
              </w:rPr>
              <w:t>Уд. вес,</w:t>
            </w:r>
          </w:p>
          <w:p>
            <w:pPr>
              <w:ind w:right="-109"/>
              <w:jc w:val="center"/>
              <w:rPr>
                <w:sz w:val="18"/>
                <w:szCs w:val="18"/>
              </w:rPr>
            </w:pPr>
            <w:r>
              <w:rPr>
                <w:sz w:val="18"/>
                <w:szCs w:val="18"/>
              </w:rPr>
              <w:t>%</w:t>
            </w:r>
          </w:p>
        </w:tc>
      </w:tr>
      <w:tr>
        <w:trPr>
          <w:trHeight w:val="255"/>
        </w:trPr>
        <w:tc>
          <w:tcPr>
            <w:tcW w:w="582" w:type="dxa"/>
            <w:vAlign w:val="center"/>
          </w:tcPr>
          <w:p>
            <w:pPr>
              <w:ind w:left="-108" w:right="-108"/>
              <w:jc w:val="center"/>
            </w:pPr>
            <w:r>
              <w:t>1</w:t>
            </w:r>
          </w:p>
        </w:tc>
        <w:tc>
          <w:tcPr>
            <w:tcW w:w="4678" w:type="dxa"/>
            <w:shd w:val="clear" w:color="auto" w:fill="auto"/>
            <w:vAlign w:val="center"/>
          </w:tcPr>
          <w:p>
            <w:pPr>
              <w:ind w:left="34" w:right="-108"/>
              <w:jc w:val="center"/>
            </w:pPr>
            <w:r>
              <w:t>2</w:t>
            </w:r>
          </w:p>
        </w:tc>
        <w:tc>
          <w:tcPr>
            <w:tcW w:w="1275" w:type="dxa"/>
            <w:shd w:val="clear" w:color="auto" w:fill="auto"/>
            <w:noWrap/>
            <w:vAlign w:val="center"/>
          </w:tcPr>
          <w:p>
            <w:pPr>
              <w:jc w:val="center"/>
            </w:pPr>
            <w:r>
              <w:t>3</w:t>
            </w:r>
          </w:p>
        </w:tc>
        <w:tc>
          <w:tcPr>
            <w:tcW w:w="1277" w:type="dxa"/>
            <w:shd w:val="clear" w:color="auto" w:fill="auto"/>
            <w:noWrap/>
            <w:vAlign w:val="center"/>
          </w:tcPr>
          <w:p>
            <w:pPr>
              <w:jc w:val="center"/>
            </w:pPr>
            <w:r>
              <w:t>4</w:t>
            </w:r>
          </w:p>
        </w:tc>
        <w:tc>
          <w:tcPr>
            <w:tcW w:w="850" w:type="dxa"/>
            <w:shd w:val="clear" w:color="auto" w:fill="auto"/>
            <w:noWrap/>
            <w:vAlign w:val="center"/>
          </w:tcPr>
          <w:p>
            <w:pPr>
              <w:jc w:val="center"/>
            </w:pPr>
            <w:r>
              <w:t>5</w:t>
            </w:r>
          </w:p>
        </w:tc>
        <w:tc>
          <w:tcPr>
            <w:tcW w:w="708" w:type="dxa"/>
            <w:vAlign w:val="center"/>
          </w:tcPr>
          <w:p>
            <w:pPr>
              <w:jc w:val="center"/>
            </w:pPr>
            <w:r>
              <w:t>6</w:t>
            </w:r>
          </w:p>
        </w:tc>
      </w:tr>
      <w:tr>
        <w:trPr>
          <w:trHeight w:val="255"/>
        </w:trPr>
        <w:tc>
          <w:tcPr>
            <w:tcW w:w="582" w:type="dxa"/>
            <w:vAlign w:val="center"/>
          </w:tcPr>
          <w:p>
            <w:pPr>
              <w:ind w:left="-108" w:right="-108"/>
              <w:jc w:val="center"/>
            </w:pPr>
            <w:r>
              <w:t>1.</w:t>
            </w:r>
          </w:p>
        </w:tc>
        <w:tc>
          <w:tcPr>
            <w:tcW w:w="4678" w:type="dxa"/>
            <w:shd w:val="clear" w:color="auto" w:fill="auto"/>
            <w:vAlign w:val="center"/>
          </w:tcPr>
          <w:p>
            <w:pPr>
              <w:ind w:left="34" w:right="-108"/>
            </w:pPr>
            <w:r>
              <w:t xml:space="preserve">МП </w:t>
            </w:r>
            <w:r>
              <w:rPr>
                <w:bCs/>
              </w:rPr>
              <w:t>«Развитие предпринимательства в ЗАТО Северск»</w:t>
            </w:r>
          </w:p>
        </w:tc>
        <w:tc>
          <w:tcPr>
            <w:tcW w:w="1275" w:type="dxa"/>
            <w:shd w:val="clear" w:color="auto" w:fill="auto"/>
            <w:noWrap/>
            <w:vAlign w:val="center"/>
          </w:tcPr>
          <w:p>
            <w:pPr>
              <w:jc w:val="right"/>
              <w:rPr>
                <w:bCs/>
              </w:rPr>
            </w:pPr>
            <w:r>
              <w:rPr>
                <w:bCs/>
              </w:rPr>
              <w:t>53 221,19</w:t>
            </w:r>
          </w:p>
        </w:tc>
        <w:tc>
          <w:tcPr>
            <w:tcW w:w="1277" w:type="dxa"/>
            <w:shd w:val="clear" w:color="auto" w:fill="auto"/>
            <w:noWrap/>
            <w:vAlign w:val="center"/>
          </w:tcPr>
          <w:p>
            <w:pPr>
              <w:jc w:val="right"/>
              <w:rPr>
                <w:bCs/>
              </w:rPr>
            </w:pPr>
            <w:r>
              <w:rPr>
                <w:bCs/>
              </w:rPr>
              <w:t>50 085,91</w:t>
            </w:r>
          </w:p>
        </w:tc>
        <w:tc>
          <w:tcPr>
            <w:tcW w:w="850" w:type="dxa"/>
            <w:shd w:val="clear" w:color="auto" w:fill="auto"/>
            <w:noWrap/>
            <w:vAlign w:val="center"/>
          </w:tcPr>
          <w:p>
            <w:pPr>
              <w:jc w:val="right"/>
              <w:rPr>
                <w:bCs/>
              </w:rPr>
            </w:pPr>
            <w:r>
              <w:rPr>
                <w:bCs/>
              </w:rPr>
              <w:t>94,1</w:t>
            </w:r>
          </w:p>
        </w:tc>
        <w:tc>
          <w:tcPr>
            <w:tcW w:w="708" w:type="dxa"/>
            <w:vAlign w:val="center"/>
          </w:tcPr>
          <w:p>
            <w:pPr>
              <w:jc w:val="right"/>
              <w:rPr>
                <w:sz w:val="24"/>
                <w:szCs w:val="24"/>
              </w:rPr>
            </w:pPr>
            <w:r>
              <w:t>1,1</w:t>
            </w:r>
          </w:p>
        </w:tc>
      </w:tr>
      <w:tr>
        <w:trPr>
          <w:trHeight w:val="199"/>
        </w:trPr>
        <w:tc>
          <w:tcPr>
            <w:tcW w:w="582" w:type="dxa"/>
            <w:vAlign w:val="center"/>
          </w:tcPr>
          <w:p>
            <w:pPr>
              <w:ind w:left="-108" w:right="-108"/>
              <w:jc w:val="center"/>
            </w:pPr>
            <w:r>
              <w:t>2.</w:t>
            </w:r>
          </w:p>
        </w:tc>
        <w:tc>
          <w:tcPr>
            <w:tcW w:w="4678" w:type="dxa"/>
            <w:shd w:val="clear" w:color="auto" w:fill="auto"/>
            <w:vAlign w:val="center"/>
          </w:tcPr>
          <w:p>
            <w:pPr>
              <w:ind w:left="34" w:right="-108"/>
            </w:pPr>
            <w:r>
              <w:t xml:space="preserve">МП </w:t>
            </w:r>
            <w:r>
              <w:rPr>
                <w:bCs/>
              </w:rPr>
              <w:t>«Развитие физической культуры и спорта в ЗАТО Северск»</w:t>
            </w:r>
          </w:p>
        </w:tc>
        <w:tc>
          <w:tcPr>
            <w:tcW w:w="1275" w:type="dxa"/>
            <w:shd w:val="clear" w:color="auto" w:fill="auto"/>
            <w:noWrap/>
            <w:vAlign w:val="center"/>
          </w:tcPr>
          <w:p>
            <w:pPr>
              <w:jc w:val="right"/>
              <w:rPr>
                <w:bCs/>
              </w:rPr>
            </w:pPr>
            <w:r>
              <w:rPr>
                <w:bCs/>
              </w:rPr>
              <w:t>394 046,90</w:t>
            </w:r>
          </w:p>
        </w:tc>
        <w:tc>
          <w:tcPr>
            <w:tcW w:w="1277" w:type="dxa"/>
            <w:shd w:val="clear" w:color="auto" w:fill="auto"/>
            <w:noWrap/>
            <w:vAlign w:val="center"/>
          </w:tcPr>
          <w:p>
            <w:pPr>
              <w:jc w:val="right"/>
              <w:rPr>
                <w:bCs/>
              </w:rPr>
            </w:pPr>
            <w:r>
              <w:rPr>
                <w:bCs/>
              </w:rPr>
              <w:t>394 046,89</w:t>
            </w:r>
          </w:p>
        </w:tc>
        <w:tc>
          <w:tcPr>
            <w:tcW w:w="850" w:type="dxa"/>
            <w:shd w:val="clear" w:color="auto" w:fill="auto"/>
            <w:noWrap/>
            <w:vAlign w:val="center"/>
          </w:tcPr>
          <w:p>
            <w:pPr>
              <w:jc w:val="right"/>
              <w:rPr>
                <w:bCs/>
              </w:rPr>
            </w:pPr>
            <w:r>
              <w:rPr>
                <w:bCs/>
              </w:rPr>
              <w:t>100,0</w:t>
            </w:r>
          </w:p>
        </w:tc>
        <w:tc>
          <w:tcPr>
            <w:tcW w:w="708" w:type="dxa"/>
            <w:vAlign w:val="center"/>
          </w:tcPr>
          <w:p>
            <w:pPr>
              <w:jc w:val="right"/>
              <w:rPr>
                <w:sz w:val="24"/>
                <w:szCs w:val="24"/>
              </w:rPr>
            </w:pPr>
            <w:r>
              <w:t>9,0</w:t>
            </w:r>
          </w:p>
        </w:tc>
      </w:tr>
      <w:tr>
        <w:trPr>
          <w:trHeight w:val="255"/>
        </w:trPr>
        <w:tc>
          <w:tcPr>
            <w:tcW w:w="582" w:type="dxa"/>
            <w:vAlign w:val="center"/>
          </w:tcPr>
          <w:p>
            <w:pPr>
              <w:ind w:left="-108" w:right="-108"/>
              <w:jc w:val="center"/>
            </w:pPr>
            <w:r>
              <w:t>3.</w:t>
            </w:r>
          </w:p>
        </w:tc>
        <w:tc>
          <w:tcPr>
            <w:tcW w:w="4678" w:type="dxa"/>
            <w:shd w:val="clear" w:color="auto" w:fill="auto"/>
            <w:vAlign w:val="center"/>
          </w:tcPr>
          <w:p>
            <w:pPr>
              <w:ind w:left="34" w:right="-108"/>
            </w:pPr>
            <w:r>
              <w:t xml:space="preserve">МП </w:t>
            </w:r>
            <w:r>
              <w:rPr>
                <w:bCs/>
              </w:rPr>
              <w:t>«Молодежная политика в ЗАТО Северск»</w:t>
            </w:r>
          </w:p>
        </w:tc>
        <w:tc>
          <w:tcPr>
            <w:tcW w:w="1275" w:type="dxa"/>
            <w:shd w:val="clear" w:color="auto" w:fill="auto"/>
            <w:noWrap/>
            <w:vAlign w:val="center"/>
          </w:tcPr>
          <w:p>
            <w:pPr>
              <w:jc w:val="right"/>
              <w:rPr>
                <w:bCs/>
              </w:rPr>
            </w:pPr>
            <w:r>
              <w:rPr>
                <w:bCs/>
              </w:rPr>
              <w:t>82 655,99</w:t>
            </w:r>
          </w:p>
        </w:tc>
        <w:tc>
          <w:tcPr>
            <w:tcW w:w="1277" w:type="dxa"/>
            <w:shd w:val="clear" w:color="auto" w:fill="auto"/>
            <w:noWrap/>
            <w:vAlign w:val="center"/>
          </w:tcPr>
          <w:p>
            <w:pPr>
              <w:jc w:val="right"/>
              <w:rPr>
                <w:bCs/>
              </w:rPr>
            </w:pPr>
            <w:r>
              <w:rPr>
                <w:bCs/>
              </w:rPr>
              <w:t>82 630,58</w:t>
            </w:r>
          </w:p>
        </w:tc>
        <w:tc>
          <w:tcPr>
            <w:tcW w:w="850" w:type="dxa"/>
            <w:shd w:val="clear" w:color="auto" w:fill="auto"/>
            <w:noWrap/>
            <w:vAlign w:val="center"/>
          </w:tcPr>
          <w:p>
            <w:pPr>
              <w:jc w:val="right"/>
              <w:rPr>
                <w:bCs/>
              </w:rPr>
            </w:pPr>
            <w:r>
              <w:rPr>
                <w:bCs/>
              </w:rPr>
              <w:t>100,0</w:t>
            </w:r>
          </w:p>
        </w:tc>
        <w:tc>
          <w:tcPr>
            <w:tcW w:w="708" w:type="dxa"/>
            <w:vAlign w:val="center"/>
          </w:tcPr>
          <w:p>
            <w:pPr>
              <w:jc w:val="right"/>
              <w:rPr>
                <w:sz w:val="24"/>
                <w:szCs w:val="24"/>
              </w:rPr>
            </w:pPr>
            <w:r>
              <w:t>1,9</w:t>
            </w:r>
          </w:p>
        </w:tc>
      </w:tr>
      <w:tr>
        <w:trPr>
          <w:trHeight w:val="255"/>
        </w:trPr>
        <w:tc>
          <w:tcPr>
            <w:tcW w:w="582" w:type="dxa"/>
            <w:vAlign w:val="center"/>
          </w:tcPr>
          <w:p>
            <w:pPr>
              <w:ind w:left="-108" w:right="-108"/>
              <w:jc w:val="center"/>
            </w:pPr>
            <w:r>
              <w:t>4.</w:t>
            </w:r>
          </w:p>
        </w:tc>
        <w:tc>
          <w:tcPr>
            <w:tcW w:w="4678" w:type="dxa"/>
            <w:shd w:val="clear" w:color="auto" w:fill="auto"/>
            <w:vAlign w:val="center"/>
          </w:tcPr>
          <w:p>
            <w:pPr>
              <w:ind w:left="34" w:right="-108"/>
            </w:pPr>
            <w:r>
              <w:t xml:space="preserve">МП </w:t>
            </w:r>
            <w:r>
              <w:rPr>
                <w:bCs/>
              </w:rPr>
              <w:t>«Развитие культуры и туризма в ЗАТО Северск»</w:t>
            </w:r>
          </w:p>
        </w:tc>
        <w:tc>
          <w:tcPr>
            <w:tcW w:w="1275" w:type="dxa"/>
            <w:shd w:val="clear" w:color="auto" w:fill="auto"/>
            <w:noWrap/>
            <w:vAlign w:val="center"/>
          </w:tcPr>
          <w:p>
            <w:pPr>
              <w:jc w:val="right"/>
              <w:rPr>
                <w:bCs/>
              </w:rPr>
            </w:pPr>
            <w:r>
              <w:rPr>
                <w:bCs/>
              </w:rPr>
              <w:t>539 181,52</w:t>
            </w:r>
          </w:p>
        </w:tc>
        <w:tc>
          <w:tcPr>
            <w:tcW w:w="1277" w:type="dxa"/>
            <w:shd w:val="clear" w:color="auto" w:fill="auto"/>
            <w:noWrap/>
            <w:vAlign w:val="center"/>
          </w:tcPr>
          <w:p>
            <w:pPr>
              <w:jc w:val="right"/>
              <w:rPr>
                <w:bCs/>
              </w:rPr>
            </w:pPr>
            <w:r>
              <w:rPr>
                <w:bCs/>
              </w:rPr>
              <w:t>535 155,34</w:t>
            </w:r>
          </w:p>
        </w:tc>
        <w:tc>
          <w:tcPr>
            <w:tcW w:w="850" w:type="dxa"/>
            <w:shd w:val="clear" w:color="auto" w:fill="auto"/>
            <w:noWrap/>
            <w:vAlign w:val="center"/>
          </w:tcPr>
          <w:p>
            <w:pPr>
              <w:jc w:val="right"/>
              <w:rPr>
                <w:bCs/>
              </w:rPr>
            </w:pPr>
            <w:r>
              <w:rPr>
                <w:bCs/>
              </w:rPr>
              <w:t>99,3</w:t>
            </w:r>
          </w:p>
        </w:tc>
        <w:tc>
          <w:tcPr>
            <w:tcW w:w="708" w:type="dxa"/>
            <w:vAlign w:val="center"/>
          </w:tcPr>
          <w:p>
            <w:pPr>
              <w:jc w:val="right"/>
              <w:rPr>
                <w:sz w:val="24"/>
                <w:szCs w:val="24"/>
              </w:rPr>
            </w:pPr>
            <w:r>
              <w:t>12,2</w:t>
            </w:r>
          </w:p>
        </w:tc>
      </w:tr>
      <w:tr>
        <w:trPr>
          <w:trHeight w:val="255"/>
        </w:trPr>
        <w:tc>
          <w:tcPr>
            <w:tcW w:w="582" w:type="dxa"/>
            <w:vAlign w:val="center"/>
          </w:tcPr>
          <w:p>
            <w:pPr>
              <w:ind w:left="-108" w:right="-108"/>
              <w:jc w:val="center"/>
            </w:pPr>
            <w:r>
              <w:t>5.</w:t>
            </w:r>
          </w:p>
        </w:tc>
        <w:tc>
          <w:tcPr>
            <w:tcW w:w="4678" w:type="dxa"/>
            <w:shd w:val="clear" w:color="auto" w:fill="auto"/>
            <w:vAlign w:val="center"/>
          </w:tcPr>
          <w:p>
            <w:pPr>
              <w:ind w:left="34" w:right="-108"/>
            </w:pPr>
            <w:r>
              <w:t xml:space="preserve">МП </w:t>
            </w:r>
            <w:r>
              <w:rPr>
                <w:bCs/>
              </w:rPr>
              <w:t>«Развитие образования в ЗАТО Северск»</w:t>
            </w:r>
          </w:p>
        </w:tc>
        <w:tc>
          <w:tcPr>
            <w:tcW w:w="1275" w:type="dxa"/>
            <w:shd w:val="clear" w:color="auto" w:fill="auto"/>
            <w:noWrap/>
            <w:vAlign w:val="center"/>
          </w:tcPr>
          <w:p>
            <w:pPr>
              <w:jc w:val="right"/>
              <w:rPr>
                <w:bCs/>
              </w:rPr>
            </w:pPr>
            <w:r>
              <w:rPr>
                <w:bCs/>
              </w:rPr>
              <w:t>2 295 422,98</w:t>
            </w:r>
          </w:p>
        </w:tc>
        <w:tc>
          <w:tcPr>
            <w:tcW w:w="1277" w:type="dxa"/>
            <w:shd w:val="clear" w:color="auto" w:fill="auto"/>
            <w:noWrap/>
            <w:vAlign w:val="center"/>
          </w:tcPr>
          <w:p>
            <w:pPr>
              <w:jc w:val="right"/>
              <w:rPr>
                <w:bCs/>
              </w:rPr>
            </w:pPr>
            <w:r>
              <w:rPr>
                <w:bCs/>
              </w:rPr>
              <w:t>2 286 092,94</w:t>
            </w:r>
          </w:p>
        </w:tc>
        <w:tc>
          <w:tcPr>
            <w:tcW w:w="850" w:type="dxa"/>
            <w:shd w:val="clear" w:color="auto" w:fill="auto"/>
            <w:noWrap/>
            <w:vAlign w:val="center"/>
          </w:tcPr>
          <w:p>
            <w:pPr>
              <w:jc w:val="right"/>
              <w:rPr>
                <w:bCs/>
              </w:rPr>
            </w:pPr>
            <w:r>
              <w:rPr>
                <w:bCs/>
              </w:rPr>
              <w:t>99,6</w:t>
            </w:r>
          </w:p>
        </w:tc>
        <w:tc>
          <w:tcPr>
            <w:tcW w:w="708" w:type="dxa"/>
            <w:vAlign w:val="center"/>
          </w:tcPr>
          <w:p>
            <w:pPr>
              <w:jc w:val="right"/>
              <w:rPr>
                <w:sz w:val="24"/>
                <w:szCs w:val="24"/>
              </w:rPr>
            </w:pPr>
            <w:r>
              <w:t>51,9</w:t>
            </w:r>
          </w:p>
        </w:tc>
      </w:tr>
      <w:tr>
        <w:trPr>
          <w:trHeight w:val="255"/>
        </w:trPr>
        <w:tc>
          <w:tcPr>
            <w:tcW w:w="582" w:type="dxa"/>
            <w:vAlign w:val="center"/>
          </w:tcPr>
          <w:p>
            <w:pPr>
              <w:ind w:left="-108" w:right="-108"/>
              <w:jc w:val="center"/>
            </w:pPr>
            <w:r>
              <w:t>6.</w:t>
            </w:r>
          </w:p>
        </w:tc>
        <w:tc>
          <w:tcPr>
            <w:tcW w:w="4678" w:type="dxa"/>
            <w:shd w:val="clear" w:color="auto" w:fill="auto"/>
            <w:vAlign w:val="center"/>
          </w:tcPr>
          <w:p>
            <w:pPr>
              <w:ind w:left="34" w:right="-108"/>
            </w:pPr>
            <w:r>
              <w:t>МП</w:t>
            </w:r>
            <w:r>
              <w:rPr>
                <w:bCs/>
              </w:rPr>
              <w:t xml:space="preserve"> «Социальная поддержка населения ЗАТО Северск»</w:t>
            </w:r>
          </w:p>
        </w:tc>
        <w:tc>
          <w:tcPr>
            <w:tcW w:w="1275" w:type="dxa"/>
            <w:shd w:val="clear" w:color="auto" w:fill="auto"/>
            <w:noWrap/>
            <w:vAlign w:val="center"/>
          </w:tcPr>
          <w:p>
            <w:pPr>
              <w:jc w:val="right"/>
              <w:rPr>
                <w:bCs/>
              </w:rPr>
            </w:pPr>
            <w:r>
              <w:rPr>
                <w:bCs/>
              </w:rPr>
              <w:t>98 334,46</w:t>
            </w:r>
          </w:p>
        </w:tc>
        <w:tc>
          <w:tcPr>
            <w:tcW w:w="1277" w:type="dxa"/>
            <w:shd w:val="clear" w:color="auto" w:fill="auto"/>
            <w:noWrap/>
            <w:vAlign w:val="center"/>
          </w:tcPr>
          <w:p>
            <w:pPr>
              <w:jc w:val="right"/>
              <w:rPr>
                <w:bCs/>
              </w:rPr>
            </w:pPr>
            <w:r>
              <w:rPr>
                <w:bCs/>
              </w:rPr>
              <w:t>97 028,37</w:t>
            </w:r>
          </w:p>
        </w:tc>
        <w:tc>
          <w:tcPr>
            <w:tcW w:w="850" w:type="dxa"/>
            <w:shd w:val="clear" w:color="auto" w:fill="auto"/>
            <w:noWrap/>
            <w:vAlign w:val="center"/>
          </w:tcPr>
          <w:p>
            <w:pPr>
              <w:jc w:val="right"/>
              <w:rPr>
                <w:bCs/>
              </w:rPr>
            </w:pPr>
            <w:r>
              <w:rPr>
                <w:bCs/>
              </w:rPr>
              <w:t>98,7</w:t>
            </w:r>
          </w:p>
        </w:tc>
        <w:tc>
          <w:tcPr>
            <w:tcW w:w="708" w:type="dxa"/>
            <w:vAlign w:val="center"/>
          </w:tcPr>
          <w:p>
            <w:pPr>
              <w:jc w:val="right"/>
              <w:rPr>
                <w:sz w:val="24"/>
                <w:szCs w:val="24"/>
              </w:rPr>
            </w:pPr>
            <w:r>
              <w:t>2,2</w:t>
            </w:r>
          </w:p>
        </w:tc>
      </w:tr>
      <w:tr>
        <w:trPr>
          <w:trHeight w:val="255"/>
        </w:trPr>
        <w:tc>
          <w:tcPr>
            <w:tcW w:w="582" w:type="dxa"/>
            <w:vAlign w:val="center"/>
          </w:tcPr>
          <w:p>
            <w:pPr>
              <w:ind w:left="-108" w:right="-108"/>
              <w:jc w:val="center"/>
            </w:pPr>
            <w:r>
              <w:t>7.</w:t>
            </w:r>
          </w:p>
        </w:tc>
        <w:tc>
          <w:tcPr>
            <w:tcW w:w="4678" w:type="dxa"/>
            <w:shd w:val="clear" w:color="auto" w:fill="auto"/>
            <w:vAlign w:val="center"/>
          </w:tcPr>
          <w:p>
            <w:pPr>
              <w:ind w:left="34" w:right="-108"/>
            </w:pPr>
            <w:r>
              <w:t>МП</w:t>
            </w:r>
            <w:r>
              <w:rPr>
                <w:bCs/>
              </w:rPr>
              <w:t xml:space="preserve"> «Улучшение качественного состояния объектов улично-дорожной сети, благоустройства и озеленения территории г.Северска»</w:t>
            </w:r>
          </w:p>
        </w:tc>
        <w:tc>
          <w:tcPr>
            <w:tcW w:w="1275" w:type="dxa"/>
            <w:shd w:val="clear" w:color="auto" w:fill="auto"/>
            <w:noWrap/>
            <w:vAlign w:val="center"/>
          </w:tcPr>
          <w:p>
            <w:pPr>
              <w:jc w:val="right"/>
              <w:rPr>
                <w:bCs/>
              </w:rPr>
            </w:pPr>
            <w:r>
              <w:rPr>
                <w:bCs/>
              </w:rPr>
              <w:t>558 316,61</w:t>
            </w:r>
          </w:p>
        </w:tc>
        <w:tc>
          <w:tcPr>
            <w:tcW w:w="1277" w:type="dxa"/>
            <w:shd w:val="clear" w:color="auto" w:fill="auto"/>
            <w:noWrap/>
            <w:vAlign w:val="center"/>
          </w:tcPr>
          <w:p>
            <w:pPr>
              <w:jc w:val="right"/>
              <w:rPr>
                <w:bCs/>
              </w:rPr>
            </w:pPr>
            <w:r>
              <w:rPr>
                <w:bCs/>
              </w:rPr>
              <w:t>553 128,90</w:t>
            </w:r>
          </w:p>
        </w:tc>
        <w:tc>
          <w:tcPr>
            <w:tcW w:w="850" w:type="dxa"/>
            <w:shd w:val="clear" w:color="auto" w:fill="auto"/>
            <w:noWrap/>
            <w:vAlign w:val="center"/>
          </w:tcPr>
          <w:p>
            <w:pPr>
              <w:jc w:val="right"/>
              <w:rPr>
                <w:bCs/>
              </w:rPr>
            </w:pPr>
            <w:r>
              <w:rPr>
                <w:bCs/>
              </w:rPr>
              <w:t>99,1</w:t>
            </w:r>
          </w:p>
        </w:tc>
        <w:tc>
          <w:tcPr>
            <w:tcW w:w="708" w:type="dxa"/>
            <w:vAlign w:val="center"/>
          </w:tcPr>
          <w:p>
            <w:pPr>
              <w:jc w:val="right"/>
              <w:rPr>
                <w:sz w:val="24"/>
                <w:szCs w:val="24"/>
              </w:rPr>
            </w:pPr>
            <w:r>
              <w:t>12,6</w:t>
            </w:r>
          </w:p>
        </w:tc>
      </w:tr>
      <w:tr>
        <w:trPr>
          <w:trHeight w:val="255"/>
        </w:trPr>
        <w:tc>
          <w:tcPr>
            <w:tcW w:w="582" w:type="dxa"/>
            <w:vAlign w:val="center"/>
          </w:tcPr>
          <w:p>
            <w:pPr>
              <w:ind w:left="-108" w:right="-108"/>
              <w:jc w:val="center"/>
            </w:pPr>
            <w:r>
              <w:t>8.</w:t>
            </w:r>
          </w:p>
        </w:tc>
        <w:tc>
          <w:tcPr>
            <w:tcW w:w="4678" w:type="dxa"/>
            <w:shd w:val="clear" w:color="auto" w:fill="auto"/>
            <w:vAlign w:val="center"/>
          </w:tcPr>
          <w:p>
            <w:pPr>
              <w:ind w:left="34" w:right="-108"/>
            </w:pPr>
            <w:r>
              <w:t>МП</w:t>
            </w:r>
            <w:r>
              <w:rPr>
                <w:bCs/>
              </w:rPr>
              <w:t xml:space="preserve"> «Повышение энергоэффективности в ЗАТО Северск»</w:t>
            </w:r>
          </w:p>
        </w:tc>
        <w:tc>
          <w:tcPr>
            <w:tcW w:w="1275" w:type="dxa"/>
            <w:shd w:val="clear" w:color="auto" w:fill="auto"/>
            <w:noWrap/>
            <w:vAlign w:val="center"/>
          </w:tcPr>
          <w:p>
            <w:pPr>
              <w:jc w:val="right"/>
              <w:rPr>
                <w:bCs/>
              </w:rPr>
            </w:pPr>
            <w:r>
              <w:rPr>
                <w:bCs/>
              </w:rPr>
              <w:t>42 923,79</w:t>
            </w:r>
          </w:p>
        </w:tc>
        <w:tc>
          <w:tcPr>
            <w:tcW w:w="1277" w:type="dxa"/>
            <w:shd w:val="clear" w:color="auto" w:fill="auto"/>
            <w:noWrap/>
            <w:vAlign w:val="center"/>
          </w:tcPr>
          <w:p>
            <w:pPr>
              <w:jc w:val="right"/>
              <w:rPr>
                <w:bCs/>
              </w:rPr>
            </w:pPr>
            <w:r>
              <w:rPr>
                <w:bCs/>
              </w:rPr>
              <w:t>35 262,90</w:t>
            </w:r>
          </w:p>
        </w:tc>
        <w:tc>
          <w:tcPr>
            <w:tcW w:w="850" w:type="dxa"/>
            <w:shd w:val="clear" w:color="auto" w:fill="auto"/>
            <w:noWrap/>
            <w:vAlign w:val="center"/>
          </w:tcPr>
          <w:p>
            <w:pPr>
              <w:jc w:val="right"/>
              <w:rPr>
                <w:bCs/>
              </w:rPr>
            </w:pPr>
            <w:r>
              <w:rPr>
                <w:bCs/>
              </w:rPr>
              <w:t>82,2</w:t>
            </w:r>
          </w:p>
        </w:tc>
        <w:tc>
          <w:tcPr>
            <w:tcW w:w="708" w:type="dxa"/>
            <w:vAlign w:val="center"/>
          </w:tcPr>
          <w:p>
            <w:pPr>
              <w:jc w:val="right"/>
              <w:rPr>
                <w:sz w:val="24"/>
                <w:szCs w:val="24"/>
              </w:rPr>
            </w:pPr>
            <w:r>
              <w:t>0,8</w:t>
            </w:r>
          </w:p>
        </w:tc>
      </w:tr>
      <w:tr>
        <w:trPr>
          <w:trHeight w:val="255"/>
        </w:trPr>
        <w:tc>
          <w:tcPr>
            <w:tcW w:w="582" w:type="dxa"/>
            <w:vAlign w:val="center"/>
          </w:tcPr>
          <w:p>
            <w:pPr>
              <w:ind w:left="-108" w:right="-108"/>
              <w:jc w:val="center"/>
            </w:pPr>
            <w:r>
              <w:t>9.</w:t>
            </w:r>
          </w:p>
        </w:tc>
        <w:tc>
          <w:tcPr>
            <w:tcW w:w="4678" w:type="dxa"/>
            <w:shd w:val="clear" w:color="auto" w:fill="auto"/>
            <w:vAlign w:val="center"/>
          </w:tcPr>
          <w:p>
            <w:pPr>
              <w:ind w:left="34" w:right="-108"/>
            </w:pPr>
            <w:r>
              <w:t>МП</w:t>
            </w:r>
            <w:r>
              <w:rPr>
                <w:bCs/>
              </w:rPr>
              <w:t xml:space="preserve"> «Обеспечение доступным и комфортным жильем граждан ЗАТО Северск»</w:t>
            </w:r>
          </w:p>
        </w:tc>
        <w:tc>
          <w:tcPr>
            <w:tcW w:w="1275" w:type="dxa"/>
            <w:shd w:val="clear" w:color="auto" w:fill="auto"/>
            <w:noWrap/>
            <w:vAlign w:val="center"/>
          </w:tcPr>
          <w:p>
            <w:pPr>
              <w:jc w:val="right"/>
              <w:rPr>
                <w:bCs/>
              </w:rPr>
            </w:pPr>
            <w:r>
              <w:rPr>
                <w:bCs/>
              </w:rPr>
              <w:t>17 938,90</w:t>
            </w:r>
          </w:p>
        </w:tc>
        <w:tc>
          <w:tcPr>
            <w:tcW w:w="1277" w:type="dxa"/>
            <w:shd w:val="clear" w:color="auto" w:fill="auto"/>
            <w:noWrap/>
            <w:vAlign w:val="center"/>
          </w:tcPr>
          <w:p>
            <w:pPr>
              <w:jc w:val="right"/>
              <w:rPr>
                <w:bCs/>
              </w:rPr>
            </w:pPr>
            <w:r>
              <w:rPr>
                <w:bCs/>
              </w:rPr>
              <w:t>16 881,34</w:t>
            </w:r>
          </w:p>
        </w:tc>
        <w:tc>
          <w:tcPr>
            <w:tcW w:w="850" w:type="dxa"/>
            <w:shd w:val="clear" w:color="auto" w:fill="auto"/>
            <w:noWrap/>
            <w:vAlign w:val="center"/>
          </w:tcPr>
          <w:p>
            <w:pPr>
              <w:jc w:val="right"/>
              <w:rPr>
                <w:bCs/>
              </w:rPr>
            </w:pPr>
            <w:r>
              <w:rPr>
                <w:bCs/>
              </w:rPr>
              <w:t>94,1</w:t>
            </w:r>
          </w:p>
        </w:tc>
        <w:tc>
          <w:tcPr>
            <w:tcW w:w="708" w:type="dxa"/>
            <w:vAlign w:val="center"/>
          </w:tcPr>
          <w:p>
            <w:pPr>
              <w:jc w:val="right"/>
              <w:rPr>
                <w:sz w:val="24"/>
                <w:szCs w:val="24"/>
              </w:rPr>
            </w:pPr>
            <w:r>
              <w:t>0,4</w:t>
            </w:r>
          </w:p>
        </w:tc>
      </w:tr>
      <w:tr>
        <w:trPr>
          <w:trHeight w:val="255"/>
        </w:trPr>
        <w:tc>
          <w:tcPr>
            <w:tcW w:w="582" w:type="dxa"/>
            <w:vAlign w:val="center"/>
          </w:tcPr>
          <w:p>
            <w:pPr>
              <w:ind w:left="-108" w:right="-108"/>
              <w:jc w:val="center"/>
            </w:pPr>
            <w:r>
              <w:t>10.</w:t>
            </w:r>
          </w:p>
        </w:tc>
        <w:tc>
          <w:tcPr>
            <w:tcW w:w="4678" w:type="dxa"/>
            <w:shd w:val="clear" w:color="auto" w:fill="auto"/>
            <w:vAlign w:val="center"/>
          </w:tcPr>
          <w:p>
            <w:pPr>
              <w:ind w:left="34" w:right="-108"/>
            </w:pPr>
            <w:r>
              <w:t>МП</w:t>
            </w:r>
            <w:r>
              <w:rPr>
                <w:bCs/>
              </w:rPr>
              <w:t xml:space="preserve"> «Улучшение жизнедеятельности внегородских территорий ЗАТО Северск»</w:t>
            </w:r>
          </w:p>
        </w:tc>
        <w:tc>
          <w:tcPr>
            <w:tcW w:w="1275" w:type="dxa"/>
            <w:shd w:val="clear" w:color="auto" w:fill="auto"/>
            <w:noWrap/>
            <w:vAlign w:val="center"/>
          </w:tcPr>
          <w:p>
            <w:pPr>
              <w:jc w:val="right"/>
              <w:rPr>
                <w:bCs/>
              </w:rPr>
            </w:pPr>
            <w:r>
              <w:rPr>
                <w:bCs/>
              </w:rPr>
              <w:t>51 595,07</w:t>
            </w:r>
          </w:p>
        </w:tc>
        <w:tc>
          <w:tcPr>
            <w:tcW w:w="1277" w:type="dxa"/>
            <w:shd w:val="clear" w:color="auto" w:fill="auto"/>
            <w:noWrap/>
            <w:vAlign w:val="center"/>
          </w:tcPr>
          <w:p>
            <w:pPr>
              <w:jc w:val="right"/>
              <w:rPr>
                <w:bCs/>
              </w:rPr>
            </w:pPr>
            <w:r>
              <w:rPr>
                <w:bCs/>
              </w:rPr>
              <w:t>48 273,73</w:t>
            </w:r>
          </w:p>
        </w:tc>
        <w:tc>
          <w:tcPr>
            <w:tcW w:w="850" w:type="dxa"/>
            <w:shd w:val="clear" w:color="auto" w:fill="auto"/>
            <w:noWrap/>
            <w:vAlign w:val="center"/>
          </w:tcPr>
          <w:p>
            <w:pPr>
              <w:jc w:val="right"/>
              <w:rPr>
                <w:bCs/>
              </w:rPr>
            </w:pPr>
            <w:r>
              <w:rPr>
                <w:bCs/>
              </w:rPr>
              <w:t>93,6</w:t>
            </w:r>
          </w:p>
        </w:tc>
        <w:tc>
          <w:tcPr>
            <w:tcW w:w="708" w:type="dxa"/>
            <w:vAlign w:val="center"/>
          </w:tcPr>
          <w:p>
            <w:pPr>
              <w:jc w:val="right"/>
              <w:rPr>
                <w:sz w:val="24"/>
                <w:szCs w:val="24"/>
              </w:rPr>
            </w:pPr>
            <w:r>
              <w:t>1,1</w:t>
            </w:r>
          </w:p>
        </w:tc>
      </w:tr>
      <w:tr>
        <w:trPr>
          <w:trHeight w:val="255"/>
        </w:trPr>
        <w:tc>
          <w:tcPr>
            <w:tcW w:w="582" w:type="dxa"/>
            <w:vAlign w:val="center"/>
          </w:tcPr>
          <w:p>
            <w:pPr>
              <w:ind w:left="-108" w:right="-108"/>
              <w:jc w:val="center"/>
            </w:pPr>
            <w:r>
              <w:t>11.</w:t>
            </w:r>
          </w:p>
        </w:tc>
        <w:tc>
          <w:tcPr>
            <w:tcW w:w="4678" w:type="dxa"/>
            <w:shd w:val="clear" w:color="auto" w:fill="auto"/>
            <w:vAlign w:val="center"/>
          </w:tcPr>
          <w:p>
            <w:pPr>
              <w:ind w:left="34" w:right="-108"/>
            </w:pPr>
            <w:r>
              <w:t>МП</w:t>
            </w:r>
            <w:r>
              <w:rPr>
                <w:bCs/>
              </w:rPr>
              <w:t xml:space="preserve"> «Обеспечение безопасности населения на территории ЗАТО Северск»</w:t>
            </w:r>
          </w:p>
        </w:tc>
        <w:tc>
          <w:tcPr>
            <w:tcW w:w="1275" w:type="dxa"/>
            <w:shd w:val="clear" w:color="auto" w:fill="auto"/>
            <w:noWrap/>
            <w:vAlign w:val="center"/>
          </w:tcPr>
          <w:p>
            <w:pPr>
              <w:jc w:val="right"/>
              <w:rPr>
                <w:bCs/>
              </w:rPr>
            </w:pPr>
            <w:r>
              <w:rPr>
                <w:bCs/>
              </w:rPr>
              <w:t>69 874,34</w:t>
            </w:r>
          </w:p>
        </w:tc>
        <w:tc>
          <w:tcPr>
            <w:tcW w:w="1277" w:type="dxa"/>
            <w:shd w:val="clear" w:color="auto" w:fill="auto"/>
            <w:noWrap/>
            <w:vAlign w:val="center"/>
          </w:tcPr>
          <w:p>
            <w:pPr>
              <w:jc w:val="right"/>
              <w:rPr>
                <w:bCs/>
              </w:rPr>
            </w:pPr>
            <w:r>
              <w:rPr>
                <w:bCs/>
              </w:rPr>
              <w:t>68 848,92</w:t>
            </w:r>
          </w:p>
        </w:tc>
        <w:tc>
          <w:tcPr>
            <w:tcW w:w="850" w:type="dxa"/>
            <w:shd w:val="clear" w:color="auto" w:fill="auto"/>
            <w:noWrap/>
            <w:vAlign w:val="center"/>
          </w:tcPr>
          <w:p>
            <w:pPr>
              <w:jc w:val="right"/>
              <w:rPr>
                <w:bCs/>
              </w:rPr>
            </w:pPr>
            <w:r>
              <w:rPr>
                <w:bCs/>
              </w:rPr>
              <w:t>98,5</w:t>
            </w:r>
          </w:p>
        </w:tc>
        <w:tc>
          <w:tcPr>
            <w:tcW w:w="708" w:type="dxa"/>
            <w:vAlign w:val="center"/>
          </w:tcPr>
          <w:p>
            <w:pPr>
              <w:jc w:val="right"/>
              <w:rPr>
                <w:sz w:val="24"/>
                <w:szCs w:val="24"/>
              </w:rPr>
            </w:pPr>
            <w:r>
              <w:t>1,6</w:t>
            </w:r>
          </w:p>
        </w:tc>
      </w:tr>
      <w:tr>
        <w:trPr>
          <w:trHeight w:val="255"/>
        </w:trPr>
        <w:tc>
          <w:tcPr>
            <w:tcW w:w="582" w:type="dxa"/>
            <w:vAlign w:val="center"/>
          </w:tcPr>
          <w:p>
            <w:pPr>
              <w:ind w:left="-108" w:right="-108"/>
              <w:jc w:val="center"/>
            </w:pPr>
            <w:r>
              <w:t>12.</w:t>
            </w:r>
          </w:p>
        </w:tc>
        <w:tc>
          <w:tcPr>
            <w:tcW w:w="4678" w:type="dxa"/>
            <w:shd w:val="clear" w:color="auto" w:fill="auto"/>
            <w:vAlign w:val="center"/>
          </w:tcPr>
          <w:p>
            <w:pPr>
              <w:ind w:left="34" w:right="-108"/>
            </w:pPr>
            <w:r>
              <w:t>МП</w:t>
            </w:r>
            <w:r>
              <w:rPr>
                <w:bCs/>
              </w:rPr>
              <w:t xml:space="preserve"> «Охрана окружающей среды на территории ЗАТО Северск»  </w:t>
            </w:r>
          </w:p>
        </w:tc>
        <w:tc>
          <w:tcPr>
            <w:tcW w:w="1275" w:type="dxa"/>
            <w:shd w:val="clear" w:color="auto" w:fill="auto"/>
            <w:noWrap/>
            <w:vAlign w:val="center"/>
          </w:tcPr>
          <w:p>
            <w:pPr>
              <w:jc w:val="right"/>
              <w:rPr>
                <w:bCs/>
              </w:rPr>
            </w:pPr>
            <w:r>
              <w:rPr>
                <w:bCs/>
              </w:rPr>
              <w:t>7 005,22</w:t>
            </w:r>
          </w:p>
        </w:tc>
        <w:tc>
          <w:tcPr>
            <w:tcW w:w="1277" w:type="dxa"/>
            <w:shd w:val="clear" w:color="auto" w:fill="auto"/>
            <w:noWrap/>
            <w:vAlign w:val="center"/>
          </w:tcPr>
          <w:p>
            <w:pPr>
              <w:jc w:val="right"/>
              <w:rPr>
                <w:bCs/>
              </w:rPr>
            </w:pPr>
            <w:r>
              <w:rPr>
                <w:bCs/>
              </w:rPr>
              <w:t>6 920,97</w:t>
            </w:r>
          </w:p>
        </w:tc>
        <w:tc>
          <w:tcPr>
            <w:tcW w:w="850" w:type="dxa"/>
            <w:shd w:val="clear" w:color="auto" w:fill="auto"/>
            <w:noWrap/>
            <w:vAlign w:val="center"/>
          </w:tcPr>
          <w:p>
            <w:pPr>
              <w:jc w:val="right"/>
              <w:rPr>
                <w:bCs/>
              </w:rPr>
            </w:pPr>
            <w:r>
              <w:rPr>
                <w:bCs/>
              </w:rPr>
              <w:t>98,8</w:t>
            </w:r>
          </w:p>
        </w:tc>
        <w:tc>
          <w:tcPr>
            <w:tcW w:w="708" w:type="dxa"/>
            <w:vAlign w:val="center"/>
          </w:tcPr>
          <w:p>
            <w:pPr>
              <w:jc w:val="right"/>
              <w:rPr>
                <w:sz w:val="24"/>
                <w:szCs w:val="24"/>
              </w:rPr>
            </w:pPr>
            <w:r>
              <w:t>0,2</w:t>
            </w:r>
          </w:p>
        </w:tc>
      </w:tr>
      <w:tr>
        <w:trPr>
          <w:trHeight w:val="255"/>
        </w:trPr>
        <w:tc>
          <w:tcPr>
            <w:tcW w:w="582" w:type="dxa"/>
            <w:vAlign w:val="center"/>
          </w:tcPr>
          <w:p>
            <w:pPr>
              <w:ind w:left="-108" w:right="-108"/>
              <w:jc w:val="center"/>
            </w:pPr>
            <w:r>
              <w:t>13.</w:t>
            </w:r>
          </w:p>
        </w:tc>
        <w:tc>
          <w:tcPr>
            <w:tcW w:w="4678" w:type="dxa"/>
            <w:shd w:val="clear" w:color="auto" w:fill="auto"/>
            <w:vAlign w:val="center"/>
          </w:tcPr>
          <w:p>
            <w:pPr>
              <w:ind w:left="34" w:right="-108"/>
            </w:pPr>
            <w:r>
              <w:t>МП</w:t>
            </w:r>
            <w:r>
              <w:rPr>
                <w:bCs/>
              </w:rPr>
              <w:t xml:space="preserve"> «Эффективное управление муниципальными финансами ЗАТО Северск»</w:t>
            </w:r>
          </w:p>
        </w:tc>
        <w:tc>
          <w:tcPr>
            <w:tcW w:w="1275" w:type="dxa"/>
            <w:shd w:val="clear" w:color="auto" w:fill="auto"/>
            <w:noWrap/>
            <w:vAlign w:val="center"/>
          </w:tcPr>
          <w:p>
            <w:pPr>
              <w:jc w:val="right"/>
              <w:rPr>
                <w:bCs/>
              </w:rPr>
            </w:pPr>
            <w:r>
              <w:rPr>
                <w:bCs/>
              </w:rPr>
              <w:t>44 240,73</w:t>
            </w:r>
          </w:p>
        </w:tc>
        <w:tc>
          <w:tcPr>
            <w:tcW w:w="1277" w:type="dxa"/>
            <w:shd w:val="clear" w:color="auto" w:fill="auto"/>
            <w:noWrap/>
            <w:vAlign w:val="center"/>
          </w:tcPr>
          <w:p>
            <w:pPr>
              <w:jc w:val="right"/>
              <w:rPr>
                <w:bCs/>
              </w:rPr>
            </w:pPr>
            <w:r>
              <w:rPr>
                <w:bCs/>
              </w:rPr>
              <w:t>38 770,70</w:t>
            </w:r>
          </w:p>
        </w:tc>
        <w:tc>
          <w:tcPr>
            <w:tcW w:w="850" w:type="dxa"/>
            <w:shd w:val="clear" w:color="auto" w:fill="auto"/>
            <w:noWrap/>
            <w:vAlign w:val="center"/>
          </w:tcPr>
          <w:p>
            <w:pPr>
              <w:jc w:val="right"/>
              <w:rPr>
                <w:bCs/>
              </w:rPr>
            </w:pPr>
            <w:r>
              <w:rPr>
                <w:bCs/>
              </w:rPr>
              <w:t>87,6</w:t>
            </w:r>
          </w:p>
        </w:tc>
        <w:tc>
          <w:tcPr>
            <w:tcW w:w="708" w:type="dxa"/>
            <w:vAlign w:val="center"/>
          </w:tcPr>
          <w:p>
            <w:pPr>
              <w:jc w:val="right"/>
              <w:rPr>
                <w:sz w:val="24"/>
                <w:szCs w:val="24"/>
              </w:rPr>
            </w:pPr>
            <w:r>
              <w:t>0,9</w:t>
            </w:r>
          </w:p>
        </w:tc>
      </w:tr>
      <w:tr>
        <w:trPr>
          <w:trHeight w:val="478"/>
        </w:trPr>
        <w:tc>
          <w:tcPr>
            <w:tcW w:w="582" w:type="dxa"/>
            <w:vAlign w:val="center"/>
          </w:tcPr>
          <w:p>
            <w:pPr>
              <w:ind w:left="-108" w:right="-108"/>
              <w:jc w:val="center"/>
            </w:pPr>
            <w:r>
              <w:t>14.</w:t>
            </w:r>
          </w:p>
        </w:tc>
        <w:tc>
          <w:tcPr>
            <w:tcW w:w="4678" w:type="dxa"/>
            <w:shd w:val="clear" w:color="auto" w:fill="auto"/>
            <w:vAlign w:val="center"/>
          </w:tcPr>
          <w:p>
            <w:pPr>
              <w:ind w:left="34" w:right="-108"/>
              <w:rPr>
                <w:bCs/>
              </w:rPr>
            </w:pPr>
            <w:r>
              <w:t>МП</w:t>
            </w:r>
            <w:r>
              <w:rPr>
                <w:bCs/>
              </w:rPr>
              <w:t xml:space="preserve"> «Эффективное управление муниципальным имуществом ЗАТО Северск»</w:t>
            </w:r>
          </w:p>
        </w:tc>
        <w:tc>
          <w:tcPr>
            <w:tcW w:w="1275" w:type="dxa"/>
            <w:shd w:val="clear" w:color="auto" w:fill="auto"/>
            <w:noWrap/>
            <w:vAlign w:val="center"/>
          </w:tcPr>
          <w:p>
            <w:pPr>
              <w:jc w:val="right"/>
              <w:rPr>
                <w:bCs/>
              </w:rPr>
            </w:pPr>
            <w:r>
              <w:rPr>
                <w:bCs/>
              </w:rPr>
              <w:t>79 760,62</w:t>
            </w:r>
          </w:p>
        </w:tc>
        <w:tc>
          <w:tcPr>
            <w:tcW w:w="1277" w:type="dxa"/>
            <w:shd w:val="clear" w:color="auto" w:fill="auto"/>
            <w:noWrap/>
            <w:vAlign w:val="center"/>
          </w:tcPr>
          <w:p>
            <w:pPr>
              <w:jc w:val="right"/>
              <w:rPr>
                <w:bCs/>
              </w:rPr>
            </w:pPr>
            <w:r>
              <w:rPr>
                <w:bCs/>
              </w:rPr>
              <w:t>75 909,74</w:t>
            </w:r>
          </w:p>
        </w:tc>
        <w:tc>
          <w:tcPr>
            <w:tcW w:w="850" w:type="dxa"/>
            <w:shd w:val="clear" w:color="auto" w:fill="auto"/>
            <w:noWrap/>
            <w:vAlign w:val="center"/>
          </w:tcPr>
          <w:p>
            <w:pPr>
              <w:jc w:val="right"/>
              <w:rPr>
                <w:bCs/>
              </w:rPr>
            </w:pPr>
            <w:r>
              <w:rPr>
                <w:bCs/>
              </w:rPr>
              <w:t>95,2</w:t>
            </w:r>
          </w:p>
        </w:tc>
        <w:tc>
          <w:tcPr>
            <w:tcW w:w="708" w:type="dxa"/>
            <w:vAlign w:val="center"/>
          </w:tcPr>
          <w:p>
            <w:pPr>
              <w:jc w:val="right"/>
              <w:rPr>
                <w:sz w:val="24"/>
                <w:szCs w:val="24"/>
              </w:rPr>
            </w:pPr>
            <w:r>
              <w:t>1,7</w:t>
            </w:r>
          </w:p>
        </w:tc>
      </w:tr>
      <w:tr>
        <w:trPr>
          <w:trHeight w:val="255"/>
        </w:trPr>
        <w:tc>
          <w:tcPr>
            <w:tcW w:w="582" w:type="dxa"/>
            <w:vAlign w:val="center"/>
          </w:tcPr>
          <w:p>
            <w:pPr>
              <w:ind w:left="-108" w:right="-108"/>
              <w:jc w:val="center"/>
            </w:pPr>
            <w:r>
              <w:t>15.</w:t>
            </w:r>
          </w:p>
        </w:tc>
        <w:tc>
          <w:tcPr>
            <w:tcW w:w="4678" w:type="dxa"/>
            <w:shd w:val="clear" w:color="auto" w:fill="auto"/>
            <w:vAlign w:val="center"/>
          </w:tcPr>
          <w:p>
            <w:pPr>
              <w:ind w:left="34" w:right="-108"/>
            </w:pPr>
            <w:r>
              <w:t>МП</w:t>
            </w:r>
            <w:r>
              <w:rPr>
                <w:bCs/>
              </w:rPr>
              <w:t xml:space="preserve"> «Профилактика алкоголизма, наркомании, токсикомании и ВИЧ-инфекции»</w:t>
            </w:r>
          </w:p>
        </w:tc>
        <w:tc>
          <w:tcPr>
            <w:tcW w:w="1275" w:type="dxa"/>
            <w:shd w:val="clear" w:color="auto" w:fill="auto"/>
            <w:noWrap/>
            <w:vAlign w:val="center"/>
          </w:tcPr>
          <w:p>
            <w:pPr>
              <w:jc w:val="right"/>
              <w:rPr>
                <w:bCs/>
              </w:rPr>
            </w:pPr>
            <w:r>
              <w:rPr>
                <w:bCs/>
              </w:rPr>
              <w:t>953,53</w:t>
            </w:r>
          </w:p>
        </w:tc>
        <w:tc>
          <w:tcPr>
            <w:tcW w:w="1277" w:type="dxa"/>
            <w:shd w:val="clear" w:color="auto" w:fill="auto"/>
            <w:noWrap/>
            <w:vAlign w:val="center"/>
          </w:tcPr>
          <w:p>
            <w:pPr>
              <w:jc w:val="right"/>
              <w:rPr>
                <w:bCs/>
              </w:rPr>
            </w:pPr>
            <w:r>
              <w:rPr>
                <w:bCs/>
              </w:rPr>
              <w:t>953,53</w:t>
            </w:r>
          </w:p>
        </w:tc>
        <w:tc>
          <w:tcPr>
            <w:tcW w:w="850" w:type="dxa"/>
            <w:shd w:val="clear" w:color="auto" w:fill="auto"/>
            <w:noWrap/>
            <w:vAlign w:val="center"/>
          </w:tcPr>
          <w:p>
            <w:pPr>
              <w:jc w:val="right"/>
              <w:rPr>
                <w:bCs/>
              </w:rPr>
            </w:pPr>
            <w:r>
              <w:rPr>
                <w:bCs/>
              </w:rPr>
              <w:t>100,0</w:t>
            </w:r>
          </w:p>
        </w:tc>
        <w:tc>
          <w:tcPr>
            <w:tcW w:w="708" w:type="dxa"/>
            <w:vAlign w:val="center"/>
          </w:tcPr>
          <w:p>
            <w:pPr>
              <w:jc w:val="right"/>
              <w:rPr>
                <w:sz w:val="24"/>
                <w:szCs w:val="24"/>
              </w:rPr>
            </w:pPr>
            <w:r>
              <w:t>0,0</w:t>
            </w:r>
          </w:p>
        </w:tc>
      </w:tr>
      <w:tr>
        <w:trPr>
          <w:trHeight w:val="255"/>
        </w:trPr>
        <w:tc>
          <w:tcPr>
            <w:tcW w:w="582" w:type="dxa"/>
            <w:vAlign w:val="center"/>
          </w:tcPr>
          <w:p>
            <w:pPr>
              <w:ind w:left="-108" w:right="-108"/>
              <w:jc w:val="center"/>
            </w:pPr>
            <w:r>
              <w:t>16.</w:t>
            </w:r>
          </w:p>
        </w:tc>
        <w:tc>
          <w:tcPr>
            <w:tcW w:w="4678" w:type="dxa"/>
            <w:shd w:val="clear" w:color="auto" w:fill="auto"/>
            <w:vAlign w:val="center"/>
          </w:tcPr>
          <w:p>
            <w:pPr>
              <w:ind w:left="34" w:right="-108"/>
            </w:pPr>
            <w:r>
              <w:t>МП «Формирование современной городской среды ЗАТО Северск»</w:t>
            </w:r>
          </w:p>
        </w:tc>
        <w:tc>
          <w:tcPr>
            <w:tcW w:w="1275" w:type="dxa"/>
            <w:shd w:val="clear" w:color="auto" w:fill="auto"/>
            <w:noWrap/>
            <w:vAlign w:val="center"/>
          </w:tcPr>
          <w:p>
            <w:pPr>
              <w:jc w:val="right"/>
              <w:rPr>
                <w:bCs/>
              </w:rPr>
            </w:pPr>
            <w:r>
              <w:rPr>
                <w:bCs/>
              </w:rPr>
              <w:t>114 088,99</w:t>
            </w:r>
          </w:p>
        </w:tc>
        <w:tc>
          <w:tcPr>
            <w:tcW w:w="1277" w:type="dxa"/>
            <w:shd w:val="clear" w:color="auto" w:fill="auto"/>
            <w:noWrap/>
            <w:vAlign w:val="center"/>
          </w:tcPr>
          <w:p>
            <w:pPr>
              <w:jc w:val="right"/>
              <w:rPr>
                <w:bCs/>
              </w:rPr>
            </w:pPr>
            <w:r>
              <w:rPr>
                <w:bCs/>
              </w:rPr>
              <w:t>96 500,63</w:t>
            </w:r>
          </w:p>
        </w:tc>
        <w:tc>
          <w:tcPr>
            <w:tcW w:w="850" w:type="dxa"/>
            <w:shd w:val="clear" w:color="auto" w:fill="auto"/>
            <w:noWrap/>
            <w:vAlign w:val="center"/>
          </w:tcPr>
          <w:p>
            <w:pPr>
              <w:jc w:val="right"/>
              <w:rPr>
                <w:bCs/>
              </w:rPr>
            </w:pPr>
            <w:r>
              <w:rPr>
                <w:bCs/>
              </w:rPr>
              <w:t>84,6</w:t>
            </w:r>
          </w:p>
        </w:tc>
        <w:tc>
          <w:tcPr>
            <w:tcW w:w="708" w:type="dxa"/>
            <w:vAlign w:val="center"/>
          </w:tcPr>
          <w:p>
            <w:pPr>
              <w:jc w:val="right"/>
              <w:rPr>
                <w:sz w:val="24"/>
                <w:szCs w:val="24"/>
              </w:rPr>
            </w:pPr>
            <w:r>
              <w:t>2,2</w:t>
            </w:r>
          </w:p>
        </w:tc>
      </w:tr>
      <w:tr>
        <w:trPr>
          <w:trHeight w:val="255"/>
        </w:trPr>
        <w:tc>
          <w:tcPr>
            <w:tcW w:w="582" w:type="dxa"/>
            <w:vAlign w:val="center"/>
          </w:tcPr>
          <w:p>
            <w:pPr>
              <w:ind w:left="-108" w:right="-108"/>
              <w:jc w:val="center"/>
            </w:pPr>
            <w:r>
              <w:t>17.</w:t>
            </w:r>
          </w:p>
        </w:tc>
        <w:tc>
          <w:tcPr>
            <w:tcW w:w="4678" w:type="dxa"/>
            <w:shd w:val="clear" w:color="auto" w:fill="auto"/>
            <w:vAlign w:val="center"/>
          </w:tcPr>
          <w:p>
            <w:pPr>
              <w:ind w:left="34" w:right="-108"/>
            </w:pPr>
            <w:r>
              <w:t>МП «Развитие информационного общества ЗАТО Северск»</w:t>
            </w:r>
          </w:p>
        </w:tc>
        <w:tc>
          <w:tcPr>
            <w:tcW w:w="1275" w:type="dxa"/>
            <w:shd w:val="clear" w:color="auto" w:fill="auto"/>
            <w:noWrap/>
            <w:vAlign w:val="center"/>
          </w:tcPr>
          <w:p>
            <w:pPr>
              <w:jc w:val="right"/>
              <w:rPr>
                <w:bCs/>
              </w:rPr>
            </w:pPr>
            <w:r>
              <w:rPr>
                <w:bCs/>
              </w:rPr>
              <w:t>5 092,50</w:t>
            </w:r>
          </w:p>
        </w:tc>
        <w:tc>
          <w:tcPr>
            <w:tcW w:w="1277" w:type="dxa"/>
            <w:shd w:val="clear" w:color="auto" w:fill="auto"/>
            <w:noWrap/>
            <w:vAlign w:val="center"/>
          </w:tcPr>
          <w:p>
            <w:pPr>
              <w:jc w:val="right"/>
              <w:rPr>
                <w:bCs/>
              </w:rPr>
            </w:pPr>
            <w:r>
              <w:rPr>
                <w:bCs/>
              </w:rPr>
              <w:t>5 039,65</w:t>
            </w:r>
          </w:p>
        </w:tc>
        <w:tc>
          <w:tcPr>
            <w:tcW w:w="850" w:type="dxa"/>
            <w:shd w:val="clear" w:color="auto" w:fill="auto"/>
            <w:noWrap/>
            <w:vAlign w:val="center"/>
          </w:tcPr>
          <w:p>
            <w:pPr>
              <w:jc w:val="right"/>
              <w:rPr>
                <w:bCs/>
              </w:rPr>
            </w:pPr>
            <w:r>
              <w:rPr>
                <w:bCs/>
              </w:rPr>
              <w:t>99,0</w:t>
            </w:r>
          </w:p>
        </w:tc>
        <w:tc>
          <w:tcPr>
            <w:tcW w:w="708" w:type="dxa"/>
            <w:vAlign w:val="center"/>
          </w:tcPr>
          <w:p>
            <w:pPr>
              <w:jc w:val="right"/>
              <w:rPr>
                <w:sz w:val="24"/>
                <w:szCs w:val="24"/>
              </w:rPr>
            </w:pPr>
            <w:r>
              <w:t>0,1</w:t>
            </w:r>
          </w:p>
        </w:tc>
      </w:tr>
      <w:tr>
        <w:trPr>
          <w:trHeight w:val="255"/>
        </w:trPr>
        <w:tc>
          <w:tcPr>
            <w:tcW w:w="582" w:type="dxa"/>
            <w:vAlign w:val="center"/>
          </w:tcPr>
          <w:p>
            <w:pPr>
              <w:ind w:left="-108" w:right="-108"/>
              <w:jc w:val="center"/>
              <w:rPr>
                <w:bCs/>
              </w:rPr>
            </w:pPr>
            <w:r>
              <w:rPr>
                <w:bCs/>
              </w:rPr>
              <w:t>18.</w:t>
            </w:r>
          </w:p>
        </w:tc>
        <w:tc>
          <w:tcPr>
            <w:tcW w:w="4678" w:type="dxa"/>
            <w:shd w:val="clear" w:color="auto" w:fill="auto"/>
            <w:vAlign w:val="center"/>
          </w:tcPr>
          <w:p>
            <w:pPr>
              <w:ind w:left="34" w:right="-108"/>
              <w:rPr>
                <w:bCs/>
              </w:rPr>
            </w:pPr>
            <w:r>
              <w:rPr>
                <w:bCs/>
              </w:rPr>
              <w:t>Программа «Комплексное развитие систем коммунальной и инженерной инфраструктуры ЗАТО Северск»</w:t>
            </w:r>
          </w:p>
        </w:tc>
        <w:tc>
          <w:tcPr>
            <w:tcW w:w="1275" w:type="dxa"/>
            <w:shd w:val="clear" w:color="auto" w:fill="auto"/>
            <w:noWrap/>
            <w:vAlign w:val="center"/>
          </w:tcPr>
          <w:p>
            <w:pPr>
              <w:jc w:val="right"/>
              <w:rPr>
                <w:bCs/>
              </w:rPr>
            </w:pPr>
            <w:r>
              <w:rPr>
                <w:bCs/>
              </w:rPr>
              <w:t>11 779,74</w:t>
            </w:r>
          </w:p>
        </w:tc>
        <w:tc>
          <w:tcPr>
            <w:tcW w:w="1277" w:type="dxa"/>
            <w:shd w:val="clear" w:color="auto" w:fill="auto"/>
            <w:noWrap/>
            <w:vAlign w:val="center"/>
          </w:tcPr>
          <w:p>
            <w:pPr>
              <w:jc w:val="right"/>
              <w:rPr>
                <w:bCs/>
              </w:rPr>
            </w:pPr>
            <w:r>
              <w:rPr>
                <w:bCs/>
              </w:rPr>
              <w:t>9 497,59</w:t>
            </w:r>
          </w:p>
        </w:tc>
        <w:tc>
          <w:tcPr>
            <w:tcW w:w="850" w:type="dxa"/>
            <w:shd w:val="clear" w:color="auto" w:fill="auto"/>
            <w:noWrap/>
            <w:vAlign w:val="center"/>
          </w:tcPr>
          <w:p>
            <w:pPr>
              <w:jc w:val="right"/>
              <w:rPr>
                <w:bCs/>
              </w:rPr>
            </w:pPr>
            <w:r>
              <w:rPr>
                <w:bCs/>
              </w:rPr>
              <w:t>80,6</w:t>
            </w:r>
          </w:p>
        </w:tc>
        <w:tc>
          <w:tcPr>
            <w:tcW w:w="708" w:type="dxa"/>
            <w:vAlign w:val="center"/>
          </w:tcPr>
          <w:p>
            <w:pPr>
              <w:jc w:val="right"/>
              <w:rPr>
                <w:sz w:val="24"/>
                <w:szCs w:val="24"/>
              </w:rPr>
            </w:pPr>
            <w:r>
              <w:t>0,2</w:t>
            </w:r>
          </w:p>
        </w:tc>
      </w:tr>
      <w:tr>
        <w:trPr>
          <w:trHeight w:val="377"/>
        </w:trPr>
        <w:tc>
          <w:tcPr>
            <w:tcW w:w="582" w:type="dxa"/>
            <w:vAlign w:val="center"/>
          </w:tcPr>
          <w:p>
            <w:pPr>
              <w:ind w:left="-108" w:right="-108"/>
              <w:jc w:val="center"/>
              <w:rPr>
                <w:bCs/>
              </w:rPr>
            </w:pPr>
          </w:p>
        </w:tc>
        <w:tc>
          <w:tcPr>
            <w:tcW w:w="4678" w:type="dxa"/>
            <w:shd w:val="clear" w:color="auto" w:fill="auto"/>
            <w:vAlign w:val="center"/>
          </w:tcPr>
          <w:p>
            <w:pPr>
              <w:ind w:left="34" w:right="-108"/>
              <w:rPr>
                <w:bCs/>
              </w:rPr>
            </w:pPr>
            <w:r>
              <w:rPr>
                <w:bCs/>
              </w:rPr>
              <w:t>ИТОГО по программам</w:t>
            </w:r>
          </w:p>
        </w:tc>
        <w:tc>
          <w:tcPr>
            <w:tcW w:w="1275" w:type="dxa"/>
            <w:shd w:val="clear" w:color="auto" w:fill="auto"/>
            <w:noWrap/>
            <w:vAlign w:val="center"/>
          </w:tcPr>
          <w:p>
            <w:pPr>
              <w:jc w:val="right"/>
              <w:rPr>
                <w:bCs/>
              </w:rPr>
            </w:pPr>
            <w:r>
              <w:rPr>
                <w:bCs/>
              </w:rPr>
              <w:t>4 466 433,08</w:t>
            </w:r>
          </w:p>
        </w:tc>
        <w:tc>
          <w:tcPr>
            <w:tcW w:w="1277" w:type="dxa"/>
            <w:shd w:val="clear" w:color="auto" w:fill="auto"/>
            <w:noWrap/>
            <w:vAlign w:val="center"/>
          </w:tcPr>
          <w:p>
            <w:pPr>
              <w:jc w:val="right"/>
              <w:rPr>
                <w:bCs/>
              </w:rPr>
            </w:pPr>
            <w:r>
              <w:rPr>
                <w:bCs/>
              </w:rPr>
              <w:t>4 401 028,63</w:t>
            </w:r>
          </w:p>
        </w:tc>
        <w:tc>
          <w:tcPr>
            <w:tcW w:w="850" w:type="dxa"/>
            <w:shd w:val="clear" w:color="auto" w:fill="auto"/>
            <w:noWrap/>
            <w:vAlign w:val="center"/>
          </w:tcPr>
          <w:p>
            <w:pPr>
              <w:jc w:val="right"/>
              <w:rPr>
                <w:bCs/>
              </w:rPr>
            </w:pPr>
            <w:r>
              <w:rPr>
                <w:bCs/>
              </w:rPr>
              <w:t>98,5</w:t>
            </w:r>
          </w:p>
        </w:tc>
        <w:tc>
          <w:tcPr>
            <w:tcW w:w="708" w:type="dxa"/>
            <w:vAlign w:val="center"/>
          </w:tcPr>
          <w:p>
            <w:pPr>
              <w:jc w:val="center"/>
              <w:rPr>
                <w:highlight w:val="yellow"/>
              </w:rPr>
            </w:pPr>
            <w:r>
              <w:t>100,0</w:t>
            </w:r>
          </w:p>
        </w:tc>
      </w:tr>
    </w:tbl>
    <w:p>
      <w:pPr>
        <w:pStyle w:val="211"/>
        <w:widowControl/>
        <w:spacing w:before="160" w:line="240" w:lineRule="auto"/>
        <w:rPr>
          <w:snapToGrid/>
          <w:sz w:val="24"/>
          <w:szCs w:val="24"/>
        </w:rPr>
      </w:pPr>
      <w:r>
        <w:rPr>
          <w:snapToGrid/>
          <w:sz w:val="24"/>
          <w:szCs w:val="24"/>
        </w:rPr>
        <w:t xml:space="preserve">В разрезе источников финансирования программ </w:t>
      </w:r>
      <w:r>
        <w:rPr>
          <w:sz w:val="24"/>
          <w:szCs w:val="24"/>
        </w:rPr>
        <w:t>исполнение составило</w:t>
      </w:r>
      <w:r>
        <w:rPr>
          <w:snapToGrid/>
          <w:sz w:val="24"/>
          <w:szCs w:val="24"/>
        </w:rPr>
        <w:t>:</w:t>
      </w:r>
    </w:p>
    <w:p>
      <w:pPr>
        <w:ind w:firstLine="708"/>
        <w:jc w:val="both"/>
        <w:rPr>
          <w:sz w:val="24"/>
          <w:szCs w:val="24"/>
        </w:rPr>
      </w:pPr>
      <w:r>
        <w:rPr>
          <w:sz w:val="24"/>
          <w:szCs w:val="24"/>
        </w:rPr>
        <w:t>- за счёт средств федерального бюджета в сумме 266 664,68 тыс.руб. или 99% к плану 2020 года;</w:t>
      </w:r>
    </w:p>
    <w:p>
      <w:pPr>
        <w:pStyle w:val="211"/>
        <w:widowControl/>
        <w:spacing w:line="240" w:lineRule="auto"/>
        <w:rPr>
          <w:snapToGrid/>
          <w:sz w:val="24"/>
          <w:szCs w:val="24"/>
        </w:rPr>
      </w:pPr>
      <w:r>
        <w:rPr>
          <w:snapToGrid/>
          <w:sz w:val="24"/>
          <w:szCs w:val="24"/>
        </w:rPr>
        <w:t>- за счёт средств областного бюджета в сумме 1 861 943,56 </w:t>
      </w:r>
      <w:r>
        <w:rPr>
          <w:sz w:val="24"/>
          <w:szCs w:val="24"/>
        </w:rPr>
        <w:t>тыс.</w:t>
      </w:r>
      <w:r>
        <w:rPr>
          <w:snapToGrid/>
          <w:sz w:val="24"/>
          <w:szCs w:val="24"/>
        </w:rPr>
        <w:t>руб. или 98% к плану 2020 года);</w:t>
      </w:r>
    </w:p>
    <w:p>
      <w:pPr>
        <w:pStyle w:val="211"/>
        <w:widowControl/>
        <w:spacing w:line="240" w:lineRule="auto"/>
        <w:rPr>
          <w:snapToGrid/>
          <w:sz w:val="24"/>
          <w:szCs w:val="24"/>
        </w:rPr>
      </w:pPr>
      <w:r>
        <w:rPr>
          <w:snapToGrid/>
          <w:sz w:val="24"/>
          <w:szCs w:val="24"/>
        </w:rPr>
        <w:t xml:space="preserve">- за счёт средств местного бюджета в сумме 2 272 418,39 </w:t>
      </w:r>
      <w:r>
        <w:rPr>
          <w:sz w:val="24"/>
          <w:szCs w:val="24"/>
        </w:rPr>
        <w:t>тыс.</w:t>
      </w:r>
      <w:r>
        <w:rPr>
          <w:snapToGrid/>
          <w:sz w:val="24"/>
          <w:szCs w:val="24"/>
        </w:rPr>
        <w:t xml:space="preserve"> руб. или 99% к плану 2020 года.</w:t>
      </w:r>
    </w:p>
    <w:p>
      <w:pPr>
        <w:pStyle w:val="211"/>
        <w:widowControl/>
        <w:spacing w:line="240" w:lineRule="auto"/>
        <w:rPr>
          <w:snapToGrid/>
          <w:szCs w:val="26"/>
          <w:highlight w:val="yellow"/>
        </w:rPr>
      </w:pPr>
    </w:p>
    <w:p>
      <w:pPr>
        <w:ind w:right="57"/>
        <w:jc w:val="center"/>
        <w:rPr>
          <w:b/>
          <w:bCs/>
          <w:i/>
          <w:sz w:val="24"/>
          <w:szCs w:val="24"/>
        </w:rPr>
      </w:pPr>
      <w:r>
        <w:rPr>
          <w:b/>
          <w:bCs/>
          <w:i/>
          <w:sz w:val="24"/>
          <w:szCs w:val="24"/>
        </w:rPr>
        <w:lastRenderedPageBreak/>
        <w:t>4.1.5.1. Муниципальная программа</w:t>
      </w:r>
    </w:p>
    <w:p>
      <w:pPr>
        <w:spacing w:after="160"/>
        <w:ind w:right="57"/>
        <w:jc w:val="center"/>
        <w:rPr>
          <w:b/>
          <w:bCs/>
          <w:i/>
          <w:sz w:val="24"/>
          <w:szCs w:val="24"/>
        </w:rPr>
      </w:pPr>
      <w:r>
        <w:rPr>
          <w:b/>
          <w:bCs/>
          <w:i/>
          <w:sz w:val="24"/>
          <w:szCs w:val="24"/>
        </w:rPr>
        <w:t xml:space="preserve"> «Развитие предпринимательства в ЗАТО Северск»</w:t>
      </w:r>
    </w:p>
    <w:p>
      <w:pPr>
        <w:ind w:firstLine="708"/>
        <w:jc w:val="both"/>
        <w:rPr>
          <w:bCs/>
          <w:sz w:val="24"/>
          <w:szCs w:val="24"/>
        </w:rPr>
      </w:pPr>
      <w:r>
        <w:rPr>
          <w:bCs/>
          <w:sz w:val="24"/>
          <w:szCs w:val="24"/>
        </w:rPr>
        <w:t xml:space="preserve">Программа исполнена в общей сумме 50 085,91 тыс.руб., в том числе ответственным исполнителем Администрацией ЗАТО Северск в сумме 44 349,94 тыс.руб., а также участником программы УИО Администрации ЗАТО Северск в сумме 5 735,97 тыс.руб. </w:t>
      </w:r>
    </w:p>
    <w:p>
      <w:pPr>
        <w:ind w:firstLine="708"/>
        <w:jc w:val="both"/>
        <w:rPr>
          <w:bCs/>
          <w:sz w:val="24"/>
          <w:szCs w:val="24"/>
        </w:rPr>
      </w:pPr>
      <w:r>
        <w:rPr>
          <w:bCs/>
          <w:sz w:val="24"/>
          <w:szCs w:val="24"/>
        </w:rPr>
        <w:t>Бюджетные ассигнования направлены на:</w:t>
      </w:r>
    </w:p>
    <w:p>
      <w:pPr>
        <w:pStyle w:val="af8"/>
        <w:numPr>
          <w:ilvl w:val="0"/>
          <w:numId w:val="31"/>
        </w:numPr>
        <w:ind w:left="0" w:firstLine="708"/>
        <w:jc w:val="both"/>
        <w:rPr>
          <w:bCs/>
          <w:sz w:val="24"/>
          <w:szCs w:val="24"/>
        </w:rPr>
      </w:pPr>
      <w:r>
        <w:rPr>
          <w:bCs/>
          <w:sz w:val="24"/>
          <w:szCs w:val="24"/>
        </w:rPr>
        <w:t xml:space="preserve">Предоставление субсидий на текущую деятельность инфраструктуры поддержки малого и среднего предпринимательства - 8 590,12 тыс.руб. (3 190,12 тыс.руб. - средства областного бюджета, 5 400,00 тыс.руб. – средства местного бюджета), в том числе: </w:t>
      </w:r>
    </w:p>
    <w:p>
      <w:pPr>
        <w:pStyle w:val="af8"/>
        <w:numPr>
          <w:ilvl w:val="1"/>
          <w:numId w:val="31"/>
        </w:numPr>
        <w:tabs>
          <w:tab w:val="left" w:pos="709"/>
        </w:tabs>
        <w:ind w:left="0" w:firstLine="708"/>
        <w:jc w:val="both"/>
        <w:rPr>
          <w:bCs/>
          <w:sz w:val="24"/>
          <w:szCs w:val="24"/>
        </w:rPr>
      </w:pPr>
      <w:r>
        <w:rPr>
          <w:bCs/>
          <w:sz w:val="24"/>
          <w:szCs w:val="24"/>
        </w:rPr>
        <w:t>Фонду «Микрокредитная компания фонд развития малого и среднего предпринимательства  ЗАТО Северск» (далее – Фонд) - 2 500,00 тыс.руб.;</w:t>
      </w:r>
    </w:p>
    <w:p>
      <w:pPr>
        <w:pStyle w:val="af8"/>
        <w:numPr>
          <w:ilvl w:val="1"/>
          <w:numId w:val="31"/>
        </w:numPr>
        <w:ind w:left="0" w:firstLine="708"/>
        <w:jc w:val="both"/>
        <w:rPr>
          <w:bCs/>
          <w:sz w:val="24"/>
          <w:szCs w:val="24"/>
        </w:rPr>
      </w:pPr>
      <w:r>
        <w:rPr>
          <w:bCs/>
          <w:sz w:val="24"/>
          <w:szCs w:val="24"/>
        </w:rPr>
        <w:t xml:space="preserve"> Ассоциации «НП «Агентство развития предпринимательства - Северск» - 1 000,00 тыс.руб. (800,00 тыс.руб. - средства областного бюджета, 200,00 тыс.руб. – средства местного бюджета) На базе муниципального центра оказана консультационная помощь 449 субъектам малого и среднего предпринимательства; проведено 6 семинаров </w:t>
      </w:r>
      <w:r>
        <w:rPr>
          <w:sz w:val="24"/>
          <w:szCs w:val="24"/>
        </w:rPr>
        <w:t>для субъектов предпринимательской деятельности, в которых приняло участие 82 человек; подготовлено 18 бизнес-планов (в том числе 16 бизнес-планов безработным гражданам на получение финансовой поддержки от Центра занятости населения ЗАТО Северск)</w:t>
      </w:r>
      <w:r>
        <w:rPr>
          <w:bCs/>
          <w:sz w:val="24"/>
          <w:szCs w:val="24"/>
        </w:rPr>
        <w:t xml:space="preserve">); </w:t>
      </w:r>
    </w:p>
    <w:p>
      <w:pPr>
        <w:pStyle w:val="af8"/>
        <w:numPr>
          <w:ilvl w:val="1"/>
          <w:numId w:val="31"/>
        </w:numPr>
        <w:tabs>
          <w:tab w:val="left" w:pos="709"/>
        </w:tabs>
        <w:ind w:left="0" w:firstLine="708"/>
        <w:jc w:val="both"/>
        <w:rPr>
          <w:bCs/>
          <w:sz w:val="24"/>
          <w:szCs w:val="24"/>
        </w:rPr>
      </w:pPr>
      <w:r>
        <w:rPr>
          <w:bCs/>
          <w:sz w:val="24"/>
          <w:szCs w:val="24"/>
        </w:rPr>
        <w:t>Развитие и обеспечение деятельности бизнес-инкубатора ЗАТО Северск –         2 690,12 тыс.руб. (2 390,12 тыс.руб. - средства областного бюджета, 300,00 тыс.руб. – средства местного бюджета). В бизнес-инкубаторе размещено 15 резидентов.</w:t>
      </w:r>
    </w:p>
    <w:p>
      <w:pPr>
        <w:pStyle w:val="af8"/>
        <w:numPr>
          <w:ilvl w:val="1"/>
          <w:numId w:val="31"/>
        </w:numPr>
        <w:tabs>
          <w:tab w:val="left" w:pos="709"/>
        </w:tabs>
        <w:ind w:left="0" w:firstLine="708"/>
        <w:jc w:val="both"/>
        <w:rPr>
          <w:bCs/>
          <w:sz w:val="24"/>
          <w:szCs w:val="24"/>
        </w:rPr>
      </w:pPr>
      <w:r>
        <w:rPr>
          <w:bCs/>
          <w:sz w:val="24"/>
          <w:szCs w:val="24"/>
        </w:rPr>
        <w:t>Обеспечение деятельности технопарковой зоны - 2 400,00 тыс.руб., размещено 35 резидентов;</w:t>
      </w:r>
    </w:p>
    <w:p>
      <w:pPr>
        <w:pStyle w:val="af8"/>
        <w:numPr>
          <w:ilvl w:val="0"/>
          <w:numId w:val="31"/>
        </w:numPr>
        <w:tabs>
          <w:tab w:val="left" w:pos="709"/>
        </w:tabs>
        <w:ind w:left="0" w:firstLine="708"/>
        <w:jc w:val="both"/>
        <w:rPr>
          <w:bCs/>
          <w:sz w:val="24"/>
          <w:szCs w:val="24"/>
        </w:rPr>
      </w:pPr>
      <w:r>
        <w:rPr>
          <w:bCs/>
          <w:sz w:val="24"/>
          <w:szCs w:val="24"/>
        </w:rPr>
        <w:t>Предоставление субсидии Фонду на выдачу микрозаймов - 15 805,00 тыс.руб. (14 224,50 тыс.руб. - средства областного бюджета, 1 580,50 тыс.руб. – средства местного бюджета). Выдано 32 микрозайма;</w:t>
      </w:r>
    </w:p>
    <w:p>
      <w:pPr>
        <w:pStyle w:val="af8"/>
        <w:numPr>
          <w:ilvl w:val="0"/>
          <w:numId w:val="31"/>
        </w:numPr>
        <w:tabs>
          <w:tab w:val="left" w:pos="709"/>
        </w:tabs>
        <w:ind w:left="0" w:firstLine="708"/>
        <w:jc w:val="both"/>
        <w:rPr>
          <w:bCs/>
          <w:sz w:val="24"/>
          <w:szCs w:val="24"/>
        </w:rPr>
      </w:pPr>
      <w:r>
        <w:rPr>
          <w:bCs/>
          <w:sz w:val="24"/>
          <w:szCs w:val="24"/>
        </w:rPr>
        <w:t>Предоставление финансовой поддержки субъектам малого и среднего предпринимательства ЗАТО Северск - 19 954,82 тыс. руб., в том числе на:</w:t>
      </w:r>
    </w:p>
    <w:p>
      <w:pPr>
        <w:pStyle w:val="af8"/>
        <w:numPr>
          <w:ilvl w:val="1"/>
          <w:numId w:val="31"/>
        </w:numPr>
        <w:tabs>
          <w:tab w:val="left" w:pos="709"/>
        </w:tabs>
        <w:ind w:left="0" w:firstLine="708"/>
        <w:jc w:val="both"/>
        <w:rPr>
          <w:bCs/>
          <w:sz w:val="24"/>
          <w:szCs w:val="24"/>
        </w:rPr>
      </w:pPr>
      <w:r>
        <w:rPr>
          <w:bCs/>
          <w:sz w:val="24"/>
          <w:szCs w:val="24"/>
        </w:rPr>
        <w:t xml:space="preserve"> Участие в региональном проекте «Акселерация субъектов малого и среднего предпринимательства» - 16 973,42 тыс. руб. (15 641,00 тыс. руб. - средства федерального бюджета; 483,75 тыс. руб. - средства областного бюджета, 848,67 тыс. руб. - средства местного бюджета). Поддержку получили 13 предпринимателей, занимающихся социально-значимыми видами деятельности;</w:t>
      </w:r>
    </w:p>
    <w:p>
      <w:pPr>
        <w:pStyle w:val="af8"/>
        <w:numPr>
          <w:ilvl w:val="1"/>
          <w:numId w:val="31"/>
        </w:numPr>
        <w:tabs>
          <w:tab w:val="left" w:pos="709"/>
        </w:tabs>
        <w:ind w:left="0" w:firstLine="708"/>
        <w:jc w:val="both"/>
        <w:rPr>
          <w:bCs/>
          <w:sz w:val="24"/>
          <w:szCs w:val="24"/>
        </w:rPr>
      </w:pPr>
      <w:r>
        <w:rPr>
          <w:bCs/>
          <w:sz w:val="24"/>
          <w:szCs w:val="24"/>
        </w:rPr>
        <w:t>Мероприятия по поддержке стартующего бизнеса - 2 881,40 тыс.руб. (2 737,32 тыс. руб. - средства областного бюджета, 144,08 тыс.руб. – средства местного бюджета). Поддержку получили 9 предпринимателей - победителей конкурсного отбора;</w:t>
      </w:r>
    </w:p>
    <w:p>
      <w:pPr>
        <w:pStyle w:val="af8"/>
        <w:numPr>
          <w:ilvl w:val="1"/>
          <w:numId w:val="31"/>
        </w:numPr>
        <w:tabs>
          <w:tab w:val="left" w:pos="709"/>
        </w:tabs>
        <w:ind w:left="0" w:firstLine="708"/>
        <w:jc w:val="both"/>
        <w:rPr>
          <w:bCs/>
          <w:sz w:val="24"/>
          <w:szCs w:val="24"/>
        </w:rPr>
      </w:pPr>
      <w:r>
        <w:rPr>
          <w:bCs/>
          <w:sz w:val="24"/>
          <w:szCs w:val="24"/>
        </w:rPr>
        <w:t>Обеспечение субъектов малого и среднего предпринимательства справочно-информационными материалами - 100,00 тыс. руб. Проведены семинары, изготовлены    2 000,00 шт. ознакомительных листовок и печатный документ «Инвестиционный паспорт ЗАТО Северск» в количестве 25 шт.</w:t>
      </w:r>
    </w:p>
    <w:p>
      <w:pPr>
        <w:pStyle w:val="af8"/>
        <w:tabs>
          <w:tab w:val="left" w:pos="1134"/>
        </w:tabs>
        <w:ind w:left="0" w:hanging="709"/>
        <w:jc w:val="both"/>
        <w:rPr>
          <w:bCs/>
          <w:sz w:val="24"/>
          <w:szCs w:val="24"/>
        </w:rPr>
      </w:pPr>
      <w:r>
        <w:rPr>
          <w:bCs/>
          <w:sz w:val="24"/>
          <w:szCs w:val="24"/>
        </w:rPr>
        <w:t xml:space="preserve">                        В связи с пандемией семинары, конференции, мероприятия среди молодежи и школьников, Единый день приема предпринимателей не проводились. </w:t>
      </w:r>
    </w:p>
    <w:p>
      <w:pPr>
        <w:ind w:firstLine="720"/>
        <w:jc w:val="both"/>
        <w:rPr>
          <w:bCs/>
          <w:sz w:val="24"/>
          <w:szCs w:val="24"/>
        </w:rPr>
      </w:pPr>
      <w:r>
        <w:rPr>
          <w:bCs/>
          <w:sz w:val="24"/>
          <w:szCs w:val="24"/>
        </w:rPr>
        <w:t>Субъектами предпринимательской деятельности, получившими поддержку в рамках муниципальной программы, создано 76 рабочих мест.</w:t>
      </w:r>
    </w:p>
    <w:p>
      <w:pPr>
        <w:ind w:firstLine="720"/>
        <w:jc w:val="both"/>
        <w:rPr>
          <w:bCs/>
          <w:sz w:val="24"/>
          <w:szCs w:val="24"/>
        </w:rPr>
      </w:pPr>
      <w:r>
        <w:rPr>
          <w:bCs/>
          <w:sz w:val="24"/>
          <w:szCs w:val="24"/>
        </w:rPr>
        <w:t>Финансовое обеспечение затрат дочернего общества управляющей компании, связанных с осуществлением функций по управлению территорией опережающего социально-экономического развития «Северск» (далее - ТОР «Северск») составило 5 735,97 тыс.руб. (5 652,74 тыс. руб. - средства областного бюджета, 83,23 тыс.руб. – средства местного бюджета). В 2020 году резидентами ТОР «Северск» стали еще 10 организаций ЗАТО Северск. По состоянию на 31.12.2020 зарегистрировано 12 резидентов, которыми в отчетном периоде создано 118 рабочих мест.</w:t>
      </w:r>
    </w:p>
    <w:p>
      <w:pPr>
        <w:ind w:right="55"/>
        <w:jc w:val="both"/>
        <w:rPr>
          <w:bCs/>
          <w:sz w:val="24"/>
          <w:szCs w:val="24"/>
          <w:highlight w:val="yellow"/>
        </w:rPr>
      </w:pPr>
    </w:p>
    <w:p>
      <w:pPr>
        <w:ind w:right="55"/>
        <w:jc w:val="center"/>
        <w:rPr>
          <w:b/>
          <w:bCs/>
          <w:i/>
          <w:sz w:val="24"/>
          <w:szCs w:val="24"/>
        </w:rPr>
      </w:pPr>
      <w:r>
        <w:rPr>
          <w:b/>
          <w:bCs/>
          <w:i/>
          <w:sz w:val="24"/>
          <w:szCs w:val="24"/>
        </w:rPr>
        <w:t>4.1.5.2. Муниципальная программа</w:t>
      </w:r>
    </w:p>
    <w:p>
      <w:pPr>
        <w:spacing w:after="160"/>
        <w:ind w:right="57"/>
        <w:jc w:val="center"/>
        <w:rPr>
          <w:b/>
          <w:bCs/>
          <w:i/>
          <w:sz w:val="24"/>
          <w:szCs w:val="24"/>
        </w:rPr>
      </w:pPr>
      <w:r>
        <w:rPr>
          <w:b/>
          <w:bCs/>
          <w:i/>
          <w:sz w:val="24"/>
          <w:szCs w:val="24"/>
        </w:rPr>
        <w:t>«Развитие физической культуры и спорта в ЗАТО Северск»</w:t>
      </w:r>
    </w:p>
    <w:p>
      <w:pPr>
        <w:ind w:right="55" w:firstLine="708"/>
        <w:jc w:val="both"/>
        <w:rPr>
          <w:bCs/>
          <w:sz w:val="24"/>
          <w:szCs w:val="24"/>
        </w:rPr>
      </w:pPr>
      <w:r>
        <w:rPr>
          <w:bCs/>
          <w:sz w:val="24"/>
          <w:szCs w:val="24"/>
        </w:rPr>
        <w:t xml:space="preserve">Программа исполнена в общей сумме 394 046,89 тыс.руб. ответственным исполнителем </w:t>
      </w:r>
      <w:r>
        <w:rPr>
          <w:sz w:val="24"/>
          <w:szCs w:val="24"/>
        </w:rPr>
        <w:t>УМСП ФКиС</w:t>
      </w:r>
      <w:r>
        <w:rPr>
          <w:bCs/>
          <w:sz w:val="24"/>
          <w:szCs w:val="24"/>
        </w:rPr>
        <w:t xml:space="preserve"> в сумме </w:t>
      </w:r>
      <w:r>
        <w:rPr>
          <w:sz w:val="24"/>
          <w:szCs w:val="24"/>
        </w:rPr>
        <w:t xml:space="preserve">393 900,24 </w:t>
      </w:r>
      <w:r>
        <w:rPr>
          <w:bCs/>
          <w:sz w:val="24"/>
          <w:szCs w:val="24"/>
        </w:rPr>
        <w:t>тыс.руб., а также участником программы УКС Администрации ЗАТО Северск в сумме 146,65 тыс.руб.</w:t>
      </w:r>
    </w:p>
    <w:p>
      <w:pPr>
        <w:ind w:right="55" w:firstLine="708"/>
        <w:jc w:val="both"/>
        <w:rPr>
          <w:bCs/>
          <w:sz w:val="24"/>
          <w:szCs w:val="24"/>
        </w:rPr>
      </w:pPr>
      <w:r>
        <w:rPr>
          <w:bCs/>
          <w:sz w:val="24"/>
          <w:szCs w:val="24"/>
        </w:rPr>
        <w:t>Бюджетные ассигнования направлены на:</w:t>
      </w:r>
    </w:p>
    <w:p>
      <w:pPr>
        <w:pStyle w:val="af8"/>
        <w:numPr>
          <w:ilvl w:val="0"/>
          <w:numId w:val="33"/>
        </w:numPr>
        <w:ind w:left="0" w:firstLine="709"/>
        <w:jc w:val="both"/>
        <w:rPr>
          <w:sz w:val="24"/>
          <w:szCs w:val="24"/>
        </w:rPr>
      </w:pPr>
      <w:r>
        <w:rPr>
          <w:bCs/>
          <w:sz w:val="24"/>
          <w:szCs w:val="24"/>
        </w:rPr>
        <w:t xml:space="preserve">Организацию предоставления дополнительного образования детей в шести учреждениях физкультурно-спортивной направленности - </w:t>
      </w:r>
      <w:r>
        <w:rPr>
          <w:sz w:val="24"/>
          <w:szCs w:val="24"/>
        </w:rPr>
        <w:t>344 907,46</w:t>
      </w:r>
      <w:r>
        <w:rPr>
          <w:bCs/>
          <w:sz w:val="24"/>
          <w:szCs w:val="24"/>
        </w:rPr>
        <w:t xml:space="preserve"> тыс.руб.</w:t>
      </w:r>
      <w:r>
        <w:rPr>
          <w:sz w:val="24"/>
          <w:szCs w:val="24"/>
        </w:rPr>
        <w:t xml:space="preserve"> Количество обучающихся в учреждениях физкультурно-спортивной направленности составило 4 145 чел., или 28,8% от общей численности детей и молодежи </w:t>
      </w:r>
      <w:r>
        <w:rPr>
          <w:sz w:val="24"/>
          <w:szCs w:val="24"/>
        </w:rPr>
        <w:br/>
        <w:t>в возрасте 5 - 18 лет.</w:t>
      </w:r>
    </w:p>
    <w:p>
      <w:pPr>
        <w:ind w:right="55" w:firstLine="708"/>
        <w:jc w:val="both"/>
        <w:rPr>
          <w:bCs/>
          <w:sz w:val="24"/>
          <w:szCs w:val="24"/>
        </w:rPr>
      </w:pPr>
      <w:r>
        <w:rPr>
          <w:sz w:val="24"/>
          <w:szCs w:val="24"/>
        </w:rPr>
        <w:t>В рамках выполнения муниципального задания на оказание муниципальных услуг муниципальными учреждениями дополнительного образования физкультурно-спортивной направленности ЗАТО Северск осуществлено финансовое обеспечение:</w:t>
      </w:r>
    </w:p>
    <w:p>
      <w:pPr>
        <w:ind w:right="55" w:firstLine="708"/>
        <w:jc w:val="both"/>
        <w:rPr>
          <w:bCs/>
          <w:sz w:val="24"/>
          <w:szCs w:val="24"/>
          <w:highlight w:val="yellow"/>
        </w:rPr>
      </w:pPr>
      <w:r>
        <w:rPr>
          <w:bCs/>
          <w:sz w:val="24"/>
          <w:szCs w:val="24"/>
        </w:rPr>
        <w:t xml:space="preserve">1.2. 128 118,27 тыс.руб. - на реализацию дополнительных общеразвивающих программ, </w:t>
      </w:r>
      <w:r>
        <w:rPr>
          <w:sz w:val="24"/>
          <w:szCs w:val="24"/>
        </w:rPr>
        <w:t xml:space="preserve">количество обучающихся </w:t>
      </w:r>
      <w:r>
        <w:rPr>
          <w:bCs/>
          <w:sz w:val="24"/>
          <w:szCs w:val="24"/>
        </w:rPr>
        <w:t xml:space="preserve">в которых </w:t>
      </w:r>
      <w:r>
        <w:rPr>
          <w:sz w:val="24"/>
          <w:szCs w:val="24"/>
        </w:rPr>
        <w:t>составило 1 244 чел.;</w:t>
      </w:r>
    </w:p>
    <w:p>
      <w:pPr>
        <w:ind w:right="55" w:firstLine="708"/>
        <w:jc w:val="both"/>
        <w:rPr>
          <w:bCs/>
          <w:sz w:val="24"/>
          <w:szCs w:val="24"/>
          <w:highlight w:val="yellow"/>
        </w:rPr>
      </w:pPr>
      <w:r>
        <w:rPr>
          <w:bCs/>
          <w:sz w:val="24"/>
          <w:szCs w:val="24"/>
        </w:rPr>
        <w:t xml:space="preserve">1.2. 159 641,36 тыс.руб. - на реализацию программ спортивной подготовки </w:t>
      </w:r>
      <w:r>
        <w:rPr>
          <w:bCs/>
          <w:sz w:val="24"/>
          <w:szCs w:val="24"/>
        </w:rPr>
        <w:br/>
        <w:t xml:space="preserve">по олимпийским видам спорта, </w:t>
      </w:r>
      <w:r>
        <w:rPr>
          <w:sz w:val="24"/>
          <w:szCs w:val="24"/>
        </w:rPr>
        <w:t xml:space="preserve">количество обучающихся </w:t>
      </w:r>
      <w:r>
        <w:rPr>
          <w:bCs/>
          <w:sz w:val="24"/>
          <w:szCs w:val="24"/>
        </w:rPr>
        <w:t xml:space="preserve">в которых </w:t>
      </w:r>
      <w:r>
        <w:rPr>
          <w:sz w:val="24"/>
          <w:szCs w:val="24"/>
        </w:rPr>
        <w:t>составило 2 543 чел.;</w:t>
      </w:r>
    </w:p>
    <w:p>
      <w:pPr>
        <w:ind w:right="55" w:firstLine="708"/>
        <w:jc w:val="both"/>
        <w:rPr>
          <w:sz w:val="24"/>
          <w:szCs w:val="24"/>
          <w:highlight w:val="yellow"/>
        </w:rPr>
      </w:pPr>
      <w:r>
        <w:rPr>
          <w:bCs/>
          <w:sz w:val="24"/>
          <w:szCs w:val="24"/>
        </w:rPr>
        <w:t xml:space="preserve">1.3. 11 733,27 тыс.руб. - на реализацию программ спортивной подготовки </w:t>
      </w:r>
      <w:r>
        <w:rPr>
          <w:bCs/>
          <w:sz w:val="24"/>
          <w:szCs w:val="24"/>
        </w:rPr>
        <w:br/>
        <w:t xml:space="preserve">по неолимпийским видам спорта, </w:t>
      </w:r>
      <w:r>
        <w:rPr>
          <w:sz w:val="24"/>
          <w:szCs w:val="24"/>
        </w:rPr>
        <w:t xml:space="preserve">количество обучающихся </w:t>
      </w:r>
      <w:r>
        <w:rPr>
          <w:bCs/>
          <w:sz w:val="24"/>
          <w:szCs w:val="24"/>
        </w:rPr>
        <w:t xml:space="preserve">в которых </w:t>
      </w:r>
      <w:r>
        <w:rPr>
          <w:sz w:val="24"/>
          <w:szCs w:val="24"/>
        </w:rPr>
        <w:t>составило 358 чел.;</w:t>
      </w:r>
    </w:p>
    <w:p>
      <w:pPr>
        <w:ind w:right="55" w:firstLine="708"/>
        <w:jc w:val="both"/>
        <w:rPr>
          <w:bCs/>
          <w:sz w:val="24"/>
          <w:szCs w:val="24"/>
          <w:highlight w:val="yellow"/>
        </w:rPr>
      </w:pPr>
      <w:r>
        <w:rPr>
          <w:bCs/>
          <w:sz w:val="24"/>
          <w:szCs w:val="24"/>
        </w:rPr>
        <w:t>2. Проведение официальных физкультурных и спортивных мероприятий - 1</w:t>
      </w:r>
      <w:r>
        <w:rPr>
          <w:sz w:val="24"/>
          <w:szCs w:val="24"/>
        </w:rPr>
        <w:t> 933,06 </w:t>
      </w:r>
      <w:r>
        <w:rPr>
          <w:bCs/>
          <w:sz w:val="24"/>
          <w:szCs w:val="24"/>
        </w:rPr>
        <w:t>тыс.руб.</w:t>
      </w:r>
      <w:r>
        <w:rPr>
          <w:sz w:val="24"/>
          <w:szCs w:val="24"/>
        </w:rPr>
        <w:t xml:space="preserve"> Количество участников физкультурных и спортивных мероприятий в 2020 году составило 9 500 чел.</w:t>
      </w:r>
      <w:r>
        <w:rPr>
          <w:bCs/>
          <w:sz w:val="24"/>
          <w:szCs w:val="24"/>
        </w:rPr>
        <w:t>;</w:t>
      </w:r>
    </w:p>
    <w:p>
      <w:pPr>
        <w:ind w:right="55" w:firstLine="708"/>
        <w:jc w:val="both"/>
        <w:rPr>
          <w:bCs/>
          <w:sz w:val="24"/>
          <w:szCs w:val="24"/>
        </w:rPr>
      </w:pPr>
      <w:r>
        <w:rPr>
          <w:bCs/>
          <w:sz w:val="24"/>
          <w:szCs w:val="24"/>
        </w:rPr>
        <w:t>3. Участие в региональном проекте «Спорт – норма жизни», в общем объеме 44 389,62тыс.руб.:</w:t>
      </w:r>
    </w:p>
    <w:p>
      <w:pPr>
        <w:ind w:right="55" w:firstLine="708"/>
        <w:jc w:val="both"/>
        <w:rPr>
          <w:bCs/>
          <w:sz w:val="24"/>
          <w:szCs w:val="24"/>
        </w:rPr>
      </w:pPr>
      <w:r>
        <w:rPr>
          <w:bCs/>
          <w:sz w:val="24"/>
          <w:szCs w:val="24"/>
        </w:rPr>
        <w:t>3.1. 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- 11 151,18 тыс.руб.;</w:t>
      </w:r>
    </w:p>
    <w:p>
      <w:pPr>
        <w:ind w:right="55" w:firstLine="708"/>
        <w:jc w:val="both"/>
        <w:rPr>
          <w:bCs/>
          <w:sz w:val="24"/>
          <w:szCs w:val="24"/>
        </w:rPr>
      </w:pPr>
      <w:r>
        <w:rPr>
          <w:bCs/>
          <w:sz w:val="24"/>
          <w:szCs w:val="24"/>
        </w:rPr>
        <w:t xml:space="preserve">3.2. Обеспечение условий для развития физической культуры и массового спорта - 4 297,41 тыс.руб.; </w:t>
      </w:r>
    </w:p>
    <w:p>
      <w:pPr>
        <w:ind w:right="55" w:firstLine="708"/>
        <w:jc w:val="both"/>
        <w:rPr>
          <w:bCs/>
          <w:sz w:val="24"/>
          <w:szCs w:val="24"/>
        </w:rPr>
      </w:pPr>
      <w:r>
        <w:rPr>
          <w:bCs/>
          <w:sz w:val="24"/>
          <w:szCs w:val="24"/>
        </w:rPr>
        <w:t>3.3. Приобретение спортивного оборудования и инвентаря для спортивных школ - 26 570,30 тыс.руб.;</w:t>
      </w:r>
    </w:p>
    <w:p>
      <w:pPr>
        <w:ind w:right="55" w:firstLine="708"/>
        <w:jc w:val="both"/>
        <w:rPr>
          <w:bCs/>
          <w:sz w:val="24"/>
          <w:szCs w:val="24"/>
        </w:rPr>
      </w:pPr>
      <w:r>
        <w:rPr>
          <w:bCs/>
          <w:sz w:val="24"/>
          <w:szCs w:val="24"/>
        </w:rPr>
        <w:t>3.4. 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- 2 370,73 тыс.руб.;</w:t>
      </w:r>
    </w:p>
    <w:p>
      <w:pPr>
        <w:ind w:right="55" w:firstLine="708"/>
        <w:jc w:val="both"/>
        <w:rPr>
          <w:bCs/>
          <w:sz w:val="24"/>
          <w:szCs w:val="24"/>
        </w:rPr>
      </w:pPr>
      <w:r>
        <w:rPr>
          <w:bCs/>
          <w:sz w:val="24"/>
          <w:szCs w:val="24"/>
        </w:rPr>
        <w:t>4. Обеспечение спортивных сборных команд ЗАТО Северск, реализацию мероприятий, направленных на социальную поддержку спортсменов и их тренеров в объеме 1 870,10 тыс.руб. В составы сборных команд Томской области из ЗАТО Северск зачислено 306 спортсмена; 1 110</w:t>
      </w:r>
      <w:r>
        <w:rPr>
          <w:sz w:val="24"/>
          <w:szCs w:val="24"/>
        </w:rPr>
        <w:t xml:space="preserve"> спортсменов приняли участие в соревнованиях регионального, всероссийского и международного уровней; 10 спортсменов получают стипендию ЗАТО Северск по 3,00 тыс.руб.  и 2 спортсмена по 10,00 тыс. руб. ежемесячно</w:t>
      </w:r>
      <w:r>
        <w:rPr>
          <w:bCs/>
          <w:sz w:val="24"/>
          <w:szCs w:val="24"/>
        </w:rPr>
        <w:t>;</w:t>
      </w:r>
    </w:p>
    <w:p>
      <w:pPr>
        <w:ind w:right="55" w:firstLine="708"/>
        <w:jc w:val="both"/>
        <w:rPr>
          <w:bCs/>
          <w:sz w:val="24"/>
          <w:szCs w:val="24"/>
        </w:rPr>
      </w:pPr>
      <w:r>
        <w:rPr>
          <w:bCs/>
          <w:sz w:val="24"/>
          <w:szCs w:val="24"/>
        </w:rPr>
        <w:t>5.</w:t>
      </w:r>
      <w:r>
        <w:t> </w:t>
      </w:r>
      <w:r>
        <w:rPr>
          <w:sz w:val="24"/>
          <w:szCs w:val="24"/>
        </w:rPr>
        <w:t>Р</w:t>
      </w:r>
      <w:r>
        <w:rPr>
          <w:bCs/>
          <w:sz w:val="24"/>
          <w:szCs w:val="24"/>
        </w:rPr>
        <w:t>азвитие детско-юношеского и массового хоккея - 800,00 тыс.руб.;</w:t>
      </w:r>
    </w:p>
    <w:p>
      <w:pPr>
        <w:ind w:right="55" w:firstLine="708"/>
        <w:jc w:val="both"/>
        <w:rPr>
          <w:bCs/>
          <w:sz w:val="24"/>
          <w:szCs w:val="24"/>
        </w:rPr>
      </w:pPr>
      <w:r>
        <w:rPr>
          <w:sz w:val="24"/>
          <w:szCs w:val="24"/>
        </w:rPr>
        <w:t>6.</w:t>
      </w:r>
      <w:r>
        <w:rPr>
          <w:sz w:val="24"/>
          <w:szCs w:val="24"/>
          <w:lang w:val="en-US"/>
        </w:rPr>
        <w:t> </w:t>
      </w:r>
      <w:r>
        <w:rPr>
          <w:sz w:val="24"/>
          <w:szCs w:val="24"/>
        </w:rPr>
        <w:t>Капитальный ремонт(ПИР) наружной стены здания СК «Молодость» МАУДО ДЮСШ им.Л.Егоровой по адресу г.Северск, ул.Мира  -  146,65 тыс.руб</w:t>
      </w:r>
      <w:r>
        <w:rPr>
          <w:bCs/>
          <w:sz w:val="24"/>
          <w:szCs w:val="24"/>
        </w:rPr>
        <w:t>.;</w:t>
      </w:r>
    </w:p>
    <w:p>
      <w:pPr>
        <w:ind w:right="55"/>
        <w:rPr>
          <w:bCs/>
          <w:i/>
          <w:color w:val="FF0000"/>
          <w:sz w:val="26"/>
          <w:szCs w:val="26"/>
          <w:highlight w:val="yellow"/>
        </w:rPr>
      </w:pPr>
    </w:p>
    <w:p>
      <w:pPr>
        <w:ind w:right="55"/>
        <w:jc w:val="center"/>
        <w:rPr>
          <w:b/>
          <w:bCs/>
          <w:i/>
          <w:sz w:val="24"/>
          <w:szCs w:val="24"/>
        </w:rPr>
      </w:pPr>
      <w:r>
        <w:rPr>
          <w:b/>
          <w:bCs/>
          <w:i/>
          <w:sz w:val="24"/>
          <w:szCs w:val="24"/>
        </w:rPr>
        <w:t>4.1.5.3. Муниципальная программа</w:t>
      </w:r>
    </w:p>
    <w:p>
      <w:pPr>
        <w:ind w:right="55"/>
        <w:jc w:val="center"/>
        <w:rPr>
          <w:b/>
          <w:bCs/>
          <w:i/>
          <w:sz w:val="24"/>
          <w:szCs w:val="24"/>
        </w:rPr>
      </w:pPr>
      <w:r>
        <w:rPr>
          <w:b/>
          <w:bCs/>
          <w:i/>
          <w:sz w:val="24"/>
          <w:szCs w:val="24"/>
        </w:rPr>
        <w:t>«Молодежная политика в ЗАТО Северск»</w:t>
      </w:r>
    </w:p>
    <w:p>
      <w:pPr>
        <w:ind w:right="55" w:firstLine="708"/>
        <w:jc w:val="both"/>
        <w:rPr>
          <w:bCs/>
          <w:sz w:val="16"/>
          <w:szCs w:val="16"/>
          <w:highlight w:val="yellow"/>
        </w:rPr>
      </w:pPr>
    </w:p>
    <w:p>
      <w:pPr>
        <w:ind w:right="55" w:firstLine="708"/>
        <w:jc w:val="both"/>
        <w:rPr>
          <w:bCs/>
          <w:sz w:val="24"/>
          <w:szCs w:val="24"/>
          <w:highlight w:val="yellow"/>
        </w:rPr>
      </w:pPr>
      <w:r>
        <w:rPr>
          <w:bCs/>
          <w:sz w:val="24"/>
          <w:szCs w:val="24"/>
        </w:rPr>
        <w:t xml:space="preserve">Программа исполнена в общей сумме 82 630,58 тыс.руб., в том числе ответственным исполнителем </w:t>
      </w:r>
      <w:r>
        <w:rPr>
          <w:sz w:val="24"/>
          <w:szCs w:val="24"/>
        </w:rPr>
        <w:t xml:space="preserve">УМСП ФКиС </w:t>
      </w:r>
      <w:r>
        <w:rPr>
          <w:bCs/>
          <w:sz w:val="24"/>
          <w:szCs w:val="24"/>
        </w:rPr>
        <w:t>в сумме 80 240,07</w:t>
      </w:r>
      <w:r>
        <w:rPr>
          <w:sz w:val="24"/>
          <w:szCs w:val="24"/>
        </w:rPr>
        <w:t> тыс.</w:t>
      </w:r>
      <w:r>
        <w:rPr>
          <w:bCs/>
          <w:sz w:val="24"/>
          <w:szCs w:val="24"/>
        </w:rPr>
        <w:t>руб., а также участником программы УКС в сумме 2 390,51 тыс.руб.</w:t>
      </w:r>
      <w:r>
        <w:rPr>
          <w:bCs/>
          <w:sz w:val="24"/>
          <w:szCs w:val="24"/>
          <w:highlight w:val="yellow"/>
        </w:rPr>
        <w:t xml:space="preserve"> </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highlight w:val="yellow"/>
        </w:rPr>
      </w:pPr>
      <w:r>
        <w:rPr>
          <w:bCs/>
          <w:sz w:val="24"/>
          <w:szCs w:val="24"/>
          <w:shd w:val="clear" w:color="auto" w:fill="FFFFFF" w:themeFill="background1"/>
        </w:rPr>
        <w:lastRenderedPageBreak/>
        <w:t xml:space="preserve">1. Обеспечение временной занятости и трудоустройства несовершеннолетних </w:t>
      </w:r>
      <w:r>
        <w:rPr>
          <w:bCs/>
          <w:sz w:val="24"/>
          <w:szCs w:val="24"/>
          <w:shd w:val="clear" w:color="auto" w:fill="FFFFFF" w:themeFill="background1"/>
        </w:rPr>
        <w:br/>
        <w:t>в возрасте от 14 до 17 лет (включительно) в свободное от учебы время, содействие развитию молодежных трудовых отрядов  -  15,0 тыс.руб.</w:t>
      </w:r>
      <w:r>
        <w:rPr>
          <w:bCs/>
          <w:sz w:val="24"/>
          <w:szCs w:val="24"/>
        </w:rPr>
        <w:t>;</w:t>
      </w:r>
    </w:p>
    <w:p>
      <w:pPr>
        <w:ind w:right="55" w:firstLine="708"/>
        <w:jc w:val="both"/>
        <w:rPr>
          <w:bCs/>
          <w:sz w:val="24"/>
          <w:szCs w:val="24"/>
          <w:highlight w:val="yellow"/>
        </w:rPr>
      </w:pPr>
      <w:r>
        <w:rPr>
          <w:bCs/>
          <w:sz w:val="24"/>
          <w:szCs w:val="24"/>
        </w:rPr>
        <w:t>2. Реализацию молодежной политики ЗАТО Северск - 498,89 тыс.руб.</w:t>
      </w:r>
      <w:r>
        <w:rPr>
          <w:sz w:val="24"/>
          <w:szCs w:val="24"/>
        </w:rPr>
        <w:t xml:space="preserve"> Организовано и проведено 34 онлайн мероприятия, привлечено 38 тыс. чел.</w:t>
      </w:r>
      <w:r>
        <w:rPr>
          <w:bCs/>
          <w:sz w:val="24"/>
          <w:szCs w:val="24"/>
        </w:rPr>
        <w:t>;</w:t>
      </w:r>
    </w:p>
    <w:p>
      <w:pPr>
        <w:ind w:right="55" w:firstLine="708"/>
        <w:jc w:val="both"/>
        <w:rPr>
          <w:bCs/>
          <w:sz w:val="24"/>
          <w:szCs w:val="24"/>
        </w:rPr>
      </w:pPr>
      <w:r>
        <w:rPr>
          <w:bCs/>
          <w:sz w:val="24"/>
          <w:szCs w:val="24"/>
        </w:rPr>
        <w:t>3. Обеспечение отдыха и оздоровления детей - 49 973,50 тыс.руб.;</w:t>
      </w:r>
    </w:p>
    <w:p>
      <w:pPr>
        <w:ind w:right="55" w:firstLine="708"/>
        <w:jc w:val="both"/>
        <w:rPr>
          <w:bCs/>
          <w:sz w:val="24"/>
          <w:szCs w:val="24"/>
        </w:rPr>
      </w:pPr>
      <w:r>
        <w:rPr>
          <w:bCs/>
          <w:sz w:val="24"/>
          <w:szCs w:val="24"/>
        </w:rPr>
        <w:t>4. Обеспечение жильем молодых семей ЗАТО Северск - 12 096,00 тыс.руб., в том числе: за счет средств федерального бюджета 3 872,24 тыс. руб., за счет средств областного бюджета 4 111,88 тыс. руб., за счет средств местного бюджета 4 111,88 тыс. руб. Выплаты из бюджета получили 29 молодых семей;</w:t>
      </w:r>
    </w:p>
    <w:p>
      <w:pPr>
        <w:ind w:right="55" w:firstLine="708"/>
        <w:jc w:val="both"/>
        <w:rPr>
          <w:bCs/>
          <w:sz w:val="24"/>
          <w:szCs w:val="24"/>
        </w:rPr>
      </w:pPr>
      <w:r>
        <w:rPr>
          <w:bCs/>
          <w:sz w:val="24"/>
          <w:szCs w:val="24"/>
        </w:rPr>
        <w:t xml:space="preserve">5. Обеспечение деятельности ответственного исполнителя программы </w:t>
      </w:r>
      <w:r>
        <w:rPr>
          <w:sz w:val="24"/>
          <w:szCs w:val="24"/>
        </w:rPr>
        <w:t xml:space="preserve">УМСП ФКиС - </w:t>
      </w:r>
      <w:r>
        <w:rPr>
          <w:bCs/>
          <w:sz w:val="24"/>
          <w:szCs w:val="24"/>
        </w:rPr>
        <w:t>17 656,68 тыс.руб.;</w:t>
      </w:r>
    </w:p>
    <w:p>
      <w:pPr>
        <w:ind w:right="55" w:firstLine="708"/>
        <w:jc w:val="both"/>
        <w:rPr>
          <w:bCs/>
          <w:sz w:val="24"/>
          <w:szCs w:val="24"/>
          <w:highlight w:val="yellow"/>
        </w:rPr>
      </w:pPr>
      <w:r>
        <w:rPr>
          <w:bCs/>
          <w:sz w:val="24"/>
          <w:szCs w:val="24"/>
        </w:rPr>
        <w:t xml:space="preserve">6. Капитальный ремонт системы отопления МАУ ЗАТО ДОЛ «Восход» по адресу: Томская область, Томский район, дер.Большое Протопопово (замена котлов) – 2 390,51 тыс.руб. (1 866,59 тыс. руб. - средства областного бюджета, 523,92 тыс.руб. – средства местного бюджета). </w:t>
      </w:r>
    </w:p>
    <w:p>
      <w:pPr>
        <w:ind w:right="55"/>
        <w:jc w:val="center"/>
        <w:rPr>
          <w:bCs/>
          <w:color w:val="FF0000"/>
          <w:sz w:val="26"/>
          <w:szCs w:val="26"/>
          <w:highlight w:val="yellow"/>
        </w:rPr>
      </w:pPr>
    </w:p>
    <w:p>
      <w:pPr>
        <w:ind w:right="55"/>
        <w:jc w:val="center"/>
        <w:rPr>
          <w:b/>
          <w:bCs/>
          <w:i/>
          <w:sz w:val="24"/>
          <w:szCs w:val="24"/>
        </w:rPr>
      </w:pPr>
      <w:r>
        <w:rPr>
          <w:b/>
          <w:bCs/>
          <w:i/>
          <w:sz w:val="24"/>
          <w:szCs w:val="24"/>
        </w:rPr>
        <w:t>4.1.5.4. Муниципальная программа</w:t>
      </w:r>
    </w:p>
    <w:p>
      <w:pPr>
        <w:spacing w:after="120"/>
        <w:ind w:right="57"/>
        <w:jc w:val="center"/>
        <w:rPr>
          <w:b/>
          <w:bCs/>
          <w:i/>
          <w:sz w:val="24"/>
          <w:szCs w:val="24"/>
        </w:rPr>
      </w:pPr>
      <w:r>
        <w:rPr>
          <w:b/>
          <w:bCs/>
          <w:i/>
          <w:sz w:val="24"/>
          <w:szCs w:val="24"/>
        </w:rPr>
        <w:t>«Развитие культуры и туризма в ЗАТО Северск»</w:t>
      </w:r>
    </w:p>
    <w:p>
      <w:pPr>
        <w:ind w:right="55" w:firstLine="708"/>
        <w:jc w:val="both"/>
        <w:rPr>
          <w:bCs/>
          <w:sz w:val="24"/>
          <w:szCs w:val="24"/>
        </w:rPr>
      </w:pPr>
      <w:r>
        <w:rPr>
          <w:bCs/>
          <w:sz w:val="24"/>
          <w:szCs w:val="24"/>
        </w:rPr>
        <w:t xml:space="preserve">Программа исполнена в общей сумме 535 155,34 тыс.руб., в том числе ответственным исполнителем </w:t>
      </w:r>
      <w:r>
        <w:rPr>
          <w:sz w:val="24"/>
          <w:szCs w:val="24"/>
        </w:rPr>
        <w:t>Управлением культуры</w:t>
      </w:r>
      <w:r>
        <w:rPr>
          <w:bCs/>
          <w:sz w:val="24"/>
          <w:szCs w:val="24"/>
        </w:rPr>
        <w:t xml:space="preserve"> в сумме 532 039,85</w:t>
      </w:r>
      <w:r>
        <w:rPr>
          <w:sz w:val="24"/>
          <w:szCs w:val="24"/>
        </w:rPr>
        <w:t xml:space="preserve"> тыс.</w:t>
      </w:r>
      <w:r>
        <w:rPr>
          <w:bCs/>
          <w:sz w:val="24"/>
          <w:szCs w:val="24"/>
        </w:rPr>
        <w:t xml:space="preserve">руб., </w:t>
      </w:r>
      <w:r>
        <w:rPr>
          <w:bCs/>
          <w:sz w:val="24"/>
          <w:szCs w:val="24"/>
        </w:rPr>
        <w:br/>
        <w:t xml:space="preserve">а также участником программы УКС в сумме 3 115,49 тыс.руб. </w:t>
      </w:r>
    </w:p>
    <w:p>
      <w:pPr>
        <w:ind w:right="55" w:firstLine="708"/>
        <w:jc w:val="both"/>
        <w:rPr>
          <w:bCs/>
          <w:sz w:val="24"/>
          <w:szCs w:val="24"/>
        </w:rPr>
      </w:pPr>
      <w:r>
        <w:rPr>
          <w:bCs/>
          <w:sz w:val="24"/>
          <w:szCs w:val="24"/>
        </w:rPr>
        <w:t>Бюджетные ассигнования направлены на:</w:t>
      </w:r>
    </w:p>
    <w:p>
      <w:pPr>
        <w:pStyle w:val="af8"/>
        <w:numPr>
          <w:ilvl w:val="0"/>
          <w:numId w:val="19"/>
        </w:numPr>
        <w:ind w:left="0" w:firstLine="709"/>
        <w:jc w:val="both"/>
        <w:rPr>
          <w:bCs/>
          <w:sz w:val="24"/>
          <w:szCs w:val="24"/>
        </w:rPr>
      </w:pPr>
      <w:r>
        <w:rPr>
          <w:bCs/>
          <w:sz w:val="24"/>
          <w:szCs w:val="24"/>
        </w:rPr>
        <w:t>Обеспечение деятельности учреждений дополнительного образования детей художественно-эстетической направленности - 129 372,49 тыс.руб.</w:t>
      </w:r>
      <w:r>
        <w:rPr>
          <w:iCs/>
          <w:sz w:val="24"/>
          <w:szCs w:val="24"/>
        </w:rPr>
        <w:t xml:space="preserve"> В муниципальных учреждениях услуги по дополнительному образованию получили 3 018 чел. </w:t>
      </w:r>
      <w:r>
        <w:rPr>
          <w:iCs/>
          <w:sz w:val="24"/>
          <w:szCs w:val="24"/>
        </w:rPr>
        <w:br/>
        <w:t>в возрасте 5 - 18 лет</w:t>
      </w:r>
      <w:r>
        <w:rPr>
          <w:bCs/>
          <w:sz w:val="24"/>
          <w:szCs w:val="24"/>
        </w:rPr>
        <w:t>;</w:t>
      </w:r>
    </w:p>
    <w:p>
      <w:pPr>
        <w:pStyle w:val="af8"/>
        <w:numPr>
          <w:ilvl w:val="0"/>
          <w:numId w:val="19"/>
        </w:numPr>
        <w:ind w:left="0" w:firstLine="709"/>
        <w:jc w:val="both"/>
        <w:rPr>
          <w:bCs/>
          <w:sz w:val="24"/>
          <w:szCs w:val="24"/>
        </w:rPr>
      </w:pPr>
      <w:r>
        <w:rPr>
          <w:bCs/>
          <w:sz w:val="24"/>
          <w:szCs w:val="24"/>
        </w:rPr>
        <w:t>Обеспечение деятельности 8 учреждений культуры - 368 419,54 тыс.руб.;</w:t>
      </w:r>
    </w:p>
    <w:p>
      <w:pPr>
        <w:pStyle w:val="af8"/>
        <w:numPr>
          <w:ilvl w:val="0"/>
          <w:numId w:val="19"/>
        </w:numPr>
        <w:ind w:left="0" w:firstLine="709"/>
        <w:jc w:val="both"/>
        <w:rPr>
          <w:bCs/>
          <w:sz w:val="24"/>
          <w:szCs w:val="24"/>
        </w:rPr>
      </w:pPr>
      <w:r>
        <w:rPr>
          <w:bCs/>
          <w:sz w:val="24"/>
          <w:szCs w:val="24"/>
        </w:rPr>
        <w:t>Организацию мероприятий по развитию материально – технической базы учреждений культуры - 2 940,76 тыс.руб.;</w:t>
      </w:r>
    </w:p>
    <w:p>
      <w:pPr>
        <w:pStyle w:val="af8"/>
        <w:numPr>
          <w:ilvl w:val="0"/>
          <w:numId w:val="19"/>
        </w:numPr>
        <w:ind w:left="0" w:firstLine="709"/>
        <w:jc w:val="both"/>
        <w:rPr>
          <w:bCs/>
          <w:sz w:val="24"/>
          <w:szCs w:val="24"/>
        </w:rPr>
      </w:pPr>
      <w:r>
        <w:rPr>
          <w:bCs/>
          <w:sz w:val="24"/>
          <w:szCs w:val="24"/>
        </w:rPr>
        <w:t xml:space="preserve">Организацию и проведение культурно-массовых и творческих мероприятий </w:t>
      </w:r>
      <w:r>
        <w:rPr>
          <w:bCs/>
          <w:sz w:val="24"/>
          <w:szCs w:val="24"/>
        </w:rPr>
        <w:br/>
        <w:t xml:space="preserve">- 4 620,25 тыс.руб. </w:t>
      </w:r>
      <w:r>
        <w:rPr>
          <w:sz w:val="24"/>
          <w:szCs w:val="24"/>
        </w:rPr>
        <w:t>Культурно-досуговые мероприятия, организованные муниципальными учреждениями культуры, посетили 145</w:t>
      </w:r>
      <w:r>
        <w:rPr>
          <w:bCs/>
          <w:sz w:val="24"/>
          <w:szCs w:val="24"/>
        </w:rPr>
        <w:t>,5</w:t>
      </w:r>
      <w:r>
        <w:rPr>
          <w:sz w:val="24"/>
          <w:szCs w:val="24"/>
        </w:rPr>
        <w:t xml:space="preserve"> тыс.чел. Стипендию ЗАТО Северск за достижения в области культуры и искусств</w:t>
      </w:r>
      <w:r>
        <w:rPr>
          <w:bCs/>
          <w:sz w:val="24"/>
          <w:szCs w:val="24"/>
        </w:rPr>
        <w:t xml:space="preserve"> </w:t>
      </w:r>
      <w:r>
        <w:rPr>
          <w:sz w:val="24"/>
          <w:szCs w:val="24"/>
        </w:rPr>
        <w:t>получают 14 чел. в сумме 2,0 тыс.руб. ежемесячно</w:t>
      </w:r>
      <w:r>
        <w:rPr>
          <w:bCs/>
          <w:sz w:val="24"/>
          <w:szCs w:val="24"/>
        </w:rPr>
        <w:t>;</w:t>
      </w:r>
    </w:p>
    <w:p>
      <w:pPr>
        <w:pStyle w:val="af8"/>
        <w:numPr>
          <w:ilvl w:val="0"/>
          <w:numId w:val="19"/>
        </w:numPr>
        <w:ind w:left="0" w:firstLine="709"/>
        <w:jc w:val="both"/>
        <w:rPr>
          <w:bCs/>
          <w:sz w:val="24"/>
          <w:szCs w:val="24"/>
        </w:rPr>
      </w:pPr>
      <w:r>
        <w:rPr>
          <w:bCs/>
          <w:sz w:val="24"/>
          <w:szCs w:val="24"/>
        </w:rPr>
        <w:t>Организацию мероприятий, направленных на поддержку творческой деятельности муниципальных учреждений культуры, их работников и иных организаций в сфере культуры - 14 702,29 тыс.руб.;</w:t>
      </w:r>
    </w:p>
    <w:p>
      <w:pPr>
        <w:pStyle w:val="af8"/>
        <w:numPr>
          <w:ilvl w:val="0"/>
          <w:numId w:val="19"/>
        </w:numPr>
        <w:ind w:left="0" w:firstLine="709"/>
        <w:jc w:val="both"/>
        <w:rPr>
          <w:bCs/>
          <w:sz w:val="24"/>
          <w:szCs w:val="24"/>
        </w:rPr>
      </w:pPr>
      <w:r>
        <w:rPr>
          <w:bCs/>
          <w:sz w:val="24"/>
          <w:szCs w:val="24"/>
        </w:rPr>
        <w:t>Участие в региональном проекте «Культурная среда» - 1 050,00 тыс.руб.;</w:t>
      </w:r>
    </w:p>
    <w:p>
      <w:pPr>
        <w:pStyle w:val="af8"/>
        <w:numPr>
          <w:ilvl w:val="0"/>
          <w:numId w:val="19"/>
        </w:numPr>
        <w:ind w:left="0" w:firstLine="709"/>
        <w:jc w:val="both"/>
        <w:rPr>
          <w:bCs/>
          <w:sz w:val="24"/>
          <w:szCs w:val="24"/>
        </w:rPr>
      </w:pPr>
      <w:r>
        <w:rPr>
          <w:bCs/>
          <w:sz w:val="24"/>
          <w:szCs w:val="24"/>
        </w:rPr>
        <w:t>Капитальный ремонт объектов культуры - 3 115,49 тыс.руб. в том числе:</w:t>
      </w:r>
    </w:p>
    <w:p>
      <w:pPr>
        <w:pStyle w:val="af8"/>
        <w:ind w:left="0" w:firstLine="709"/>
        <w:jc w:val="both"/>
        <w:rPr>
          <w:bCs/>
          <w:sz w:val="24"/>
          <w:szCs w:val="24"/>
        </w:rPr>
      </w:pPr>
      <w:r>
        <w:rPr>
          <w:bCs/>
          <w:sz w:val="24"/>
          <w:szCs w:val="24"/>
        </w:rPr>
        <w:t>7.1. ПИР: на капитальный ремонт здания МАУ ДО «Детская школа искусств», корпус 2, по адресу: Томская область, г.Северск, ул.40 Лет Октября, 4 - 598,87 тыс.руб., и ПИР на капитальный ремонт здания МБУДО «Самусьская ДШИ», по адресу: Томская область, п.Самусь, ул. Гагарина, 4 - 549,37 тыс.руб.;</w:t>
      </w:r>
    </w:p>
    <w:p>
      <w:pPr>
        <w:pStyle w:val="af8"/>
        <w:ind w:left="0" w:firstLine="709"/>
        <w:jc w:val="both"/>
        <w:rPr>
          <w:bCs/>
          <w:sz w:val="24"/>
          <w:szCs w:val="24"/>
        </w:rPr>
      </w:pPr>
      <w:r>
        <w:rPr>
          <w:bCs/>
          <w:sz w:val="24"/>
          <w:szCs w:val="24"/>
        </w:rPr>
        <w:t>7.2. ПИР и СМР на капитальный ремонт здания МБУ «Самусьский ДК» - 1 487,69 тыс.руб.;</w:t>
      </w:r>
    </w:p>
    <w:p>
      <w:pPr>
        <w:pStyle w:val="af8"/>
        <w:numPr>
          <w:ilvl w:val="1"/>
          <w:numId w:val="19"/>
        </w:numPr>
        <w:ind w:left="0" w:firstLine="709"/>
        <w:jc w:val="both"/>
        <w:rPr>
          <w:bCs/>
          <w:sz w:val="24"/>
          <w:szCs w:val="24"/>
        </w:rPr>
      </w:pPr>
      <w:r>
        <w:rPr>
          <w:bCs/>
          <w:sz w:val="24"/>
          <w:szCs w:val="24"/>
        </w:rPr>
        <w:t xml:space="preserve"> ПИР на капитальный ремонт здания МБУ «Центральная детская библиотека» по адресу: Томская область, г.Северск, ул. 40 лет Октября, 15 - 479,57 тыс.руб.</w:t>
      </w:r>
    </w:p>
    <w:p>
      <w:pPr>
        <w:pStyle w:val="af8"/>
        <w:numPr>
          <w:ilvl w:val="0"/>
          <w:numId w:val="19"/>
        </w:numPr>
        <w:ind w:left="0" w:firstLine="709"/>
        <w:jc w:val="both"/>
        <w:rPr>
          <w:sz w:val="22"/>
          <w:szCs w:val="22"/>
        </w:rPr>
      </w:pPr>
      <w:r>
        <w:rPr>
          <w:bCs/>
          <w:sz w:val="24"/>
          <w:szCs w:val="24"/>
        </w:rPr>
        <w:t xml:space="preserve">Обеспечение деятельности ответственного исполнителя программы </w:t>
      </w:r>
      <w:r>
        <w:rPr>
          <w:sz w:val="24"/>
          <w:szCs w:val="24"/>
        </w:rPr>
        <w:t xml:space="preserve">Управления культуры </w:t>
      </w:r>
      <w:r>
        <w:rPr>
          <w:bCs/>
          <w:sz w:val="24"/>
          <w:szCs w:val="24"/>
        </w:rPr>
        <w:t>в объеме 10 934,52 тыс.руб.</w:t>
      </w:r>
    </w:p>
    <w:p>
      <w:pPr>
        <w:ind w:right="55"/>
        <w:jc w:val="center"/>
        <w:rPr>
          <w:b/>
          <w:bCs/>
          <w:i/>
          <w:sz w:val="26"/>
          <w:szCs w:val="26"/>
          <w:highlight w:val="yellow"/>
        </w:rPr>
      </w:pPr>
    </w:p>
    <w:p>
      <w:pPr>
        <w:ind w:right="55"/>
        <w:jc w:val="center"/>
        <w:rPr>
          <w:b/>
          <w:bCs/>
          <w:i/>
          <w:sz w:val="24"/>
          <w:szCs w:val="24"/>
        </w:rPr>
      </w:pPr>
    </w:p>
    <w:p>
      <w:pPr>
        <w:ind w:right="55"/>
        <w:jc w:val="center"/>
        <w:rPr>
          <w:b/>
          <w:bCs/>
          <w:i/>
          <w:sz w:val="24"/>
          <w:szCs w:val="24"/>
        </w:rPr>
      </w:pPr>
    </w:p>
    <w:p>
      <w:pPr>
        <w:ind w:right="55"/>
        <w:jc w:val="center"/>
        <w:rPr>
          <w:b/>
          <w:bCs/>
          <w:i/>
          <w:sz w:val="24"/>
          <w:szCs w:val="24"/>
        </w:rPr>
      </w:pPr>
      <w:r>
        <w:rPr>
          <w:b/>
          <w:bCs/>
          <w:i/>
          <w:sz w:val="24"/>
          <w:szCs w:val="24"/>
        </w:rPr>
        <w:lastRenderedPageBreak/>
        <w:t>4.1.5.5. Муниципальная программа</w:t>
      </w:r>
    </w:p>
    <w:p>
      <w:pPr>
        <w:spacing w:after="120"/>
        <w:ind w:right="57"/>
        <w:jc w:val="center"/>
        <w:rPr>
          <w:b/>
          <w:bCs/>
          <w:i/>
          <w:sz w:val="24"/>
          <w:szCs w:val="24"/>
        </w:rPr>
      </w:pPr>
      <w:r>
        <w:rPr>
          <w:b/>
          <w:bCs/>
          <w:i/>
          <w:sz w:val="24"/>
          <w:szCs w:val="24"/>
        </w:rPr>
        <w:t>«Развитие образования в ЗАТО Северск»</w:t>
      </w:r>
    </w:p>
    <w:p>
      <w:pPr>
        <w:ind w:right="55" w:firstLine="708"/>
        <w:jc w:val="both"/>
        <w:rPr>
          <w:bCs/>
          <w:sz w:val="24"/>
          <w:szCs w:val="24"/>
          <w:highlight w:val="yellow"/>
        </w:rPr>
      </w:pPr>
      <w:r>
        <w:rPr>
          <w:bCs/>
          <w:sz w:val="24"/>
          <w:szCs w:val="24"/>
        </w:rPr>
        <w:t xml:space="preserve">Программа исполнена в общей сумме </w:t>
      </w:r>
      <w:r>
        <w:rPr>
          <w:sz w:val="24"/>
          <w:szCs w:val="24"/>
        </w:rPr>
        <w:t xml:space="preserve">2 286 092,94 </w:t>
      </w:r>
      <w:r>
        <w:rPr>
          <w:bCs/>
          <w:sz w:val="24"/>
          <w:szCs w:val="24"/>
        </w:rPr>
        <w:t>тыс.руб., в том числе ответственным исполнителем Управлением образования в сумме 2 281 332,56 тыс.руб., а также участником программы УКС в сумме 4 760,38 тыс.руб.</w:t>
      </w:r>
    </w:p>
    <w:p>
      <w:pPr>
        <w:spacing w:before="60"/>
        <w:ind w:right="57" w:firstLine="709"/>
        <w:jc w:val="both"/>
        <w:rPr>
          <w:bCs/>
          <w:sz w:val="24"/>
          <w:szCs w:val="24"/>
        </w:rPr>
      </w:pPr>
      <w:r>
        <w:rPr>
          <w:bCs/>
          <w:sz w:val="24"/>
          <w:szCs w:val="24"/>
        </w:rPr>
        <w:t>Бюджетные ассигнования направлены на:</w:t>
      </w:r>
    </w:p>
    <w:p>
      <w:pPr>
        <w:spacing w:before="40"/>
        <w:ind w:right="57" w:firstLine="709"/>
        <w:jc w:val="both"/>
        <w:rPr>
          <w:bCs/>
          <w:sz w:val="24"/>
          <w:szCs w:val="24"/>
        </w:rPr>
      </w:pPr>
      <w:r>
        <w:rPr>
          <w:bCs/>
          <w:sz w:val="24"/>
          <w:szCs w:val="24"/>
        </w:rPr>
        <w:t>1. Организацию деятельности 22 дошкольных образовательных организаций (количество воспитанников - 6 250 чел.), 18 общеобразовательных организаций (количество обучающихся составило 11 045 чел.) и МБУ ДО «Центр «Поиск»  (количество обучающихся - 844 чел.) - 2 155 893,76 тыс.руб.;</w:t>
      </w:r>
    </w:p>
    <w:p>
      <w:pPr>
        <w:spacing w:before="40"/>
        <w:ind w:right="57" w:firstLine="709"/>
        <w:jc w:val="both"/>
        <w:rPr>
          <w:bCs/>
          <w:sz w:val="24"/>
          <w:szCs w:val="24"/>
        </w:rPr>
      </w:pPr>
      <w:r>
        <w:rPr>
          <w:bCs/>
          <w:sz w:val="24"/>
          <w:szCs w:val="24"/>
        </w:rPr>
        <w:t>2. Организацию деятельности МАУ ЗАТО Северск «Ресурсный центр образования» и МКУ ЗАТО Северск «Централизованная бухгалтерия образовательных учреждений» - 63 906,48 тыс.руб.;</w:t>
      </w:r>
    </w:p>
    <w:p>
      <w:pPr>
        <w:spacing w:before="40"/>
        <w:ind w:right="57" w:firstLine="709"/>
        <w:jc w:val="both"/>
        <w:rPr>
          <w:bCs/>
          <w:sz w:val="24"/>
          <w:szCs w:val="24"/>
        </w:rPr>
      </w:pPr>
      <w:r>
        <w:rPr>
          <w:bCs/>
          <w:sz w:val="24"/>
          <w:szCs w:val="24"/>
        </w:rPr>
        <w:t>3. Участие в региональном проекте «Цифровая образовательная среда» - 17 663,14 тыс.руб.;</w:t>
      </w:r>
    </w:p>
    <w:p>
      <w:pPr>
        <w:spacing w:before="40"/>
        <w:ind w:right="57" w:firstLine="709"/>
        <w:jc w:val="both"/>
        <w:rPr>
          <w:bCs/>
          <w:sz w:val="24"/>
          <w:szCs w:val="24"/>
        </w:rPr>
      </w:pPr>
      <w:r>
        <w:rPr>
          <w:bCs/>
          <w:sz w:val="24"/>
          <w:szCs w:val="24"/>
        </w:rPr>
        <w:t>4. Участие в региональном проекте «Кадры для цифровой экономики» - 61,22 тыс.руб.;</w:t>
      </w:r>
    </w:p>
    <w:p>
      <w:pPr>
        <w:ind w:right="55" w:firstLine="709"/>
        <w:jc w:val="both"/>
        <w:rPr>
          <w:bCs/>
          <w:sz w:val="24"/>
          <w:szCs w:val="24"/>
        </w:rPr>
      </w:pPr>
      <w:r>
        <w:rPr>
          <w:bCs/>
          <w:sz w:val="24"/>
          <w:szCs w:val="24"/>
        </w:rPr>
        <w:t>5. Организация бесплатного горячего питания обучающихся, получающих начальное общее образование в муниципальных образовательных организациях - 18 102,98 тыс.руб.</w:t>
      </w:r>
    </w:p>
    <w:p>
      <w:pPr>
        <w:spacing w:before="40"/>
        <w:ind w:right="57" w:firstLine="709"/>
        <w:jc w:val="both"/>
        <w:rPr>
          <w:bCs/>
          <w:sz w:val="24"/>
          <w:szCs w:val="24"/>
        </w:rPr>
      </w:pPr>
      <w:r>
        <w:rPr>
          <w:bCs/>
          <w:sz w:val="24"/>
          <w:szCs w:val="24"/>
        </w:rPr>
        <w:t>6. Капитальный ремонт МБДОУ «Детский сад № 55» - 4 760,38 тыс.руб., в том числе:</w:t>
      </w:r>
    </w:p>
    <w:p>
      <w:pPr>
        <w:spacing w:before="40"/>
        <w:ind w:right="57" w:firstLine="709"/>
        <w:jc w:val="both"/>
        <w:rPr>
          <w:bCs/>
          <w:sz w:val="24"/>
          <w:szCs w:val="24"/>
        </w:rPr>
      </w:pPr>
      <w:r>
        <w:rPr>
          <w:bCs/>
          <w:sz w:val="24"/>
          <w:szCs w:val="24"/>
        </w:rPr>
        <w:t>6.1. Кровли корпуса № 2, ул.Калинина, 141 – 4 198,95 тыс.руб.;</w:t>
      </w:r>
    </w:p>
    <w:p>
      <w:pPr>
        <w:spacing w:before="40"/>
        <w:ind w:right="57" w:firstLine="709"/>
        <w:jc w:val="both"/>
        <w:rPr>
          <w:bCs/>
          <w:sz w:val="24"/>
          <w:szCs w:val="24"/>
        </w:rPr>
      </w:pPr>
      <w:r>
        <w:rPr>
          <w:bCs/>
          <w:sz w:val="24"/>
          <w:szCs w:val="24"/>
        </w:rPr>
        <w:t>6.2. Здания корпуса № 1, ул. Калинина, 107 (ПИР) - 561,43 тыс.руб.;</w:t>
      </w:r>
    </w:p>
    <w:p>
      <w:pPr>
        <w:spacing w:before="40"/>
        <w:ind w:right="57" w:firstLine="709"/>
        <w:jc w:val="both"/>
        <w:rPr>
          <w:bCs/>
          <w:sz w:val="24"/>
          <w:szCs w:val="24"/>
        </w:rPr>
      </w:pPr>
      <w:r>
        <w:rPr>
          <w:bCs/>
          <w:sz w:val="24"/>
          <w:szCs w:val="24"/>
        </w:rPr>
        <w:t xml:space="preserve">7. Развитие системы выявления, сопровождения и поддержки одаренных детей </w:t>
      </w:r>
      <w:r>
        <w:rPr>
          <w:bCs/>
          <w:sz w:val="24"/>
          <w:szCs w:val="24"/>
        </w:rPr>
        <w:br/>
        <w:t>-</w:t>
      </w:r>
      <w:r>
        <w:rPr>
          <w:bCs/>
          <w:color w:val="000000" w:themeColor="text1"/>
          <w:sz w:val="24"/>
          <w:szCs w:val="24"/>
        </w:rPr>
        <w:t xml:space="preserve"> 2 227,61 тыс.руб. (численность обучающихся, участвующих в олимпиадах и конкурсах различного уровня</w:t>
      </w:r>
      <w:r>
        <w:rPr>
          <w:bCs/>
          <w:sz w:val="24"/>
          <w:szCs w:val="24"/>
        </w:rPr>
        <w:t xml:space="preserve"> - 5476 человек; 50 чел. обучающимся -  победителям и призерам всех этапов Всероссийской олимпиады школьников - выплачивались именные ежемесячные стипендии в сумме 0,9 тыс.руб. ежемесячно);</w:t>
      </w:r>
    </w:p>
    <w:p>
      <w:pPr>
        <w:spacing w:before="40"/>
        <w:ind w:right="57" w:firstLine="709"/>
        <w:jc w:val="both"/>
        <w:rPr>
          <w:bCs/>
          <w:sz w:val="24"/>
          <w:szCs w:val="24"/>
        </w:rPr>
      </w:pPr>
      <w:r>
        <w:rPr>
          <w:bCs/>
          <w:sz w:val="24"/>
          <w:szCs w:val="24"/>
        </w:rPr>
        <w:t xml:space="preserve">8. Проведение мероприятий, направленных развитие профессиональной педагогической компетентности молодых специалистов, рост творческой активности педагогических работников - 160,0 тыс.руб.; </w:t>
      </w:r>
    </w:p>
    <w:p>
      <w:pPr>
        <w:spacing w:before="40"/>
        <w:ind w:right="57" w:firstLine="709"/>
        <w:jc w:val="both"/>
        <w:rPr>
          <w:bCs/>
          <w:sz w:val="24"/>
          <w:szCs w:val="24"/>
        </w:rPr>
      </w:pPr>
      <w:r>
        <w:rPr>
          <w:bCs/>
          <w:sz w:val="24"/>
          <w:szCs w:val="24"/>
        </w:rPr>
        <w:t>9. Обеспечение деятельности ответственного исполнителя программы - 23 317,37 тыс.руб.</w:t>
      </w:r>
    </w:p>
    <w:p>
      <w:pPr>
        <w:ind w:right="55"/>
        <w:jc w:val="center"/>
        <w:rPr>
          <w:b/>
          <w:bCs/>
          <w:i/>
          <w:sz w:val="10"/>
          <w:szCs w:val="10"/>
          <w:highlight w:val="yellow"/>
        </w:rPr>
      </w:pPr>
    </w:p>
    <w:p>
      <w:pPr>
        <w:ind w:right="55"/>
        <w:jc w:val="center"/>
        <w:rPr>
          <w:b/>
          <w:bCs/>
          <w:i/>
          <w:sz w:val="10"/>
          <w:szCs w:val="10"/>
          <w:highlight w:val="yellow"/>
        </w:rPr>
      </w:pPr>
    </w:p>
    <w:p>
      <w:pPr>
        <w:ind w:right="55"/>
        <w:jc w:val="center"/>
        <w:rPr>
          <w:b/>
          <w:bCs/>
          <w:i/>
          <w:sz w:val="10"/>
          <w:szCs w:val="10"/>
          <w:highlight w:val="yellow"/>
        </w:rPr>
      </w:pPr>
    </w:p>
    <w:p>
      <w:pPr>
        <w:ind w:right="55"/>
        <w:jc w:val="center"/>
        <w:rPr>
          <w:b/>
          <w:bCs/>
          <w:i/>
          <w:sz w:val="24"/>
          <w:szCs w:val="24"/>
        </w:rPr>
      </w:pPr>
      <w:r>
        <w:rPr>
          <w:b/>
          <w:bCs/>
          <w:i/>
          <w:sz w:val="24"/>
          <w:szCs w:val="24"/>
        </w:rPr>
        <w:t>4.1.5.6. Муниципальная программа</w:t>
      </w:r>
    </w:p>
    <w:p>
      <w:pPr>
        <w:spacing w:after="160"/>
        <w:ind w:right="57"/>
        <w:jc w:val="center"/>
        <w:rPr>
          <w:b/>
          <w:bCs/>
          <w:i/>
          <w:sz w:val="24"/>
          <w:szCs w:val="24"/>
        </w:rPr>
      </w:pPr>
      <w:r>
        <w:rPr>
          <w:b/>
          <w:bCs/>
          <w:i/>
          <w:sz w:val="24"/>
          <w:szCs w:val="24"/>
        </w:rPr>
        <w:t>«Социальная поддержка населения ЗАТО Северск»</w:t>
      </w:r>
    </w:p>
    <w:p>
      <w:pPr>
        <w:tabs>
          <w:tab w:val="left" w:pos="709"/>
        </w:tabs>
        <w:ind w:right="55" w:firstLine="708"/>
        <w:jc w:val="both"/>
        <w:rPr>
          <w:bCs/>
          <w:sz w:val="24"/>
          <w:szCs w:val="24"/>
        </w:rPr>
      </w:pPr>
      <w:r>
        <w:rPr>
          <w:bCs/>
          <w:sz w:val="24"/>
          <w:szCs w:val="24"/>
        </w:rPr>
        <w:t xml:space="preserve">Программа исполнена в общей сумме 97 028,37 тыс.руб. ответственным исполнителем Администрацией ЗАТО Северск в сумме 90 022,81 тыс.руб., а также участником программы УЖКХ ТиС в сумме 7 005,56 тыс.руб. </w:t>
      </w:r>
    </w:p>
    <w:p>
      <w:pPr>
        <w:tabs>
          <w:tab w:val="left" w:pos="709"/>
        </w:tabs>
        <w:ind w:right="55" w:firstLine="708"/>
        <w:jc w:val="both"/>
        <w:rPr>
          <w:bCs/>
          <w:sz w:val="24"/>
          <w:szCs w:val="24"/>
        </w:rPr>
      </w:pPr>
      <w:r>
        <w:rPr>
          <w:bCs/>
          <w:sz w:val="24"/>
          <w:szCs w:val="24"/>
        </w:rPr>
        <w:t>Бюджетные ассигнования направлены:</w:t>
      </w:r>
    </w:p>
    <w:p>
      <w:pPr>
        <w:tabs>
          <w:tab w:val="left" w:pos="709"/>
        </w:tabs>
        <w:ind w:right="55" w:firstLine="708"/>
        <w:jc w:val="both"/>
        <w:rPr>
          <w:bCs/>
          <w:sz w:val="24"/>
          <w:szCs w:val="24"/>
        </w:rPr>
      </w:pPr>
      <w:r>
        <w:rPr>
          <w:bCs/>
          <w:sz w:val="24"/>
          <w:szCs w:val="24"/>
        </w:rPr>
        <w:t>1. На предоставление дополнительных мер социальной поддержки отдельным категориям граждан ЗАТО Северск - 31 728,57 тыс.руб., а именно:</w:t>
      </w:r>
    </w:p>
    <w:p>
      <w:pPr>
        <w:pStyle w:val="31"/>
        <w:shd w:val="clear" w:color="auto" w:fill="FFFFFF"/>
        <w:tabs>
          <w:tab w:val="clear" w:pos="5529"/>
          <w:tab w:val="left" w:pos="709"/>
        </w:tabs>
        <w:spacing w:before="40"/>
        <w:ind w:right="6"/>
        <w:rPr>
          <w:bCs/>
          <w:sz w:val="24"/>
          <w:szCs w:val="24"/>
        </w:rPr>
      </w:pPr>
      <w:r>
        <w:rPr>
          <w:bCs/>
          <w:sz w:val="24"/>
          <w:szCs w:val="24"/>
        </w:rPr>
        <w:t xml:space="preserve">   </w:t>
      </w:r>
      <w:r>
        <w:rPr>
          <w:bCs/>
          <w:sz w:val="24"/>
          <w:szCs w:val="24"/>
        </w:rPr>
        <w:tab/>
        <w:t>1.1. Предоставление мер социальной поддержки по оплате коммунальных услуг гражданам, проживающим на внегородских территориях ЗАТО Северск,</w:t>
      </w:r>
      <w:r>
        <w:rPr>
          <w:sz w:val="24"/>
          <w:szCs w:val="24"/>
        </w:rPr>
        <w:t xml:space="preserve"> -                   23 377,97</w:t>
      </w:r>
      <w:r>
        <w:rPr>
          <w:bCs/>
          <w:sz w:val="24"/>
          <w:szCs w:val="24"/>
        </w:rPr>
        <w:t> тыс. руб. (меры социальной поддержки получили 4 925 чел.);</w:t>
      </w:r>
      <w:r>
        <w:rPr>
          <w:bCs/>
          <w:sz w:val="24"/>
          <w:szCs w:val="24"/>
        </w:rPr>
        <w:tab/>
      </w:r>
      <w:r>
        <w:t xml:space="preserve"> </w:t>
      </w:r>
    </w:p>
    <w:p>
      <w:pPr>
        <w:pStyle w:val="31"/>
        <w:tabs>
          <w:tab w:val="clear" w:pos="5529"/>
          <w:tab w:val="left" w:pos="709"/>
        </w:tabs>
        <w:spacing w:before="40"/>
        <w:ind w:right="6" w:firstLine="709"/>
        <w:rPr>
          <w:sz w:val="24"/>
          <w:szCs w:val="24"/>
        </w:rPr>
      </w:pPr>
      <w:r>
        <w:rPr>
          <w:bCs/>
          <w:sz w:val="24"/>
          <w:szCs w:val="24"/>
        </w:rPr>
        <w:t>1.2. П</w:t>
      </w:r>
      <w:r>
        <w:rPr>
          <w:sz w:val="24"/>
          <w:szCs w:val="24"/>
        </w:rPr>
        <w:t>редоставление материальной помощи гражданам, оказавшимся в трудной жизненной ситуации, - 2 494,60 тыс.руб. (294 чел.);</w:t>
      </w:r>
    </w:p>
    <w:p>
      <w:pPr>
        <w:pStyle w:val="31"/>
        <w:tabs>
          <w:tab w:val="clear" w:pos="5529"/>
          <w:tab w:val="left" w:pos="709"/>
        </w:tabs>
        <w:spacing w:before="40"/>
        <w:ind w:right="6" w:firstLine="709"/>
      </w:pPr>
      <w:r>
        <w:rPr>
          <w:bCs/>
          <w:sz w:val="24"/>
          <w:szCs w:val="24"/>
        </w:rPr>
        <w:t>1.3. О</w:t>
      </w:r>
      <w:r>
        <w:rPr>
          <w:sz w:val="24"/>
          <w:szCs w:val="24"/>
        </w:rPr>
        <w:t xml:space="preserve">казание помощи в ремонте жилых помещений гражданам (89 чел.) из числа: ветеранов и инвалидов Великой Отечественной войны, бывшим несовершеннолетним узникам концлагерей, вдовам погибших (умерших) участников Великой Отечественной </w:t>
      </w:r>
      <w:r>
        <w:rPr>
          <w:sz w:val="24"/>
          <w:szCs w:val="24"/>
        </w:rPr>
        <w:lastRenderedPageBreak/>
        <w:t xml:space="preserve">войны, не вступившим в повторный брак, - 4 037,87 тыс.руб. </w:t>
      </w:r>
      <w:r>
        <w:rPr>
          <w:bCs/>
          <w:sz w:val="24"/>
          <w:szCs w:val="24"/>
        </w:rPr>
        <w:t>(2 019,02 тыс. руб. - средства областного бюджета, 2 018,85 тыс.руб. – средства местного бюджета);</w:t>
      </w:r>
    </w:p>
    <w:p>
      <w:pPr>
        <w:shd w:val="clear" w:color="auto" w:fill="FFFFFF"/>
        <w:tabs>
          <w:tab w:val="left" w:pos="709"/>
        </w:tabs>
        <w:spacing w:before="40"/>
        <w:ind w:right="6" w:firstLine="709"/>
        <w:jc w:val="both"/>
        <w:rPr>
          <w:bCs/>
          <w:sz w:val="24"/>
          <w:szCs w:val="24"/>
        </w:rPr>
      </w:pPr>
      <w:r>
        <w:rPr>
          <w:bCs/>
          <w:sz w:val="24"/>
          <w:szCs w:val="24"/>
        </w:rPr>
        <w:t>1.4. Предоставление единовременных денежных выплат отдельным категориям граждан в ознаменование годовщины Дня Победы советского народа в Великой Отечественной войне 1941-1945 годов - 1 443,52 тыс.руб. (682 чел.);</w:t>
      </w:r>
    </w:p>
    <w:p>
      <w:pPr>
        <w:shd w:val="clear" w:color="auto" w:fill="FFFFFF"/>
        <w:tabs>
          <w:tab w:val="left" w:pos="709"/>
        </w:tabs>
        <w:spacing w:before="40"/>
        <w:ind w:right="6" w:firstLine="709"/>
        <w:jc w:val="both"/>
        <w:rPr>
          <w:bCs/>
          <w:sz w:val="24"/>
          <w:szCs w:val="24"/>
        </w:rPr>
      </w:pPr>
      <w:r>
        <w:rPr>
          <w:bCs/>
          <w:sz w:val="24"/>
          <w:szCs w:val="24"/>
        </w:rPr>
        <w:t>1.5. К</w:t>
      </w:r>
      <w:r>
        <w:rPr>
          <w:sz w:val="24"/>
          <w:szCs w:val="24"/>
        </w:rPr>
        <w:t>омпенсация оплаты жилого помещения и коммунальных услуг гражданам, награжденным орденом «Родительская слава»,</w:t>
      </w:r>
      <w:r>
        <w:rPr>
          <w:bCs/>
          <w:sz w:val="24"/>
          <w:szCs w:val="24"/>
        </w:rPr>
        <w:t xml:space="preserve"> - 113,98 тыс. руб. </w:t>
      </w:r>
      <w:r>
        <w:rPr>
          <w:sz w:val="24"/>
          <w:szCs w:val="24"/>
        </w:rPr>
        <w:t>(1 семья)</w:t>
      </w:r>
      <w:r>
        <w:rPr>
          <w:bCs/>
          <w:sz w:val="24"/>
          <w:szCs w:val="24"/>
        </w:rPr>
        <w:t>;</w:t>
      </w:r>
    </w:p>
    <w:p>
      <w:pPr>
        <w:shd w:val="clear" w:color="auto" w:fill="FFFFFF"/>
        <w:tabs>
          <w:tab w:val="left" w:pos="709"/>
        </w:tabs>
        <w:spacing w:before="40"/>
        <w:ind w:right="6" w:firstLine="709"/>
        <w:jc w:val="both"/>
        <w:rPr>
          <w:bCs/>
          <w:sz w:val="24"/>
          <w:szCs w:val="24"/>
        </w:rPr>
      </w:pPr>
      <w:r>
        <w:rPr>
          <w:bCs/>
          <w:sz w:val="24"/>
          <w:szCs w:val="24"/>
        </w:rPr>
        <w:t xml:space="preserve">1.6. Компенсация услуг няни родителям, воспитывающим двух и более одновременно рожденных детей в возрасте до 3 лет, - 236,39 тыс.руб. (4 семьи); </w:t>
      </w:r>
    </w:p>
    <w:p>
      <w:pPr>
        <w:shd w:val="clear" w:color="auto" w:fill="FFFFFF"/>
        <w:tabs>
          <w:tab w:val="left" w:pos="709"/>
        </w:tabs>
        <w:spacing w:before="40"/>
        <w:ind w:right="6" w:firstLine="709"/>
        <w:jc w:val="both"/>
        <w:rPr>
          <w:bCs/>
          <w:sz w:val="24"/>
          <w:szCs w:val="24"/>
        </w:rPr>
      </w:pPr>
      <w:r>
        <w:rPr>
          <w:bCs/>
          <w:sz w:val="24"/>
          <w:szCs w:val="24"/>
        </w:rPr>
        <w:t>1.7. Денежная выплата на частичную оплату стоимости помывки в бане пенсионерам, проживающим в квартирах, не оборудованных ванной или душем - 24,24 тыс.руб. (10 чел);</w:t>
      </w:r>
    </w:p>
    <w:p>
      <w:pPr>
        <w:tabs>
          <w:tab w:val="left" w:pos="709"/>
        </w:tabs>
        <w:ind w:firstLine="708"/>
        <w:jc w:val="both"/>
        <w:rPr>
          <w:bCs/>
          <w:sz w:val="24"/>
          <w:szCs w:val="24"/>
        </w:rPr>
      </w:pPr>
      <w:r>
        <w:rPr>
          <w:bCs/>
          <w:sz w:val="24"/>
          <w:szCs w:val="24"/>
        </w:rPr>
        <w:t xml:space="preserve">2. На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- 59 240,37 тыс. руб., в том числе: </w:t>
      </w:r>
    </w:p>
    <w:p>
      <w:pPr>
        <w:tabs>
          <w:tab w:val="left" w:pos="709"/>
        </w:tabs>
        <w:ind w:firstLine="708"/>
        <w:jc w:val="both"/>
        <w:rPr>
          <w:bCs/>
          <w:sz w:val="24"/>
          <w:szCs w:val="24"/>
        </w:rPr>
      </w:pPr>
      <w:r>
        <w:rPr>
          <w:bCs/>
          <w:sz w:val="24"/>
          <w:szCs w:val="24"/>
        </w:rPr>
        <w:t>2.1. 42 592,13 тыс.руб. на осуществление ежемесячной выплаты денежных средств приемным семьям на содержание детей, а также вознаграждения, причитающегося приемным родителям (358 чел.);</w:t>
      </w:r>
    </w:p>
    <w:p>
      <w:pPr>
        <w:tabs>
          <w:tab w:val="left" w:pos="709"/>
        </w:tabs>
        <w:ind w:firstLine="708"/>
        <w:jc w:val="both"/>
        <w:rPr>
          <w:bCs/>
          <w:sz w:val="24"/>
          <w:szCs w:val="24"/>
        </w:rPr>
      </w:pPr>
      <w:r>
        <w:rPr>
          <w:bCs/>
          <w:sz w:val="24"/>
          <w:szCs w:val="24"/>
        </w:rPr>
        <w:t>2.2. 8 437,63 тыс.руб.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(52 чел.);</w:t>
      </w:r>
    </w:p>
    <w:p>
      <w:pPr>
        <w:tabs>
          <w:tab w:val="left" w:pos="709"/>
        </w:tabs>
        <w:ind w:firstLine="708"/>
        <w:jc w:val="both"/>
        <w:rPr>
          <w:bCs/>
          <w:sz w:val="24"/>
          <w:szCs w:val="24"/>
        </w:rPr>
      </w:pPr>
      <w:r>
        <w:rPr>
          <w:bCs/>
          <w:sz w:val="24"/>
          <w:szCs w:val="24"/>
        </w:rPr>
        <w:t>2.3. 1 205,05 тыс.руб. на выплаты единовременного пособия при всех формах устройства детей, лишенных родительского попечения, в семью (44 чел.);</w:t>
      </w:r>
    </w:p>
    <w:p>
      <w:pPr>
        <w:tabs>
          <w:tab w:val="left" w:pos="709"/>
        </w:tabs>
        <w:ind w:firstLine="708"/>
        <w:jc w:val="both"/>
        <w:rPr>
          <w:bCs/>
          <w:sz w:val="24"/>
          <w:szCs w:val="24"/>
        </w:rPr>
      </w:pPr>
      <w:r>
        <w:rPr>
          <w:bCs/>
          <w:sz w:val="24"/>
          <w:szCs w:val="24"/>
        </w:rPr>
        <w:t xml:space="preserve">2.4.  6 877,72 тыс.руб. на приобретение 6 жилых помещений для детей-сирот и детей, оставшихся без попечения родителей (1 406,60 тыс. руб. - средства федерального бюджета, 5 471,12 тыс.руб.  – средства областного бюджета); </w:t>
      </w:r>
    </w:p>
    <w:p>
      <w:pPr>
        <w:tabs>
          <w:tab w:val="left" w:pos="709"/>
        </w:tabs>
        <w:ind w:firstLine="708"/>
        <w:jc w:val="both"/>
        <w:rPr>
          <w:bCs/>
          <w:sz w:val="24"/>
          <w:szCs w:val="24"/>
          <w:highlight w:val="yellow"/>
        </w:rPr>
      </w:pPr>
      <w:r>
        <w:rPr>
          <w:bCs/>
          <w:sz w:val="24"/>
          <w:szCs w:val="24"/>
        </w:rPr>
        <w:t>2.5. 127,84 тыс.руб. на ремонт жилых помещений для двух детей-сирот;</w:t>
      </w:r>
    </w:p>
    <w:p>
      <w:pPr>
        <w:tabs>
          <w:tab w:val="left" w:pos="-761"/>
          <w:tab w:val="left" w:pos="709"/>
        </w:tabs>
        <w:ind w:firstLine="708"/>
        <w:jc w:val="both"/>
        <w:rPr>
          <w:sz w:val="24"/>
          <w:szCs w:val="24"/>
        </w:rPr>
      </w:pPr>
      <w:r>
        <w:rPr>
          <w:bCs/>
          <w:sz w:val="24"/>
          <w:szCs w:val="24"/>
        </w:rPr>
        <w:t xml:space="preserve"> 3. На поддержку 11 общественных объединений ЗАТО Северск и проведение мероприятий, посвященных Дням воинской славы, памятным и знаменательным датам России (11 мероприятий) - 6 059,43</w:t>
      </w:r>
      <w:r>
        <w:rPr>
          <w:sz w:val="24"/>
          <w:szCs w:val="24"/>
        </w:rPr>
        <w:t xml:space="preserve"> тыс. руб. </w:t>
      </w:r>
    </w:p>
    <w:p>
      <w:pPr>
        <w:ind w:right="55"/>
        <w:rPr>
          <w:b/>
          <w:bCs/>
          <w:i/>
          <w:sz w:val="24"/>
          <w:szCs w:val="24"/>
          <w:highlight w:val="yellow"/>
        </w:rPr>
      </w:pPr>
    </w:p>
    <w:p>
      <w:pPr>
        <w:ind w:right="55"/>
        <w:jc w:val="center"/>
        <w:rPr>
          <w:b/>
          <w:bCs/>
          <w:i/>
          <w:sz w:val="24"/>
          <w:szCs w:val="24"/>
        </w:rPr>
      </w:pPr>
      <w:r>
        <w:rPr>
          <w:b/>
          <w:bCs/>
          <w:i/>
          <w:sz w:val="24"/>
          <w:szCs w:val="24"/>
        </w:rPr>
        <w:t xml:space="preserve">4.1.5.7. Муниципальная программа </w:t>
      </w:r>
    </w:p>
    <w:p>
      <w:pPr>
        <w:spacing w:after="120"/>
        <w:ind w:right="57"/>
        <w:jc w:val="center"/>
        <w:rPr>
          <w:b/>
          <w:bCs/>
          <w:i/>
          <w:sz w:val="24"/>
          <w:szCs w:val="24"/>
        </w:rPr>
      </w:pPr>
      <w:r>
        <w:rPr>
          <w:b/>
          <w:bCs/>
          <w:i/>
          <w:sz w:val="24"/>
          <w:szCs w:val="24"/>
        </w:rPr>
        <w:t>«Улучшение качественного состояния объектов улично-дорожной сети, благоустройства и озеленения территории г.Северска»</w:t>
      </w:r>
    </w:p>
    <w:p>
      <w:pPr>
        <w:ind w:right="55" w:firstLine="708"/>
        <w:jc w:val="both"/>
        <w:rPr>
          <w:bCs/>
          <w:sz w:val="24"/>
          <w:szCs w:val="24"/>
        </w:rPr>
      </w:pPr>
      <w:r>
        <w:rPr>
          <w:bCs/>
          <w:sz w:val="24"/>
          <w:szCs w:val="24"/>
        </w:rPr>
        <w:t>Программа исполнена в общей сумме 553 128,90 тыс.руб., в том числе ответственным исполнителем УЖКХ ТиС в сумме 335 333,46 тыс. руб., а также участником программы УКС в сумме 217 795,44 тыс.руб.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Ликвидацию старовозрастных деревьев, переросших зеленых насаждений - 948,15 тыс.руб. (с</w:t>
      </w:r>
      <w:r>
        <w:rPr>
          <w:sz w:val="24"/>
          <w:szCs w:val="24"/>
        </w:rPr>
        <w:t>несено 460 старовозрастных дерева, выполнена формовочная и омолаживающая обрезка 510 деревьев)</w:t>
      </w:r>
      <w:r>
        <w:rPr>
          <w:bCs/>
          <w:sz w:val="24"/>
          <w:szCs w:val="24"/>
        </w:rPr>
        <w:t>;</w:t>
      </w:r>
    </w:p>
    <w:p>
      <w:pPr>
        <w:ind w:right="55" w:firstLine="708"/>
        <w:jc w:val="both"/>
        <w:rPr>
          <w:bCs/>
          <w:sz w:val="24"/>
          <w:szCs w:val="24"/>
        </w:rPr>
      </w:pPr>
      <w:r>
        <w:rPr>
          <w:bCs/>
          <w:sz w:val="24"/>
          <w:szCs w:val="24"/>
        </w:rPr>
        <w:t>2. Обеспечение устойчивого воспроизводства зеленого фонда - 600,08 тыс.руб. (п</w:t>
      </w:r>
      <w:r>
        <w:rPr>
          <w:sz w:val="24"/>
          <w:szCs w:val="24"/>
        </w:rPr>
        <w:t>осажено 700 саженцев древесно- кустарниковых насаждений)</w:t>
      </w:r>
      <w:r>
        <w:rPr>
          <w:bCs/>
          <w:sz w:val="24"/>
          <w:szCs w:val="24"/>
        </w:rPr>
        <w:t>;</w:t>
      </w:r>
    </w:p>
    <w:p>
      <w:pPr>
        <w:shd w:val="clear" w:color="auto" w:fill="FFFFFF"/>
        <w:ind w:firstLine="709"/>
        <w:jc w:val="both"/>
        <w:rPr>
          <w:sz w:val="24"/>
          <w:szCs w:val="24"/>
        </w:rPr>
      </w:pPr>
      <w:r>
        <w:rPr>
          <w:bCs/>
          <w:sz w:val="24"/>
          <w:szCs w:val="24"/>
        </w:rPr>
        <w:t>3. Поддержание объектов озеленения в нормативном и эстетически привлекательном состоянии - 14 903,41 тыс.руб. (</w:t>
      </w:r>
      <w:r>
        <w:rPr>
          <w:sz w:val="24"/>
          <w:szCs w:val="24"/>
        </w:rPr>
        <w:t>текущее содержание объектов озеленения, посадка и содержание цветников (5,657 тыс. м</w:t>
      </w:r>
      <w:r>
        <w:rPr>
          <w:sz w:val="24"/>
          <w:szCs w:val="24"/>
          <w:vertAlign w:val="superscript"/>
        </w:rPr>
        <w:t>2</w:t>
      </w:r>
      <w:r>
        <w:rPr>
          <w:sz w:val="24"/>
          <w:szCs w:val="24"/>
        </w:rPr>
        <w:t>) и выкашивание газонов (104,38 га)</w:t>
      </w:r>
      <w:r>
        <w:rPr>
          <w:bCs/>
          <w:sz w:val="24"/>
          <w:szCs w:val="24"/>
        </w:rPr>
        <w:t>;</w:t>
      </w:r>
    </w:p>
    <w:p>
      <w:pPr>
        <w:ind w:right="55" w:firstLine="708"/>
        <w:jc w:val="both"/>
        <w:rPr>
          <w:bCs/>
          <w:sz w:val="24"/>
          <w:szCs w:val="24"/>
        </w:rPr>
      </w:pPr>
      <w:r>
        <w:rPr>
          <w:bCs/>
          <w:sz w:val="24"/>
          <w:szCs w:val="24"/>
        </w:rPr>
        <w:t>4. Создание комфортной среды в местах массового посещения - 32 001,93</w:t>
      </w:r>
      <w:r>
        <w:rPr>
          <w:sz w:val="24"/>
          <w:szCs w:val="24"/>
        </w:rPr>
        <w:t> </w:t>
      </w:r>
      <w:r>
        <w:rPr>
          <w:bCs/>
          <w:sz w:val="24"/>
          <w:szCs w:val="24"/>
        </w:rPr>
        <w:t>тыс.руб., в том числе:</w:t>
      </w:r>
    </w:p>
    <w:p>
      <w:pPr>
        <w:ind w:right="55" w:firstLine="708"/>
        <w:jc w:val="both"/>
        <w:rPr>
          <w:sz w:val="24"/>
          <w:szCs w:val="24"/>
        </w:rPr>
      </w:pPr>
      <w:r>
        <w:rPr>
          <w:bCs/>
          <w:sz w:val="24"/>
          <w:szCs w:val="24"/>
        </w:rPr>
        <w:t>4.1. С</w:t>
      </w:r>
      <w:r>
        <w:rPr>
          <w:sz w:val="24"/>
          <w:szCs w:val="24"/>
        </w:rPr>
        <w:t>троительство муниципального общественного кладбища в г. Северске - 30 893,94 тыс.руб.;</w:t>
      </w:r>
    </w:p>
    <w:p>
      <w:pPr>
        <w:ind w:right="55" w:firstLine="708"/>
        <w:jc w:val="both"/>
        <w:rPr>
          <w:sz w:val="24"/>
          <w:szCs w:val="24"/>
        </w:rPr>
      </w:pPr>
      <w:r>
        <w:rPr>
          <w:sz w:val="24"/>
          <w:szCs w:val="24"/>
        </w:rPr>
        <w:lastRenderedPageBreak/>
        <w:t>4.2. Капитальный ремонт благоустройства территории кладбища в г.Северске по адресу: Томская область, г.Северск, ул.Предзаводская, 10а - 942,27 тыс.руб.;</w:t>
      </w:r>
    </w:p>
    <w:p>
      <w:pPr>
        <w:ind w:right="55" w:firstLine="708"/>
        <w:jc w:val="both"/>
        <w:rPr>
          <w:bCs/>
          <w:sz w:val="24"/>
          <w:szCs w:val="24"/>
        </w:rPr>
      </w:pPr>
      <w:r>
        <w:rPr>
          <w:sz w:val="24"/>
          <w:szCs w:val="24"/>
        </w:rPr>
        <w:t>4.3. Строительство пешеходного тротуара от жилого дома по ул.Царевского, 4 до здания по ул.Ленина, 88 в г. Северске - 165,72 тыс.руб.;</w:t>
      </w:r>
    </w:p>
    <w:p>
      <w:pPr>
        <w:tabs>
          <w:tab w:val="left" w:pos="1134"/>
        </w:tabs>
        <w:ind w:firstLine="709"/>
        <w:jc w:val="both"/>
        <w:rPr>
          <w:sz w:val="24"/>
          <w:szCs w:val="24"/>
        </w:rPr>
      </w:pPr>
      <w:r>
        <w:rPr>
          <w:bCs/>
          <w:sz w:val="24"/>
          <w:szCs w:val="24"/>
        </w:rPr>
        <w:t>5. У</w:t>
      </w:r>
      <w:r>
        <w:rPr>
          <w:sz w:val="24"/>
          <w:szCs w:val="24"/>
        </w:rPr>
        <w:t>лучшение качественного состояния объектов улично-дорожной сети в сумме (участие в региональном проекте «Дорожная сеть») - 160 044,08 тыс.руб. (в т.ч. осуществлен капитальный ремонт автодороги по ул.Северная в сумме 100 318,09 тыс.руб.);</w:t>
      </w:r>
    </w:p>
    <w:p>
      <w:pPr>
        <w:tabs>
          <w:tab w:val="left" w:pos="1134"/>
        </w:tabs>
        <w:ind w:firstLine="709"/>
        <w:jc w:val="both"/>
        <w:rPr>
          <w:sz w:val="24"/>
          <w:szCs w:val="24"/>
        </w:rPr>
      </w:pPr>
      <w:r>
        <w:rPr>
          <w:sz w:val="24"/>
          <w:szCs w:val="24"/>
        </w:rPr>
        <w:t>6. Увеличение количества кварталов с обустроенной инфраструктурой -50,00 тыс.руб. Средства направлены на строительство внутриквартального проезда в микрорайоне № 10 с бульваром (ПИР);</w:t>
      </w:r>
    </w:p>
    <w:p>
      <w:pPr>
        <w:ind w:firstLine="709"/>
        <w:jc w:val="both"/>
        <w:rPr>
          <w:bCs/>
          <w:sz w:val="24"/>
          <w:szCs w:val="24"/>
        </w:rPr>
      </w:pPr>
      <w:r>
        <w:rPr>
          <w:bCs/>
          <w:sz w:val="24"/>
          <w:szCs w:val="24"/>
        </w:rPr>
        <w:t xml:space="preserve">7. Организацию мероприятий по текущему содержанию и ремонту объектов улично-дорожной сети и внешнего благоустройства в сумме 191 871,08 тыс.руб., из них: </w:t>
      </w:r>
    </w:p>
    <w:p>
      <w:pPr>
        <w:pStyle w:val="af8"/>
        <w:numPr>
          <w:ilvl w:val="1"/>
          <w:numId w:val="35"/>
        </w:numPr>
        <w:ind w:left="0" w:firstLine="709"/>
        <w:jc w:val="both"/>
        <w:rPr>
          <w:bCs/>
          <w:sz w:val="24"/>
          <w:szCs w:val="24"/>
        </w:rPr>
      </w:pPr>
      <w:r>
        <w:rPr>
          <w:bCs/>
          <w:sz w:val="24"/>
          <w:szCs w:val="24"/>
        </w:rPr>
        <w:t xml:space="preserve"> Содержание автомобильных дорог в сумме 50 801,74 тыс.руб., из них на содержание дорог СХК в сумме 9 585,71 тыс.руб.;</w:t>
      </w:r>
    </w:p>
    <w:p>
      <w:pPr>
        <w:pStyle w:val="af8"/>
        <w:numPr>
          <w:ilvl w:val="1"/>
          <w:numId w:val="35"/>
        </w:numPr>
        <w:tabs>
          <w:tab w:val="left" w:pos="709"/>
        </w:tabs>
        <w:ind w:left="0" w:firstLine="709"/>
        <w:jc w:val="both"/>
        <w:rPr>
          <w:bCs/>
          <w:sz w:val="24"/>
          <w:szCs w:val="24"/>
        </w:rPr>
      </w:pPr>
      <w:r>
        <w:rPr>
          <w:sz w:val="24"/>
          <w:szCs w:val="24"/>
        </w:rPr>
        <w:t>Благоустройство внутриквартальных территорий г. Северска в сумме 29 992,26 тыс.руб.;</w:t>
      </w:r>
    </w:p>
    <w:p>
      <w:pPr>
        <w:pStyle w:val="af8"/>
        <w:numPr>
          <w:ilvl w:val="1"/>
          <w:numId w:val="35"/>
        </w:numPr>
        <w:tabs>
          <w:tab w:val="left" w:pos="1134"/>
        </w:tabs>
        <w:ind w:left="0" w:firstLine="709"/>
        <w:jc w:val="both"/>
        <w:rPr>
          <w:bCs/>
          <w:sz w:val="24"/>
          <w:szCs w:val="24"/>
        </w:rPr>
      </w:pPr>
      <w:r>
        <w:rPr>
          <w:sz w:val="24"/>
          <w:szCs w:val="24"/>
        </w:rPr>
        <w:t xml:space="preserve"> Ремонт автомобильных дорог - 13 603,90 тыс.руб., из них на инструментальную диагностику улично-дорожной сети  - 595,79 тыс.руб.;</w:t>
      </w:r>
      <w:r>
        <w:rPr>
          <w:bCs/>
          <w:sz w:val="24"/>
          <w:szCs w:val="24"/>
        </w:rPr>
        <w:t xml:space="preserve"> </w:t>
      </w:r>
    </w:p>
    <w:p>
      <w:pPr>
        <w:pStyle w:val="af8"/>
        <w:numPr>
          <w:ilvl w:val="1"/>
          <w:numId w:val="35"/>
        </w:numPr>
        <w:tabs>
          <w:tab w:val="left" w:pos="1134"/>
        </w:tabs>
        <w:ind w:left="0" w:firstLine="709"/>
        <w:jc w:val="both"/>
        <w:rPr>
          <w:bCs/>
          <w:sz w:val="24"/>
          <w:szCs w:val="24"/>
        </w:rPr>
      </w:pPr>
      <w:r>
        <w:rPr>
          <w:bCs/>
          <w:sz w:val="24"/>
          <w:szCs w:val="24"/>
        </w:rPr>
        <w:t xml:space="preserve"> Транспортные услуги по вывозу снега - 6 144,29 тыс.руб.;</w:t>
      </w:r>
    </w:p>
    <w:p>
      <w:pPr>
        <w:pStyle w:val="af8"/>
        <w:tabs>
          <w:tab w:val="left" w:pos="1134"/>
        </w:tabs>
        <w:ind w:left="0" w:firstLine="709"/>
        <w:jc w:val="both"/>
        <w:rPr>
          <w:bCs/>
          <w:sz w:val="24"/>
          <w:szCs w:val="24"/>
        </w:rPr>
      </w:pPr>
      <w:r>
        <w:rPr>
          <w:bCs/>
          <w:sz w:val="24"/>
          <w:szCs w:val="24"/>
        </w:rPr>
        <w:t>7.5. Работы по организации и содержанию мест захоронения на территории ЗАТО Северск - 2 861,84 тыс.руб.;</w:t>
      </w:r>
    </w:p>
    <w:p>
      <w:pPr>
        <w:ind w:firstLine="709"/>
        <w:jc w:val="both"/>
        <w:rPr>
          <w:bCs/>
          <w:sz w:val="24"/>
          <w:szCs w:val="24"/>
        </w:rPr>
      </w:pPr>
      <w:r>
        <w:rPr>
          <w:bCs/>
          <w:sz w:val="24"/>
          <w:szCs w:val="24"/>
        </w:rPr>
        <w:t>8. Обеспечение комфортных и безопасных условий для проживания и жизнедеятельности населения - 11 986,36 тыс.руб., из них:</w:t>
      </w:r>
    </w:p>
    <w:p>
      <w:pPr>
        <w:tabs>
          <w:tab w:val="left" w:pos="1134"/>
        </w:tabs>
        <w:ind w:firstLine="709"/>
        <w:jc w:val="both"/>
        <w:rPr>
          <w:bCs/>
          <w:sz w:val="24"/>
          <w:szCs w:val="24"/>
        </w:rPr>
      </w:pPr>
      <w:r>
        <w:rPr>
          <w:sz w:val="24"/>
          <w:szCs w:val="24"/>
        </w:rPr>
        <w:t>8.1. Работы по праздничному оформлению территории ЗАТО Северск - 5 292,96 тыс.руб.;</w:t>
      </w:r>
    </w:p>
    <w:p>
      <w:pPr>
        <w:pStyle w:val="af8"/>
        <w:numPr>
          <w:ilvl w:val="1"/>
          <w:numId w:val="36"/>
        </w:numPr>
        <w:tabs>
          <w:tab w:val="left" w:pos="1134"/>
        </w:tabs>
        <w:ind w:left="0" w:firstLine="709"/>
        <w:jc w:val="both"/>
        <w:rPr>
          <w:bCs/>
          <w:sz w:val="24"/>
          <w:szCs w:val="24"/>
        </w:rPr>
      </w:pPr>
      <w:r>
        <w:rPr>
          <w:sz w:val="24"/>
          <w:szCs w:val="24"/>
        </w:rPr>
        <w:t xml:space="preserve"> Отлов и размещение в пунктах временного содержания отловленных безнадзорных животных - 1 393,77 тыс.руб.;</w:t>
      </w:r>
    </w:p>
    <w:p>
      <w:pPr>
        <w:pStyle w:val="af8"/>
        <w:numPr>
          <w:ilvl w:val="1"/>
          <w:numId w:val="36"/>
        </w:numPr>
        <w:tabs>
          <w:tab w:val="left" w:pos="1134"/>
        </w:tabs>
        <w:ind w:left="0" w:firstLine="709"/>
        <w:jc w:val="both"/>
        <w:rPr>
          <w:bCs/>
          <w:sz w:val="24"/>
          <w:szCs w:val="24"/>
        </w:rPr>
      </w:pPr>
      <w:r>
        <w:rPr>
          <w:bCs/>
          <w:sz w:val="24"/>
          <w:szCs w:val="24"/>
        </w:rPr>
        <w:t xml:space="preserve"> На приобретение и установку дополнительных элементов праздничной иллюминации -  1 015,36 тыс.руб.;</w:t>
      </w:r>
      <w:r>
        <w:t xml:space="preserve"> </w:t>
      </w:r>
    </w:p>
    <w:p>
      <w:pPr>
        <w:pStyle w:val="af8"/>
        <w:numPr>
          <w:ilvl w:val="1"/>
          <w:numId w:val="36"/>
        </w:numPr>
        <w:tabs>
          <w:tab w:val="left" w:pos="1134"/>
        </w:tabs>
        <w:ind w:left="0" w:firstLine="709"/>
        <w:jc w:val="both"/>
        <w:rPr>
          <w:bCs/>
          <w:sz w:val="24"/>
          <w:szCs w:val="24"/>
        </w:rPr>
      </w:pPr>
      <w:r>
        <w:rPr>
          <w:bCs/>
          <w:sz w:val="24"/>
          <w:szCs w:val="24"/>
        </w:rPr>
        <w:t xml:space="preserve"> На праздничное оформление ул.Курчатова к 75-летию Победы в ВОВ - 184,00 тыс.руб.;</w:t>
      </w:r>
      <w:r>
        <w:t xml:space="preserve"> </w:t>
      </w:r>
    </w:p>
    <w:p>
      <w:pPr>
        <w:tabs>
          <w:tab w:val="left" w:pos="1134"/>
        </w:tabs>
        <w:ind w:firstLine="709"/>
        <w:jc w:val="both"/>
        <w:rPr>
          <w:bCs/>
          <w:sz w:val="24"/>
          <w:szCs w:val="24"/>
        </w:rPr>
      </w:pPr>
      <w:r>
        <w:rPr>
          <w:bCs/>
          <w:sz w:val="24"/>
          <w:szCs w:val="24"/>
        </w:rPr>
        <w:t>9. Организацию транспортного обслуживания населения автомобильным транспортом по муниципальным маршрутам регулярных перевозок - 45 448,03 тыс.руб.;</w:t>
      </w:r>
    </w:p>
    <w:p>
      <w:pPr>
        <w:ind w:firstLine="709"/>
        <w:jc w:val="both"/>
        <w:rPr>
          <w:bCs/>
          <w:sz w:val="24"/>
          <w:szCs w:val="24"/>
        </w:rPr>
      </w:pPr>
      <w:r>
        <w:rPr>
          <w:bCs/>
          <w:sz w:val="24"/>
          <w:szCs w:val="24"/>
        </w:rPr>
        <w:t>10. Обеспечение деятельности ответственного исполнителя программы (УЖКХ ТиС)  - 31 782,07 тыс.руб.;</w:t>
      </w:r>
    </w:p>
    <w:p>
      <w:pPr>
        <w:tabs>
          <w:tab w:val="left" w:pos="1134"/>
        </w:tabs>
        <w:ind w:firstLine="709"/>
        <w:jc w:val="both"/>
        <w:rPr>
          <w:bCs/>
          <w:sz w:val="24"/>
          <w:szCs w:val="24"/>
        </w:rPr>
      </w:pPr>
      <w:r>
        <w:rPr>
          <w:bCs/>
          <w:sz w:val="24"/>
          <w:szCs w:val="24"/>
        </w:rPr>
        <w:t xml:space="preserve">11. Обеспечение деятельности ответственного исполнителя программы (УКС) </w:t>
      </w:r>
      <w:r>
        <w:rPr>
          <w:bCs/>
          <w:sz w:val="24"/>
          <w:szCs w:val="24"/>
        </w:rPr>
        <w:br/>
        <w:t>- 25 699,43 тыс.руб.;</w:t>
      </w:r>
    </w:p>
    <w:p>
      <w:pPr>
        <w:ind w:firstLine="709"/>
        <w:jc w:val="both"/>
        <w:rPr>
          <w:bCs/>
          <w:sz w:val="24"/>
          <w:szCs w:val="24"/>
        </w:rPr>
      </w:pPr>
      <w:r>
        <w:rPr>
          <w:bCs/>
          <w:sz w:val="24"/>
          <w:szCs w:val="24"/>
        </w:rPr>
        <w:t>12. Обеспечение деятельности МКУ «Технический центр» - 37 794,28 тыс.руб.</w:t>
      </w:r>
    </w:p>
    <w:p>
      <w:pPr>
        <w:ind w:firstLine="709"/>
      </w:pPr>
    </w:p>
    <w:p>
      <w:pPr>
        <w:ind w:firstLine="709"/>
        <w:jc w:val="center"/>
        <w:rPr>
          <w:b/>
          <w:bCs/>
          <w:i/>
          <w:sz w:val="24"/>
          <w:szCs w:val="24"/>
        </w:rPr>
      </w:pPr>
    </w:p>
    <w:p>
      <w:pPr>
        <w:ind w:right="55"/>
        <w:jc w:val="center"/>
        <w:rPr>
          <w:b/>
          <w:bCs/>
          <w:i/>
          <w:sz w:val="24"/>
          <w:szCs w:val="24"/>
        </w:rPr>
      </w:pPr>
      <w:r>
        <w:rPr>
          <w:b/>
          <w:bCs/>
          <w:i/>
          <w:sz w:val="24"/>
          <w:szCs w:val="24"/>
        </w:rPr>
        <w:t>4.1.5.8. Муниципальная программа</w:t>
      </w:r>
    </w:p>
    <w:p>
      <w:pPr>
        <w:spacing w:after="120"/>
        <w:ind w:right="57"/>
        <w:jc w:val="center"/>
        <w:rPr>
          <w:b/>
          <w:bCs/>
          <w:i/>
          <w:sz w:val="24"/>
          <w:szCs w:val="24"/>
        </w:rPr>
      </w:pPr>
      <w:r>
        <w:rPr>
          <w:b/>
          <w:bCs/>
          <w:i/>
          <w:sz w:val="24"/>
          <w:szCs w:val="24"/>
        </w:rPr>
        <w:t>«Повышение энергоэффективности в ЗАТО Северск»</w:t>
      </w:r>
    </w:p>
    <w:p>
      <w:pPr>
        <w:ind w:right="55" w:firstLine="708"/>
        <w:jc w:val="both"/>
        <w:rPr>
          <w:bCs/>
          <w:sz w:val="24"/>
          <w:szCs w:val="24"/>
        </w:rPr>
      </w:pPr>
      <w:r>
        <w:rPr>
          <w:bCs/>
          <w:sz w:val="24"/>
          <w:szCs w:val="24"/>
        </w:rPr>
        <w:t xml:space="preserve">Программа исполнена в общей сумме 35 262,90 тыс.руб., в том числе ответственными исполнителями УЖКХ ТиС в сумме 34 776,88 тыс.руб. и УКС в сумме 486,02 тыс.руб. </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Энергосбережение в жилищном фонде - 288,54 тыс.руб.</w:t>
      </w:r>
      <w:r>
        <w:t xml:space="preserve"> (</w:t>
      </w:r>
      <w:r>
        <w:rPr>
          <w:bCs/>
          <w:sz w:val="24"/>
          <w:szCs w:val="24"/>
        </w:rPr>
        <w:t>выполнены работы по установке индивидуальных приборов учета энергоресурсов);</w:t>
      </w:r>
    </w:p>
    <w:p>
      <w:pPr>
        <w:ind w:right="55" w:firstLine="708"/>
        <w:jc w:val="both"/>
        <w:rPr>
          <w:bCs/>
          <w:sz w:val="24"/>
          <w:szCs w:val="24"/>
        </w:rPr>
      </w:pPr>
      <w:r>
        <w:rPr>
          <w:bCs/>
          <w:sz w:val="24"/>
          <w:szCs w:val="24"/>
        </w:rPr>
        <w:t xml:space="preserve">2. Энергосбережение в коммунальной сфере и благоустройстве - 34 488,35 тыс.руб., из них: </w:t>
      </w:r>
    </w:p>
    <w:p>
      <w:pPr>
        <w:pStyle w:val="af8"/>
        <w:numPr>
          <w:ilvl w:val="1"/>
          <w:numId w:val="37"/>
        </w:numPr>
        <w:tabs>
          <w:tab w:val="left" w:pos="1134"/>
        </w:tabs>
        <w:ind w:left="0" w:firstLine="709"/>
        <w:jc w:val="both"/>
        <w:rPr>
          <w:bCs/>
          <w:sz w:val="24"/>
          <w:szCs w:val="24"/>
        </w:rPr>
      </w:pPr>
      <w:r>
        <w:rPr>
          <w:bCs/>
          <w:sz w:val="24"/>
          <w:szCs w:val="24"/>
        </w:rPr>
        <w:t xml:space="preserve"> Организацию уличного освещения и текущего содержания электрооборудования объектов благоустройства и объектов дорожного обустройства ЗАТО Северск - 34 265,23 тыс. руб.;</w:t>
      </w:r>
    </w:p>
    <w:p>
      <w:pPr>
        <w:pStyle w:val="af8"/>
        <w:numPr>
          <w:ilvl w:val="1"/>
          <w:numId w:val="37"/>
        </w:numPr>
        <w:tabs>
          <w:tab w:val="left" w:pos="1134"/>
        </w:tabs>
        <w:ind w:left="0" w:firstLine="709"/>
        <w:jc w:val="both"/>
        <w:rPr>
          <w:bCs/>
          <w:sz w:val="24"/>
          <w:szCs w:val="24"/>
        </w:rPr>
      </w:pPr>
      <w:r>
        <w:rPr>
          <w:bCs/>
          <w:sz w:val="24"/>
          <w:szCs w:val="24"/>
        </w:rPr>
        <w:lastRenderedPageBreak/>
        <w:t xml:space="preserve"> Модернизацию уличного освещения, освещение пешеходных переходов, праздничную иллюминацию, архитектурное освещение объектов городской среды -  223,12 тыс. руб.</w:t>
      </w:r>
    </w:p>
    <w:p>
      <w:pPr>
        <w:pStyle w:val="af8"/>
        <w:tabs>
          <w:tab w:val="left" w:pos="1134"/>
        </w:tabs>
        <w:ind w:left="0" w:firstLine="709"/>
        <w:jc w:val="both"/>
        <w:rPr>
          <w:bCs/>
          <w:sz w:val="24"/>
          <w:szCs w:val="24"/>
        </w:rPr>
      </w:pPr>
      <w:r>
        <w:rPr>
          <w:bCs/>
          <w:sz w:val="24"/>
          <w:szCs w:val="24"/>
        </w:rPr>
        <w:t>3. Разработку схемы газоснабжения ЗАТО Северск - 486,01 тыс.руб.</w:t>
      </w:r>
    </w:p>
    <w:p>
      <w:pPr>
        <w:tabs>
          <w:tab w:val="left" w:pos="1134"/>
        </w:tabs>
        <w:ind w:right="55"/>
        <w:jc w:val="both"/>
        <w:rPr>
          <w:bCs/>
          <w:sz w:val="24"/>
          <w:szCs w:val="24"/>
          <w:highlight w:val="yellow"/>
        </w:rPr>
      </w:pPr>
    </w:p>
    <w:p>
      <w:pPr>
        <w:ind w:right="55"/>
        <w:jc w:val="center"/>
        <w:rPr>
          <w:b/>
          <w:bCs/>
          <w:i/>
          <w:sz w:val="24"/>
          <w:szCs w:val="24"/>
          <w:highlight w:val="yellow"/>
        </w:rPr>
      </w:pPr>
    </w:p>
    <w:p>
      <w:pPr>
        <w:ind w:right="55"/>
        <w:jc w:val="center"/>
        <w:rPr>
          <w:b/>
          <w:bCs/>
          <w:i/>
          <w:sz w:val="24"/>
          <w:szCs w:val="24"/>
        </w:rPr>
      </w:pPr>
      <w:r>
        <w:rPr>
          <w:b/>
          <w:bCs/>
          <w:i/>
          <w:sz w:val="24"/>
          <w:szCs w:val="24"/>
        </w:rPr>
        <w:t>4.1.5.9. Муниципальная программа</w:t>
      </w:r>
    </w:p>
    <w:p>
      <w:pPr>
        <w:spacing w:after="120"/>
        <w:ind w:right="57"/>
        <w:jc w:val="center"/>
        <w:rPr>
          <w:b/>
          <w:bCs/>
          <w:i/>
          <w:sz w:val="24"/>
          <w:szCs w:val="24"/>
        </w:rPr>
      </w:pPr>
      <w:r>
        <w:rPr>
          <w:b/>
          <w:bCs/>
          <w:i/>
          <w:sz w:val="24"/>
          <w:szCs w:val="24"/>
        </w:rPr>
        <w:t>«Обеспечение доступным и комфортным жильем граждан ЗАТО Северск»</w:t>
      </w:r>
    </w:p>
    <w:p>
      <w:pPr>
        <w:ind w:right="55" w:firstLine="708"/>
        <w:jc w:val="both"/>
        <w:rPr>
          <w:bCs/>
          <w:sz w:val="24"/>
          <w:szCs w:val="24"/>
        </w:rPr>
      </w:pPr>
      <w:r>
        <w:rPr>
          <w:bCs/>
          <w:sz w:val="24"/>
          <w:szCs w:val="24"/>
        </w:rPr>
        <w:t>Программа исполнена ответственным исполнителем УЖКХ ТиС в сумме 16 881,34 тыс.руб.</w:t>
      </w:r>
    </w:p>
    <w:p>
      <w:pPr>
        <w:ind w:right="55" w:firstLine="708"/>
        <w:jc w:val="both"/>
        <w:rPr>
          <w:bCs/>
          <w:sz w:val="24"/>
          <w:szCs w:val="24"/>
        </w:rPr>
      </w:pPr>
      <w:r>
        <w:rPr>
          <w:bCs/>
          <w:sz w:val="24"/>
          <w:szCs w:val="24"/>
        </w:rPr>
        <w:t>Бюджетные ассигнования направлены на:</w:t>
      </w:r>
    </w:p>
    <w:p>
      <w:pPr>
        <w:jc w:val="both"/>
        <w:rPr>
          <w:bCs/>
          <w:sz w:val="24"/>
          <w:szCs w:val="24"/>
        </w:rPr>
      </w:pPr>
      <w:r>
        <w:rPr>
          <w:bCs/>
          <w:sz w:val="24"/>
          <w:szCs w:val="24"/>
        </w:rPr>
        <w:t xml:space="preserve">            1. Финансовое обеспечение капитального ремонта общего имущества в многоквартирных домах ЗАТО Северск в части муниципального жилищного фонда – 9 675,03 тыс.руб.</w:t>
      </w:r>
      <w:r>
        <w:t xml:space="preserve"> </w:t>
      </w:r>
      <w:r>
        <w:rPr>
          <w:sz w:val="24"/>
          <w:szCs w:val="24"/>
        </w:rPr>
        <w:t>З</w:t>
      </w:r>
      <w:r>
        <w:rPr>
          <w:bCs/>
          <w:sz w:val="24"/>
          <w:szCs w:val="24"/>
        </w:rPr>
        <w:t>а счет уплаты взносов на капитальный ремонт выполнены работы (оказано услуг) по капитальному ремонту 37 домов; завершены СМР - 25 домов (крыши 10 домов, инженерные сети 2 домов, лифты 9 домов (25 лифтов), фасады 2 домов, фундамент 1 дома)</w:t>
      </w:r>
      <w:r>
        <w:rPr>
          <w:bCs/>
          <w:sz w:val="24"/>
          <w:szCs w:val="24"/>
          <w:shd w:val="clear" w:color="auto" w:fill="FFFFFF"/>
        </w:rPr>
        <w:t>;</w:t>
      </w:r>
      <w:r>
        <w:rPr>
          <w:bCs/>
          <w:sz w:val="24"/>
          <w:szCs w:val="24"/>
        </w:rPr>
        <w:t> выполнены ПСД - 20 домов (крыши 4 домов, лифты 15 домов, инженерные сети 1 дома);</w:t>
      </w:r>
    </w:p>
    <w:p>
      <w:pPr>
        <w:ind w:right="55" w:firstLine="708"/>
        <w:jc w:val="both"/>
        <w:rPr>
          <w:bCs/>
          <w:sz w:val="24"/>
          <w:szCs w:val="24"/>
        </w:rPr>
      </w:pPr>
      <w:r>
        <w:rPr>
          <w:bCs/>
          <w:sz w:val="24"/>
          <w:szCs w:val="24"/>
        </w:rPr>
        <w:t>2. Реализацию проекта «Губернаторская ипотека» на территории Томской области» - 3 097,72 тыс. руб., в том числе: за счет средств областного бюджета в сумме         2 065,15 тыс.руб., за счет средств местного бюджета в сумме 1 032,57 тыс. руб. П</w:t>
      </w:r>
      <w:r>
        <w:rPr>
          <w:sz w:val="24"/>
          <w:szCs w:val="24"/>
        </w:rPr>
        <w:t>редоставлены социальные выплаты на частичную оплату первоначального взноса по ипотечным жилищным кредитам, взятым на приобретение вновь построенного жилья у застройщика (ТДСК) по договорам купли-продажи 16 заявителям</w:t>
      </w:r>
      <w:r>
        <w:rPr>
          <w:bCs/>
          <w:sz w:val="24"/>
          <w:szCs w:val="24"/>
        </w:rPr>
        <w:t>;  </w:t>
      </w:r>
    </w:p>
    <w:p>
      <w:pPr>
        <w:ind w:right="55" w:firstLine="708"/>
        <w:jc w:val="both"/>
        <w:rPr>
          <w:bCs/>
          <w:sz w:val="24"/>
          <w:szCs w:val="24"/>
        </w:rPr>
      </w:pPr>
      <w:r>
        <w:rPr>
          <w:bCs/>
          <w:sz w:val="24"/>
          <w:szCs w:val="24"/>
        </w:rPr>
        <w:t>3. Капитальный и текущий ремонт муниципального жилищного фонда в ЗАТО Северск - 1 513,66 тыс. руб. Капитально отремонтировано 8 жилых помещений, текущий ремонт был выполнен в 4 жилых помещениях;</w:t>
      </w:r>
    </w:p>
    <w:p>
      <w:pPr>
        <w:ind w:right="55" w:firstLine="708"/>
        <w:jc w:val="both"/>
        <w:rPr>
          <w:bCs/>
          <w:sz w:val="24"/>
          <w:szCs w:val="24"/>
        </w:rPr>
      </w:pPr>
      <w:r>
        <w:rPr>
          <w:bCs/>
          <w:sz w:val="24"/>
          <w:szCs w:val="24"/>
        </w:rPr>
        <w:t>4. Оплату расходов по 8 договорам пожизненной ренты - 1 465,22 тыс. руб.</w:t>
      </w:r>
    </w:p>
    <w:p>
      <w:pPr>
        <w:ind w:right="55" w:firstLine="708"/>
        <w:jc w:val="both"/>
        <w:rPr>
          <w:bCs/>
          <w:sz w:val="24"/>
          <w:szCs w:val="24"/>
        </w:rPr>
      </w:pPr>
      <w:r>
        <w:rPr>
          <w:bCs/>
          <w:sz w:val="24"/>
          <w:szCs w:val="24"/>
        </w:rPr>
        <w:t>5. Организацию и обеспечение деятельности ТОС - 637,44 тыс. руб. Предоставлены субсидии НО ТОС «Микрорайон Иглаково» на организацию и проведение 200 мероприятий по благоустройству микрорайона территории ТОС;</w:t>
      </w:r>
    </w:p>
    <w:p>
      <w:pPr>
        <w:ind w:right="55" w:firstLine="708"/>
        <w:jc w:val="both"/>
        <w:rPr>
          <w:bCs/>
          <w:sz w:val="24"/>
          <w:szCs w:val="24"/>
        </w:rPr>
      </w:pPr>
      <w:r>
        <w:rPr>
          <w:bCs/>
          <w:sz w:val="24"/>
          <w:szCs w:val="24"/>
        </w:rPr>
        <w:t>6. Содержание 16 жилых помещений до заселения муниципального жилищного фонда ЗАТО Северск - 400,80 тыс. руб.;</w:t>
      </w:r>
    </w:p>
    <w:p>
      <w:pPr>
        <w:ind w:right="55" w:firstLine="708"/>
        <w:jc w:val="both"/>
        <w:rPr>
          <w:bCs/>
          <w:sz w:val="24"/>
          <w:szCs w:val="24"/>
        </w:rPr>
      </w:pPr>
      <w:r>
        <w:rPr>
          <w:bCs/>
          <w:sz w:val="24"/>
          <w:szCs w:val="24"/>
        </w:rPr>
        <w:t>7. Организацию оценки недвижимости и регистрации права собственности на жилые помещения жилищного фонда ЗАТО Северск - 54,59 тыс. руб. Изготовлено 20 техпаспортов на жилые помещения муниципального жилфонда, необходимых для передачи в собственность гражданам;</w:t>
      </w:r>
    </w:p>
    <w:p>
      <w:pPr>
        <w:ind w:right="55" w:firstLine="708"/>
        <w:jc w:val="both"/>
        <w:rPr>
          <w:bCs/>
          <w:sz w:val="24"/>
          <w:szCs w:val="24"/>
        </w:rPr>
      </w:pPr>
      <w:r>
        <w:rPr>
          <w:bCs/>
          <w:sz w:val="24"/>
          <w:szCs w:val="24"/>
        </w:rPr>
        <w:t>8. Инструментальное обследование жилищного фонда в сумме 35,00 тыс.руб. Обследован дом после пожара в пос.Самусь, ул.Р.Люксембург,4 для признания дома аварийным и подлежащим сносу;</w:t>
      </w:r>
    </w:p>
    <w:p>
      <w:pPr>
        <w:ind w:right="55" w:firstLine="708"/>
        <w:jc w:val="both"/>
        <w:rPr>
          <w:bCs/>
          <w:sz w:val="24"/>
          <w:szCs w:val="24"/>
        </w:rPr>
      </w:pPr>
      <w:r>
        <w:rPr>
          <w:bCs/>
          <w:sz w:val="24"/>
          <w:szCs w:val="24"/>
        </w:rPr>
        <w:t>9. Мероприятия по развитию и поддержке деятельности ТСЖ в ЗАТО Северск в сумме 1,88 тыс.руб. (на информационные материалы);</w:t>
      </w:r>
    </w:p>
    <w:p>
      <w:pPr>
        <w:ind w:right="55" w:firstLine="708"/>
        <w:jc w:val="both"/>
        <w:rPr>
          <w:bCs/>
          <w:sz w:val="24"/>
          <w:szCs w:val="24"/>
          <w:highlight w:val="yellow"/>
        </w:rPr>
      </w:pPr>
    </w:p>
    <w:p>
      <w:pPr>
        <w:ind w:right="55"/>
        <w:jc w:val="center"/>
        <w:rPr>
          <w:b/>
          <w:bCs/>
          <w:i/>
          <w:sz w:val="24"/>
          <w:szCs w:val="24"/>
        </w:rPr>
      </w:pPr>
      <w:r>
        <w:rPr>
          <w:b/>
          <w:bCs/>
          <w:i/>
          <w:sz w:val="24"/>
          <w:szCs w:val="24"/>
        </w:rPr>
        <w:t>4.1.5.10. Муниципальная программа</w:t>
      </w:r>
    </w:p>
    <w:p>
      <w:pPr>
        <w:spacing w:after="120"/>
        <w:ind w:right="57"/>
        <w:jc w:val="center"/>
        <w:rPr>
          <w:b/>
          <w:bCs/>
          <w:i/>
          <w:sz w:val="24"/>
          <w:szCs w:val="24"/>
        </w:rPr>
      </w:pPr>
      <w:r>
        <w:rPr>
          <w:b/>
          <w:bCs/>
          <w:i/>
          <w:sz w:val="24"/>
          <w:szCs w:val="24"/>
        </w:rPr>
        <w:t>«Улучшение жизнедеятельности внегородских территорий ЗАТО Северск»</w:t>
      </w:r>
    </w:p>
    <w:p>
      <w:pPr>
        <w:ind w:right="55" w:firstLine="708"/>
        <w:jc w:val="both"/>
        <w:rPr>
          <w:bCs/>
          <w:sz w:val="24"/>
          <w:szCs w:val="24"/>
        </w:rPr>
      </w:pPr>
      <w:r>
        <w:rPr>
          <w:bCs/>
          <w:sz w:val="24"/>
          <w:szCs w:val="24"/>
        </w:rPr>
        <w:t xml:space="preserve">Программа исполнена ответственным исполнителем УВГТ в сумме                        </w:t>
      </w:r>
      <w:r>
        <w:rPr>
          <w:sz w:val="24"/>
          <w:szCs w:val="24"/>
        </w:rPr>
        <w:t>48 273,73</w:t>
      </w:r>
      <w:r>
        <w:rPr>
          <w:bCs/>
          <w:sz w:val="24"/>
          <w:szCs w:val="24"/>
        </w:rPr>
        <w:t> тыс.руб.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 xml:space="preserve">1. Содержание и ремонт улично-дорожной сети внегородских территорий -  9 751,03 тыс. руб. Выполнены: работы по текущему ремонту </w:t>
      </w:r>
      <w:r>
        <w:rPr>
          <w:sz w:val="24"/>
          <w:szCs w:val="24"/>
        </w:rPr>
        <w:t xml:space="preserve">асфальтобетонного покрытия дорог площадью 2783 кв.м., ремонт дорог с неусовершенствованным покрытием 1455 кв.м. на общую сумму 3 469,19 тыс. руб.; осуществлено содержание улиц, дорог и тротуаров внегородских территорий протяженностью </w:t>
      </w:r>
      <w:smartTag w:uri="urn:schemas-microsoft-com:office:smarttags" w:element="metricconverter">
        <w:smartTagPr>
          <w:attr w:name="ProductID" w:val="99,9 км"/>
        </w:smartTagPr>
        <w:r>
          <w:rPr>
            <w:sz w:val="24"/>
            <w:szCs w:val="24"/>
          </w:rPr>
          <w:t>99,9 км</w:t>
        </w:r>
      </w:smartTag>
      <w:r>
        <w:rPr>
          <w:sz w:val="24"/>
          <w:szCs w:val="24"/>
        </w:rPr>
        <w:t xml:space="preserve">. дорог на </w:t>
      </w:r>
      <w:r>
        <w:rPr>
          <w:sz w:val="24"/>
          <w:szCs w:val="24"/>
        </w:rPr>
        <w:lastRenderedPageBreak/>
        <w:t>общую сумму 5 572,08 тыс. руб.; осуществлено содержание технических средств организации дорожного движения внегородских территорий в количестве 451 знака на сумму 709,76 тыс. руб.;</w:t>
      </w:r>
    </w:p>
    <w:p>
      <w:pPr>
        <w:ind w:right="55" w:firstLine="708"/>
        <w:jc w:val="both"/>
        <w:rPr>
          <w:bCs/>
          <w:sz w:val="24"/>
          <w:szCs w:val="24"/>
        </w:rPr>
      </w:pPr>
      <w:r>
        <w:rPr>
          <w:bCs/>
          <w:sz w:val="24"/>
          <w:szCs w:val="24"/>
        </w:rPr>
        <w:t>2. Благоустройство внегородских территорий - 3 564,63 тыс.руб. О</w:t>
      </w:r>
      <w:r>
        <w:rPr>
          <w:sz w:val="24"/>
          <w:szCs w:val="24"/>
        </w:rPr>
        <w:t>существлено содержание внутриквартальных внегородских территорий площадью    316670 кв.м., обеспечено питьевой водой при отсутствии центрального водоснабжения 15 жителей д.Семиозерки; ликвидировано 618 куб.м. свалок мусора; обработано территории от клещей 27,18 га</w:t>
      </w:r>
      <w:r>
        <w:rPr>
          <w:bCs/>
          <w:sz w:val="24"/>
          <w:szCs w:val="24"/>
        </w:rPr>
        <w:t>;</w:t>
      </w:r>
    </w:p>
    <w:p>
      <w:pPr>
        <w:ind w:right="55" w:firstLine="708"/>
        <w:jc w:val="both"/>
        <w:rPr>
          <w:bCs/>
          <w:sz w:val="24"/>
          <w:szCs w:val="24"/>
        </w:rPr>
      </w:pPr>
      <w:r>
        <w:rPr>
          <w:bCs/>
          <w:sz w:val="24"/>
          <w:szCs w:val="24"/>
        </w:rPr>
        <w:t>3. Возмещение теплоснабжающим организациям затрат в связи с оказанием услуг в сфере теплоснабжения гражданам на внегородских территориях ЗАТО Северск – 22 202,27 тыс. руб., в том числе:</w:t>
      </w:r>
    </w:p>
    <w:p>
      <w:pPr>
        <w:ind w:right="55" w:firstLine="708"/>
        <w:jc w:val="both"/>
        <w:rPr>
          <w:sz w:val="24"/>
          <w:szCs w:val="24"/>
        </w:rPr>
      </w:pPr>
      <w:r>
        <w:rPr>
          <w:bCs/>
          <w:sz w:val="24"/>
          <w:szCs w:val="24"/>
        </w:rPr>
        <w:t xml:space="preserve">3.1. Субсидии </w:t>
      </w:r>
      <w:r>
        <w:rPr>
          <w:sz w:val="24"/>
          <w:szCs w:val="24"/>
        </w:rPr>
        <w:t>на возмещение затрат в связи с оказанием услуг в сфере теплоснабжения - 18 030,25 тыс.руб. (средства местного бюджета);</w:t>
      </w:r>
    </w:p>
    <w:p>
      <w:pPr>
        <w:ind w:right="55" w:firstLine="708"/>
        <w:jc w:val="both"/>
        <w:rPr>
          <w:sz w:val="24"/>
          <w:szCs w:val="24"/>
        </w:rPr>
      </w:pPr>
      <w:r>
        <w:rPr>
          <w:sz w:val="24"/>
          <w:szCs w:val="24"/>
        </w:rPr>
        <w:t xml:space="preserve">3.2.  Субсидии на компенсацию расходов организациям, использующим в качестве топлива дизельное топливо - 962,39 тыс.руб. (средства областного бюджета - 962,29 тыс.руб., средства местного бюджета - 0,1 тыс. руб.);   </w:t>
      </w:r>
    </w:p>
    <w:p>
      <w:pPr>
        <w:ind w:right="55" w:firstLine="708"/>
        <w:jc w:val="both"/>
        <w:rPr>
          <w:sz w:val="24"/>
          <w:szCs w:val="24"/>
        </w:rPr>
      </w:pPr>
      <w:r>
        <w:rPr>
          <w:sz w:val="24"/>
          <w:szCs w:val="24"/>
        </w:rPr>
        <w:t>3.3. Субсидии на компенсацию сверхнормативных расходов - 3 209,63 тыс. руб., (средства областного бюджета - 2 246,74 тыс.руб., средства местного бюджета - 962,89 тыс.руб.);</w:t>
      </w:r>
    </w:p>
    <w:p>
      <w:pPr>
        <w:ind w:right="55" w:firstLine="708"/>
        <w:jc w:val="both"/>
        <w:rPr>
          <w:bCs/>
          <w:sz w:val="24"/>
          <w:szCs w:val="24"/>
          <w:highlight w:val="yellow"/>
        </w:rPr>
      </w:pPr>
      <w:r>
        <w:rPr>
          <w:bCs/>
          <w:sz w:val="24"/>
          <w:szCs w:val="24"/>
        </w:rPr>
        <w:t xml:space="preserve">4. Оказание поддержки субъектам малых форм хозяйствования на территории ЗАТО Северск - 402,83 тыс. руб. </w:t>
      </w:r>
      <w:r>
        <w:rPr>
          <w:sz w:val="24"/>
          <w:szCs w:val="24"/>
        </w:rPr>
        <w:t>за счет средств областного бюджета</w:t>
      </w:r>
      <w:r>
        <w:rPr>
          <w:bCs/>
          <w:sz w:val="24"/>
          <w:szCs w:val="24"/>
        </w:rPr>
        <w:t xml:space="preserve"> (искусственно осеменено 19 голов коров в личных подсобных хозяйствах, оказана государственная поддержка по возмещению части затрат субъектам малых форм хозяйствования по содержанию поголовья скота (76 голов));</w:t>
      </w:r>
    </w:p>
    <w:p>
      <w:pPr>
        <w:ind w:right="55" w:firstLine="708"/>
        <w:jc w:val="both"/>
        <w:rPr>
          <w:bCs/>
          <w:sz w:val="24"/>
          <w:szCs w:val="24"/>
        </w:rPr>
      </w:pPr>
      <w:r>
        <w:rPr>
          <w:bCs/>
          <w:sz w:val="24"/>
          <w:szCs w:val="24"/>
        </w:rPr>
        <w:t xml:space="preserve">5. Обеспечение деятельности ответственного исполнителя программы </w:t>
      </w:r>
      <w:r>
        <w:rPr>
          <w:bCs/>
          <w:sz w:val="24"/>
          <w:szCs w:val="24"/>
        </w:rPr>
        <w:br/>
        <w:t>- 12 352,97 тыс. руб.</w:t>
      </w:r>
    </w:p>
    <w:p>
      <w:pPr>
        <w:ind w:right="55" w:firstLine="708"/>
        <w:jc w:val="both"/>
        <w:rPr>
          <w:bCs/>
          <w:sz w:val="24"/>
          <w:szCs w:val="24"/>
          <w:highlight w:val="yellow"/>
        </w:rPr>
      </w:pPr>
    </w:p>
    <w:p>
      <w:pPr>
        <w:ind w:right="55"/>
        <w:jc w:val="center"/>
        <w:rPr>
          <w:b/>
          <w:bCs/>
          <w:i/>
          <w:sz w:val="24"/>
          <w:szCs w:val="24"/>
        </w:rPr>
      </w:pPr>
      <w:r>
        <w:rPr>
          <w:b/>
          <w:bCs/>
          <w:i/>
          <w:sz w:val="24"/>
          <w:szCs w:val="24"/>
        </w:rPr>
        <w:t>4.1.5.11. Муниципальная программа</w:t>
      </w:r>
    </w:p>
    <w:p>
      <w:pPr>
        <w:spacing w:after="120"/>
        <w:ind w:right="57"/>
        <w:jc w:val="center"/>
        <w:rPr>
          <w:b/>
          <w:bCs/>
          <w:i/>
          <w:sz w:val="24"/>
          <w:szCs w:val="24"/>
        </w:rPr>
      </w:pPr>
      <w:r>
        <w:rPr>
          <w:b/>
          <w:bCs/>
          <w:i/>
          <w:sz w:val="24"/>
          <w:szCs w:val="24"/>
        </w:rPr>
        <w:t>«Обеспечение безопасности населения на территории ЗАТО Северск»</w:t>
      </w:r>
    </w:p>
    <w:p>
      <w:pPr>
        <w:ind w:right="55" w:firstLine="708"/>
        <w:jc w:val="both"/>
        <w:rPr>
          <w:b/>
          <w:bCs/>
          <w:sz w:val="24"/>
          <w:szCs w:val="24"/>
        </w:rPr>
      </w:pPr>
      <w:r>
        <w:rPr>
          <w:bCs/>
          <w:sz w:val="24"/>
          <w:szCs w:val="24"/>
        </w:rPr>
        <w:t>Программа исполнена в общей сумме 68 848,92 тыс.руб., в том числе ответственным исполнителем Управлением ЧС в сумме 25 774,26 тыс.руб.</w:t>
      </w:r>
      <w:r>
        <w:rPr>
          <w:sz w:val="24"/>
          <w:szCs w:val="24"/>
        </w:rPr>
        <w:t xml:space="preserve">, </w:t>
      </w:r>
      <w:r>
        <w:rPr>
          <w:bCs/>
          <w:sz w:val="24"/>
          <w:szCs w:val="24"/>
        </w:rPr>
        <w:t xml:space="preserve">соисполнителем </w:t>
      </w:r>
      <w:r>
        <w:rPr>
          <w:sz w:val="24"/>
          <w:szCs w:val="24"/>
        </w:rPr>
        <w:t>УЖКХ ТиС в сумме 11 037,05 тыс.руб., а также участниками программы УВГТ в сумме 1 924,73 тыс.руб., УМСП ФКиС в сумме 5 426,0 тыс.руб., Управлением культуры в сумме 4 999,91 тыс.руб., УКС в сумме 8 870,52 тыс.руб., Управлением образования в сумме 10 337,56 тыс.руб., УИО в сумме 478,88 тыс.руб.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Профилактику преступлений и иных правонарушений - 3 967,60 тыс.руб., из них:</w:t>
      </w:r>
    </w:p>
    <w:p>
      <w:pPr>
        <w:pStyle w:val="af8"/>
        <w:numPr>
          <w:ilvl w:val="1"/>
          <w:numId w:val="33"/>
        </w:numPr>
        <w:tabs>
          <w:tab w:val="left" w:pos="993"/>
        </w:tabs>
        <w:ind w:left="0" w:firstLine="709"/>
        <w:jc w:val="both"/>
        <w:rPr>
          <w:bCs/>
          <w:sz w:val="24"/>
          <w:szCs w:val="24"/>
        </w:rPr>
      </w:pPr>
      <w:r>
        <w:rPr>
          <w:bCs/>
          <w:sz w:val="24"/>
          <w:szCs w:val="24"/>
        </w:rPr>
        <w:t xml:space="preserve"> На капитальный ремонт благоустройства территории многопрофильного спортивного комплекса «Олимпия» по адресу: г.Северск, ул.Калинина, 66/1 (устройство ограждения) - 3 276,62 тыс.руб.;</w:t>
      </w:r>
    </w:p>
    <w:p>
      <w:pPr>
        <w:pStyle w:val="a5"/>
        <w:numPr>
          <w:ilvl w:val="1"/>
          <w:numId w:val="33"/>
        </w:numPr>
        <w:tabs>
          <w:tab w:val="left" w:pos="993"/>
        </w:tabs>
        <w:spacing w:after="0" w:line="264" w:lineRule="auto"/>
        <w:ind w:left="0" w:firstLine="709"/>
        <w:jc w:val="both"/>
        <w:rPr>
          <w:bCs/>
          <w:sz w:val="24"/>
          <w:szCs w:val="24"/>
        </w:rPr>
      </w:pPr>
      <w:r>
        <w:rPr>
          <w:bCs/>
          <w:sz w:val="24"/>
          <w:szCs w:val="24"/>
        </w:rPr>
        <w:t xml:space="preserve"> На финансовую поддержку «народных дружинников» - 672,50 тыс.руб.; </w:t>
      </w:r>
    </w:p>
    <w:p>
      <w:pPr>
        <w:pStyle w:val="a5"/>
        <w:numPr>
          <w:ilvl w:val="1"/>
          <w:numId w:val="33"/>
        </w:numPr>
        <w:tabs>
          <w:tab w:val="left" w:pos="993"/>
        </w:tabs>
        <w:spacing w:after="0" w:line="264" w:lineRule="auto"/>
        <w:ind w:left="0" w:firstLine="709"/>
        <w:jc w:val="both"/>
        <w:rPr>
          <w:sz w:val="24"/>
          <w:szCs w:val="24"/>
        </w:rPr>
      </w:pPr>
      <w:r>
        <w:rPr>
          <w:bCs/>
          <w:sz w:val="24"/>
          <w:szCs w:val="24"/>
        </w:rPr>
        <w:t xml:space="preserve"> На </w:t>
      </w:r>
      <w:r>
        <w:rPr>
          <w:sz w:val="24"/>
          <w:szCs w:val="24"/>
        </w:rPr>
        <w:t xml:space="preserve">изготовление информационных материалов антитеррористической </w:t>
      </w:r>
      <w:r>
        <w:rPr>
          <w:sz w:val="24"/>
          <w:szCs w:val="24"/>
        </w:rPr>
        <w:br/>
        <w:t xml:space="preserve">и антиэкстремистской направленности для распространения среди различных категорий граждан, в образовательных учреждениях, учреждениях культуры, на объектах </w:t>
      </w:r>
      <w:r>
        <w:rPr>
          <w:sz w:val="24"/>
          <w:szCs w:val="24"/>
        </w:rPr>
        <w:br/>
        <w:t>с массовым пребыванием людей - 18,48 тыс.руб.;</w:t>
      </w:r>
    </w:p>
    <w:p>
      <w:pPr>
        <w:pStyle w:val="af8"/>
        <w:numPr>
          <w:ilvl w:val="0"/>
          <w:numId w:val="33"/>
        </w:numPr>
        <w:ind w:left="0" w:firstLine="709"/>
        <w:jc w:val="both"/>
        <w:rPr>
          <w:bCs/>
          <w:sz w:val="24"/>
          <w:szCs w:val="24"/>
        </w:rPr>
      </w:pPr>
      <w:r>
        <w:rPr>
          <w:bCs/>
          <w:sz w:val="24"/>
          <w:szCs w:val="24"/>
        </w:rPr>
        <w:t>Обеспечение первичных мер пожарной безопасности на территории ЗАТО Северск - 26 457,26 тыс.руб., в том числе:</w:t>
      </w:r>
    </w:p>
    <w:p>
      <w:pPr>
        <w:pStyle w:val="af8"/>
        <w:numPr>
          <w:ilvl w:val="1"/>
          <w:numId w:val="33"/>
        </w:numPr>
        <w:tabs>
          <w:tab w:val="left" w:pos="993"/>
        </w:tabs>
        <w:ind w:left="0" w:firstLine="709"/>
        <w:jc w:val="both"/>
        <w:rPr>
          <w:sz w:val="24"/>
          <w:szCs w:val="24"/>
        </w:rPr>
      </w:pPr>
      <w:r>
        <w:rPr>
          <w:sz w:val="24"/>
          <w:szCs w:val="24"/>
        </w:rPr>
        <w:t xml:space="preserve"> На обеспечение пожарной безопасности в муниципальных учреждениях </w:t>
      </w:r>
      <w:r>
        <w:rPr>
          <w:sz w:val="24"/>
          <w:szCs w:val="24"/>
        </w:rPr>
        <w:br/>
        <w:t>- 25 660,62 тыс.руб., в т.ч.: в зданиях образовательных учреждений – 10 975,74 тыс.руб.,</w:t>
      </w:r>
      <w:r>
        <w:rPr>
          <w:bCs/>
          <w:sz w:val="24"/>
          <w:szCs w:val="24"/>
        </w:rPr>
        <w:t xml:space="preserve"> </w:t>
      </w:r>
      <w:r>
        <w:rPr>
          <w:sz w:val="24"/>
          <w:szCs w:val="24"/>
        </w:rPr>
        <w:t>в зданиях учреждений культуры – 7 475,41 тыс.руб.,в зданиях учреждений дополнительного образования – 1 783,47 тыс.руб., в зданиях детских оздоровительных лагерей – 5 426,00 тыс.руб.;</w:t>
      </w:r>
    </w:p>
    <w:p>
      <w:pPr>
        <w:pStyle w:val="af8"/>
        <w:numPr>
          <w:ilvl w:val="1"/>
          <w:numId w:val="33"/>
        </w:numPr>
        <w:tabs>
          <w:tab w:val="left" w:pos="993"/>
        </w:tabs>
        <w:ind w:left="0" w:firstLine="709"/>
        <w:jc w:val="both"/>
        <w:rPr>
          <w:bCs/>
          <w:sz w:val="24"/>
          <w:szCs w:val="24"/>
        </w:rPr>
      </w:pPr>
      <w:r>
        <w:rPr>
          <w:sz w:val="24"/>
          <w:szCs w:val="24"/>
        </w:rPr>
        <w:lastRenderedPageBreak/>
        <w:t xml:space="preserve"> Устройство и обновление противопожарных минерализованных полос, прочистка просек, размещение аншлагов, содержащих информацию о мерах пожарной безопасности в лесах - 547,65 тыс.руб.;</w:t>
      </w:r>
    </w:p>
    <w:p>
      <w:pPr>
        <w:pStyle w:val="af8"/>
        <w:numPr>
          <w:ilvl w:val="1"/>
          <w:numId w:val="33"/>
        </w:numPr>
        <w:tabs>
          <w:tab w:val="left" w:pos="993"/>
        </w:tabs>
        <w:ind w:left="0" w:firstLine="709"/>
        <w:jc w:val="both"/>
        <w:rPr>
          <w:sz w:val="24"/>
          <w:szCs w:val="24"/>
        </w:rPr>
      </w:pPr>
      <w:r>
        <w:rPr>
          <w:sz w:val="24"/>
          <w:szCs w:val="24"/>
        </w:rPr>
        <w:t xml:space="preserve"> На 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 - 223,99 тыс.руб.</w:t>
      </w:r>
    </w:p>
    <w:p>
      <w:pPr>
        <w:pStyle w:val="af8"/>
        <w:numPr>
          <w:ilvl w:val="1"/>
          <w:numId w:val="33"/>
        </w:numPr>
        <w:tabs>
          <w:tab w:val="left" w:pos="993"/>
        </w:tabs>
        <w:ind w:left="0" w:firstLine="709"/>
        <w:jc w:val="both"/>
        <w:rPr>
          <w:sz w:val="24"/>
          <w:szCs w:val="24"/>
        </w:rPr>
      </w:pPr>
      <w:r>
        <w:rPr>
          <w:sz w:val="24"/>
          <w:szCs w:val="24"/>
        </w:rPr>
        <w:t xml:space="preserve"> На распространение материалов по противопожарной пропаганде на территории населенных пунктов и о мерах пожарной безопасности в лесах -25,0  тыс.руб.</w:t>
      </w:r>
    </w:p>
    <w:p>
      <w:pPr>
        <w:pStyle w:val="af8"/>
        <w:numPr>
          <w:ilvl w:val="0"/>
          <w:numId w:val="33"/>
        </w:numPr>
        <w:ind w:left="0" w:firstLine="709"/>
        <w:jc w:val="both"/>
        <w:rPr>
          <w:bCs/>
          <w:sz w:val="24"/>
          <w:szCs w:val="24"/>
        </w:rPr>
      </w:pPr>
      <w:r>
        <w:rPr>
          <w:bCs/>
          <w:sz w:val="24"/>
          <w:szCs w:val="24"/>
        </w:rPr>
        <w:t>Повышение уровня защиты населения и территории ЗАТО Северск от чрезвычайных ситуаций мирного и военного времени - 15 215,74 тыс.руб., из них:</w:t>
      </w:r>
    </w:p>
    <w:p>
      <w:pPr>
        <w:pStyle w:val="af8"/>
        <w:numPr>
          <w:ilvl w:val="1"/>
          <w:numId w:val="33"/>
        </w:numPr>
        <w:tabs>
          <w:tab w:val="left" w:pos="993"/>
        </w:tabs>
        <w:ind w:left="0" w:firstLine="709"/>
        <w:jc w:val="both"/>
        <w:rPr>
          <w:bCs/>
          <w:sz w:val="24"/>
          <w:szCs w:val="24"/>
        </w:rPr>
      </w:pPr>
      <w:r>
        <w:rPr>
          <w:bCs/>
          <w:sz w:val="24"/>
          <w:szCs w:val="24"/>
        </w:rPr>
        <w:t xml:space="preserve"> На обеспечение деятельности МКУ «Единая дежурно-диспетчерская служба ЗАТО Северск» - 13 443,81 тыс.руб.;</w:t>
      </w:r>
    </w:p>
    <w:p>
      <w:pPr>
        <w:pStyle w:val="af8"/>
        <w:numPr>
          <w:ilvl w:val="1"/>
          <w:numId w:val="33"/>
        </w:numPr>
        <w:tabs>
          <w:tab w:val="left" w:pos="993"/>
        </w:tabs>
        <w:ind w:left="0" w:firstLine="709"/>
        <w:jc w:val="both"/>
        <w:rPr>
          <w:bCs/>
          <w:sz w:val="24"/>
          <w:szCs w:val="24"/>
        </w:rPr>
      </w:pPr>
      <w:r>
        <w:rPr>
          <w:bCs/>
          <w:sz w:val="24"/>
          <w:szCs w:val="24"/>
        </w:rPr>
        <w:t xml:space="preserve"> На обеспечение безопасного пребывания людей на водных объектах -  447,36</w:t>
      </w:r>
      <w:r>
        <w:rPr>
          <w:bCs/>
          <w:color w:val="000000" w:themeColor="text1"/>
          <w:sz w:val="24"/>
          <w:szCs w:val="24"/>
        </w:rPr>
        <w:t xml:space="preserve"> тыс</w:t>
      </w:r>
      <w:r>
        <w:rPr>
          <w:bCs/>
          <w:sz w:val="24"/>
          <w:szCs w:val="24"/>
        </w:rPr>
        <w:t>.руб.</w:t>
      </w:r>
      <w:r>
        <w:rPr>
          <w:sz w:val="24"/>
          <w:szCs w:val="24"/>
        </w:rPr>
        <w:t>, из них</w:t>
      </w:r>
      <w:r>
        <w:rPr>
          <w:bCs/>
          <w:sz w:val="24"/>
          <w:szCs w:val="24"/>
        </w:rPr>
        <w:t xml:space="preserve"> 281,28 тыс.руб. на содержание пляжа;</w:t>
      </w:r>
    </w:p>
    <w:p>
      <w:pPr>
        <w:pStyle w:val="af8"/>
        <w:numPr>
          <w:ilvl w:val="1"/>
          <w:numId w:val="33"/>
        </w:numPr>
        <w:tabs>
          <w:tab w:val="left" w:pos="993"/>
        </w:tabs>
        <w:ind w:left="0" w:firstLine="709"/>
        <w:jc w:val="both"/>
        <w:rPr>
          <w:bCs/>
          <w:sz w:val="24"/>
          <w:szCs w:val="24"/>
        </w:rPr>
      </w:pPr>
      <w:r>
        <w:rPr>
          <w:bCs/>
          <w:sz w:val="24"/>
          <w:szCs w:val="24"/>
        </w:rPr>
        <w:t xml:space="preserve"> На выполнение противоклещевой обработки лесопарковой зоны на территории г.Северска -</w:t>
      </w:r>
      <w:r>
        <w:rPr>
          <w:bCs/>
          <w:color w:val="000000" w:themeColor="text1"/>
          <w:sz w:val="24"/>
          <w:szCs w:val="24"/>
        </w:rPr>
        <w:t xml:space="preserve"> 394,68</w:t>
      </w:r>
      <w:r>
        <w:rPr>
          <w:bCs/>
          <w:sz w:val="24"/>
          <w:szCs w:val="24"/>
        </w:rPr>
        <w:t xml:space="preserve"> тыс.руб.;</w:t>
      </w:r>
    </w:p>
    <w:p>
      <w:pPr>
        <w:pStyle w:val="af8"/>
        <w:numPr>
          <w:ilvl w:val="1"/>
          <w:numId w:val="33"/>
        </w:numPr>
        <w:tabs>
          <w:tab w:val="left" w:pos="993"/>
        </w:tabs>
        <w:ind w:left="0" w:firstLine="709"/>
        <w:jc w:val="both"/>
        <w:rPr>
          <w:bCs/>
          <w:color w:val="000000" w:themeColor="text1"/>
          <w:sz w:val="24"/>
          <w:szCs w:val="24"/>
        </w:rPr>
      </w:pPr>
      <w:r>
        <w:rPr>
          <w:bCs/>
          <w:color w:val="000000" w:themeColor="text1"/>
          <w:sz w:val="24"/>
          <w:szCs w:val="24"/>
        </w:rPr>
        <w:t xml:space="preserve"> На проведение мероприятий по обеспечению безаварийного пропуска талых вод - 751,35 тыс.руб.; </w:t>
      </w:r>
    </w:p>
    <w:p>
      <w:pPr>
        <w:pStyle w:val="af8"/>
        <w:numPr>
          <w:ilvl w:val="1"/>
          <w:numId w:val="33"/>
        </w:numPr>
        <w:tabs>
          <w:tab w:val="left" w:pos="993"/>
        </w:tabs>
        <w:ind w:left="0" w:firstLine="709"/>
        <w:jc w:val="both"/>
        <w:rPr>
          <w:bCs/>
          <w:sz w:val="24"/>
          <w:szCs w:val="24"/>
        </w:rPr>
      </w:pPr>
      <w:r>
        <w:rPr>
          <w:bCs/>
          <w:sz w:val="24"/>
          <w:szCs w:val="24"/>
        </w:rPr>
        <w:t xml:space="preserve"> На содержание объектов гражданской обороны -</w:t>
      </w:r>
      <w:r>
        <w:rPr>
          <w:bCs/>
          <w:color w:val="000000" w:themeColor="text1"/>
          <w:sz w:val="24"/>
          <w:szCs w:val="24"/>
        </w:rPr>
        <w:t xml:space="preserve"> 149,98 </w:t>
      </w:r>
      <w:r>
        <w:rPr>
          <w:bCs/>
          <w:sz w:val="24"/>
          <w:szCs w:val="24"/>
        </w:rPr>
        <w:t>тыс.руб.;</w:t>
      </w:r>
    </w:p>
    <w:p>
      <w:pPr>
        <w:pStyle w:val="af8"/>
        <w:numPr>
          <w:ilvl w:val="0"/>
          <w:numId w:val="33"/>
        </w:numPr>
        <w:ind w:left="0" w:firstLine="709"/>
        <w:jc w:val="both"/>
        <w:rPr>
          <w:bCs/>
          <w:sz w:val="24"/>
          <w:szCs w:val="24"/>
        </w:rPr>
      </w:pPr>
      <w:r>
        <w:rPr>
          <w:bCs/>
          <w:sz w:val="24"/>
          <w:szCs w:val="24"/>
        </w:rPr>
        <w:t xml:space="preserve">Повышение безопасности дорожного движения на территории ЗАТО Северск - 11 920,47 тыс. руб., из них: </w:t>
      </w:r>
    </w:p>
    <w:p>
      <w:pPr>
        <w:pStyle w:val="af8"/>
        <w:numPr>
          <w:ilvl w:val="1"/>
          <w:numId w:val="33"/>
        </w:numPr>
        <w:tabs>
          <w:tab w:val="left" w:pos="993"/>
        </w:tabs>
        <w:ind w:left="0" w:firstLine="709"/>
        <w:jc w:val="both"/>
        <w:rPr>
          <w:bCs/>
          <w:sz w:val="24"/>
          <w:szCs w:val="24"/>
        </w:rPr>
      </w:pPr>
      <w:r>
        <w:rPr>
          <w:bCs/>
          <w:sz w:val="24"/>
          <w:szCs w:val="24"/>
        </w:rPr>
        <w:t xml:space="preserve"> На территории г.Северска - 9 609,75 тыс.руб., из них: </w:t>
      </w:r>
    </w:p>
    <w:p>
      <w:pPr>
        <w:pStyle w:val="af8"/>
        <w:numPr>
          <w:ilvl w:val="0"/>
          <w:numId w:val="15"/>
        </w:numPr>
        <w:tabs>
          <w:tab w:val="left" w:pos="993"/>
        </w:tabs>
        <w:ind w:left="1560" w:hanging="284"/>
        <w:jc w:val="both"/>
        <w:rPr>
          <w:bCs/>
          <w:sz w:val="24"/>
          <w:szCs w:val="24"/>
        </w:rPr>
      </w:pPr>
      <w:r>
        <w:rPr>
          <w:bCs/>
          <w:sz w:val="24"/>
          <w:szCs w:val="24"/>
        </w:rPr>
        <w:t>нанесение 327,37 км дорожной разметки  (5 933,07 тыс.руб.);</w:t>
      </w:r>
    </w:p>
    <w:p>
      <w:pPr>
        <w:pStyle w:val="af8"/>
        <w:numPr>
          <w:ilvl w:val="0"/>
          <w:numId w:val="15"/>
        </w:numPr>
        <w:tabs>
          <w:tab w:val="left" w:pos="993"/>
        </w:tabs>
        <w:ind w:left="1560" w:hanging="284"/>
        <w:jc w:val="both"/>
        <w:rPr>
          <w:bCs/>
          <w:sz w:val="24"/>
          <w:szCs w:val="24"/>
        </w:rPr>
      </w:pPr>
      <w:r>
        <w:rPr>
          <w:bCs/>
          <w:sz w:val="24"/>
          <w:szCs w:val="24"/>
        </w:rPr>
        <w:t>приобретение и установка 184 дорожных знаков (968,09 тыс.руб.);</w:t>
      </w:r>
    </w:p>
    <w:p>
      <w:pPr>
        <w:pStyle w:val="af8"/>
        <w:numPr>
          <w:ilvl w:val="0"/>
          <w:numId w:val="15"/>
        </w:numPr>
        <w:tabs>
          <w:tab w:val="left" w:pos="993"/>
        </w:tabs>
        <w:ind w:left="1560" w:hanging="284"/>
        <w:jc w:val="both"/>
        <w:rPr>
          <w:bCs/>
          <w:sz w:val="24"/>
          <w:szCs w:val="24"/>
        </w:rPr>
      </w:pPr>
      <w:r>
        <w:rPr>
          <w:sz w:val="24"/>
          <w:szCs w:val="24"/>
        </w:rPr>
        <w:t>расчистка 640 м</w:t>
      </w:r>
      <w:r>
        <w:rPr>
          <w:sz w:val="24"/>
          <w:szCs w:val="24"/>
          <w:vertAlign w:val="superscript"/>
        </w:rPr>
        <w:t>3</w:t>
      </w:r>
      <w:r>
        <w:rPr>
          <w:sz w:val="24"/>
          <w:szCs w:val="24"/>
        </w:rPr>
        <w:t xml:space="preserve"> придорожных полос (946,86 тыс.руб.);</w:t>
      </w:r>
    </w:p>
    <w:p>
      <w:pPr>
        <w:pStyle w:val="af8"/>
        <w:numPr>
          <w:ilvl w:val="0"/>
          <w:numId w:val="15"/>
        </w:numPr>
        <w:tabs>
          <w:tab w:val="left" w:pos="993"/>
        </w:tabs>
        <w:ind w:left="1560" w:hanging="284"/>
        <w:jc w:val="both"/>
        <w:rPr>
          <w:bCs/>
          <w:sz w:val="24"/>
          <w:szCs w:val="24"/>
        </w:rPr>
      </w:pPr>
      <w:r>
        <w:rPr>
          <w:bCs/>
          <w:sz w:val="24"/>
          <w:szCs w:val="24"/>
        </w:rPr>
        <w:t>обслуживание и содержание светофоров и дорожных знаков в рамках МЗ МБЭУ в сумме 1 761,73 тыс.руб.;</w:t>
      </w:r>
    </w:p>
    <w:p>
      <w:pPr>
        <w:pStyle w:val="af8"/>
        <w:numPr>
          <w:ilvl w:val="1"/>
          <w:numId w:val="33"/>
        </w:numPr>
        <w:tabs>
          <w:tab w:val="left" w:pos="993"/>
        </w:tabs>
        <w:ind w:left="0" w:firstLine="709"/>
        <w:jc w:val="both"/>
        <w:rPr>
          <w:bCs/>
          <w:sz w:val="24"/>
          <w:szCs w:val="24"/>
        </w:rPr>
      </w:pPr>
      <w:r>
        <w:rPr>
          <w:bCs/>
          <w:sz w:val="24"/>
          <w:szCs w:val="24"/>
        </w:rPr>
        <w:t xml:space="preserve"> На внегородских территориях - 1 837,96 тыс.руб., в том числе:</w:t>
      </w:r>
    </w:p>
    <w:p>
      <w:pPr>
        <w:pStyle w:val="af8"/>
        <w:numPr>
          <w:ilvl w:val="0"/>
          <w:numId w:val="23"/>
        </w:numPr>
        <w:tabs>
          <w:tab w:val="left" w:pos="993"/>
        </w:tabs>
        <w:ind w:left="1560" w:hanging="284"/>
        <w:jc w:val="both"/>
        <w:rPr>
          <w:bCs/>
          <w:sz w:val="24"/>
          <w:szCs w:val="24"/>
        </w:rPr>
      </w:pPr>
      <w:r>
        <w:rPr>
          <w:bCs/>
          <w:sz w:val="24"/>
          <w:szCs w:val="24"/>
        </w:rPr>
        <w:t>нанесение дорожной разметки (86,65 км) - 1 605,59</w:t>
      </w:r>
      <w:r>
        <w:rPr>
          <w:bCs/>
          <w:sz w:val="24"/>
          <w:szCs w:val="24"/>
          <w:lang w:val="en-US"/>
        </w:rPr>
        <w:t> </w:t>
      </w:r>
      <w:r>
        <w:rPr>
          <w:bCs/>
          <w:sz w:val="24"/>
          <w:szCs w:val="24"/>
        </w:rPr>
        <w:t xml:space="preserve">тыс.руб., </w:t>
      </w:r>
    </w:p>
    <w:p>
      <w:pPr>
        <w:pStyle w:val="af8"/>
        <w:numPr>
          <w:ilvl w:val="0"/>
          <w:numId w:val="23"/>
        </w:numPr>
        <w:tabs>
          <w:tab w:val="left" w:pos="993"/>
          <w:tab w:val="left" w:pos="1560"/>
        </w:tabs>
        <w:ind w:left="0" w:firstLine="1276"/>
        <w:jc w:val="both"/>
        <w:rPr>
          <w:bCs/>
          <w:sz w:val="24"/>
          <w:szCs w:val="24"/>
        </w:rPr>
      </w:pPr>
      <w:r>
        <w:rPr>
          <w:bCs/>
          <w:sz w:val="24"/>
          <w:szCs w:val="24"/>
        </w:rPr>
        <w:t>приобретение, замена и установка дорожных знаков - 232,37 тыс.руб.;</w:t>
      </w:r>
    </w:p>
    <w:p>
      <w:pPr>
        <w:pStyle w:val="af8"/>
        <w:numPr>
          <w:ilvl w:val="1"/>
          <w:numId w:val="33"/>
        </w:numPr>
        <w:tabs>
          <w:tab w:val="left" w:pos="993"/>
        </w:tabs>
        <w:ind w:left="0" w:firstLine="709"/>
        <w:jc w:val="both"/>
        <w:rPr>
          <w:bCs/>
          <w:sz w:val="24"/>
          <w:szCs w:val="24"/>
        </w:rPr>
      </w:pPr>
      <w:r>
        <w:rPr>
          <w:bCs/>
          <w:sz w:val="24"/>
          <w:szCs w:val="24"/>
        </w:rPr>
        <w:t xml:space="preserve"> На модернизацию автогородка в МБУ ДО «Центр «Поиск» (приобретение учебного оборудования и обновление дорожной разметки на площадке автогородка) - 472,76 тыс.руб.;</w:t>
      </w:r>
    </w:p>
    <w:p>
      <w:pPr>
        <w:pStyle w:val="af8"/>
        <w:numPr>
          <w:ilvl w:val="0"/>
          <w:numId w:val="33"/>
        </w:numPr>
        <w:ind w:left="0" w:firstLine="709"/>
        <w:jc w:val="both"/>
        <w:rPr>
          <w:bCs/>
          <w:sz w:val="24"/>
          <w:szCs w:val="24"/>
        </w:rPr>
      </w:pPr>
      <w:r>
        <w:rPr>
          <w:bCs/>
          <w:sz w:val="24"/>
          <w:szCs w:val="24"/>
        </w:rPr>
        <w:t>Обеспечение деятельности ответственного исполнителя программы - 11 287,85 тыс.руб.</w:t>
      </w:r>
    </w:p>
    <w:p>
      <w:pPr>
        <w:ind w:right="55" w:firstLine="708"/>
        <w:jc w:val="both"/>
        <w:rPr>
          <w:bCs/>
          <w:color w:val="FF0000"/>
          <w:sz w:val="24"/>
          <w:szCs w:val="24"/>
        </w:rPr>
      </w:pPr>
    </w:p>
    <w:p>
      <w:pPr>
        <w:ind w:right="55"/>
        <w:jc w:val="center"/>
        <w:rPr>
          <w:b/>
          <w:bCs/>
          <w:i/>
          <w:sz w:val="24"/>
          <w:szCs w:val="24"/>
        </w:rPr>
      </w:pPr>
      <w:r>
        <w:rPr>
          <w:b/>
          <w:bCs/>
          <w:i/>
          <w:sz w:val="24"/>
          <w:szCs w:val="24"/>
        </w:rPr>
        <w:t>4.1.5.12. Муниципальная программа</w:t>
      </w:r>
    </w:p>
    <w:p>
      <w:pPr>
        <w:spacing w:after="120"/>
        <w:ind w:right="57"/>
        <w:jc w:val="center"/>
        <w:rPr>
          <w:b/>
          <w:bCs/>
          <w:i/>
          <w:sz w:val="24"/>
          <w:szCs w:val="24"/>
        </w:rPr>
      </w:pPr>
      <w:r>
        <w:rPr>
          <w:b/>
          <w:bCs/>
          <w:i/>
          <w:sz w:val="24"/>
          <w:szCs w:val="24"/>
        </w:rPr>
        <w:t>«Охрана окружающей среды на территории ЗАТО Северск»</w:t>
      </w:r>
    </w:p>
    <w:p>
      <w:pPr>
        <w:pStyle w:val="ConsPlusNormal"/>
        <w:ind w:firstLine="709"/>
        <w:jc w:val="both"/>
        <w:rPr>
          <w:bCs/>
        </w:rPr>
      </w:pPr>
      <w:r>
        <w:rPr>
          <w:bCs/>
        </w:rPr>
        <w:t>Программа исполнена в общей сумме 6 920,97 тыс.руб. ответственным исполнителем Администрацией ЗАТО Северск в сумме 199,16 тыс.руб.</w:t>
      </w:r>
      <w:r>
        <w:t xml:space="preserve">, </w:t>
      </w:r>
      <w:r>
        <w:rPr>
          <w:bCs/>
        </w:rPr>
        <w:t xml:space="preserve">а также участниками программы </w:t>
      </w:r>
      <w:r>
        <w:t>УЖКХ ТиС</w:t>
      </w:r>
      <w:r>
        <w:rPr>
          <w:bCs/>
        </w:rPr>
        <w:t xml:space="preserve"> в сумме 6 262,76 тыс.руб., </w:t>
      </w:r>
      <w:r>
        <w:t>УВГТ</w:t>
      </w:r>
      <w:r>
        <w:rPr>
          <w:bCs/>
        </w:rPr>
        <w:t xml:space="preserve"> Администрации ЗАТО Северск в сумме 369,88 тыс.руб., Управлением образования Администрации ЗАТО Северск в сумме 89,17 тыс.руб.</w:t>
      </w:r>
    </w:p>
    <w:p>
      <w:pPr>
        <w:ind w:right="55" w:firstLine="708"/>
        <w:jc w:val="both"/>
        <w:rPr>
          <w:bCs/>
          <w:sz w:val="24"/>
          <w:szCs w:val="24"/>
        </w:rPr>
      </w:pPr>
      <w:r>
        <w:rPr>
          <w:bCs/>
          <w:sz w:val="24"/>
          <w:szCs w:val="24"/>
        </w:rPr>
        <w:t>Бюджетные ассигнования направлены на:</w:t>
      </w:r>
    </w:p>
    <w:p>
      <w:pPr>
        <w:autoSpaceDE w:val="0"/>
        <w:autoSpaceDN w:val="0"/>
        <w:adjustRightInd w:val="0"/>
        <w:ind w:firstLine="709"/>
        <w:jc w:val="both"/>
        <w:outlineLvl w:val="0"/>
        <w:rPr>
          <w:sz w:val="24"/>
          <w:szCs w:val="24"/>
        </w:rPr>
      </w:pPr>
      <w:r>
        <w:rPr>
          <w:sz w:val="24"/>
          <w:szCs w:val="24"/>
        </w:rPr>
        <w:t>1. Ликвидацию несанкционированных свалок - 5 203,46 тыс.руб., объем вывезенных отходов на полигон ТБО составил 3 883 м</w:t>
      </w:r>
      <w:r>
        <w:rPr>
          <w:sz w:val="24"/>
          <w:szCs w:val="24"/>
          <w:vertAlign w:val="superscript"/>
        </w:rPr>
        <w:t xml:space="preserve">3 </w:t>
      </w:r>
      <w:r>
        <w:rPr>
          <w:sz w:val="24"/>
          <w:szCs w:val="24"/>
        </w:rPr>
        <w:t>(исполнитель - УЖКХ ТиС);</w:t>
      </w:r>
    </w:p>
    <w:p>
      <w:pPr>
        <w:autoSpaceDE w:val="0"/>
        <w:autoSpaceDN w:val="0"/>
        <w:adjustRightInd w:val="0"/>
        <w:ind w:firstLine="709"/>
        <w:jc w:val="both"/>
        <w:outlineLvl w:val="0"/>
        <w:rPr>
          <w:sz w:val="24"/>
          <w:szCs w:val="24"/>
        </w:rPr>
      </w:pPr>
      <w:r>
        <w:rPr>
          <w:sz w:val="24"/>
          <w:szCs w:val="24"/>
        </w:rPr>
        <w:t>2. Приобретение 30 шт. урн и 116 шт. контейнеров для ТКО и обустройство 1 площадки ТКО наземного типа - 1 059,30 тыс.руб. (исполнитель - УЖКХ ТиС);</w:t>
      </w:r>
    </w:p>
    <w:p>
      <w:pPr>
        <w:autoSpaceDE w:val="0"/>
        <w:autoSpaceDN w:val="0"/>
        <w:adjustRightInd w:val="0"/>
        <w:ind w:firstLine="709"/>
        <w:jc w:val="both"/>
        <w:outlineLvl w:val="0"/>
        <w:rPr>
          <w:sz w:val="24"/>
          <w:szCs w:val="24"/>
        </w:rPr>
      </w:pPr>
      <w:r>
        <w:rPr>
          <w:sz w:val="24"/>
          <w:szCs w:val="24"/>
        </w:rPr>
        <w:t xml:space="preserve">3. Экологическое воспитание, образование и информирование населения - 130,40 тыс.руб., в том числе: </w:t>
      </w:r>
    </w:p>
    <w:p>
      <w:pPr>
        <w:pStyle w:val="af8"/>
        <w:numPr>
          <w:ilvl w:val="1"/>
          <w:numId w:val="39"/>
        </w:numPr>
        <w:tabs>
          <w:tab w:val="left" w:pos="851"/>
        </w:tabs>
        <w:autoSpaceDE w:val="0"/>
        <w:autoSpaceDN w:val="0"/>
        <w:adjustRightInd w:val="0"/>
        <w:ind w:left="0" w:firstLine="709"/>
        <w:jc w:val="both"/>
        <w:outlineLvl w:val="0"/>
        <w:rPr>
          <w:sz w:val="24"/>
          <w:szCs w:val="24"/>
        </w:rPr>
      </w:pPr>
      <w:r>
        <w:rPr>
          <w:sz w:val="24"/>
          <w:szCs w:val="24"/>
        </w:rPr>
        <w:t>На сумму 89,17 тыс.руб. (исполнитель – УО) в рамках экологического воспитания и образования школьников и дошкольников проведено 13 общегородских мероприятий с участием 1 336 учащихся;</w:t>
      </w:r>
    </w:p>
    <w:p>
      <w:pPr>
        <w:pStyle w:val="af8"/>
        <w:numPr>
          <w:ilvl w:val="1"/>
          <w:numId w:val="39"/>
        </w:numPr>
        <w:tabs>
          <w:tab w:val="left" w:pos="851"/>
        </w:tabs>
        <w:autoSpaceDE w:val="0"/>
        <w:autoSpaceDN w:val="0"/>
        <w:adjustRightInd w:val="0"/>
        <w:ind w:left="0" w:firstLine="709"/>
        <w:jc w:val="both"/>
        <w:outlineLvl w:val="0"/>
        <w:rPr>
          <w:sz w:val="24"/>
          <w:szCs w:val="24"/>
        </w:rPr>
      </w:pPr>
      <w:r>
        <w:rPr>
          <w:sz w:val="24"/>
          <w:szCs w:val="24"/>
        </w:rPr>
        <w:lastRenderedPageBreak/>
        <w:t xml:space="preserve"> На сумму 28,32 тыс.руб. (исполнитель – Администрация ЗАТО Северск) издано 57 экземпляров ежегодного обзора «Состояние окружающей природной среды на территории ЗАТО Северск»;</w:t>
      </w:r>
    </w:p>
    <w:p>
      <w:pPr>
        <w:pStyle w:val="af8"/>
        <w:numPr>
          <w:ilvl w:val="1"/>
          <w:numId w:val="39"/>
        </w:numPr>
        <w:tabs>
          <w:tab w:val="left" w:pos="851"/>
        </w:tabs>
        <w:autoSpaceDE w:val="0"/>
        <w:autoSpaceDN w:val="0"/>
        <w:adjustRightInd w:val="0"/>
        <w:ind w:left="0" w:firstLine="709"/>
        <w:jc w:val="both"/>
        <w:outlineLvl w:val="0"/>
        <w:rPr>
          <w:sz w:val="24"/>
          <w:szCs w:val="24"/>
        </w:rPr>
      </w:pPr>
      <w:r>
        <w:rPr>
          <w:sz w:val="24"/>
          <w:szCs w:val="24"/>
        </w:rPr>
        <w:t xml:space="preserve"> На сумму 12,91 тыс.руб. издано 2 913 экземпляров листовок, посвященных вопросам экологического воспитания;</w:t>
      </w:r>
    </w:p>
    <w:p>
      <w:pPr>
        <w:tabs>
          <w:tab w:val="left" w:pos="851"/>
        </w:tabs>
        <w:autoSpaceDE w:val="0"/>
        <w:autoSpaceDN w:val="0"/>
        <w:adjustRightInd w:val="0"/>
        <w:ind w:firstLine="709"/>
        <w:jc w:val="both"/>
        <w:outlineLvl w:val="0"/>
        <w:rPr>
          <w:sz w:val="24"/>
          <w:szCs w:val="24"/>
        </w:rPr>
      </w:pPr>
      <w:r>
        <w:rPr>
          <w:sz w:val="24"/>
          <w:szCs w:val="24"/>
        </w:rPr>
        <w:t>4. Обследование состояния природных объектов ООПТ - 157,93 тыс. руб. (исполнитель – Администрация ЗАТО Северск): проведены гидрологические исследования водной экосистемы ООПТ и промерные работы  на озерах;</w:t>
      </w:r>
    </w:p>
    <w:p>
      <w:pPr>
        <w:pStyle w:val="af8"/>
        <w:tabs>
          <w:tab w:val="left" w:pos="0"/>
          <w:tab w:val="left" w:pos="851"/>
          <w:tab w:val="left" w:pos="1418"/>
        </w:tabs>
        <w:autoSpaceDE w:val="0"/>
        <w:autoSpaceDN w:val="0"/>
        <w:adjustRightInd w:val="0"/>
        <w:ind w:left="0" w:firstLine="709"/>
        <w:jc w:val="both"/>
        <w:outlineLvl w:val="0"/>
        <w:rPr>
          <w:sz w:val="24"/>
          <w:szCs w:val="24"/>
        </w:rPr>
      </w:pPr>
      <w:r>
        <w:rPr>
          <w:sz w:val="24"/>
          <w:szCs w:val="24"/>
        </w:rPr>
        <w:t>5. Содержание рекреационной зоны ООПТ - 362,58 тыс.руб. (исполнитель – УВГТ), в том числе:</w:t>
      </w:r>
    </w:p>
    <w:p>
      <w:pPr>
        <w:pStyle w:val="af8"/>
        <w:numPr>
          <w:ilvl w:val="1"/>
          <w:numId w:val="33"/>
        </w:numPr>
        <w:tabs>
          <w:tab w:val="left" w:pos="0"/>
          <w:tab w:val="left" w:pos="851"/>
        </w:tabs>
        <w:autoSpaceDE w:val="0"/>
        <w:autoSpaceDN w:val="0"/>
        <w:adjustRightInd w:val="0"/>
        <w:ind w:left="0" w:firstLine="709"/>
        <w:jc w:val="both"/>
        <w:outlineLvl w:val="0"/>
        <w:rPr>
          <w:sz w:val="24"/>
          <w:szCs w:val="24"/>
        </w:rPr>
      </w:pPr>
      <w:r>
        <w:rPr>
          <w:sz w:val="24"/>
          <w:szCs w:val="24"/>
        </w:rPr>
        <w:t>На сумму  346,98 тыс.руб. производилась регулярная санитарная уборка пляжей озер в теплый период времени года (площадь уборки 15,5 га, вывезено 510,90 м</w:t>
      </w:r>
      <w:r>
        <w:rPr>
          <w:sz w:val="24"/>
          <w:szCs w:val="24"/>
          <w:vertAlign w:val="superscript"/>
        </w:rPr>
        <w:t xml:space="preserve">3 </w:t>
      </w:r>
      <w:r>
        <w:rPr>
          <w:sz w:val="24"/>
          <w:szCs w:val="24"/>
        </w:rPr>
        <w:t>отходов);</w:t>
      </w:r>
    </w:p>
    <w:p>
      <w:pPr>
        <w:pStyle w:val="af8"/>
        <w:numPr>
          <w:ilvl w:val="1"/>
          <w:numId w:val="33"/>
        </w:numPr>
        <w:tabs>
          <w:tab w:val="left" w:pos="0"/>
          <w:tab w:val="left" w:pos="851"/>
        </w:tabs>
        <w:autoSpaceDE w:val="0"/>
        <w:autoSpaceDN w:val="0"/>
        <w:adjustRightInd w:val="0"/>
        <w:ind w:left="0" w:firstLine="709"/>
        <w:jc w:val="both"/>
        <w:outlineLvl w:val="0"/>
        <w:rPr>
          <w:sz w:val="24"/>
          <w:szCs w:val="24"/>
        </w:rPr>
      </w:pPr>
      <w:r>
        <w:rPr>
          <w:sz w:val="24"/>
          <w:szCs w:val="24"/>
        </w:rPr>
        <w:t>На сумму 15,60 тыс.руб. осуществлялась покраска 1</w:t>
      </w:r>
      <w:r>
        <w:rPr>
          <w:sz w:val="24"/>
          <w:szCs w:val="24"/>
          <w:shd w:val="clear" w:color="auto" w:fill="FFFFFF"/>
        </w:rPr>
        <w:t>6 контейнеров для ТКО, 2 грибка, 2 кабинки для переодевания, 6 туалетов);</w:t>
      </w:r>
    </w:p>
    <w:p>
      <w:pPr>
        <w:pStyle w:val="af8"/>
        <w:numPr>
          <w:ilvl w:val="0"/>
          <w:numId w:val="33"/>
        </w:numPr>
        <w:tabs>
          <w:tab w:val="left" w:pos="0"/>
          <w:tab w:val="left" w:pos="851"/>
        </w:tabs>
        <w:autoSpaceDE w:val="0"/>
        <w:autoSpaceDN w:val="0"/>
        <w:adjustRightInd w:val="0"/>
        <w:ind w:left="0" w:firstLine="709"/>
        <w:jc w:val="both"/>
        <w:outlineLvl w:val="0"/>
        <w:rPr>
          <w:sz w:val="24"/>
          <w:szCs w:val="24"/>
        </w:rPr>
      </w:pPr>
      <w:r>
        <w:rPr>
          <w:sz w:val="24"/>
          <w:szCs w:val="24"/>
        </w:rPr>
        <w:t>Организацию охраны ООПТ и повышение информативности населения о правилах поведения на территории ООПТ - 7,30 тыс. руб.: осуществлено восстановление 2 информационных аншлагов по периметру ООПТ (исполнитель - УВГТ).</w:t>
      </w:r>
    </w:p>
    <w:p>
      <w:pPr>
        <w:ind w:right="55"/>
        <w:jc w:val="both"/>
        <w:rPr>
          <w:bCs/>
          <w:sz w:val="24"/>
          <w:szCs w:val="24"/>
        </w:rPr>
      </w:pPr>
    </w:p>
    <w:p>
      <w:pPr>
        <w:ind w:right="55"/>
        <w:jc w:val="center"/>
        <w:rPr>
          <w:b/>
          <w:bCs/>
          <w:i/>
          <w:sz w:val="24"/>
          <w:szCs w:val="24"/>
        </w:rPr>
      </w:pPr>
      <w:r>
        <w:rPr>
          <w:b/>
          <w:bCs/>
          <w:i/>
          <w:sz w:val="24"/>
          <w:szCs w:val="24"/>
        </w:rPr>
        <w:t>4.1.5.13.</w:t>
      </w:r>
      <w:r>
        <w:rPr>
          <w:b/>
          <w:i/>
          <w:sz w:val="24"/>
          <w:szCs w:val="24"/>
        </w:rPr>
        <w:t> Муниципальная программа</w:t>
      </w:r>
    </w:p>
    <w:p>
      <w:pPr>
        <w:tabs>
          <w:tab w:val="left" w:pos="1701"/>
        </w:tabs>
        <w:spacing w:after="120"/>
        <w:ind w:right="57" w:firstLine="709"/>
        <w:jc w:val="center"/>
        <w:rPr>
          <w:b/>
          <w:bCs/>
          <w:i/>
          <w:sz w:val="24"/>
          <w:szCs w:val="24"/>
        </w:rPr>
      </w:pPr>
      <w:r>
        <w:rPr>
          <w:b/>
          <w:bCs/>
          <w:i/>
          <w:sz w:val="24"/>
          <w:szCs w:val="24"/>
        </w:rPr>
        <w:t>«Эффективное управление муниципальными финансами ЗАТО Северск»</w:t>
      </w:r>
    </w:p>
    <w:p>
      <w:pPr>
        <w:ind w:right="55" w:firstLine="708"/>
        <w:jc w:val="both"/>
        <w:rPr>
          <w:bCs/>
          <w:sz w:val="24"/>
          <w:szCs w:val="24"/>
        </w:rPr>
      </w:pPr>
      <w:r>
        <w:rPr>
          <w:bCs/>
          <w:sz w:val="24"/>
          <w:szCs w:val="24"/>
        </w:rPr>
        <w:t>Программа исполнена ответственным исполнителем Финансовым управлением Администрации ЗАТО Северск в сумме 38 770,70 тыс. 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Сопровождение и модернизацию программного обеспечения, используемого в процессе планирования и исполнения бюджета ЗАТО Северск, - 972,17 тыс. руб.;</w:t>
      </w:r>
    </w:p>
    <w:p>
      <w:pPr>
        <w:pStyle w:val="ConsPlusNormal"/>
        <w:jc w:val="both"/>
        <w:rPr>
          <w:rFonts w:eastAsiaTheme="minorHAnsi"/>
          <w:lang w:eastAsia="en-US"/>
        </w:rPr>
      </w:pPr>
      <w:r>
        <w:rPr>
          <w:bCs/>
        </w:rPr>
        <w:tab/>
        <w:t>2. Обслуживание муниципального долга - 11 354,17 тыс. руб.</w:t>
      </w:r>
      <w:r>
        <w:t>;</w:t>
      </w:r>
    </w:p>
    <w:p>
      <w:pPr>
        <w:ind w:right="55" w:firstLine="708"/>
        <w:jc w:val="both"/>
        <w:rPr>
          <w:bCs/>
          <w:sz w:val="24"/>
          <w:szCs w:val="24"/>
        </w:rPr>
      </w:pPr>
      <w:r>
        <w:rPr>
          <w:bCs/>
          <w:sz w:val="24"/>
          <w:szCs w:val="24"/>
        </w:rPr>
        <w:t>3. Обеспечение деятельности ответственного исполнителя программы в сумме 26 444,36 тыс. руб.</w:t>
      </w:r>
    </w:p>
    <w:p>
      <w:pPr>
        <w:ind w:right="55"/>
        <w:jc w:val="center"/>
        <w:rPr>
          <w:b/>
          <w:bCs/>
          <w:i/>
          <w:sz w:val="24"/>
          <w:szCs w:val="24"/>
        </w:rPr>
      </w:pPr>
    </w:p>
    <w:p>
      <w:pPr>
        <w:ind w:right="55"/>
        <w:jc w:val="center"/>
        <w:rPr>
          <w:b/>
          <w:bCs/>
          <w:i/>
          <w:sz w:val="24"/>
          <w:szCs w:val="24"/>
        </w:rPr>
      </w:pPr>
      <w:r>
        <w:rPr>
          <w:b/>
          <w:bCs/>
          <w:i/>
          <w:sz w:val="24"/>
          <w:szCs w:val="24"/>
        </w:rPr>
        <w:t>4.1.5.14. Муниципальная программа</w:t>
      </w:r>
    </w:p>
    <w:p>
      <w:pPr>
        <w:spacing w:after="120"/>
        <w:ind w:right="57"/>
        <w:jc w:val="center"/>
        <w:rPr>
          <w:b/>
          <w:bCs/>
          <w:i/>
          <w:sz w:val="24"/>
          <w:szCs w:val="24"/>
        </w:rPr>
      </w:pPr>
      <w:r>
        <w:rPr>
          <w:b/>
          <w:bCs/>
          <w:i/>
          <w:sz w:val="24"/>
          <w:szCs w:val="24"/>
        </w:rPr>
        <w:t>«Эффективное управление муниципальным имуществом ЗАТО Северск»</w:t>
      </w:r>
    </w:p>
    <w:p>
      <w:pPr>
        <w:ind w:right="55" w:firstLine="708"/>
        <w:jc w:val="both"/>
        <w:rPr>
          <w:bCs/>
          <w:sz w:val="24"/>
          <w:szCs w:val="24"/>
        </w:rPr>
      </w:pPr>
      <w:r>
        <w:rPr>
          <w:bCs/>
          <w:sz w:val="24"/>
          <w:szCs w:val="24"/>
        </w:rPr>
        <w:t>Программа исполнена в общей сумме 75 909,74 тыс.руб., в том числе ответственным исполнителем УИО в сумме 75 809,74 тыс.руб., а также участником программы УКС в сумме 100,00 тыс.руб.</w:t>
      </w:r>
    </w:p>
    <w:p>
      <w:pPr>
        <w:ind w:right="55" w:firstLine="708"/>
        <w:jc w:val="both"/>
        <w:rPr>
          <w:bCs/>
          <w:sz w:val="24"/>
          <w:szCs w:val="24"/>
        </w:rPr>
      </w:pPr>
      <w:r>
        <w:rPr>
          <w:bCs/>
          <w:sz w:val="24"/>
          <w:szCs w:val="24"/>
        </w:rPr>
        <w:t>Бюджетные ассигнования направлены на:</w:t>
      </w:r>
    </w:p>
    <w:p>
      <w:pPr>
        <w:pStyle w:val="af8"/>
        <w:numPr>
          <w:ilvl w:val="0"/>
          <w:numId w:val="21"/>
        </w:numPr>
        <w:ind w:left="0" w:firstLine="709"/>
        <w:jc w:val="both"/>
        <w:rPr>
          <w:sz w:val="24"/>
          <w:szCs w:val="24"/>
        </w:rPr>
      </w:pPr>
      <w:r>
        <w:rPr>
          <w:sz w:val="24"/>
          <w:szCs w:val="24"/>
        </w:rPr>
        <w:t xml:space="preserve">Содержание, обслуживание и уплату взносов на капитальный ремонт </w:t>
      </w:r>
      <w:r>
        <w:rPr>
          <w:sz w:val="24"/>
          <w:szCs w:val="24"/>
        </w:rPr>
        <w:br/>
        <w:t>по помещениям, расположенным в многоквартирных домах - 15 271,07 тыс.руб.;</w:t>
      </w:r>
    </w:p>
    <w:p>
      <w:pPr>
        <w:pStyle w:val="af8"/>
        <w:numPr>
          <w:ilvl w:val="0"/>
          <w:numId w:val="21"/>
        </w:numPr>
        <w:ind w:left="0" w:firstLine="709"/>
        <w:jc w:val="both"/>
        <w:rPr>
          <w:sz w:val="24"/>
          <w:szCs w:val="24"/>
        </w:rPr>
      </w:pPr>
      <w:r>
        <w:rPr>
          <w:sz w:val="24"/>
          <w:szCs w:val="24"/>
        </w:rPr>
        <w:t>Содержание МКУ «Лесничество ЗАТО Северск» - 13 389,95 тыс.руб.;</w:t>
      </w:r>
    </w:p>
    <w:p>
      <w:pPr>
        <w:pStyle w:val="af8"/>
        <w:widowControl w:val="0"/>
        <w:numPr>
          <w:ilvl w:val="0"/>
          <w:numId w:val="21"/>
        </w:numPr>
        <w:ind w:left="0" w:firstLine="709"/>
        <w:jc w:val="both"/>
        <w:rPr>
          <w:sz w:val="24"/>
          <w:szCs w:val="24"/>
        </w:rPr>
      </w:pPr>
      <w:r>
        <w:rPr>
          <w:bCs/>
          <w:sz w:val="24"/>
          <w:szCs w:val="24"/>
        </w:rPr>
        <w:t xml:space="preserve">Организацию лесохозяйственных мероприятий - 1 278,95 тыс.руб. Площадь лесных участков, на которых проведены лесохозяйственные работы, составила 203,96 га, из них лесопатологическое обследование – 54,1 га, </w:t>
      </w:r>
      <w:r>
        <w:rPr>
          <w:sz w:val="24"/>
          <w:szCs w:val="24"/>
        </w:rPr>
        <w:t>расчистка участков вдоль автомобильных дорог – 136,1 га.</w:t>
      </w:r>
      <w:r>
        <w:rPr>
          <w:bCs/>
          <w:sz w:val="24"/>
          <w:szCs w:val="24"/>
        </w:rPr>
        <w:t xml:space="preserve">; высажено 130 саженцев кедра на территории города; </w:t>
      </w:r>
    </w:p>
    <w:p>
      <w:pPr>
        <w:pStyle w:val="ConsPlusNormal"/>
        <w:numPr>
          <w:ilvl w:val="0"/>
          <w:numId w:val="21"/>
        </w:numPr>
        <w:ind w:left="0" w:firstLine="709"/>
        <w:jc w:val="both"/>
      </w:pPr>
      <w:r>
        <w:t>Капитальный ремонт кровли здания по пр.Коммунистический, 51 - 100,00 тыс.руб.;</w:t>
      </w:r>
    </w:p>
    <w:p>
      <w:pPr>
        <w:pStyle w:val="af8"/>
        <w:numPr>
          <w:ilvl w:val="0"/>
          <w:numId w:val="21"/>
        </w:numPr>
        <w:ind w:left="0" w:firstLine="709"/>
        <w:jc w:val="both"/>
        <w:rPr>
          <w:sz w:val="24"/>
          <w:szCs w:val="24"/>
        </w:rPr>
      </w:pPr>
      <w:r>
        <w:rPr>
          <w:sz w:val="24"/>
          <w:szCs w:val="24"/>
        </w:rPr>
        <w:t xml:space="preserve"> Проведение технической инвентаризация недвижимого имущества, государственный кадастровый учет и государственную регистрацию права собственности (76 объектов), проведение оценки рыночной стоимости имущества ЗАТО Северск (46 объектов) - 913,12 тыс.руб.; </w:t>
      </w:r>
    </w:p>
    <w:p>
      <w:pPr>
        <w:pStyle w:val="af8"/>
        <w:numPr>
          <w:ilvl w:val="0"/>
          <w:numId w:val="21"/>
        </w:numPr>
        <w:ind w:left="0" w:firstLine="709"/>
        <w:jc w:val="both"/>
        <w:rPr>
          <w:sz w:val="24"/>
          <w:szCs w:val="24"/>
        </w:rPr>
      </w:pPr>
      <w:r>
        <w:rPr>
          <w:sz w:val="24"/>
          <w:szCs w:val="24"/>
        </w:rPr>
        <w:t>Выполнение кадастровых работ по межеванию 29 земельных участков,  находящихся в муниципальной собственности - 184,67 тыс. руб.;</w:t>
      </w:r>
    </w:p>
    <w:p>
      <w:pPr>
        <w:pStyle w:val="af8"/>
        <w:numPr>
          <w:ilvl w:val="0"/>
          <w:numId w:val="21"/>
        </w:numPr>
        <w:ind w:left="0" w:firstLine="709"/>
        <w:jc w:val="both"/>
        <w:rPr>
          <w:sz w:val="24"/>
          <w:szCs w:val="24"/>
        </w:rPr>
      </w:pPr>
      <w:r>
        <w:rPr>
          <w:bCs/>
          <w:sz w:val="24"/>
          <w:szCs w:val="24"/>
        </w:rPr>
        <w:t>Обеспечение деятельности ответственного исполнителя программы - 44 771,98 </w:t>
      </w:r>
      <w:r>
        <w:rPr>
          <w:sz w:val="24"/>
          <w:szCs w:val="24"/>
        </w:rPr>
        <w:t>тыс.руб.</w:t>
      </w:r>
    </w:p>
    <w:p>
      <w:pPr>
        <w:ind w:right="57" w:firstLine="709"/>
        <w:jc w:val="center"/>
        <w:rPr>
          <w:bCs/>
          <w:sz w:val="24"/>
          <w:szCs w:val="24"/>
          <w:highlight w:val="yellow"/>
        </w:rPr>
      </w:pPr>
    </w:p>
    <w:p>
      <w:pPr>
        <w:ind w:right="55"/>
        <w:jc w:val="center"/>
        <w:rPr>
          <w:b/>
          <w:bCs/>
          <w:i/>
          <w:sz w:val="24"/>
          <w:szCs w:val="24"/>
        </w:rPr>
      </w:pPr>
      <w:r>
        <w:rPr>
          <w:b/>
          <w:bCs/>
          <w:i/>
          <w:sz w:val="24"/>
          <w:szCs w:val="24"/>
        </w:rPr>
        <w:t>4.1.5.15. Муниципальная программа</w:t>
      </w:r>
    </w:p>
    <w:p>
      <w:pPr>
        <w:spacing w:after="120"/>
        <w:ind w:right="57" w:firstLine="709"/>
        <w:jc w:val="center"/>
        <w:rPr>
          <w:b/>
          <w:bCs/>
          <w:i/>
          <w:sz w:val="24"/>
          <w:szCs w:val="24"/>
        </w:rPr>
      </w:pPr>
      <w:r>
        <w:rPr>
          <w:b/>
          <w:bCs/>
          <w:i/>
          <w:sz w:val="24"/>
          <w:szCs w:val="24"/>
        </w:rPr>
        <w:t>«Профилактика алкоголизма, наркомании, токсикомании и ВИЧ-инфекции»</w:t>
      </w:r>
    </w:p>
    <w:p>
      <w:pPr>
        <w:ind w:right="55" w:firstLine="708"/>
        <w:jc w:val="both"/>
        <w:rPr>
          <w:bCs/>
          <w:sz w:val="24"/>
          <w:szCs w:val="24"/>
        </w:rPr>
      </w:pPr>
      <w:r>
        <w:rPr>
          <w:bCs/>
          <w:sz w:val="24"/>
          <w:szCs w:val="24"/>
        </w:rPr>
        <w:t>Программа исполнена УО в сумме 953,53 тыс.руб. Ответственный исполнитель Администрация ЗАТО Северск.</w:t>
      </w:r>
    </w:p>
    <w:p>
      <w:pPr>
        <w:ind w:right="55" w:firstLine="708"/>
        <w:jc w:val="both"/>
        <w:rPr>
          <w:bCs/>
          <w:sz w:val="24"/>
          <w:szCs w:val="24"/>
        </w:rPr>
      </w:pPr>
      <w:r>
        <w:rPr>
          <w:bCs/>
          <w:sz w:val="24"/>
          <w:szCs w:val="24"/>
        </w:rPr>
        <w:t>Бюджетные ассигнования направлены на:</w:t>
      </w:r>
    </w:p>
    <w:p>
      <w:pPr>
        <w:ind w:right="55" w:firstLine="708"/>
        <w:jc w:val="both"/>
        <w:rPr>
          <w:sz w:val="24"/>
          <w:szCs w:val="24"/>
        </w:rPr>
      </w:pPr>
      <w:r>
        <w:rPr>
          <w:bCs/>
          <w:sz w:val="24"/>
          <w:szCs w:val="24"/>
        </w:rPr>
        <w:t>1. С</w:t>
      </w:r>
      <w:r>
        <w:rPr>
          <w:sz w:val="24"/>
          <w:szCs w:val="24"/>
        </w:rPr>
        <w:t>овершенствование форм и методов профилактики злоупотребления спиртными напитками и психоактивными веществами - 753,49 тыс.руб.</w:t>
      </w:r>
      <w:r>
        <w:t xml:space="preserve"> К</w:t>
      </w:r>
      <w:r>
        <w:rPr>
          <w:sz w:val="24"/>
          <w:szCs w:val="24"/>
        </w:rPr>
        <w:t>оличество обучающихся, родителей обучающихся и волонтеров, привлеченных к профилактическим мероприятиям составило 16 009 чел.;</w:t>
      </w:r>
    </w:p>
    <w:p>
      <w:pPr>
        <w:ind w:right="55" w:firstLine="708"/>
        <w:jc w:val="both"/>
        <w:rPr>
          <w:sz w:val="24"/>
          <w:szCs w:val="24"/>
        </w:rPr>
      </w:pPr>
      <w:r>
        <w:rPr>
          <w:sz w:val="24"/>
          <w:szCs w:val="24"/>
        </w:rPr>
        <w:t>2. Информационное обеспечение в профилактике злоупотребления спиртными напитками, психотропными веществами и распространения ВИЧ-инфекции - 200,04 тыс.руб. В средствах массовой информации публиковались тематические статьи и рубрики, размещались ролики антинаркотической направленности в количестве 500 ед.</w:t>
      </w:r>
    </w:p>
    <w:p>
      <w:pPr>
        <w:ind w:right="55" w:firstLine="708"/>
        <w:jc w:val="center"/>
        <w:rPr>
          <w:bCs/>
          <w:color w:val="FF0000"/>
          <w:sz w:val="24"/>
          <w:szCs w:val="24"/>
          <w:highlight w:val="yellow"/>
        </w:rPr>
      </w:pPr>
    </w:p>
    <w:p>
      <w:pPr>
        <w:ind w:right="55"/>
        <w:jc w:val="center"/>
        <w:rPr>
          <w:b/>
          <w:bCs/>
          <w:i/>
          <w:sz w:val="24"/>
          <w:szCs w:val="24"/>
        </w:rPr>
      </w:pPr>
      <w:r>
        <w:rPr>
          <w:b/>
          <w:bCs/>
          <w:i/>
          <w:sz w:val="24"/>
          <w:szCs w:val="24"/>
        </w:rPr>
        <w:t>4.1.5.16. Муниципальная программа</w:t>
      </w:r>
    </w:p>
    <w:p>
      <w:pPr>
        <w:spacing w:after="120"/>
        <w:ind w:right="57"/>
        <w:jc w:val="center"/>
        <w:rPr>
          <w:b/>
          <w:bCs/>
          <w:i/>
          <w:sz w:val="24"/>
          <w:szCs w:val="24"/>
        </w:rPr>
      </w:pPr>
      <w:r>
        <w:rPr>
          <w:b/>
          <w:bCs/>
          <w:i/>
          <w:sz w:val="24"/>
          <w:szCs w:val="24"/>
        </w:rPr>
        <w:t>«Формирование современной городской среды ЗАТО Северск»</w:t>
      </w:r>
    </w:p>
    <w:p>
      <w:pPr>
        <w:ind w:right="55" w:firstLine="708"/>
        <w:jc w:val="both"/>
        <w:rPr>
          <w:bCs/>
          <w:sz w:val="24"/>
          <w:szCs w:val="24"/>
        </w:rPr>
      </w:pPr>
      <w:r>
        <w:rPr>
          <w:bCs/>
          <w:sz w:val="24"/>
          <w:szCs w:val="24"/>
        </w:rPr>
        <w:t>Программа исполнена в сумме 96 500,63 тыс.руб. Бюджетные ассигнования направлены на:</w:t>
      </w:r>
    </w:p>
    <w:p>
      <w:pPr>
        <w:ind w:firstLine="709"/>
        <w:jc w:val="both"/>
        <w:rPr>
          <w:sz w:val="24"/>
          <w:szCs w:val="24"/>
        </w:rPr>
      </w:pPr>
      <w:r>
        <w:rPr>
          <w:bCs/>
          <w:sz w:val="24"/>
          <w:szCs w:val="24"/>
        </w:rPr>
        <w:t>1. Благоустройство общественных пространств - 89 262,87 тыс.руб.</w:t>
      </w:r>
      <w:r>
        <w:rPr>
          <w:sz w:val="24"/>
          <w:szCs w:val="24"/>
        </w:rPr>
        <w:t xml:space="preserve"> Выполнены: ремонт асфальтобетонного покрытия в Природном парке г.Северска; благоустройство пешеходной зоны по просп.Коммунистическому (участок от ул.Комсомольской до пл.Ленина); благоустройство общественной территории пешеходной зоны перед жилым домом № 116 по просп.Коммунистическому; благоустройство территории прилегающей к памятнику создателям атомной промышленности; благоустройство территории по ул.Чайковского в микрорайоне Иглаково в г.Северске;</w:t>
      </w:r>
    </w:p>
    <w:p>
      <w:pPr>
        <w:ind w:firstLine="709"/>
        <w:jc w:val="both"/>
        <w:rPr>
          <w:sz w:val="24"/>
          <w:szCs w:val="24"/>
        </w:rPr>
      </w:pPr>
      <w:r>
        <w:rPr>
          <w:sz w:val="24"/>
          <w:szCs w:val="24"/>
        </w:rPr>
        <w:t>2. Благоустройство дворовых территорий - 4 764,59 тыс.руб. на выполнение работ</w:t>
      </w:r>
      <w:r>
        <w:rPr>
          <w:bCs/>
          <w:sz w:val="24"/>
          <w:szCs w:val="24"/>
        </w:rPr>
        <w:t xml:space="preserve"> по адресу: пос.Самусь, ул.Пекарского, 29</w:t>
      </w:r>
      <w:r>
        <w:rPr>
          <w:sz w:val="24"/>
          <w:szCs w:val="24"/>
        </w:rPr>
        <w:t xml:space="preserve"> (ремонт асфальтобетонного покрытия внутриквартального проезда; благоустройство территории, приобретение и монтаж спортивного оборудования, детских игровых комплексов, скамеек и устройство металлического ограждения детской площадки)</w:t>
      </w:r>
      <w:r>
        <w:rPr>
          <w:bCs/>
          <w:sz w:val="24"/>
          <w:szCs w:val="24"/>
        </w:rPr>
        <w:t>;</w:t>
      </w:r>
    </w:p>
    <w:p>
      <w:pPr>
        <w:ind w:firstLine="709"/>
        <w:jc w:val="both"/>
        <w:rPr>
          <w:sz w:val="24"/>
          <w:szCs w:val="24"/>
          <w:highlight w:val="yellow"/>
        </w:rPr>
      </w:pPr>
      <w:r>
        <w:rPr>
          <w:sz w:val="24"/>
          <w:szCs w:val="24"/>
        </w:rPr>
        <w:t>3. Проверка достоверности определения сметной стоимости, проектные и изыскательские работы по благоустройству общественных пространств - 2 439,40 тыс.руб.;</w:t>
      </w:r>
    </w:p>
    <w:p>
      <w:pPr>
        <w:pStyle w:val="af8"/>
        <w:tabs>
          <w:tab w:val="left" w:pos="993"/>
        </w:tabs>
        <w:ind w:left="0" w:firstLine="709"/>
        <w:jc w:val="both"/>
        <w:rPr>
          <w:bCs/>
          <w:sz w:val="24"/>
          <w:szCs w:val="24"/>
        </w:rPr>
      </w:pPr>
      <w:r>
        <w:rPr>
          <w:sz w:val="24"/>
          <w:szCs w:val="24"/>
        </w:rPr>
        <w:t xml:space="preserve">4. Строительство сквера с комплексной спортивной площадкой, фонтаном и местами отдыха в микрорайоне №10 </w:t>
      </w:r>
      <w:r>
        <w:rPr>
          <w:bCs/>
          <w:sz w:val="24"/>
          <w:szCs w:val="24"/>
        </w:rPr>
        <w:t>- 33,77 тыс.руб.</w:t>
      </w:r>
      <w:r>
        <w:t xml:space="preserve"> (</w:t>
      </w:r>
      <w:r>
        <w:rPr>
          <w:bCs/>
          <w:sz w:val="24"/>
          <w:szCs w:val="24"/>
        </w:rPr>
        <w:t>проведение кадастровых работ по изготовлению технического плана).</w:t>
      </w:r>
    </w:p>
    <w:p>
      <w:pPr>
        <w:tabs>
          <w:tab w:val="left" w:pos="993"/>
        </w:tabs>
        <w:jc w:val="both"/>
        <w:rPr>
          <w:bCs/>
          <w:sz w:val="24"/>
          <w:szCs w:val="24"/>
          <w:highlight w:val="yellow"/>
        </w:rPr>
      </w:pPr>
    </w:p>
    <w:p>
      <w:pPr>
        <w:ind w:right="55"/>
        <w:jc w:val="center"/>
        <w:rPr>
          <w:b/>
          <w:bCs/>
          <w:i/>
          <w:sz w:val="24"/>
          <w:szCs w:val="24"/>
        </w:rPr>
      </w:pPr>
      <w:r>
        <w:rPr>
          <w:b/>
          <w:bCs/>
          <w:i/>
          <w:sz w:val="24"/>
          <w:szCs w:val="24"/>
        </w:rPr>
        <w:t xml:space="preserve">4.1.5.17. Муниципальная программа </w:t>
      </w:r>
    </w:p>
    <w:p>
      <w:pPr>
        <w:ind w:right="55"/>
        <w:jc w:val="center"/>
        <w:rPr>
          <w:b/>
          <w:bCs/>
          <w:i/>
          <w:sz w:val="24"/>
          <w:szCs w:val="24"/>
        </w:rPr>
      </w:pPr>
      <w:r>
        <w:rPr>
          <w:b/>
          <w:bCs/>
          <w:i/>
          <w:sz w:val="24"/>
          <w:szCs w:val="24"/>
        </w:rPr>
        <w:t>«Развитие информационного общества ЗАТО Северск»</w:t>
      </w:r>
    </w:p>
    <w:p>
      <w:pPr>
        <w:ind w:right="55"/>
        <w:jc w:val="center"/>
        <w:rPr>
          <w:b/>
          <w:bCs/>
          <w:i/>
          <w:sz w:val="24"/>
          <w:szCs w:val="24"/>
        </w:rPr>
      </w:pPr>
    </w:p>
    <w:p>
      <w:pPr>
        <w:ind w:right="55" w:firstLine="708"/>
        <w:jc w:val="both"/>
        <w:rPr>
          <w:bCs/>
          <w:sz w:val="24"/>
          <w:szCs w:val="24"/>
        </w:rPr>
      </w:pPr>
      <w:r>
        <w:rPr>
          <w:bCs/>
          <w:sz w:val="24"/>
          <w:szCs w:val="24"/>
        </w:rPr>
        <w:t xml:space="preserve">Программа исполнена ответственным исполнителем Администрацией ЗАТО Северск в сумме 5 039,65 тыс.руб. </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Приобретение сервера для создания в ЗАТО Северск информационно-телекоммуникационной инфраструктуры высокоскоростной передачи, обработки и хранения данных преимущественно на основе отечественных разработок - 701,97 тыс.руб.;</w:t>
      </w:r>
    </w:p>
    <w:p>
      <w:pPr>
        <w:ind w:right="55" w:firstLine="708"/>
        <w:jc w:val="both"/>
        <w:rPr>
          <w:bCs/>
          <w:sz w:val="24"/>
          <w:szCs w:val="24"/>
        </w:rPr>
      </w:pPr>
      <w:r>
        <w:rPr>
          <w:bCs/>
          <w:sz w:val="24"/>
          <w:szCs w:val="24"/>
        </w:rPr>
        <w:t>2. Обеспечение информационной безопасности на основе отечественных разработок при передаче, обработке и хранении данных, гарантирующей защиту персональных данных и конфиденциальной информации, используемых в муниципальной информационной системе ЗАТО Северск - 3 297,98 тыс.руб.;</w:t>
      </w:r>
    </w:p>
    <w:p>
      <w:pPr>
        <w:ind w:right="55" w:firstLine="708"/>
        <w:jc w:val="both"/>
        <w:rPr>
          <w:bCs/>
          <w:sz w:val="24"/>
          <w:szCs w:val="24"/>
        </w:rPr>
      </w:pPr>
      <w:r>
        <w:rPr>
          <w:bCs/>
          <w:sz w:val="24"/>
          <w:szCs w:val="24"/>
        </w:rPr>
        <w:lastRenderedPageBreak/>
        <w:t>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- 1 015,70 тыс.руб.;</w:t>
      </w:r>
    </w:p>
    <w:p>
      <w:pPr>
        <w:ind w:right="55" w:firstLine="708"/>
        <w:jc w:val="both"/>
        <w:rPr>
          <w:bCs/>
          <w:sz w:val="24"/>
          <w:szCs w:val="24"/>
        </w:rPr>
      </w:pPr>
      <w:r>
        <w:rPr>
          <w:bCs/>
          <w:sz w:val="24"/>
          <w:szCs w:val="24"/>
        </w:rPr>
        <w:t>4. Развитие и обеспечение населения электронными сервисами активного участия в муниципальной информационной системе «Мой Северск» - 24,0 тыс.руб.</w:t>
      </w:r>
    </w:p>
    <w:p>
      <w:pPr>
        <w:ind w:right="55" w:firstLine="708"/>
        <w:jc w:val="both"/>
        <w:rPr>
          <w:bCs/>
          <w:color w:val="FF0000"/>
          <w:sz w:val="24"/>
          <w:szCs w:val="24"/>
          <w:highlight w:val="yellow"/>
        </w:rPr>
      </w:pPr>
    </w:p>
    <w:p>
      <w:pPr>
        <w:ind w:right="55"/>
        <w:jc w:val="center"/>
        <w:rPr>
          <w:b/>
          <w:bCs/>
          <w:i/>
          <w:sz w:val="24"/>
          <w:szCs w:val="24"/>
        </w:rPr>
      </w:pPr>
      <w:r>
        <w:rPr>
          <w:b/>
          <w:bCs/>
          <w:i/>
          <w:sz w:val="24"/>
          <w:szCs w:val="24"/>
        </w:rPr>
        <w:t>4.1.5.18. Программа «Комплексное развитие систем</w:t>
      </w:r>
    </w:p>
    <w:p>
      <w:pPr>
        <w:spacing w:after="120"/>
        <w:ind w:right="57"/>
        <w:jc w:val="center"/>
        <w:rPr>
          <w:b/>
          <w:bCs/>
          <w:i/>
          <w:sz w:val="24"/>
          <w:szCs w:val="24"/>
        </w:rPr>
      </w:pPr>
      <w:r>
        <w:rPr>
          <w:b/>
          <w:bCs/>
          <w:i/>
          <w:sz w:val="24"/>
          <w:szCs w:val="24"/>
        </w:rPr>
        <w:t xml:space="preserve"> коммунальной и инженерной инфраструктуры ЗАТО Северск»</w:t>
      </w:r>
    </w:p>
    <w:p>
      <w:pPr>
        <w:ind w:right="55" w:firstLine="708"/>
        <w:jc w:val="both"/>
        <w:rPr>
          <w:bCs/>
          <w:sz w:val="24"/>
          <w:szCs w:val="24"/>
        </w:rPr>
      </w:pPr>
      <w:r>
        <w:rPr>
          <w:bCs/>
          <w:sz w:val="24"/>
          <w:szCs w:val="24"/>
        </w:rPr>
        <w:t>Программа исполнена в общей сумме 9 497,59 тыс.руб. в том числе: ответственными исполнителями УКС в сумме 8 969,19 тыс.руб. и УЖКХ ТиС в сумме 528,40 тыс.руб.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Строительство полигона ТБО в пос.Самусь - 5 449,55 тыс.руб.;</w:t>
      </w:r>
    </w:p>
    <w:p>
      <w:pPr>
        <w:ind w:right="55" w:firstLine="708"/>
        <w:jc w:val="both"/>
        <w:rPr>
          <w:bCs/>
          <w:sz w:val="24"/>
          <w:szCs w:val="24"/>
        </w:rPr>
      </w:pPr>
      <w:r>
        <w:rPr>
          <w:bCs/>
          <w:sz w:val="24"/>
          <w:szCs w:val="24"/>
        </w:rPr>
        <w:t>2. Строительство полигона твердых бытовых отходов в г.Северске - 1 849,18 тыс.руб.;</w:t>
      </w:r>
    </w:p>
    <w:p>
      <w:pPr>
        <w:ind w:right="55" w:firstLine="708"/>
        <w:jc w:val="both"/>
        <w:rPr>
          <w:bCs/>
          <w:sz w:val="24"/>
          <w:szCs w:val="24"/>
          <w:highlight w:val="yellow"/>
        </w:rPr>
      </w:pPr>
      <w:r>
        <w:rPr>
          <w:bCs/>
          <w:sz w:val="24"/>
          <w:szCs w:val="24"/>
        </w:rPr>
        <w:t>3. Строительство 6 скважин на существующих подземных водозаборах (3 очередь). Водозабор № 1. Скважины № 7а, 15а в г.Северске - 1 587,08 тыс.руб.;</w:t>
      </w:r>
    </w:p>
    <w:p>
      <w:pPr>
        <w:ind w:right="55" w:firstLine="708"/>
        <w:jc w:val="both"/>
        <w:rPr>
          <w:bCs/>
          <w:sz w:val="24"/>
          <w:szCs w:val="24"/>
        </w:rPr>
      </w:pPr>
      <w:r>
        <w:rPr>
          <w:bCs/>
          <w:sz w:val="24"/>
          <w:szCs w:val="24"/>
        </w:rPr>
        <w:t>4. Установку дополнительной колонки для питьевой воды в районе ул. Речная в                   д. Кижирово - 83,38 тыс.руб.;</w:t>
      </w:r>
    </w:p>
    <w:p>
      <w:pPr>
        <w:ind w:right="55" w:firstLine="708"/>
        <w:jc w:val="both"/>
        <w:rPr>
          <w:bCs/>
          <w:sz w:val="24"/>
          <w:szCs w:val="24"/>
        </w:rPr>
      </w:pPr>
      <w:r>
        <w:rPr>
          <w:bCs/>
          <w:sz w:val="24"/>
          <w:szCs w:val="24"/>
        </w:rPr>
        <w:t>5. У</w:t>
      </w:r>
      <w:r>
        <w:rPr>
          <w:sz w:val="24"/>
          <w:szCs w:val="24"/>
        </w:rPr>
        <w:t xml:space="preserve">становку опор и устройство линий наружного освещения на участке автодороги по ул.Транспортной, от ул. Спортивной до ул.Свердлова </w:t>
      </w:r>
      <w:r>
        <w:rPr>
          <w:bCs/>
          <w:sz w:val="24"/>
          <w:szCs w:val="24"/>
        </w:rPr>
        <w:t>-</w:t>
      </w:r>
      <w:r>
        <w:rPr>
          <w:sz w:val="24"/>
          <w:szCs w:val="24"/>
        </w:rPr>
        <w:t xml:space="preserve"> 528,40 тыс.руб.</w:t>
      </w:r>
    </w:p>
    <w:p>
      <w:pPr>
        <w:spacing w:after="120"/>
        <w:ind w:right="57"/>
        <w:jc w:val="center"/>
        <w:rPr>
          <w:b/>
          <w:bCs/>
          <w:sz w:val="24"/>
          <w:szCs w:val="24"/>
        </w:rPr>
      </w:pPr>
    </w:p>
    <w:p>
      <w:pPr>
        <w:spacing w:after="120"/>
        <w:ind w:right="57"/>
        <w:jc w:val="center"/>
        <w:rPr>
          <w:b/>
          <w:bCs/>
          <w:sz w:val="24"/>
          <w:szCs w:val="24"/>
        </w:rPr>
      </w:pPr>
      <w:r>
        <w:rPr>
          <w:b/>
          <w:bCs/>
          <w:sz w:val="24"/>
          <w:szCs w:val="24"/>
        </w:rPr>
        <w:t>4.1.6. Информация об исполнении непрограммных направлений расходования</w:t>
      </w:r>
    </w:p>
    <w:p>
      <w:pPr>
        <w:ind w:right="55" w:firstLine="708"/>
        <w:jc w:val="both"/>
        <w:rPr>
          <w:bCs/>
          <w:sz w:val="24"/>
          <w:szCs w:val="24"/>
        </w:rPr>
      </w:pPr>
      <w:r>
        <w:rPr>
          <w:bCs/>
          <w:sz w:val="24"/>
          <w:szCs w:val="24"/>
        </w:rPr>
        <w:t xml:space="preserve">В бюджете ЗАТО Северск на непрограммные мероприятия были предусмотрены средства в сумме 334 518,23 тыс.руб., исполнение за 2020 год составило 322 642,58 тыс.руб. или 96,4% к плану года, из них по: </w:t>
      </w:r>
    </w:p>
    <w:p>
      <w:pPr>
        <w:ind w:right="55" w:firstLine="708"/>
        <w:jc w:val="both"/>
        <w:rPr>
          <w:sz w:val="24"/>
          <w:szCs w:val="24"/>
        </w:rPr>
      </w:pPr>
      <w:r>
        <w:rPr>
          <w:sz w:val="24"/>
          <w:szCs w:val="24"/>
        </w:rPr>
        <w:t xml:space="preserve">1. Администрации ЗАТО Северск 219 745,65 тыс.руб. или 68,1% от общей суммы непрограммных расходов; </w:t>
      </w:r>
    </w:p>
    <w:p>
      <w:pPr>
        <w:ind w:right="55" w:firstLine="708"/>
        <w:jc w:val="both"/>
        <w:rPr>
          <w:sz w:val="24"/>
          <w:szCs w:val="24"/>
        </w:rPr>
      </w:pPr>
      <w:r>
        <w:rPr>
          <w:sz w:val="24"/>
          <w:szCs w:val="24"/>
        </w:rPr>
        <w:t xml:space="preserve">2. Думе ЗАТО Северск – 59 219,90 тыс.руб. или 18,4 %; </w:t>
      </w:r>
    </w:p>
    <w:p>
      <w:pPr>
        <w:ind w:right="55" w:firstLine="708"/>
        <w:jc w:val="both"/>
        <w:rPr>
          <w:sz w:val="24"/>
          <w:szCs w:val="24"/>
        </w:rPr>
      </w:pPr>
      <w:r>
        <w:rPr>
          <w:sz w:val="24"/>
          <w:szCs w:val="24"/>
        </w:rPr>
        <w:t>3. Счетной палате ЗАТО Северск – 15 267,13 тыс.руб. или 4,7%;</w:t>
      </w:r>
    </w:p>
    <w:p>
      <w:pPr>
        <w:ind w:right="55" w:firstLine="708"/>
        <w:jc w:val="both"/>
        <w:rPr>
          <w:sz w:val="24"/>
          <w:szCs w:val="24"/>
        </w:rPr>
      </w:pPr>
      <w:r>
        <w:rPr>
          <w:sz w:val="24"/>
          <w:szCs w:val="24"/>
        </w:rPr>
        <w:t>4. УЖКХ ТиС – 12 366,04 тыс.руб. или 3,8% (приобретено жилье детям-сиротам по решению суда).</w:t>
      </w:r>
    </w:p>
    <w:p>
      <w:pPr>
        <w:pStyle w:val="31"/>
        <w:ind w:right="45"/>
        <w:jc w:val="center"/>
        <w:rPr>
          <w:b/>
          <w:color w:val="FF0000"/>
          <w:sz w:val="24"/>
          <w:szCs w:val="24"/>
          <w:highlight w:val="yellow"/>
        </w:rPr>
      </w:pPr>
    </w:p>
    <w:p>
      <w:pPr>
        <w:pStyle w:val="31"/>
        <w:ind w:right="45"/>
        <w:jc w:val="center"/>
        <w:rPr>
          <w:b/>
          <w:sz w:val="24"/>
          <w:szCs w:val="24"/>
        </w:rPr>
      </w:pPr>
      <w:r>
        <w:rPr>
          <w:b/>
          <w:sz w:val="24"/>
          <w:szCs w:val="24"/>
        </w:rPr>
        <w:t xml:space="preserve">4.2. Исполнение расходной части бюджета ЗАТО Северск </w:t>
      </w:r>
    </w:p>
    <w:p>
      <w:pPr>
        <w:pStyle w:val="31"/>
        <w:ind w:right="45"/>
        <w:jc w:val="center"/>
        <w:rPr>
          <w:b/>
          <w:color w:val="FF0000"/>
          <w:sz w:val="24"/>
          <w:szCs w:val="24"/>
        </w:rPr>
      </w:pPr>
      <w:r>
        <w:rPr>
          <w:b/>
          <w:sz w:val="24"/>
          <w:szCs w:val="24"/>
        </w:rPr>
        <w:t>в разрезе ведомственной структуры расходов за 2020 год</w:t>
      </w:r>
    </w:p>
    <w:p>
      <w:pPr>
        <w:pStyle w:val="31"/>
        <w:tabs>
          <w:tab w:val="clear" w:pos="5529"/>
          <w:tab w:val="left" w:pos="709"/>
        </w:tabs>
        <w:ind w:right="0" w:firstLine="709"/>
        <w:rPr>
          <w:color w:val="000000"/>
          <w:sz w:val="24"/>
          <w:szCs w:val="24"/>
          <w:highlight w:val="yellow"/>
        </w:rPr>
      </w:pPr>
    </w:p>
    <w:p>
      <w:pPr>
        <w:pStyle w:val="3"/>
        <w:spacing w:before="0" w:after="120"/>
        <w:jc w:val="center"/>
        <w:rPr>
          <w:rFonts w:ascii="Times New Roman" w:hAnsi="Times New Roman" w:cs="Times New Roman"/>
          <w:sz w:val="24"/>
          <w:szCs w:val="24"/>
        </w:rPr>
      </w:pPr>
      <w:r>
        <w:rPr>
          <w:rFonts w:ascii="Times New Roman" w:hAnsi="Times New Roman" w:cs="Times New Roman"/>
          <w:sz w:val="24"/>
          <w:szCs w:val="24"/>
        </w:rPr>
        <w:t>4.2.1. Дума ЗАТО Северск</w:t>
      </w:r>
    </w:p>
    <w:p>
      <w:pPr>
        <w:ind w:firstLine="709"/>
        <w:jc w:val="both"/>
        <w:rPr>
          <w:sz w:val="24"/>
          <w:szCs w:val="24"/>
        </w:rPr>
      </w:pPr>
      <w:r>
        <w:rPr>
          <w:sz w:val="24"/>
          <w:szCs w:val="24"/>
        </w:rPr>
        <w:t xml:space="preserve">Кассовое исполнение по расходам  за 2020 год составило 59 219,90 тыс.руб. или 96,7% к утвержденным годовым назначениям. </w:t>
      </w:r>
    </w:p>
    <w:p>
      <w:pPr>
        <w:ind w:firstLine="709"/>
        <w:jc w:val="both"/>
        <w:rPr>
          <w:sz w:val="24"/>
          <w:szCs w:val="24"/>
        </w:rPr>
      </w:pPr>
      <w:r>
        <w:rPr>
          <w:sz w:val="24"/>
          <w:szCs w:val="24"/>
        </w:rPr>
        <w:t>В общей структуре расходов бюджета ЗАТО Северск удельный вес расходов, подведомственных Думе ЗАТО Северск, составил 1,3%, исполнение расходов осуществлялось по разделу 0100 «Общегосударственные расходы».</w:t>
      </w:r>
    </w:p>
    <w:p>
      <w:pPr>
        <w:ind w:firstLine="709"/>
        <w:jc w:val="both"/>
        <w:rPr>
          <w:sz w:val="24"/>
          <w:szCs w:val="24"/>
        </w:rPr>
      </w:pPr>
      <w:r>
        <w:rPr>
          <w:sz w:val="24"/>
          <w:szCs w:val="24"/>
        </w:rPr>
        <w:t>Бюджетные ассигнования направлены на:</w:t>
      </w:r>
    </w:p>
    <w:p>
      <w:pPr>
        <w:ind w:firstLine="709"/>
        <w:jc w:val="both"/>
        <w:rPr>
          <w:sz w:val="24"/>
          <w:szCs w:val="24"/>
        </w:rPr>
      </w:pPr>
      <w:r>
        <w:rPr>
          <w:sz w:val="24"/>
          <w:szCs w:val="24"/>
        </w:rPr>
        <w:t>1) обеспечение деятельности Думы ЗАТО Северск - 48 436,95 тыс.руб., из них:</w:t>
      </w:r>
    </w:p>
    <w:p>
      <w:pPr>
        <w:pStyle w:val="af8"/>
        <w:tabs>
          <w:tab w:val="left" w:pos="993"/>
        </w:tabs>
        <w:ind w:left="709"/>
        <w:jc w:val="both"/>
        <w:rPr>
          <w:sz w:val="24"/>
          <w:szCs w:val="24"/>
        </w:rPr>
      </w:pPr>
      <w:r>
        <w:rPr>
          <w:sz w:val="24"/>
          <w:szCs w:val="24"/>
        </w:rPr>
        <w:t>- 43 487,28 тыс.руб. на заработную плату с начислениями;</w:t>
      </w:r>
    </w:p>
    <w:p>
      <w:pPr>
        <w:pStyle w:val="af8"/>
        <w:tabs>
          <w:tab w:val="left" w:pos="993"/>
        </w:tabs>
        <w:ind w:left="709"/>
        <w:jc w:val="both"/>
        <w:rPr>
          <w:sz w:val="24"/>
          <w:szCs w:val="24"/>
        </w:rPr>
      </w:pPr>
      <w:r>
        <w:rPr>
          <w:sz w:val="24"/>
          <w:szCs w:val="24"/>
        </w:rPr>
        <w:t xml:space="preserve">- 393,11 тыс.руб.  на выплату пособия, компенсации при сокращении (1 шт.ед.); </w:t>
      </w:r>
    </w:p>
    <w:p>
      <w:pPr>
        <w:pStyle w:val="af8"/>
        <w:tabs>
          <w:tab w:val="left" w:pos="993"/>
        </w:tabs>
        <w:ind w:left="709"/>
        <w:jc w:val="both"/>
        <w:rPr>
          <w:sz w:val="24"/>
          <w:szCs w:val="24"/>
        </w:rPr>
      </w:pPr>
      <w:r>
        <w:rPr>
          <w:sz w:val="24"/>
          <w:szCs w:val="24"/>
        </w:rPr>
        <w:t>- 233,85 тыс.руб. на командировочные расходы.</w:t>
      </w:r>
    </w:p>
    <w:p>
      <w:pPr>
        <w:pStyle w:val="af8"/>
        <w:tabs>
          <w:tab w:val="left" w:pos="993"/>
        </w:tabs>
        <w:ind w:left="0" w:firstLine="709"/>
        <w:jc w:val="both"/>
        <w:rPr>
          <w:sz w:val="24"/>
          <w:szCs w:val="24"/>
        </w:rPr>
      </w:pPr>
      <w:r>
        <w:rPr>
          <w:sz w:val="24"/>
          <w:szCs w:val="24"/>
        </w:rPr>
        <w:t>2) выплаты единовременного пособия при прекращении полномочий - 3 563,69 тыс.руб.;</w:t>
      </w:r>
    </w:p>
    <w:p>
      <w:pPr>
        <w:pStyle w:val="af8"/>
        <w:tabs>
          <w:tab w:val="left" w:pos="993"/>
        </w:tabs>
        <w:ind w:left="0" w:firstLine="709"/>
        <w:jc w:val="both"/>
        <w:rPr>
          <w:sz w:val="24"/>
          <w:szCs w:val="24"/>
        </w:rPr>
      </w:pPr>
      <w:r>
        <w:rPr>
          <w:sz w:val="24"/>
          <w:szCs w:val="24"/>
        </w:rPr>
        <w:t>3) информационные расходы органа местного самоуправления - 4 945,80 тыс.руб.;</w:t>
      </w:r>
    </w:p>
    <w:p>
      <w:pPr>
        <w:pStyle w:val="af8"/>
        <w:tabs>
          <w:tab w:val="left" w:pos="993"/>
        </w:tabs>
        <w:ind w:left="0" w:firstLine="709"/>
        <w:jc w:val="both"/>
        <w:rPr>
          <w:sz w:val="24"/>
          <w:szCs w:val="24"/>
        </w:rPr>
      </w:pPr>
      <w:r>
        <w:rPr>
          <w:sz w:val="24"/>
          <w:szCs w:val="24"/>
        </w:rPr>
        <w:t>4) единовременные поощрительные выплаты - 1 352,0 тыс.руб.  (награждено 244 человек);</w:t>
      </w:r>
    </w:p>
    <w:p>
      <w:pPr>
        <w:pStyle w:val="af8"/>
        <w:tabs>
          <w:tab w:val="left" w:pos="993"/>
        </w:tabs>
        <w:ind w:left="0" w:firstLine="709"/>
        <w:jc w:val="both"/>
        <w:rPr>
          <w:sz w:val="24"/>
          <w:szCs w:val="24"/>
        </w:rPr>
      </w:pPr>
      <w:r>
        <w:rPr>
          <w:sz w:val="24"/>
          <w:szCs w:val="24"/>
        </w:rPr>
        <w:lastRenderedPageBreak/>
        <w:t>5) оплату членских, целевых и других взносов в Ассоциацию сибирских и дальневосточных городов, Совет муниципальных образований Томской области, Ассоциацию новаторских городов - 921,46 тыс.руб.</w:t>
      </w:r>
    </w:p>
    <w:p>
      <w:pPr>
        <w:pStyle w:val="31"/>
        <w:ind w:right="0" w:firstLine="709"/>
        <w:outlineLvl w:val="2"/>
        <w:rPr>
          <w:b/>
          <w:sz w:val="24"/>
          <w:szCs w:val="24"/>
          <w:highlight w:val="yellow"/>
        </w:rPr>
      </w:pPr>
    </w:p>
    <w:p>
      <w:pPr>
        <w:pStyle w:val="31"/>
        <w:ind w:right="0"/>
        <w:jc w:val="center"/>
        <w:outlineLvl w:val="2"/>
        <w:rPr>
          <w:b/>
          <w:sz w:val="24"/>
          <w:szCs w:val="24"/>
        </w:rPr>
      </w:pPr>
      <w:r>
        <w:rPr>
          <w:b/>
          <w:sz w:val="24"/>
          <w:szCs w:val="24"/>
        </w:rPr>
        <w:t>4.2.2. Администрация ЗАТО Северск</w:t>
      </w:r>
    </w:p>
    <w:p>
      <w:pPr>
        <w:spacing w:before="120"/>
        <w:ind w:firstLine="709"/>
        <w:jc w:val="both"/>
        <w:rPr>
          <w:sz w:val="24"/>
          <w:szCs w:val="24"/>
        </w:rPr>
      </w:pPr>
      <w:r>
        <w:rPr>
          <w:sz w:val="24"/>
          <w:szCs w:val="24"/>
        </w:rPr>
        <w:t xml:space="preserve">Кассовое исполнение расходов за 2020 год составило 359 357,21 тыс.руб. или 98,7% к утвержденным годовым назначениям. </w:t>
      </w:r>
    </w:p>
    <w:p>
      <w:pPr>
        <w:pStyle w:val="31"/>
        <w:ind w:right="0" w:firstLine="709"/>
        <w:rPr>
          <w:sz w:val="24"/>
          <w:szCs w:val="24"/>
        </w:rPr>
      </w:pPr>
      <w:r>
        <w:rPr>
          <w:sz w:val="24"/>
          <w:szCs w:val="24"/>
        </w:rPr>
        <w:t xml:space="preserve">В общей структуре расходов удельный вес расходов, подведомственных Администрации, составил 7,6%. </w:t>
      </w:r>
    </w:p>
    <w:p>
      <w:pPr>
        <w:pStyle w:val="31"/>
        <w:ind w:right="0" w:firstLine="709"/>
        <w:rPr>
          <w:color w:val="000000"/>
          <w:sz w:val="24"/>
          <w:szCs w:val="24"/>
        </w:rPr>
      </w:pPr>
      <w:r>
        <w:rPr>
          <w:sz w:val="24"/>
          <w:szCs w:val="24"/>
        </w:rPr>
        <w:t>Исполнение расходов по программно-целевому принципу в рамках четырех муниципальных программ составило 139 611,56</w:t>
      </w:r>
      <w:r>
        <w:rPr>
          <w:color w:val="000000"/>
          <w:sz w:val="24"/>
          <w:szCs w:val="24"/>
        </w:rPr>
        <w:t xml:space="preserve"> (38,9% от общей суммы расходов Администрации ЗАТО Северск или 98,7% к утвержденным годовым расходам).</w:t>
      </w:r>
    </w:p>
    <w:p>
      <w:pPr>
        <w:spacing w:after="120"/>
        <w:ind w:firstLine="709"/>
        <w:jc w:val="both"/>
        <w:rPr>
          <w:sz w:val="24"/>
          <w:szCs w:val="24"/>
        </w:rPr>
      </w:pPr>
      <w:r>
        <w:rPr>
          <w:sz w:val="24"/>
          <w:szCs w:val="24"/>
        </w:rPr>
        <w:t>Администрация ЗАТО Северск является ответственным исполнителем четырех муниципальных программ «Социальная поддержка населения ЗАТО Северск», «Развитие предпринимательства в ЗАТО Северск», «Охрана окружающей среды на территории ЗАТО Северск», «Развитие информационного общества ЗАТО Северск»</w:t>
      </w:r>
      <w:r>
        <w:rPr>
          <w:bCs/>
          <w:sz w:val="24"/>
          <w:szCs w:val="24"/>
        </w:rPr>
        <w:t>.</w:t>
      </w:r>
      <w:r>
        <w:rPr>
          <w:sz w:val="24"/>
          <w:szCs w:val="24"/>
        </w:rPr>
        <w:t xml:space="preserve">   </w:t>
      </w:r>
    </w:p>
    <w:p>
      <w:pPr>
        <w:spacing w:after="60"/>
        <w:ind w:firstLine="709"/>
        <w:jc w:val="both"/>
        <w:rPr>
          <w:spacing w:val="-4"/>
          <w:sz w:val="24"/>
          <w:szCs w:val="24"/>
        </w:rPr>
      </w:pPr>
      <w:r>
        <w:rPr>
          <w:spacing w:val="-4"/>
          <w:sz w:val="24"/>
          <w:szCs w:val="24"/>
        </w:rPr>
        <w:t>Таблица 47. Расходы Администрации  в разрезе МП</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4252"/>
        <w:gridCol w:w="1559"/>
        <w:gridCol w:w="1560"/>
        <w:gridCol w:w="1559"/>
      </w:tblGrid>
      <w:tr>
        <w:trPr>
          <w:trHeight w:val="928"/>
        </w:trPr>
        <w:tc>
          <w:tcPr>
            <w:tcW w:w="441" w:type="dxa"/>
            <w:shd w:val="clear" w:color="auto" w:fill="auto"/>
            <w:textDirection w:val="btLr"/>
            <w:vAlign w:val="center"/>
          </w:tcPr>
          <w:p>
            <w:pPr>
              <w:jc w:val="center"/>
            </w:pPr>
          </w:p>
          <w:p>
            <w:pPr>
              <w:jc w:val="center"/>
            </w:pPr>
            <w:r>
              <w:rPr>
                <w:lang w:val="en-US"/>
              </w:rPr>
              <w:t xml:space="preserve">№ </w:t>
            </w:r>
            <w:r>
              <w:t>п/п</w:t>
            </w:r>
          </w:p>
          <w:p>
            <w:pPr>
              <w:jc w:val="center"/>
            </w:pPr>
          </w:p>
        </w:tc>
        <w:tc>
          <w:tcPr>
            <w:tcW w:w="4252" w:type="dxa"/>
            <w:shd w:val="clear" w:color="auto" w:fill="auto"/>
            <w:vAlign w:val="center"/>
          </w:tcPr>
          <w:p>
            <w:pPr>
              <w:jc w:val="center"/>
            </w:pPr>
            <w:r>
              <w:t xml:space="preserve">Наименование программы </w:t>
            </w:r>
          </w:p>
        </w:tc>
        <w:tc>
          <w:tcPr>
            <w:tcW w:w="1559" w:type="dxa"/>
            <w:shd w:val="clear" w:color="auto" w:fill="auto"/>
            <w:vAlign w:val="center"/>
          </w:tcPr>
          <w:p>
            <w:pPr>
              <w:jc w:val="center"/>
            </w:pPr>
            <w:r>
              <w:t>Уточненный план 2020 г., тыс.руб.</w:t>
            </w:r>
          </w:p>
        </w:tc>
        <w:tc>
          <w:tcPr>
            <w:tcW w:w="1560" w:type="dxa"/>
            <w:shd w:val="clear" w:color="auto" w:fill="auto"/>
            <w:vAlign w:val="center"/>
          </w:tcPr>
          <w:p>
            <w:pPr>
              <w:ind w:right="-42"/>
              <w:jc w:val="center"/>
            </w:pPr>
            <w:r>
              <w:t xml:space="preserve">Исполнено </w:t>
            </w:r>
          </w:p>
          <w:p>
            <w:pPr>
              <w:ind w:right="-42"/>
              <w:jc w:val="center"/>
            </w:pPr>
            <w:r>
              <w:t>за 2020 г., тыс.руб.</w:t>
            </w:r>
          </w:p>
        </w:tc>
        <w:tc>
          <w:tcPr>
            <w:tcW w:w="1559" w:type="dxa"/>
            <w:shd w:val="clear" w:color="auto" w:fill="auto"/>
            <w:vAlign w:val="center"/>
          </w:tcPr>
          <w:p>
            <w:pPr>
              <w:jc w:val="center"/>
            </w:pPr>
            <w:r>
              <w:t xml:space="preserve">Процент исполнения </w:t>
            </w:r>
          </w:p>
          <w:p>
            <w:pPr>
              <w:jc w:val="center"/>
            </w:pPr>
            <w:r>
              <w:t>к плану</w:t>
            </w:r>
            <w:r>
              <w:br/>
              <w:t xml:space="preserve"> 2020 г.</w:t>
            </w:r>
          </w:p>
        </w:tc>
      </w:tr>
      <w:tr>
        <w:trPr>
          <w:trHeight w:val="255"/>
        </w:trPr>
        <w:tc>
          <w:tcPr>
            <w:tcW w:w="441" w:type="dxa"/>
            <w:shd w:val="clear" w:color="auto" w:fill="auto"/>
            <w:noWrap/>
            <w:vAlign w:val="center"/>
          </w:tcPr>
          <w:p>
            <w:pPr>
              <w:jc w:val="center"/>
            </w:pPr>
            <w:r>
              <w:t>1</w:t>
            </w:r>
          </w:p>
        </w:tc>
        <w:tc>
          <w:tcPr>
            <w:tcW w:w="4252" w:type="dxa"/>
            <w:shd w:val="clear" w:color="auto" w:fill="auto"/>
            <w:vAlign w:val="center"/>
          </w:tcPr>
          <w:p>
            <w:r>
              <w:t>МП «Развитие предпринимательства ЗАТО Северск»</w:t>
            </w:r>
          </w:p>
        </w:tc>
        <w:tc>
          <w:tcPr>
            <w:tcW w:w="1559" w:type="dxa"/>
            <w:shd w:val="clear" w:color="auto" w:fill="auto"/>
            <w:noWrap/>
            <w:vAlign w:val="center"/>
          </w:tcPr>
          <w:p>
            <w:pPr>
              <w:jc w:val="right"/>
            </w:pPr>
            <w:r>
              <w:t>44 898,19</w:t>
            </w:r>
          </w:p>
        </w:tc>
        <w:tc>
          <w:tcPr>
            <w:tcW w:w="1560" w:type="dxa"/>
            <w:shd w:val="clear" w:color="auto" w:fill="auto"/>
            <w:noWrap/>
            <w:vAlign w:val="center"/>
          </w:tcPr>
          <w:p>
            <w:pPr>
              <w:jc w:val="right"/>
            </w:pPr>
            <w:r>
              <w:t>44 349,94</w:t>
            </w:r>
          </w:p>
        </w:tc>
        <w:tc>
          <w:tcPr>
            <w:tcW w:w="1559" w:type="dxa"/>
            <w:shd w:val="clear" w:color="auto" w:fill="auto"/>
            <w:noWrap/>
            <w:vAlign w:val="center"/>
          </w:tcPr>
          <w:p>
            <w:pPr>
              <w:jc w:val="right"/>
            </w:pPr>
            <w:r>
              <w:t>98,8</w:t>
            </w:r>
          </w:p>
        </w:tc>
      </w:tr>
      <w:tr>
        <w:trPr>
          <w:trHeight w:val="199"/>
        </w:trPr>
        <w:tc>
          <w:tcPr>
            <w:tcW w:w="441" w:type="dxa"/>
            <w:shd w:val="clear" w:color="auto" w:fill="auto"/>
            <w:noWrap/>
            <w:vAlign w:val="center"/>
          </w:tcPr>
          <w:p>
            <w:pPr>
              <w:jc w:val="center"/>
            </w:pPr>
            <w:r>
              <w:t>2</w:t>
            </w:r>
          </w:p>
        </w:tc>
        <w:tc>
          <w:tcPr>
            <w:tcW w:w="4252" w:type="dxa"/>
            <w:shd w:val="clear" w:color="auto" w:fill="auto"/>
            <w:vAlign w:val="center"/>
          </w:tcPr>
          <w:p>
            <w:pPr>
              <w:ind w:right="-60"/>
            </w:pPr>
            <w:r>
              <w:t>МП «Социальная поддержка населения ЗАТО Северск»</w:t>
            </w:r>
          </w:p>
        </w:tc>
        <w:tc>
          <w:tcPr>
            <w:tcW w:w="1559" w:type="dxa"/>
            <w:shd w:val="clear" w:color="auto" w:fill="auto"/>
            <w:noWrap/>
            <w:vAlign w:val="center"/>
          </w:tcPr>
          <w:p>
            <w:pPr>
              <w:jc w:val="right"/>
            </w:pPr>
            <w:r>
              <w:t>91 251,09</w:t>
            </w:r>
          </w:p>
        </w:tc>
        <w:tc>
          <w:tcPr>
            <w:tcW w:w="1560" w:type="dxa"/>
            <w:shd w:val="clear" w:color="auto" w:fill="auto"/>
            <w:noWrap/>
            <w:vAlign w:val="center"/>
          </w:tcPr>
          <w:p>
            <w:pPr>
              <w:jc w:val="right"/>
              <w:rPr>
                <w:highlight w:val="yellow"/>
              </w:rPr>
            </w:pPr>
            <w:r>
              <w:t>90 022,81</w:t>
            </w:r>
          </w:p>
        </w:tc>
        <w:tc>
          <w:tcPr>
            <w:tcW w:w="1559" w:type="dxa"/>
            <w:shd w:val="clear" w:color="auto" w:fill="auto"/>
            <w:noWrap/>
            <w:vAlign w:val="center"/>
          </w:tcPr>
          <w:p>
            <w:pPr>
              <w:jc w:val="right"/>
              <w:rPr>
                <w:highlight w:val="yellow"/>
              </w:rPr>
            </w:pPr>
            <w:r>
              <w:t>98,7</w:t>
            </w:r>
          </w:p>
        </w:tc>
      </w:tr>
      <w:tr>
        <w:trPr>
          <w:trHeight w:val="255"/>
        </w:trPr>
        <w:tc>
          <w:tcPr>
            <w:tcW w:w="441" w:type="dxa"/>
            <w:shd w:val="clear" w:color="auto" w:fill="auto"/>
            <w:noWrap/>
            <w:vAlign w:val="center"/>
          </w:tcPr>
          <w:p>
            <w:pPr>
              <w:jc w:val="center"/>
            </w:pPr>
            <w:r>
              <w:t>3</w:t>
            </w:r>
          </w:p>
        </w:tc>
        <w:tc>
          <w:tcPr>
            <w:tcW w:w="4252" w:type="dxa"/>
            <w:shd w:val="clear" w:color="auto" w:fill="auto"/>
            <w:vAlign w:val="center"/>
          </w:tcPr>
          <w:p>
            <w:pPr>
              <w:ind w:right="-60"/>
            </w:pPr>
            <w:r>
              <w:t>МП «Охрана окружающей среды на территории ЗАТО Северск»</w:t>
            </w:r>
          </w:p>
        </w:tc>
        <w:tc>
          <w:tcPr>
            <w:tcW w:w="1559" w:type="dxa"/>
            <w:shd w:val="clear" w:color="auto" w:fill="auto"/>
            <w:noWrap/>
            <w:vAlign w:val="center"/>
          </w:tcPr>
          <w:p>
            <w:pPr>
              <w:jc w:val="right"/>
            </w:pPr>
            <w:r>
              <w:t>199,20</w:t>
            </w:r>
          </w:p>
        </w:tc>
        <w:tc>
          <w:tcPr>
            <w:tcW w:w="1560" w:type="dxa"/>
            <w:shd w:val="clear" w:color="auto" w:fill="auto"/>
            <w:noWrap/>
            <w:vAlign w:val="center"/>
          </w:tcPr>
          <w:p>
            <w:pPr>
              <w:jc w:val="right"/>
              <w:rPr>
                <w:highlight w:val="yellow"/>
              </w:rPr>
            </w:pPr>
            <w:r>
              <w:t>199,16</w:t>
            </w:r>
          </w:p>
        </w:tc>
        <w:tc>
          <w:tcPr>
            <w:tcW w:w="1559" w:type="dxa"/>
            <w:shd w:val="clear" w:color="auto" w:fill="auto"/>
            <w:noWrap/>
            <w:vAlign w:val="center"/>
          </w:tcPr>
          <w:p>
            <w:pPr>
              <w:jc w:val="right"/>
            </w:pPr>
            <w:r>
              <w:t>100,0</w:t>
            </w:r>
          </w:p>
        </w:tc>
      </w:tr>
      <w:tr>
        <w:trPr>
          <w:trHeight w:val="255"/>
        </w:trPr>
        <w:tc>
          <w:tcPr>
            <w:tcW w:w="441" w:type="dxa"/>
            <w:shd w:val="clear" w:color="auto" w:fill="auto"/>
            <w:noWrap/>
            <w:vAlign w:val="center"/>
          </w:tcPr>
          <w:p>
            <w:pPr>
              <w:jc w:val="center"/>
            </w:pPr>
            <w:r>
              <w:t>4</w:t>
            </w:r>
          </w:p>
        </w:tc>
        <w:tc>
          <w:tcPr>
            <w:tcW w:w="4252" w:type="dxa"/>
            <w:shd w:val="clear" w:color="auto" w:fill="auto"/>
            <w:vAlign w:val="center"/>
          </w:tcPr>
          <w:p>
            <w:r>
              <w:t>МП «Развитие информационного общества ЗАТО Северск»</w:t>
            </w:r>
          </w:p>
        </w:tc>
        <w:tc>
          <w:tcPr>
            <w:tcW w:w="1559" w:type="dxa"/>
            <w:shd w:val="clear" w:color="auto" w:fill="auto"/>
            <w:noWrap/>
            <w:vAlign w:val="center"/>
          </w:tcPr>
          <w:p>
            <w:pPr>
              <w:jc w:val="right"/>
            </w:pPr>
            <w:r>
              <w:t>5 092,50</w:t>
            </w:r>
          </w:p>
        </w:tc>
        <w:tc>
          <w:tcPr>
            <w:tcW w:w="1560" w:type="dxa"/>
            <w:shd w:val="clear" w:color="auto" w:fill="auto"/>
            <w:noWrap/>
            <w:vAlign w:val="center"/>
          </w:tcPr>
          <w:p>
            <w:pPr>
              <w:jc w:val="right"/>
              <w:rPr>
                <w:highlight w:val="yellow"/>
              </w:rPr>
            </w:pPr>
            <w:r>
              <w:t>5 039,65</w:t>
            </w:r>
          </w:p>
        </w:tc>
        <w:tc>
          <w:tcPr>
            <w:tcW w:w="1559" w:type="dxa"/>
            <w:shd w:val="clear" w:color="auto" w:fill="auto"/>
            <w:noWrap/>
            <w:vAlign w:val="center"/>
          </w:tcPr>
          <w:p>
            <w:pPr>
              <w:jc w:val="right"/>
            </w:pPr>
            <w:r>
              <w:t>99,0</w:t>
            </w:r>
          </w:p>
        </w:tc>
      </w:tr>
      <w:tr>
        <w:trPr>
          <w:trHeight w:val="255"/>
        </w:trPr>
        <w:tc>
          <w:tcPr>
            <w:tcW w:w="441" w:type="dxa"/>
            <w:shd w:val="clear" w:color="auto" w:fill="auto"/>
            <w:noWrap/>
            <w:vAlign w:val="center"/>
          </w:tcPr>
          <w:p>
            <w:pPr>
              <w:jc w:val="center"/>
            </w:pPr>
          </w:p>
        </w:tc>
        <w:tc>
          <w:tcPr>
            <w:tcW w:w="4252" w:type="dxa"/>
            <w:shd w:val="clear" w:color="auto" w:fill="auto"/>
            <w:vAlign w:val="center"/>
          </w:tcPr>
          <w:p>
            <w:r>
              <w:t xml:space="preserve">Всего по программам </w:t>
            </w:r>
          </w:p>
        </w:tc>
        <w:tc>
          <w:tcPr>
            <w:tcW w:w="1559" w:type="dxa"/>
            <w:shd w:val="clear" w:color="auto" w:fill="auto"/>
            <w:noWrap/>
            <w:vAlign w:val="center"/>
          </w:tcPr>
          <w:p>
            <w:pPr>
              <w:jc w:val="right"/>
            </w:pPr>
            <w:r>
              <w:t>141 440,98</w:t>
            </w:r>
          </w:p>
        </w:tc>
        <w:tc>
          <w:tcPr>
            <w:tcW w:w="1560" w:type="dxa"/>
            <w:shd w:val="clear" w:color="auto" w:fill="auto"/>
            <w:noWrap/>
            <w:vAlign w:val="center"/>
          </w:tcPr>
          <w:p>
            <w:pPr>
              <w:jc w:val="right"/>
            </w:pPr>
            <w:r>
              <w:t>139 611,56</w:t>
            </w:r>
          </w:p>
        </w:tc>
        <w:tc>
          <w:tcPr>
            <w:tcW w:w="1559" w:type="dxa"/>
            <w:shd w:val="clear" w:color="auto" w:fill="auto"/>
            <w:noWrap/>
            <w:vAlign w:val="center"/>
          </w:tcPr>
          <w:p>
            <w:pPr>
              <w:jc w:val="right"/>
            </w:pPr>
            <w:r>
              <w:t>98,7</w:t>
            </w:r>
          </w:p>
        </w:tc>
      </w:tr>
    </w:tbl>
    <w:p>
      <w:pPr>
        <w:pStyle w:val="31"/>
        <w:tabs>
          <w:tab w:val="clear" w:pos="5529"/>
        </w:tabs>
        <w:ind w:right="0" w:firstLine="709"/>
        <w:rPr>
          <w:sz w:val="24"/>
          <w:szCs w:val="24"/>
        </w:rPr>
      </w:pPr>
    </w:p>
    <w:p>
      <w:pPr>
        <w:pStyle w:val="31"/>
        <w:tabs>
          <w:tab w:val="clear" w:pos="5529"/>
        </w:tabs>
        <w:ind w:right="0" w:firstLine="709"/>
        <w:rPr>
          <w:sz w:val="24"/>
          <w:szCs w:val="24"/>
        </w:rPr>
      </w:pPr>
      <w:r>
        <w:rPr>
          <w:sz w:val="24"/>
          <w:szCs w:val="24"/>
        </w:rPr>
        <w:t xml:space="preserve">Всего за 2020 год расходы по </w:t>
      </w:r>
      <w:r>
        <w:rPr>
          <w:spacing w:val="-4"/>
          <w:sz w:val="24"/>
          <w:szCs w:val="24"/>
        </w:rPr>
        <w:t>непрограммным мероприятиям Администрации ЗАТО Северск составили 219 745,65 тыс.руб., из них:</w:t>
      </w:r>
    </w:p>
    <w:p>
      <w:pPr>
        <w:pStyle w:val="31"/>
        <w:tabs>
          <w:tab w:val="clear" w:pos="5529"/>
        </w:tabs>
        <w:ind w:right="0" w:firstLine="709"/>
        <w:rPr>
          <w:spacing w:val="-4"/>
          <w:sz w:val="24"/>
          <w:szCs w:val="24"/>
        </w:rPr>
      </w:pPr>
      <w:r>
        <w:rPr>
          <w:spacing w:val="-4"/>
          <w:sz w:val="24"/>
          <w:szCs w:val="24"/>
        </w:rPr>
        <w:t>1) на обеспечение деятельности Администрации ЗАТО Северск - 172 462,49 тыс.руб., из них:</w:t>
      </w:r>
    </w:p>
    <w:p>
      <w:pPr>
        <w:pStyle w:val="31"/>
        <w:tabs>
          <w:tab w:val="clear" w:pos="5529"/>
        </w:tabs>
        <w:ind w:right="0" w:firstLine="709"/>
        <w:jc w:val="left"/>
        <w:rPr>
          <w:sz w:val="24"/>
          <w:szCs w:val="24"/>
        </w:rPr>
      </w:pPr>
      <w:r>
        <w:rPr>
          <w:spacing w:val="-4"/>
          <w:sz w:val="24"/>
          <w:szCs w:val="24"/>
        </w:rPr>
        <w:t xml:space="preserve">- 145 772,46 тыс.руб. </w:t>
      </w:r>
      <w:r>
        <w:rPr>
          <w:sz w:val="24"/>
          <w:szCs w:val="24"/>
        </w:rPr>
        <w:t>на заработную плату с начислениями;</w:t>
      </w:r>
    </w:p>
    <w:p>
      <w:pPr>
        <w:pStyle w:val="31"/>
        <w:tabs>
          <w:tab w:val="clear" w:pos="5529"/>
        </w:tabs>
        <w:ind w:right="0" w:firstLine="709"/>
        <w:rPr>
          <w:sz w:val="24"/>
          <w:szCs w:val="24"/>
        </w:rPr>
      </w:pPr>
      <w:r>
        <w:rPr>
          <w:sz w:val="24"/>
          <w:szCs w:val="24"/>
        </w:rPr>
        <w:t>- 10 263,21 тыс.руб. на оплату услуг по комплексному обслуживанию зданий, уборке и вывозу снега, наледи, техническому обслуживанию автотранспорта, сопровождению программного обеспечения, охране зданий, погрузо-разгрузочным работам, проведение текущих ремонтов кабинетов;</w:t>
      </w:r>
    </w:p>
    <w:p>
      <w:pPr>
        <w:pStyle w:val="31"/>
        <w:tabs>
          <w:tab w:val="clear" w:pos="5529"/>
        </w:tabs>
        <w:ind w:right="0" w:firstLine="709"/>
        <w:rPr>
          <w:sz w:val="24"/>
          <w:szCs w:val="24"/>
        </w:rPr>
      </w:pPr>
      <w:r>
        <w:rPr>
          <w:sz w:val="24"/>
          <w:szCs w:val="24"/>
        </w:rPr>
        <w:t>- 5 868,10 тыс.руб. на приобретение материальных запасов;</w:t>
      </w:r>
    </w:p>
    <w:p>
      <w:pPr>
        <w:pStyle w:val="31"/>
        <w:tabs>
          <w:tab w:val="clear" w:pos="5529"/>
        </w:tabs>
        <w:ind w:right="0" w:firstLine="709"/>
        <w:jc w:val="left"/>
        <w:rPr>
          <w:sz w:val="24"/>
          <w:szCs w:val="24"/>
        </w:rPr>
      </w:pPr>
      <w:r>
        <w:rPr>
          <w:sz w:val="24"/>
          <w:szCs w:val="24"/>
        </w:rPr>
        <w:t>- 4 065,39 тыс.руб. на оплату коммунальных услуг;</w:t>
      </w:r>
    </w:p>
    <w:p>
      <w:pPr>
        <w:pStyle w:val="31"/>
        <w:tabs>
          <w:tab w:val="clear" w:pos="5529"/>
        </w:tabs>
        <w:ind w:right="0" w:firstLine="709"/>
        <w:jc w:val="left"/>
        <w:rPr>
          <w:sz w:val="24"/>
          <w:szCs w:val="24"/>
        </w:rPr>
      </w:pPr>
      <w:r>
        <w:rPr>
          <w:sz w:val="24"/>
          <w:szCs w:val="24"/>
        </w:rPr>
        <w:t>- 341,37 тыс.руб. на командировочные расходы;</w:t>
      </w:r>
    </w:p>
    <w:p>
      <w:pPr>
        <w:pStyle w:val="31"/>
        <w:tabs>
          <w:tab w:val="clear" w:pos="5529"/>
        </w:tabs>
        <w:ind w:right="0" w:firstLine="709"/>
        <w:jc w:val="left"/>
        <w:rPr>
          <w:sz w:val="24"/>
          <w:szCs w:val="24"/>
        </w:rPr>
      </w:pPr>
      <w:r>
        <w:rPr>
          <w:sz w:val="24"/>
          <w:szCs w:val="24"/>
        </w:rPr>
        <w:t>- 308,22 тыс.руб. на выплату пособия, компенсации при сокращении (1 шт.ед.),</w:t>
      </w:r>
    </w:p>
    <w:p>
      <w:pPr>
        <w:pStyle w:val="31"/>
        <w:tabs>
          <w:tab w:val="clear" w:pos="5529"/>
        </w:tabs>
        <w:ind w:right="0" w:firstLine="709"/>
        <w:rPr>
          <w:sz w:val="24"/>
        </w:rPr>
      </w:pPr>
      <w:r>
        <w:rPr>
          <w:sz w:val="24"/>
          <w:szCs w:val="24"/>
        </w:rPr>
        <w:t xml:space="preserve">2) </w:t>
      </w:r>
      <w:r>
        <w:rPr>
          <w:sz w:val="24"/>
        </w:rPr>
        <w:t>выплату однократного единовременного поощрения в связи с прекращением муниципальной службы - 1 925,47 тыс.руб. (3 чел.);</w:t>
      </w:r>
    </w:p>
    <w:p>
      <w:pPr>
        <w:pStyle w:val="31"/>
        <w:tabs>
          <w:tab w:val="clear" w:pos="5529"/>
        </w:tabs>
        <w:ind w:right="0" w:firstLine="709"/>
        <w:jc w:val="left"/>
        <w:rPr>
          <w:sz w:val="24"/>
        </w:rPr>
      </w:pPr>
      <w:r>
        <w:rPr>
          <w:sz w:val="24"/>
        </w:rPr>
        <w:t>3) обеспечение деятельности МКУ «Ресурсный центр» - 5 562,67 тыс.руб.;</w:t>
      </w:r>
    </w:p>
    <w:p>
      <w:pPr>
        <w:pStyle w:val="31"/>
        <w:tabs>
          <w:tab w:val="clear" w:pos="5529"/>
        </w:tabs>
        <w:ind w:right="0" w:firstLine="709"/>
        <w:rPr>
          <w:sz w:val="24"/>
          <w:szCs w:val="24"/>
        </w:rPr>
      </w:pPr>
      <w:r>
        <w:rPr>
          <w:sz w:val="24"/>
        </w:rPr>
        <w:t>4) </w:t>
      </w:r>
      <w:r>
        <w:rPr>
          <w:sz w:val="24"/>
          <w:szCs w:val="24"/>
        </w:rPr>
        <w:t>проведение выборов депутатов четвертого созыва в Думу ЗАТО Северск - 18 244,50 тыс.руб.;</w:t>
      </w:r>
    </w:p>
    <w:p>
      <w:pPr>
        <w:pStyle w:val="31"/>
        <w:tabs>
          <w:tab w:val="clear" w:pos="5529"/>
        </w:tabs>
        <w:ind w:right="0" w:firstLine="709"/>
        <w:rPr>
          <w:sz w:val="24"/>
          <w:szCs w:val="24"/>
        </w:rPr>
      </w:pPr>
      <w:r>
        <w:rPr>
          <w:sz w:val="24"/>
          <w:szCs w:val="24"/>
        </w:rPr>
        <w:t>5) информационные расходы органа местного самоуправления - 13 149,17 тыс.руб.;</w:t>
      </w:r>
    </w:p>
    <w:p>
      <w:pPr>
        <w:pStyle w:val="31"/>
        <w:tabs>
          <w:tab w:val="clear" w:pos="5529"/>
        </w:tabs>
        <w:ind w:right="0" w:firstLine="709"/>
        <w:rPr>
          <w:sz w:val="24"/>
          <w:szCs w:val="24"/>
        </w:rPr>
      </w:pPr>
      <w:r>
        <w:rPr>
          <w:sz w:val="24"/>
          <w:szCs w:val="24"/>
        </w:rPr>
        <w:t>6) единовременные поощрительные выплаты - 740,0 тыс.руб. (награждено 49 человек);</w:t>
      </w:r>
    </w:p>
    <w:p>
      <w:pPr>
        <w:pStyle w:val="31"/>
        <w:tabs>
          <w:tab w:val="clear" w:pos="5529"/>
        </w:tabs>
        <w:ind w:right="0" w:firstLine="709"/>
        <w:rPr>
          <w:sz w:val="24"/>
          <w:szCs w:val="24"/>
        </w:rPr>
      </w:pPr>
      <w:r>
        <w:rPr>
          <w:sz w:val="24"/>
          <w:szCs w:val="24"/>
        </w:rPr>
        <w:t>7) оплату членских, целевых и других взносов для участия городского округа ЗАТО Северск в различных Ассоциациях, межмуниципальных объединениях и организациях, некоммерческих организациях - 1 259,39 тыс.руб.;</w:t>
      </w:r>
    </w:p>
    <w:p>
      <w:pPr>
        <w:autoSpaceDE w:val="0"/>
        <w:autoSpaceDN w:val="0"/>
        <w:adjustRightInd w:val="0"/>
        <w:ind w:firstLine="709"/>
        <w:jc w:val="both"/>
        <w:rPr>
          <w:sz w:val="24"/>
          <w:szCs w:val="24"/>
        </w:rPr>
      </w:pPr>
      <w:r>
        <w:rPr>
          <w:sz w:val="24"/>
          <w:szCs w:val="24"/>
        </w:rPr>
        <w:lastRenderedPageBreak/>
        <w:t>8) выплаты лицам, удостоенным звания Почетный гражданин (17 чел.), включая погребение (2 чел.)  - 2 435,51 тыс.руб.;</w:t>
      </w:r>
    </w:p>
    <w:p>
      <w:pPr>
        <w:pStyle w:val="31"/>
        <w:tabs>
          <w:tab w:val="clear" w:pos="5529"/>
        </w:tabs>
        <w:ind w:right="0" w:firstLine="709"/>
        <w:rPr>
          <w:sz w:val="24"/>
          <w:szCs w:val="24"/>
        </w:rPr>
      </w:pPr>
      <w:r>
        <w:rPr>
          <w:sz w:val="24"/>
          <w:szCs w:val="24"/>
        </w:rPr>
        <w:t>9) финансовое обеспечение мероприятий, направленных на профилактику и устранение последствий распространения коронавирусной инфекции Федеральному государственному бюджетному учреждению «Сибирский федеральный научно-клинический центр Федерального медико-биологического агентства» и Федеральному государственному бюджетному учреждению здравоохранения «Центр гигиены и эпидемиологии № 81 Федерального медико-биологического агентства» - 1 952,03 тыс.руб.;</w:t>
      </w:r>
    </w:p>
    <w:p>
      <w:pPr>
        <w:pStyle w:val="31"/>
        <w:tabs>
          <w:tab w:val="clear" w:pos="5529"/>
        </w:tabs>
        <w:ind w:right="0" w:firstLine="709"/>
        <w:rPr>
          <w:sz w:val="24"/>
          <w:szCs w:val="24"/>
        </w:rPr>
      </w:pPr>
      <w:r>
        <w:rPr>
          <w:sz w:val="24"/>
          <w:szCs w:val="24"/>
        </w:rPr>
        <w:t>10) приобретение программного обеспечения системы видео-конференц-связи и веб-камер в целях предупреждения распространения новой коронавирусной инфекции - 1 149,20 тыс.руб.</w:t>
      </w:r>
    </w:p>
    <w:p>
      <w:pPr>
        <w:pStyle w:val="3"/>
        <w:spacing w:before="0" w:after="0"/>
        <w:ind w:firstLine="709"/>
        <w:jc w:val="center"/>
        <w:rPr>
          <w:rFonts w:ascii="Times New Roman" w:hAnsi="Times New Roman" w:cs="Times New Roman"/>
          <w:sz w:val="16"/>
          <w:szCs w:val="16"/>
          <w:highlight w:val="yellow"/>
        </w:rPr>
      </w:pPr>
    </w:p>
    <w:p>
      <w:pPr>
        <w:rPr>
          <w:highlight w:val="yellow"/>
        </w:rPr>
      </w:pPr>
    </w:p>
    <w:p>
      <w:pPr>
        <w:pStyle w:val="3"/>
        <w:shd w:val="clear" w:color="auto" w:fill="FFFFFF" w:themeFill="background1"/>
        <w:spacing w:before="0" w:after="120"/>
        <w:jc w:val="center"/>
        <w:rPr>
          <w:rFonts w:ascii="Times New Roman" w:hAnsi="Times New Roman" w:cs="Times New Roman"/>
          <w:sz w:val="24"/>
          <w:szCs w:val="24"/>
        </w:rPr>
      </w:pPr>
      <w:r>
        <w:rPr>
          <w:rFonts w:ascii="Times New Roman" w:hAnsi="Times New Roman" w:cs="Times New Roman"/>
          <w:sz w:val="24"/>
          <w:szCs w:val="24"/>
        </w:rPr>
        <w:t>4.2.3. Финансовое управление Администрации ЗАТО Северск</w:t>
      </w:r>
    </w:p>
    <w:p>
      <w:pPr>
        <w:shd w:val="clear" w:color="auto" w:fill="FFFFFF" w:themeFill="background1"/>
        <w:ind w:firstLine="709"/>
        <w:jc w:val="both"/>
        <w:rPr>
          <w:sz w:val="24"/>
          <w:szCs w:val="24"/>
        </w:rPr>
      </w:pPr>
      <w:r>
        <w:rPr>
          <w:sz w:val="24"/>
          <w:szCs w:val="24"/>
        </w:rPr>
        <w:t xml:space="preserve">Кассовое исполнение расходов за 2020 год составило 38 770,70 тыс.руб. или 86 %    к утвержденным годовым назначениям. </w:t>
      </w:r>
    </w:p>
    <w:p>
      <w:pPr>
        <w:shd w:val="clear" w:color="auto" w:fill="FFFFFF" w:themeFill="background1"/>
        <w:ind w:firstLine="709"/>
        <w:jc w:val="both"/>
        <w:rPr>
          <w:sz w:val="24"/>
          <w:szCs w:val="24"/>
        </w:rPr>
      </w:pPr>
      <w:r>
        <w:rPr>
          <w:sz w:val="24"/>
          <w:szCs w:val="24"/>
        </w:rPr>
        <w:t xml:space="preserve">В общей структуре расходов удельный вес расходов, подведомственных Финансовому управлению составил 0,6%. </w:t>
      </w:r>
    </w:p>
    <w:p>
      <w:pPr>
        <w:shd w:val="clear" w:color="auto" w:fill="FFFFFF" w:themeFill="background1"/>
        <w:ind w:right="55" w:firstLine="708"/>
        <w:jc w:val="both"/>
        <w:rPr>
          <w:spacing w:val="-4"/>
          <w:sz w:val="24"/>
          <w:szCs w:val="24"/>
        </w:rPr>
      </w:pPr>
      <w:r>
        <w:rPr>
          <w:sz w:val="24"/>
          <w:szCs w:val="24"/>
        </w:rPr>
        <w:t xml:space="preserve">Исполнение расходов по программно-целевому принципу в рамках муниципальной программы </w:t>
      </w:r>
      <w:r>
        <w:rPr>
          <w:bCs/>
          <w:sz w:val="24"/>
          <w:szCs w:val="24"/>
        </w:rPr>
        <w:t xml:space="preserve">«Эффективное управление муниципальными финансами ЗАТО Северск» </w:t>
      </w:r>
      <w:r>
        <w:rPr>
          <w:sz w:val="24"/>
          <w:szCs w:val="24"/>
        </w:rPr>
        <w:t>составило 38 770,70 тыс.руб., что составляет 100 % от общей суммы расходов управления.</w:t>
      </w:r>
    </w:p>
    <w:p>
      <w:pPr>
        <w:shd w:val="clear" w:color="auto" w:fill="FFFFFF" w:themeFill="background1"/>
        <w:spacing w:line="274" w:lineRule="exact"/>
        <w:ind w:left="6" w:right="68" w:firstLine="697"/>
        <w:jc w:val="both"/>
        <w:rPr>
          <w:sz w:val="24"/>
          <w:szCs w:val="24"/>
        </w:rPr>
      </w:pPr>
      <w:r>
        <w:rPr>
          <w:sz w:val="24"/>
          <w:szCs w:val="24"/>
        </w:rPr>
        <w:t>Расходы на обслуживание долга в 2020 году при плане 16 719,32 тыс.руб., составили 11 354,18 тыс.руб. Исполнение в меньшем объеме обусловлено предпринятыми мерами по досрочному погашению коммерческого кредита.</w:t>
      </w:r>
    </w:p>
    <w:p>
      <w:pPr>
        <w:pStyle w:val="31"/>
        <w:tabs>
          <w:tab w:val="clear" w:pos="5529"/>
          <w:tab w:val="left" w:pos="709"/>
        </w:tabs>
        <w:ind w:right="0"/>
        <w:rPr>
          <w:spacing w:val="-4"/>
          <w:sz w:val="24"/>
          <w:szCs w:val="24"/>
          <w:highlight w:val="yellow"/>
        </w:rPr>
      </w:pPr>
    </w:p>
    <w:p>
      <w:pPr>
        <w:pStyle w:val="3"/>
        <w:spacing w:before="0" w:after="120"/>
        <w:ind w:right="28"/>
        <w:jc w:val="center"/>
        <w:rPr>
          <w:rFonts w:ascii="Times New Roman" w:hAnsi="Times New Roman" w:cs="Times New Roman"/>
          <w:sz w:val="24"/>
          <w:szCs w:val="24"/>
        </w:rPr>
      </w:pPr>
      <w:r>
        <w:rPr>
          <w:rFonts w:ascii="Times New Roman" w:hAnsi="Times New Roman" w:cs="Times New Roman"/>
          <w:sz w:val="24"/>
          <w:szCs w:val="24"/>
        </w:rPr>
        <w:t>4.2.4. Управление культуры Администрации ЗАТО Северск</w:t>
      </w:r>
    </w:p>
    <w:p>
      <w:pPr>
        <w:spacing w:before="120"/>
        <w:ind w:firstLine="709"/>
        <w:jc w:val="both"/>
        <w:rPr>
          <w:sz w:val="24"/>
          <w:szCs w:val="24"/>
        </w:rPr>
      </w:pPr>
      <w:r>
        <w:rPr>
          <w:sz w:val="24"/>
          <w:szCs w:val="24"/>
        </w:rPr>
        <w:t>Кассовое исполнение расходов за 2020 год составило 537 336,77 тыс.руб. или 99,4% к утвержденным годовым назначениям.</w:t>
      </w:r>
    </w:p>
    <w:p>
      <w:pPr>
        <w:pStyle w:val="31"/>
        <w:ind w:right="0" w:firstLine="709"/>
        <w:rPr>
          <w:sz w:val="24"/>
          <w:szCs w:val="24"/>
        </w:rPr>
      </w:pPr>
      <w:r>
        <w:rPr>
          <w:sz w:val="24"/>
          <w:szCs w:val="24"/>
        </w:rPr>
        <w:t xml:space="preserve">В общей структуре произведенных расходов удельный вес расходов, подведомственных Управлению культуры Администрации ЗАТО Северск, составил 11,4%. </w:t>
      </w:r>
    </w:p>
    <w:p>
      <w:pPr>
        <w:ind w:firstLine="709"/>
        <w:jc w:val="both"/>
        <w:rPr>
          <w:sz w:val="24"/>
          <w:szCs w:val="24"/>
        </w:rPr>
      </w:pPr>
      <w:r>
        <w:rPr>
          <w:sz w:val="24"/>
          <w:szCs w:val="24"/>
        </w:rPr>
        <w:t xml:space="preserve">Управлением культуры Администрации ЗАТО Северск за 2020 год </w:t>
      </w:r>
      <w:r>
        <w:rPr>
          <w:spacing w:val="-4"/>
          <w:sz w:val="24"/>
          <w:szCs w:val="24"/>
        </w:rPr>
        <w:t xml:space="preserve">исполнены </w:t>
      </w:r>
      <w:r>
        <w:rPr>
          <w:spacing w:val="-4"/>
          <w:sz w:val="24"/>
          <w:szCs w:val="24"/>
        </w:rPr>
        <w:br/>
        <w:t>2 муниципальные программы на общую сумму 537 039,76 тыс.руб. или 99,4</w:t>
      </w:r>
      <w:r>
        <w:rPr>
          <w:sz w:val="24"/>
          <w:szCs w:val="24"/>
        </w:rPr>
        <w:t xml:space="preserve">% </w:t>
      </w:r>
      <w:r>
        <w:rPr>
          <w:sz w:val="24"/>
          <w:szCs w:val="24"/>
        </w:rPr>
        <w:br/>
        <w:t>к утвержденным годовым назначениям.</w:t>
      </w:r>
    </w:p>
    <w:p>
      <w:pPr>
        <w:spacing w:before="120" w:after="60"/>
        <w:ind w:right="57" w:firstLine="709"/>
        <w:jc w:val="both"/>
        <w:rPr>
          <w:spacing w:val="-4"/>
          <w:sz w:val="24"/>
          <w:szCs w:val="24"/>
        </w:rPr>
      </w:pPr>
      <w:r>
        <w:rPr>
          <w:bCs/>
          <w:sz w:val="24"/>
          <w:szCs w:val="24"/>
        </w:rPr>
        <w:t>Таблица 48.</w:t>
      </w:r>
      <w:r>
        <w:rPr>
          <w:spacing w:val="-4"/>
          <w:sz w:val="24"/>
          <w:szCs w:val="24"/>
        </w:rPr>
        <w:t xml:space="preserve"> Анализ расходов Управления культуры в разрезе муниципальных программ</w:t>
      </w:r>
    </w:p>
    <w:tbl>
      <w:tblPr>
        <w:tblW w:w="9640" w:type="dxa"/>
        <w:tblInd w:w="-34" w:type="dxa"/>
        <w:tblLayout w:type="fixed"/>
        <w:tblLook w:val="04A0" w:firstRow="1" w:lastRow="0" w:firstColumn="1" w:lastColumn="0" w:noHBand="0" w:noVBand="1"/>
      </w:tblPr>
      <w:tblGrid>
        <w:gridCol w:w="567"/>
        <w:gridCol w:w="4537"/>
        <w:gridCol w:w="1559"/>
        <w:gridCol w:w="1559"/>
        <w:gridCol w:w="1418"/>
      </w:tblGrid>
      <w:tr>
        <w:trPr>
          <w:trHeight w:val="100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rPr>
                <w:lang w:val="en-US"/>
              </w:rPr>
              <w:t xml:space="preserve">№ </w:t>
            </w:r>
            <w:r>
              <w:t>п/п</w:t>
            </w:r>
          </w:p>
        </w:tc>
        <w:tc>
          <w:tcPr>
            <w:tcW w:w="4537"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Наименование программы</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center"/>
            </w:pPr>
            <w:r>
              <w:t>Уточненный план 2020 г., тыс.руб.</w:t>
            </w:r>
          </w:p>
        </w:tc>
        <w:tc>
          <w:tcPr>
            <w:tcW w:w="1559" w:type="dxa"/>
            <w:tcBorders>
              <w:top w:val="single" w:sz="4" w:space="0" w:color="auto"/>
              <w:left w:val="nil"/>
              <w:bottom w:val="single" w:sz="4" w:space="0" w:color="auto"/>
              <w:right w:val="single" w:sz="4" w:space="0" w:color="auto"/>
            </w:tcBorders>
            <w:shd w:val="clear" w:color="auto" w:fill="auto"/>
            <w:vAlign w:val="center"/>
          </w:tcPr>
          <w:p>
            <w:pPr>
              <w:ind w:right="-42"/>
              <w:jc w:val="center"/>
            </w:pPr>
            <w:r>
              <w:t xml:space="preserve">Исполнено </w:t>
            </w:r>
          </w:p>
          <w:p>
            <w:pPr>
              <w:ind w:right="-42"/>
              <w:jc w:val="center"/>
            </w:pPr>
            <w:r>
              <w:t>за 2020 г., тыс.руб.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 xml:space="preserve">Процент исполнения </w:t>
            </w:r>
          </w:p>
          <w:p>
            <w:pPr>
              <w:jc w:val="center"/>
            </w:pPr>
            <w:r>
              <w:t>к плану</w:t>
            </w:r>
            <w:r>
              <w:br/>
              <w:t xml:space="preserve"> 2020 г.</w:t>
            </w:r>
          </w:p>
        </w:tc>
      </w:tr>
      <w:tr>
        <w:trPr>
          <w:trHeight w:val="524"/>
        </w:trPr>
        <w:tc>
          <w:tcPr>
            <w:tcW w:w="567" w:type="dxa"/>
            <w:tcBorders>
              <w:top w:val="nil"/>
              <w:left w:val="single" w:sz="4" w:space="0" w:color="auto"/>
              <w:bottom w:val="single" w:sz="4" w:space="0" w:color="auto"/>
              <w:right w:val="single" w:sz="4" w:space="0" w:color="auto"/>
            </w:tcBorders>
            <w:shd w:val="clear" w:color="auto" w:fill="auto"/>
            <w:noWrap/>
            <w:vAlign w:val="center"/>
          </w:tcPr>
          <w:p>
            <w:pPr>
              <w:jc w:val="center"/>
              <w:rPr>
                <w:bCs/>
              </w:rPr>
            </w:pPr>
            <w:r>
              <w:rPr>
                <w:bCs/>
              </w:rPr>
              <w:t>1.</w:t>
            </w:r>
          </w:p>
          <w:p>
            <w:pPr>
              <w:jc w:val="center"/>
              <w:rPr>
                <w:bCs/>
              </w:rPr>
            </w:pPr>
          </w:p>
        </w:tc>
        <w:tc>
          <w:tcPr>
            <w:tcW w:w="4537" w:type="dxa"/>
            <w:tcBorders>
              <w:top w:val="nil"/>
              <w:left w:val="nil"/>
              <w:bottom w:val="single" w:sz="4" w:space="0" w:color="auto"/>
              <w:right w:val="nil"/>
            </w:tcBorders>
            <w:shd w:val="clear" w:color="auto" w:fill="auto"/>
            <w:vAlign w:val="center"/>
          </w:tcPr>
          <w:p>
            <w:pPr>
              <w:rPr>
                <w:bCs/>
              </w:rPr>
            </w:pPr>
            <w:r>
              <w:t xml:space="preserve">МП </w:t>
            </w:r>
            <w:r>
              <w:rPr>
                <w:bCs/>
              </w:rPr>
              <w:t xml:space="preserve">«Развитие культуры и туризма в ЗАТО Северск» </w:t>
            </w:r>
          </w:p>
        </w:tc>
        <w:tc>
          <w:tcPr>
            <w:tcW w:w="1559" w:type="dxa"/>
            <w:tcBorders>
              <w:top w:val="nil"/>
              <w:left w:val="single" w:sz="4" w:space="0" w:color="auto"/>
              <w:bottom w:val="single" w:sz="4" w:space="0" w:color="auto"/>
              <w:right w:val="single" w:sz="4" w:space="0" w:color="auto"/>
            </w:tcBorders>
            <w:shd w:val="clear" w:color="auto" w:fill="auto"/>
            <w:noWrap/>
            <w:vAlign w:val="center"/>
          </w:tcPr>
          <w:p>
            <w:pPr>
              <w:jc w:val="right"/>
            </w:pPr>
            <w:r>
              <w:t>535 176,28</w:t>
            </w:r>
          </w:p>
        </w:tc>
        <w:tc>
          <w:tcPr>
            <w:tcW w:w="1559" w:type="dxa"/>
            <w:tcBorders>
              <w:top w:val="nil"/>
              <w:left w:val="nil"/>
              <w:bottom w:val="single" w:sz="4" w:space="0" w:color="auto"/>
              <w:right w:val="single" w:sz="4" w:space="0" w:color="auto"/>
            </w:tcBorders>
            <w:shd w:val="clear" w:color="auto" w:fill="auto"/>
            <w:noWrap/>
            <w:vAlign w:val="center"/>
          </w:tcPr>
          <w:p>
            <w:pPr>
              <w:jc w:val="right"/>
            </w:pPr>
            <w:r>
              <w:t>532 039,85</w:t>
            </w:r>
          </w:p>
        </w:tc>
        <w:tc>
          <w:tcPr>
            <w:tcW w:w="1418" w:type="dxa"/>
            <w:tcBorders>
              <w:top w:val="nil"/>
              <w:left w:val="nil"/>
              <w:bottom w:val="single" w:sz="4" w:space="0" w:color="auto"/>
              <w:right w:val="single" w:sz="4" w:space="0" w:color="auto"/>
            </w:tcBorders>
            <w:shd w:val="clear" w:color="auto" w:fill="auto"/>
            <w:noWrap/>
            <w:vAlign w:val="center"/>
          </w:tcPr>
          <w:p>
            <w:pPr>
              <w:jc w:val="right"/>
            </w:pPr>
            <w:r>
              <w:t>99,4</w:t>
            </w:r>
          </w:p>
        </w:tc>
      </w:tr>
      <w:tr>
        <w:trPr>
          <w:trHeight w:val="5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right="-160" w:hanging="108"/>
              <w:jc w:val="center"/>
            </w:pPr>
            <w:r>
              <w:t>2.</w:t>
            </w:r>
          </w:p>
        </w:tc>
        <w:tc>
          <w:tcPr>
            <w:tcW w:w="4537" w:type="dxa"/>
            <w:tcBorders>
              <w:top w:val="single" w:sz="4" w:space="0" w:color="auto"/>
              <w:left w:val="nil"/>
              <w:bottom w:val="single" w:sz="4" w:space="0" w:color="auto"/>
              <w:right w:val="single" w:sz="4" w:space="0" w:color="auto"/>
            </w:tcBorders>
            <w:shd w:val="clear" w:color="auto" w:fill="auto"/>
            <w:vAlign w:val="center"/>
          </w:tcPr>
          <w:p>
            <w:r>
              <w:t xml:space="preserve">МП «Обеспечение безопасности населения на территории ЗАТО Северск» </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5 000,00</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4 999,91</w:t>
            </w:r>
          </w:p>
        </w:tc>
        <w:tc>
          <w:tcPr>
            <w:tcW w:w="1418" w:type="dxa"/>
            <w:tcBorders>
              <w:top w:val="single" w:sz="4" w:space="0" w:color="auto"/>
              <w:left w:val="nil"/>
              <w:bottom w:val="single" w:sz="4" w:space="0" w:color="auto"/>
              <w:right w:val="single" w:sz="4" w:space="0" w:color="auto"/>
            </w:tcBorders>
            <w:shd w:val="clear" w:color="auto" w:fill="auto"/>
            <w:noWrap/>
            <w:vAlign w:val="center"/>
          </w:tcPr>
          <w:p>
            <w:pPr>
              <w:jc w:val="right"/>
            </w:pPr>
            <w:r>
              <w:t>100,0</w:t>
            </w:r>
          </w:p>
        </w:tc>
      </w:tr>
      <w:tr>
        <w:trPr>
          <w:trHeight w:val="5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right="-160" w:hanging="108"/>
              <w:jc w:val="center"/>
            </w:pPr>
          </w:p>
        </w:tc>
        <w:tc>
          <w:tcPr>
            <w:tcW w:w="4537" w:type="dxa"/>
            <w:tcBorders>
              <w:top w:val="single" w:sz="4" w:space="0" w:color="auto"/>
              <w:left w:val="nil"/>
              <w:bottom w:val="single" w:sz="4" w:space="0" w:color="auto"/>
              <w:right w:val="single" w:sz="4" w:space="0" w:color="auto"/>
            </w:tcBorders>
            <w:shd w:val="clear" w:color="auto" w:fill="auto"/>
            <w:vAlign w:val="center"/>
          </w:tcPr>
          <w:p>
            <w:r>
              <w:t xml:space="preserve">Всего по программам </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540 176,28</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537 039,76</w:t>
            </w:r>
          </w:p>
        </w:tc>
        <w:tc>
          <w:tcPr>
            <w:tcW w:w="1418" w:type="dxa"/>
            <w:tcBorders>
              <w:top w:val="single" w:sz="4" w:space="0" w:color="auto"/>
              <w:left w:val="nil"/>
              <w:bottom w:val="single" w:sz="4" w:space="0" w:color="auto"/>
              <w:right w:val="single" w:sz="4" w:space="0" w:color="auto"/>
            </w:tcBorders>
            <w:shd w:val="clear" w:color="auto" w:fill="auto"/>
            <w:noWrap/>
            <w:vAlign w:val="center"/>
          </w:tcPr>
          <w:p>
            <w:pPr>
              <w:jc w:val="right"/>
            </w:pPr>
            <w:r>
              <w:t>99,4</w:t>
            </w:r>
          </w:p>
        </w:tc>
      </w:tr>
    </w:tbl>
    <w:p>
      <w:pPr>
        <w:pStyle w:val="31"/>
        <w:spacing w:before="120"/>
        <w:ind w:right="0" w:firstLine="709"/>
        <w:rPr>
          <w:spacing w:val="-4"/>
          <w:sz w:val="24"/>
          <w:szCs w:val="24"/>
        </w:rPr>
      </w:pPr>
      <w:r>
        <w:rPr>
          <w:sz w:val="24"/>
          <w:szCs w:val="24"/>
        </w:rPr>
        <w:t xml:space="preserve">Управлением культуры Администрации ЗАТО Северск 2020 год </w:t>
      </w:r>
      <w:r>
        <w:rPr>
          <w:spacing w:val="-4"/>
          <w:sz w:val="24"/>
          <w:szCs w:val="24"/>
        </w:rPr>
        <w:t>исполнены непрограммные мероприятия на сумму 297,00 тыс.руб. за счет средств областного бюджета. Средства резервного фонда ФНР Администрации Томской области были направлены на укрепление материально-технической базы муниципальных учреждений, в отношении которых Управление культуры выступает учредителем.</w:t>
      </w:r>
    </w:p>
    <w:p>
      <w:pPr>
        <w:spacing w:before="120" w:after="120"/>
        <w:ind w:firstLine="709"/>
        <w:jc w:val="both"/>
        <w:rPr>
          <w:sz w:val="24"/>
          <w:szCs w:val="24"/>
        </w:rPr>
      </w:pPr>
      <w:r>
        <w:rPr>
          <w:sz w:val="24"/>
          <w:szCs w:val="24"/>
        </w:rPr>
        <w:lastRenderedPageBreak/>
        <w:t>В разрезе разделов исполнение расходов осуществлялось по двум направлениям.</w:t>
      </w:r>
    </w:p>
    <w:p>
      <w:pPr>
        <w:spacing w:after="60"/>
        <w:ind w:firstLine="709"/>
        <w:jc w:val="both"/>
        <w:rPr>
          <w:sz w:val="24"/>
          <w:szCs w:val="24"/>
        </w:rPr>
      </w:pPr>
      <w:r>
        <w:rPr>
          <w:sz w:val="24"/>
          <w:szCs w:val="24"/>
        </w:rPr>
        <w:t xml:space="preserve">Таблица 49. Расходы </w:t>
      </w:r>
      <w:r>
        <w:rPr>
          <w:spacing w:val="-4"/>
          <w:sz w:val="24"/>
          <w:szCs w:val="24"/>
        </w:rPr>
        <w:t>Управления культуры</w:t>
      </w:r>
      <w:r>
        <w:rPr>
          <w:sz w:val="24"/>
          <w:szCs w:val="24"/>
        </w:rPr>
        <w:t xml:space="preserve"> по разделам за 2020 год </w:t>
      </w:r>
    </w:p>
    <w:tbl>
      <w:tblPr>
        <w:tblW w:w="9606" w:type="dxa"/>
        <w:tblLayout w:type="fixed"/>
        <w:tblLook w:val="04A0" w:firstRow="1" w:lastRow="0" w:firstColumn="1" w:lastColumn="0" w:noHBand="0" w:noVBand="1"/>
      </w:tblPr>
      <w:tblGrid>
        <w:gridCol w:w="709"/>
        <w:gridCol w:w="4361"/>
        <w:gridCol w:w="1559"/>
        <w:gridCol w:w="1559"/>
        <w:gridCol w:w="1418"/>
      </w:tblGrid>
      <w:tr>
        <w:trPr>
          <w:trHeight w:val="905"/>
        </w:trPr>
        <w:tc>
          <w:tcPr>
            <w:tcW w:w="709" w:type="dxa"/>
            <w:tcBorders>
              <w:top w:val="single" w:sz="4" w:space="0" w:color="auto"/>
              <w:left w:val="single" w:sz="4" w:space="0" w:color="auto"/>
              <w:right w:val="single" w:sz="4" w:space="0" w:color="auto"/>
            </w:tcBorders>
            <w:shd w:val="clear" w:color="auto" w:fill="auto"/>
            <w:textDirection w:val="btLr"/>
            <w:vAlign w:val="center"/>
          </w:tcPr>
          <w:p>
            <w:pPr>
              <w:jc w:val="center"/>
            </w:pPr>
            <w:r>
              <w:t>Раздел, подраздел</w:t>
            </w:r>
          </w:p>
        </w:tc>
        <w:tc>
          <w:tcPr>
            <w:tcW w:w="4361" w:type="dxa"/>
            <w:tcBorders>
              <w:top w:val="single" w:sz="4" w:space="0" w:color="auto"/>
              <w:left w:val="nil"/>
              <w:right w:val="single" w:sz="4" w:space="0" w:color="auto"/>
            </w:tcBorders>
            <w:shd w:val="clear" w:color="auto" w:fill="auto"/>
            <w:vAlign w:val="center"/>
          </w:tcPr>
          <w:p>
            <w:pPr>
              <w:jc w:val="center"/>
            </w:pPr>
            <w:r>
              <w:t>Наименование</w:t>
            </w:r>
          </w:p>
        </w:tc>
        <w:tc>
          <w:tcPr>
            <w:tcW w:w="1559" w:type="dxa"/>
            <w:tcBorders>
              <w:top w:val="single" w:sz="4" w:space="0" w:color="auto"/>
              <w:left w:val="nil"/>
              <w:right w:val="single" w:sz="4" w:space="0" w:color="auto"/>
            </w:tcBorders>
            <w:shd w:val="clear" w:color="auto" w:fill="auto"/>
            <w:vAlign w:val="center"/>
          </w:tcPr>
          <w:p>
            <w:pPr>
              <w:jc w:val="center"/>
            </w:pPr>
            <w:r>
              <w:t>Уточненный план 2020 г., тыс.руб.</w:t>
            </w:r>
          </w:p>
        </w:tc>
        <w:tc>
          <w:tcPr>
            <w:tcW w:w="1559" w:type="dxa"/>
            <w:tcBorders>
              <w:top w:val="single" w:sz="4" w:space="0" w:color="auto"/>
              <w:left w:val="nil"/>
              <w:right w:val="single" w:sz="4" w:space="0" w:color="auto"/>
            </w:tcBorders>
            <w:shd w:val="clear" w:color="auto" w:fill="auto"/>
            <w:vAlign w:val="center"/>
          </w:tcPr>
          <w:p>
            <w:pPr>
              <w:ind w:right="-42"/>
              <w:jc w:val="center"/>
            </w:pPr>
            <w:r>
              <w:t xml:space="preserve">Исполнено </w:t>
            </w:r>
          </w:p>
          <w:p>
            <w:pPr>
              <w:ind w:right="-42"/>
              <w:jc w:val="center"/>
            </w:pPr>
            <w:r>
              <w:t>за 2020 г., тыс.руб.</w:t>
            </w:r>
          </w:p>
        </w:tc>
        <w:tc>
          <w:tcPr>
            <w:tcW w:w="1418" w:type="dxa"/>
            <w:tcBorders>
              <w:top w:val="single" w:sz="4" w:space="0" w:color="auto"/>
              <w:left w:val="nil"/>
              <w:right w:val="single" w:sz="4" w:space="0" w:color="auto"/>
            </w:tcBorders>
            <w:vAlign w:val="center"/>
          </w:tcPr>
          <w:p>
            <w:pPr>
              <w:jc w:val="center"/>
            </w:pPr>
            <w:r>
              <w:t xml:space="preserve">Процент исполнения </w:t>
            </w:r>
          </w:p>
          <w:p>
            <w:pPr>
              <w:jc w:val="center"/>
            </w:pPr>
            <w:r>
              <w:t>к плану</w:t>
            </w:r>
            <w:r>
              <w:br/>
              <w:t xml:space="preserve"> 2020 г.</w:t>
            </w:r>
          </w:p>
        </w:tc>
      </w:tr>
      <w:tr>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p>
        </w:tc>
        <w:tc>
          <w:tcPr>
            <w:tcW w:w="4361" w:type="dxa"/>
            <w:tcBorders>
              <w:top w:val="single" w:sz="4" w:space="0" w:color="auto"/>
              <w:left w:val="nil"/>
              <w:bottom w:val="single" w:sz="4" w:space="0" w:color="auto"/>
              <w:right w:val="single" w:sz="4" w:space="0" w:color="auto"/>
            </w:tcBorders>
            <w:shd w:val="clear" w:color="auto" w:fill="auto"/>
            <w:vAlign w:val="center"/>
          </w:tcPr>
          <w:p>
            <w:pPr>
              <w:ind w:left="-363" w:firstLine="363"/>
            </w:pPr>
            <w:r>
              <w:t>Управление культуры:</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540 623,28</w:t>
            </w:r>
          </w:p>
        </w:tc>
        <w:tc>
          <w:tcPr>
            <w:tcW w:w="1559" w:type="dxa"/>
            <w:tcBorders>
              <w:top w:val="single" w:sz="4" w:space="0" w:color="auto"/>
              <w:left w:val="nil"/>
              <w:bottom w:val="single" w:sz="4" w:space="0" w:color="auto"/>
              <w:right w:val="single" w:sz="4" w:space="0" w:color="auto"/>
            </w:tcBorders>
            <w:vAlign w:val="center"/>
          </w:tcPr>
          <w:p>
            <w:pPr>
              <w:jc w:val="right"/>
            </w:pPr>
            <w:r>
              <w:t>537 336,77</w:t>
            </w:r>
          </w:p>
        </w:tc>
        <w:tc>
          <w:tcPr>
            <w:tcW w:w="1418" w:type="dxa"/>
            <w:tcBorders>
              <w:top w:val="single" w:sz="4" w:space="0" w:color="auto"/>
              <w:left w:val="nil"/>
              <w:bottom w:val="single" w:sz="4" w:space="0" w:color="auto"/>
              <w:right w:val="single" w:sz="4" w:space="0" w:color="auto"/>
            </w:tcBorders>
            <w:vAlign w:val="center"/>
          </w:tcPr>
          <w:p>
            <w:pPr>
              <w:ind w:left="-88" w:firstLine="88"/>
              <w:jc w:val="right"/>
            </w:pPr>
            <w:r>
              <w:t>99,4</w:t>
            </w:r>
          </w:p>
        </w:tc>
      </w:tr>
      <w:tr>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0700</w:t>
            </w:r>
          </w:p>
        </w:tc>
        <w:tc>
          <w:tcPr>
            <w:tcW w:w="4361" w:type="dxa"/>
            <w:tcBorders>
              <w:top w:val="single" w:sz="4" w:space="0" w:color="auto"/>
              <w:left w:val="nil"/>
              <w:bottom w:val="single" w:sz="4" w:space="0" w:color="auto"/>
              <w:right w:val="single" w:sz="4" w:space="0" w:color="auto"/>
            </w:tcBorders>
            <w:shd w:val="clear" w:color="auto" w:fill="auto"/>
            <w:vAlign w:val="center"/>
          </w:tcPr>
          <w:p>
            <w:r>
              <w:t>Образование</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133 120,73</w:t>
            </w:r>
          </w:p>
        </w:tc>
        <w:tc>
          <w:tcPr>
            <w:tcW w:w="1559" w:type="dxa"/>
            <w:tcBorders>
              <w:top w:val="single" w:sz="4" w:space="0" w:color="auto"/>
              <w:left w:val="nil"/>
              <w:bottom w:val="single" w:sz="4" w:space="0" w:color="auto"/>
              <w:right w:val="single" w:sz="4" w:space="0" w:color="auto"/>
            </w:tcBorders>
            <w:vAlign w:val="center"/>
          </w:tcPr>
          <w:p>
            <w:pPr>
              <w:jc w:val="right"/>
            </w:pPr>
            <w:r>
              <w:t>132 189,39</w:t>
            </w:r>
          </w:p>
        </w:tc>
        <w:tc>
          <w:tcPr>
            <w:tcW w:w="1418" w:type="dxa"/>
            <w:tcBorders>
              <w:top w:val="single" w:sz="4" w:space="0" w:color="auto"/>
              <w:left w:val="nil"/>
              <w:bottom w:val="single" w:sz="4" w:space="0" w:color="auto"/>
              <w:right w:val="single" w:sz="4" w:space="0" w:color="auto"/>
            </w:tcBorders>
            <w:vAlign w:val="center"/>
          </w:tcPr>
          <w:p>
            <w:pPr>
              <w:jc w:val="right"/>
            </w:pPr>
            <w:r>
              <w:t>99,3</w:t>
            </w:r>
          </w:p>
        </w:tc>
      </w:tr>
      <w:tr>
        <w:trPr>
          <w:trHeight w:val="340"/>
        </w:trPr>
        <w:tc>
          <w:tcPr>
            <w:tcW w:w="709" w:type="dxa"/>
            <w:tcBorders>
              <w:top w:val="nil"/>
              <w:left w:val="single" w:sz="4" w:space="0" w:color="auto"/>
              <w:bottom w:val="single" w:sz="4" w:space="0" w:color="auto"/>
              <w:right w:val="single" w:sz="4" w:space="0" w:color="auto"/>
            </w:tcBorders>
            <w:shd w:val="clear" w:color="auto" w:fill="auto"/>
            <w:noWrap/>
            <w:vAlign w:val="center"/>
          </w:tcPr>
          <w:p>
            <w:pPr>
              <w:jc w:val="center"/>
            </w:pPr>
            <w:r>
              <w:t>0800</w:t>
            </w:r>
          </w:p>
        </w:tc>
        <w:tc>
          <w:tcPr>
            <w:tcW w:w="4361" w:type="dxa"/>
            <w:tcBorders>
              <w:top w:val="nil"/>
              <w:left w:val="nil"/>
              <w:bottom w:val="single" w:sz="4" w:space="0" w:color="auto"/>
              <w:right w:val="single" w:sz="4" w:space="0" w:color="auto"/>
            </w:tcBorders>
            <w:shd w:val="clear" w:color="auto" w:fill="auto"/>
            <w:vAlign w:val="center"/>
          </w:tcPr>
          <w:p>
            <w:r>
              <w:t>Культура, кинематография</w:t>
            </w:r>
          </w:p>
        </w:tc>
        <w:tc>
          <w:tcPr>
            <w:tcW w:w="1559" w:type="dxa"/>
            <w:tcBorders>
              <w:top w:val="nil"/>
              <w:left w:val="nil"/>
              <w:bottom w:val="single" w:sz="4" w:space="0" w:color="auto"/>
              <w:right w:val="single" w:sz="4" w:space="0" w:color="auto"/>
            </w:tcBorders>
            <w:shd w:val="clear" w:color="auto" w:fill="auto"/>
            <w:noWrap/>
            <w:vAlign w:val="center"/>
          </w:tcPr>
          <w:p>
            <w:pPr>
              <w:jc w:val="right"/>
            </w:pPr>
            <w:r>
              <w:t>407 502,55</w:t>
            </w:r>
          </w:p>
        </w:tc>
        <w:tc>
          <w:tcPr>
            <w:tcW w:w="1559" w:type="dxa"/>
            <w:tcBorders>
              <w:top w:val="nil"/>
              <w:left w:val="nil"/>
              <w:bottom w:val="single" w:sz="4" w:space="0" w:color="auto"/>
              <w:right w:val="single" w:sz="4" w:space="0" w:color="auto"/>
            </w:tcBorders>
            <w:vAlign w:val="center"/>
          </w:tcPr>
          <w:p>
            <w:pPr>
              <w:jc w:val="right"/>
            </w:pPr>
            <w:r>
              <w:t>405 147,38</w:t>
            </w:r>
          </w:p>
        </w:tc>
        <w:tc>
          <w:tcPr>
            <w:tcW w:w="1418" w:type="dxa"/>
            <w:tcBorders>
              <w:top w:val="nil"/>
              <w:left w:val="nil"/>
              <w:bottom w:val="single" w:sz="4" w:space="0" w:color="auto"/>
              <w:right w:val="single" w:sz="4" w:space="0" w:color="auto"/>
            </w:tcBorders>
            <w:vAlign w:val="center"/>
          </w:tcPr>
          <w:p>
            <w:pPr>
              <w:jc w:val="right"/>
            </w:pPr>
            <w:r>
              <w:t>99,4</w:t>
            </w:r>
          </w:p>
        </w:tc>
      </w:tr>
    </w:tbl>
    <w:p>
      <w:pPr>
        <w:pStyle w:val="31"/>
        <w:spacing w:after="120"/>
        <w:ind w:right="0"/>
        <w:jc w:val="center"/>
        <w:rPr>
          <w:b/>
          <w:sz w:val="24"/>
          <w:szCs w:val="24"/>
          <w:highlight w:val="yellow"/>
        </w:rPr>
      </w:pPr>
    </w:p>
    <w:p>
      <w:pPr>
        <w:pStyle w:val="3"/>
        <w:spacing w:before="0" w:after="0"/>
        <w:ind w:right="28"/>
        <w:jc w:val="center"/>
        <w:rPr>
          <w:rFonts w:ascii="Times New Roman" w:hAnsi="Times New Roman" w:cs="Times New Roman"/>
          <w:sz w:val="24"/>
          <w:szCs w:val="24"/>
        </w:rPr>
      </w:pPr>
      <w:r>
        <w:rPr>
          <w:rFonts w:ascii="Times New Roman" w:hAnsi="Times New Roman" w:cs="Times New Roman"/>
          <w:sz w:val="24"/>
          <w:szCs w:val="24"/>
        </w:rPr>
        <w:t>4.2.5. Управление молодежной и семейной политики, физической культуры и спорта Администрации ЗАТО Северск</w:t>
      </w:r>
    </w:p>
    <w:p>
      <w:pPr>
        <w:spacing w:before="120"/>
        <w:ind w:firstLine="709"/>
        <w:jc w:val="both"/>
        <w:rPr>
          <w:sz w:val="24"/>
          <w:szCs w:val="24"/>
        </w:rPr>
      </w:pPr>
      <w:r>
        <w:rPr>
          <w:sz w:val="24"/>
          <w:szCs w:val="24"/>
        </w:rPr>
        <w:t>Кассовое исполнение расходов за 2020 год составило 488 357,92 тыс.руб. или 100,0% к утвержденным годовым назначениям.</w:t>
      </w:r>
    </w:p>
    <w:p>
      <w:pPr>
        <w:pStyle w:val="31"/>
        <w:ind w:right="0" w:firstLine="709"/>
        <w:rPr>
          <w:sz w:val="24"/>
          <w:szCs w:val="24"/>
        </w:rPr>
      </w:pPr>
      <w:r>
        <w:rPr>
          <w:sz w:val="24"/>
          <w:szCs w:val="24"/>
        </w:rPr>
        <w:t xml:space="preserve">В общей структуре произведенных расходов удельный вес расходов, подведомственных УМСП ФКиС, составил 10,3%. </w:t>
      </w:r>
    </w:p>
    <w:p>
      <w:pPr>
        <w:ind w:firstLine="709"/>
        <w:jc w:val="both"/>
        <w:rPr>
          <w:sz w:val="24"/>
          <w:szCs w:val="24"/>
        </w:rPr>
      </w:pPr>
      <w:r>
        <w:rPr>
          <w:sz w:val="24"/>
          <w:szCs w:val="24"/>
        </w:rPr>
        <w:t>УМСП ФКиС является ответственным исполнителем двух муниципальных программ и участником одной муниципальной программы,</w:t>
      </w:r>
      <w:r>
        <w:rPr>
          <w:bCs/>
          <w:sz w:val="24"/>
          <w:szCs w:val="24"/>
        </w:rPr>
        <w:t xml:space="preserve"> расходы составили суммарно</w:t>
      </w:r>
      <w:r>
        <w:rPr>
          <w:sz w:val="24"/>
          <w:szCs w:val="24"/>
        </w:rPr>
        <w:t xml:space="preserve"> 479 566,31</w:t>
      </w:r>
      <w:r>
        <w:rPr>
          <w:spacing w:val="-4"/>
          <w:sz w:val="24"/>
          <w:szCs w:val="24"/>
        </w:rPr>
        <w:t> тыс.руб. или 100,0</w:t>
      </w:r>
      <w:r>
        <w:rPr>
          <w:sz w:val="24"/>
          <w:szCs w:val="24"/>
        </w:rPr>
        <w:t xml:space="preserve"> % к утвержденным годовым назначениям.</w:t>
      </w:r>
    </w:p>
    <w:p>
      <w:pPr>
        <w:spacing w:before="120" w:after="120"/>
        <w:ind w:right="57" w:firstLine="709"/>
        <w:jc w:val="both"/>
        <w:rPr>
          <w:sz w:val="24"/>
          <w:szCs w:val="24"/>
        </w:rPr>
      </w:pPr>
      <w:r>
        <w:rPr>
          <w:bCs/>
          <w:sz w:val="24"/>
          <w:szCs w:val="24"/>
        </w:rPr>
        <w:t>Таблица 50.</w:t>
      </w:r>
      <w:r>
        <w:rPr>
          <w:spacing w:val="-4"/>
          <w:sz w:val="24"/>
          <w:szCs w:val="24"/>
        </w:rPr>
        <w:t xml:space="preserve"> Расходы УМСП ФКиС в разрезе МП</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961"/>
        <w:gridCol w:w="1417"/>
        <w:gridCol w:w="1276"/>
        <w:gridCol w:w="1276"/>
      </w:tblGrid>
      <w:tr>
        <w:trPr>
          <w:cantSplit/>
          <w:trHeight w:val="960"/>
        </w:trPr>
        <w:tc>
          <w:tcPr>
            <w:tcW w:w="426" w:type="dxa"/>
            <w:shd w:val="clear" w:color="auto" w:fill="auto"/>
            <w:noWrap/>
            <w:textDirection w:val="btLr"/>
            <w:vAlign w:val="center"/>
          </w:tcPr>
          <w:p>
            <w:pPr>
              <w:ind w:left="-57" w:right="-57"/>
              <w:jc w:val="center"/>
              <w:rPr>
                <w:highlight w:val="yellow"/>
              </w:rPr>
            </w:pPr>
            <w:r>
              <w:rPr>
                <w:lang w:val="en-US"/>
              </w:rPr>
              <w:t xml:space="preserve">№ </w:t>
            </w:r>
            <w:r>
              <w:t>п/п</w:t>
            </w:r>
          </w:p>
        </w:tc>
        <w:tc>
          <w:tcPr>
            <w:tcW w:w="4961" w:type="dxa"/>
            <w:shd w:val="clear" w:color="auto" w:fill="auto"/>
            <w:vAlign w:val="center"/>
          </w:tcPr>
          <w:p>
            <w:pPr>
              <w:jc w:val="center"/>
              <w:rPr>
                <w:highlight w:val="yellow"/>
              </w:rPr>
            </w:pPr>
            <w:r>
              <w:t>Наименование программы</w:t>
            </w:r>
          </w:p>
        </w:tc>
        <w:tc>
          <w:tcPr>
            <w:tcW w:w="1417" w:type="dxa"/>
            <w:shd w:val="clear" w:color="000000" w:fill="FFFFFF"/>
            <w:vAlign w:val="center"/>
          </w:tcPr>
          <w:p>
            <w:pPr>
              <w:jc w:val="center"/>
            </w:pPr>
            <w:r>
              <w:t>Уточненный план</w:t>
            </w:r>
            <w:r>
              <w:br/>
              <w:t>2020 г., тыс.руб.</w:t>
            </w:r>
          </w:p>
        </w:tc>
        <w:tc>
          <w:tcPr>
            <w:tcW w:w="1276" w:type="dxa"/>
            <w:shd w:val="clear" w:color="auto" w:fill="auto"/>
            <w:vAlign w:val="center"/>
          </w:tcPr>
          <w:p>
            <w:pPr>
              <w:ind w:right="-42"/>
              <w:jc w:val="center"/>
            </w:pPr>
            <w:r>
              <w:t xml:space="preserve">Исполнено </w:t>
            </w:r>
          </w:p>
          <w:p>
            <w:pPr>
              <w:ind w:right="-42"/>
              <w:jc w:val="center"/>
            </w:pPr>
            <w:r>
              <w:t>за 2020 г., тыс.руб.</w:t>
            </w:r>
          </w:p>
        </w:tc>
        <w:tc>
          <w:tcPr>
            <w:tcW w:w="1276" w:type="dxa"/>
            <w:shd w:val="clear" w:color="auto" w:fill="auto"/>
            <w:vAlign w:val="center"/>
          </w:tcPr>
          <w:p>
            <w:pPr>
              <w:jc w:val="center"/>
            </w:pPr>
            <w:r>
              <w:t xml:space="preserve">Процент исполнения </w:t>
            </w:r>
          </w:p>
          <w:p>
            <w:pPr>
              <w:jc w:val="center"/>
            </w:pPr>
            <w:r>
              <w:t>к плану</w:t>
            </w:r>
            <w:r>
              <w:br/>
              <w:t xml:space="preserve"> 2020 г.</w:t>
            </w:r>
          </w:p>
        </w:tc>
      </w:tr>
      <w:tr>
        <w:trPr>
          <w:trHeight w:val="406"/>
        </w:trPr>
        <w:tc>
          <w:tcPr>
            <w:tcW w:w="426" w:type="dxa"/>
            <w:shd w:val="clear" w:color="auto" w:fill="auto"/>
            <w:noWrap/>
            <w:vAlign w:val="center"/>
          </w:tcPr>
          <w:p>
            <w:pPr>
              <w:jc w:val="center"/>
            </w:pPr>
            <w:r>
              <w:t>1</w:t>
            </w:r>
          </w:p>
        </w:tc>
        <w:tc>
          <w:tcPr>
            <w:tcW w:w="4961" w:type="dxa"/>
            <w:shd w:val="clear" w:color="auto" w:fill="auto"/>
            <w:vAlign w:val="center"/>
          </w:tcPr>
          <w:p>
            <w:r>
              <w:t>МП «Развитие физической культуры и спорта в ЗАТО Северск»</w:t>
            </w:r>
          </w:p>
        </w:tc>
        <w:tc>
          <w:tcPr>
            <w:tcW w:w="1417" w:type="dxa"/>
            <w:shd w:val="clear" w:color="auto" w:fill="auto"/>
            <w:noWrap/>
            <w:vAlign w:val="center"/>
          </w:tcPr>
          <w:p>
            <w:pPr>
              <w:jc w:val="right"/>
            </w:pPr>
            <w:r>
              <w:t>393 900,24</w:t>
            </w:r>
          </w:p>
        </w:tc>
        <w:tc>
          <w:tcPr>
            <w:tcW w:w="1276" w:type="dxa"/>
            <w:shd w:val="clear" w:color="auto" w:fill="auto"/>
            <w:noWrap/>
            <w:vAlign w:val="center"/>
          </w:tcPr>
          <w:p>
            <w:pPr>
              <w:jc w:val="right"/>
            </w:pPr>
            <w:r>
              <w:t>393 900,24</w:t>
            </w:r>
          </w:p>
        </w:tc>
        <w:tc>
          <w:tcPr>
            <w:tcW w:w="1276" w:type="dxa"/>
            <w:shd w:val="clear" w:color="auto" w:fill="auto"/>
            <w:noWrap/>
            <w:vAlign w:val="center"/>
          </w:tcPr>
          <w:p>
            <w:pPr>
              <w:jc w:val="right"/>
            </w:pPr>
            <w:r>
              <w:t>100,0</w:t>
            </w:r>
          </w:p>
        </w:tc>
      </w:tr>
      <w:tr>
        <w:trPr>
          <w:trHeight w:val="406"/>
        </w:trPr>
        <w:tc>
          <w:tcPr>
            <w:tcW w:w="426" w:type="dxa"/>
            <w:shd w:val="clear" w:color="auto" w:fill="auto"/>
            <w:noWrap/>
            <w:vAlign w:val="center"/>
          </w:tcPr>
          <w:p>
            <w:pPr>
              <w:jc w:val="center"/>
            </w:pPr>
            <w:r>
              <w:t>2</w:t>
            </w:r>
          </w:p>
        </w:tc>
        <w:tc>
          <w:tcPr>
            <w:tcW w:w="4961" w:type="dxa"/>
            <w:shd w:val="clear" w:color="auto" w:fill="auto"/>
            <w:vAlign w:val="center"/>
          </w:tcPr>
          <w:p>
            <w:r>
              <w:t xml:space="preserve">МП «Молодежная политика в ЗАТО Северск» </w:t>
            </w:r>
          </w:p>
        </w:tc>
        <w:tc>
          <w:tcPr>
            <w:tcW w:w="1417" w:type="dxa"/>
            <w:shd w:val="clear" w:color="auto" w:fill="auto"/>
            <w:noWrap/>
            <w:vAlign w:val="center"/>
          </w:tcPr>
          <w:p>
            <w:pPr>
              <w:jc w:val="right"/>
            </w:pPr>
            <w:r>
              <w:t>80 247,66</w:t>
            </w:r>
          </w:p>
        </w:tc>
        <w:tc>
          <w:tcPr>
            <w:tcW w:w="1276" w:type="dxa"/>
            <w:shd w:val="clear" w:color="auto" w:fill="auto"/>
            <w:noWrap/>
            <w:vAlign w:val="center"/>
          </w:tcPr>
          <w:p>
            <w:pPr>
              <w:jc w:val="right"/>
            </w:pPr>
            <w:r>
              <w:t>80 240,07</w:t>
            </w:r>
          </w:p>
        </w:tc>
        <w:tc>
          <w:tcPr>
            <w:tcW w:w="1276" w:type="dxa"/>
            <w:shd w:val="clear" w:color="auto" w:fill="auto"/>
            <w:noWrap/>
            <w:vAlign w:val="center"/>
          </w:tcPr>
          <w:p>
            <w:pPr>
              <w:jc w:val="right"/>
            </w:pPr>
            <w:r>
              <w:t>100,0</w:t>
            </w:r>
          </w:p>
        </w:tc>
      </w:tr>
      <w:tr>
        <w:trPr>
          <w:trHeight w:val="366"/>
        </w:trPr>
        <w:tc>
          <w:tcPr>
            <w:tcW w:w="426" w:type="dxa"/>
            <w:shd w:val="clear" w:color="auto" w:fill="auto"/>
            <w:noWrap/>
            <w:vAlign w:val="center"/>
          </w:tcPr>
          <w:p>
            <w:pPr>
              <w:jc w:val="center"/>
            </w:pPr>
            <w:r>
              <w:t>3</w:t>
            </w:r>
          </w:p>
        </w:tc>
        <w:tc>
          <w:tcPr>
            <w:tcW w:w="4961" w:type="dxa"/>
            <w:shd w:val="clear" w:color="auto" w:fill="auto"/>
            <w:vAlign w:val="center"/>
          </w:tcPr>
          <w:p>
            <w:r>
              <w:t>МП «Обеспечение безопасности населения на территории ЗАТО Северск»</w:t>
            </w:r>
          </w:p>
        </w:tc>
        <w:tc>
          <w:tcPr>
            <w:tcW w:w="1417" w:type="dxa"/>
            <w:shd w:val="clear" w:color="auto" w:fill="auto"/>
            <w:noWrap/>
            <w:vAlign w:val="center"/>
          </w:tcPr>
          <w:p>
            <w:pPr>
              <w:jc w:val="right"/>
            </w:pPr>
            <w:r>
              <w:t>5 426,00</w:t>
            </w:r>
          </w:p>
        </w:tc>
        <w:tc>
          <w:tcPr>
            <w:tcW w:w="1276" w:type="dxa"/>
            <w:shd w:val="clear" w:color="auto" w:fill="auto"/>
            <w:noWrap/>
            <w:vAlign w:val="center"/>
          </w:tcPr>
          <w:p>
            <w:pPr>
              <w:jc w:val="right"/>
            </w:pPr>
            <w:r>
              <w:t>5 426,00</w:t>
            </w:r>
          </w:p>
        </w:tc>
        <w:tc>
          <w:tcPr>
            <w:tcW w:w="1276" w:type="dxa"/>
            <w:shd w:val="clear" w:color="auto" w:fill="auto"/>
            <w:noWrap/>
            <w:vAlign w:val="center"/>
          </w:tcPr>
          <w:p>
            <w:pPr>
              <w:jc w:val="right"/>
            </w:pPr>
            <w:r>
              <w:t>100,0</w:t>
            </w:r>
          </w:p>
        </w:tc>
      </w:tr>
      <w:tr>
        <w:trPr>
          <w:trHeight w:val="366"/>
        </w:trPr>
        <w:tc>
          <w:tcPr>
            <w:tcW w:w="426" w:type="dxa"/>
            <w:shd w:val="clear" w:color="auto" w:fill="auto"/>
            <w:noWrap/>
            <w:vAlign w:val="center"/>
          </w:tcPr>
          <w:p>
            <w:pPr>
              <w:jc w:val="center"/>
            </w:pPr>
          </w:p>
        </w:tc>
        <w:tc>
          <w:tcPr>
            <w:tcW w:w="4961" w:type="dxa"/>
            <w:shd w:val="clear" w:color="auto" w:fill="auto"/>
            <w:vAlign w:val="center"/>
          </w:tcPr>
          <w:p>
            <w:r>
              <w:t>Всего по программам</w:t>
            </w:r>
          </w:p>
        </w:tc>
        <w:tc>
          <w:tcPr>
            <w:tcW w:w="1417" w:type="dxa"/>
            <w:shd w:val="clear" w:color="auto" w:fill="auto"/>
            <w:noWrap/>
            <w:vAlign w:val="center"/>
          </w:tcPr>
          <w:p>
            <w:pPr>
              <w:jc w:val="right"/>
            </w:pPr>
            <w:r>
              <w:t>479 573,90</w:t>
            </w:r>
          </w:p>
        </w:tc>
        <w:tc>
          <w:tcPr>
            <w:tcW w:w="1276" w:type="dxa"/>
            <w:shd w:val="clear" w:color="auto" w:fill="auto"/>
            <w:noWrap/>
            <w:vAlign w:val="center"/>
          </w:tcPr>
          <w:p>
            <w:pPr>
              <w:jc w:val="right"/>
            </w:pPr>
            <w:r>
              <w:t>479 566,31</w:t>
            </w:r>
          </w:p>
        </w:tc>
        <w:tc>
          <w:tcPr>
            <w:tcW w:w="1276" w:type="dxa"/>
            <w:shd w:val="clear" w:color="auto" w:fill="auto"/>
            <w:noWrap/>
            <w:vAlign w:val="center"/>
          </w:tcPr>
          <w:p>
            <w:pPr>
              <w:jc w:val="right"/>
            </w:pPr>
            <w:r>
              <w:t>100,0</w:t>
            </w:r>
          </w:p>
        </w:tc>
      </w:tr>
    </w:tbl>
    <w:p>
      <w:pPr>
        <w:pStyle w:val="31"/>
        <w:tabs>
          <w:tab w:val="clear" w:pos="5529"/>
          <w:tab w:val="left" w:pos="709"/>
        </w:tabs>
        <w:ind w:right="0" w:firstLine="709"/>
        <w:rPr>
          <w:spacing w:val="-4"/>
          <w:sz w:val="24"/>
          <w:szCs w:val="24"/>
        </w:rPr>
      </w:pPr>
      <w:r>
        <w:rPr>
          <w:sz w:val="24"/>
          <w:szCs w:val="24"/>
        </w:rPr>
        <w:t xml:space="preserve">УМСП ФКиС за 2020 год </w:t>
      </w:r>
      <w:r>
        <w:rPr>
          <w:spacing w:val="-4"/>
          <w:sz w:val="24"/>
          <w:szCs w:val="24"/>
        </w:rPr>
        <w:t xml:space="preserve">исполнялись непрограммные мероприятия: </w:t>
      </w:r>
    </w:p>
    <w:p>
      <w:pPr>
        <w:pStyle w:val="31"/>
        <w:tabs>
          <w:tab w:val="clear" w:pos="5529"/>
          <w:tab w:val="left" w:pos="709"/>
        </w:tabs>
        <w:ind w:right="0" w:firstLine="709"/>
        <w:rPr>
          <w:color w:val="FF0000"/>
          <w:spacing w:val="-4"/>
          <w:sz w:val="24"/>
          <w:szCs w:val="24"/>
        </w:rPr>
      </w:pPr>
      <w:r>
        <w:rPr>
          <w:spacing w:val="-4"/>
          <w:sz w:val="24"/>
          <w:szCs w:val="24"/>
        </w:rPr>
        <w:t>- в сумме 1 600,88 тыс.руб. за счет средств резервного фонда ФНР Администрации Томской области основное направление: на организацию и проведение спортивных соревнований , на укрепление материально-технической базы муниципальных учреждений, в отношении которых УМСП ФКиС выступает учредителем. Расходы отражены по разделам:</w:t>
      </w:r>
      <w:r>
        <w:t xml:space="preserve"> «</w:t>
      </w:r>
      <w:r>
        <w:rPr>
          <w:sz w:val="24"/>
          <w:szCs w:val="24"/>
        </w:rPr>
        <w:t>Образование» и «Физическая культура и спорт»</w:t>
      </w:r>
      <w:r>
        <w:rPr>
          <w:spacing w:val="-4"/>
          <w:sz w:val="24"/>
          <w:szCs w:val="24"/>
        </w:rPr>
        <w:t>;</w:t>
      </w:r>
    </w:p>
    <w:p>
      <w:pPr>
        <w:pStyle w:val="31"/>
        <w:tabs>
          <w:tab w:val="clear" w:pos="5529"/>
          <w:tab w:val="left" w:pos="709"/>
        </w:tabs>
        <w:ind w:right="0" w:firstLine="709"/>
        <w:rPr>
          <w:spacing w:val="-4"/>
          <w:sz w:val="24"/>
          <w:szCs w:val="24"/>
        </w:rPr>
      </w:pPr>
      <w:r>
        <w:rPr>
          <w:spacing w:val="-4"/>
          <w:sz w:val="24"/>
          <w:szCs w:val="24"/>
        </w:rPr>
        <w:t>- в сумме 7 190,73 тыс.руб. за счет средств областного бюджета на организацию работы обсерватора для лиц, прибывших из регионов, неблагополучных по новой коронавирусной инфекции. Расходы отражены по разделу «Здравоохранение».</w:t>
      </w:r>
    </w:p>
    <w:p>
      <w:pPr>
        <w:spacing w:before="120"/>
        <w:ind w:firstLine="709"/>
        <w:jc w:val="both"/>
        <w:rPr>
          <w:sz w:val="24"/>
          <w:szCs w:val="24"/>
        </w:rPr>
      </w:pPr>
      <w:r>
        <w:rPr>
          <w:sz w:val="24"/>
          <w:szCs w:val="24"/>
        </w:rPr>
        <w:t xml:space="preserve">В разрезе разделов исполнение расходов осуществлялось по четырем направлениям: </w:t>
      </w:r>
    </w:p>
    <w:p>
      <w:pPr>
        <w:spacing w:before="120" w:after="120"/>
        <w:ind w:right="57" w:firstLine="709"/>
        <w:jc w:val="both"/>
        <w:rPr>
          <w:sz w:val="24"/>
          <w:szCs w:val="24"/>
        </w:rPr>
      </w:pPr>
      <w:r>
        <w:rPr>
          <w:sz w:val="24"/>
          <w:szCs w:val="24"/>
        </w:rPr>
        <w:t>Таблица 51. Расходы УМСП ФКиС по разделам за 2020 год</w:t>
      </w:r>
    </w:p>
    <w:tbl>
      <w:tblPr>
        <w:tblW w:w="9395" w:type="dxa"/>
        <w:jc w:val="center"/>
        <w:tblLayout w:type="fixed"/>
        <w:tblLook w:val="04A0" w:firstRow="1" w:lastRow="0" w:firstColumn="1" w:lastColumn="0" w:noHBand="0" w:noVBand="1"/>
      </w:tblPr>
      <w:tblGrid>
        <w:gridCol w:w="1135"/>
        <w:gridCol w:w="4131"/>
        <w:gridCol w:w="1559"/>
        <w:gridCol w:w="1291"/>
        <w:gridCol w:w="1279"/>
      </w:tblGrid>
      <w:tr>
        <w:trPr>
          <w:trHeight w:val="984"/>
          <w:jc w:val="center"/>
        </w:trPr>
        <w:tc>
          <w:tcPr>
            <w:tcW w:w="1135" w:type="dxa"/>
            <w:tcBorders>
              <w:top w:val="single" w:sz="4" w:space="0" w:color="auto"/>
              <w:left w:val="single" w:sz="4" w:space="0" w:color="auto"/>
              <w:right w:val="single" w:sz="4" w:space="0" w:color="auto"/>
            </w:tcBorders>
            <w:shd w:val="clear" w:color="auto" w:fill="auto"/>
            <w:textDirection w:val="btLr"/>
            <w:vAlign w:val="center"/>
          </w:tcPr>
          <w:p>
            <w:pPr>
              <w:jc w:val="center"/>
            </w:pPr>
            <w:r>
              <w:t>Раздел, подраздел</w:t>
            </w:r>
          </w:p>
        </w:tc>
        <w:tc>
          <w:tcPr>
            <w:tcW w:w="4131" w:type="dxa"/>
            <w:tcBorders>
              <w:top w:val="single" w:sz="4" w:space="0" w:color="auto"/>
              <w:left w:val="nil"/>
              <w:right w:val="single" w:sz="4" w:space="0" w:color="auto"/>
            </w:tcBorders>
            <w:shd w:val="clear" w:color="auto" w:fill="auto"/>
            <w:vAlign w:val="center"/>
          </w:tcPr>
          <w:p>
            <w:pPr>
              <w:jc w:val="center"/>
            </w:pPr>
            <w:r>
              <w:t>Наименование</w:t>
            </w:r>
          </w:p>
        </w:tc>
        <w:tc>
          <w:tcPr>
            <w:tcW w:w="1559" w:type="dxa"/>
            <w:tcBorders>
              <w:top w:val="single" w:sz="4" w:space="0" w:color="auto"/>
              <w:left w:val="nil"/>
              <w:right w:val="single" w:sz="4" w:space="0" w:color="auto"/>
            </w:tcBorders>
            <w:shd w:val="clear" w:color="auto" w:fill="auto"/>
            <w:vAlign w:val="center"/>
          </w:tcPr>
          <w:p>
            <w:pPr>
              <w:jc w:val="center"/>
              <w:rPr>
                <w:highlight w:val="yellow"/>
              </w:rPr>
            </w:pPr>
            <w:r>
              <w:t>Уточненный план</w:t>
            </w:r>
            <w:r>
              <w:br/>
              <w:t>2020 г., тыс.руб.</w:t>
            </w:r>
          </w:p>
        </w:tc>
        <w:tc>
          <w:tcPr>
            <w:tcW w:w="1291" w:type="dxa"/>
            <w:tcBorders>
              <w:top w:val="single" w:sz="4" w:space="0" w:color="auto"/>
              <w:left w:val="nil"/>
              <w:right w:val="single" w:sz="4" w:space="0" w:color="auto"/>
            </w:tcBorders>
            <w:shd w:val="clear" w:color="auto" w:fill="auto"/>
            <w:vAlign w:val="center"/>
          </w:tcPr>
          <w:p>
            <w:pPr>
              <w:ind w:right="-42"/>
              <w:jc w:val="center"/>
            </w:pPr>
            <w:r>
              <w:t xml:space="preserve">Исполнено </w:t>
            </w:r>
          </w:p>
          <w:p>
            <w:pPr>
              <w:ind w:right="-42"/>
              <w:jc w:val="center"/>
            </w:pPr>
            <w:r>
              <w:t>за 2020 г., тыс.руб.</w:t>
            </w:r>
          </w:p>
        </w:tc>
        <w:tc>
          <w:tcPr>
            <w:tcW w:w="1279" w:type="dxa"/>
            <w:tcBorders>
              <w:top w:val="single" w:sz="4" w:space="0" w:color="auto"/>
              <w:left w:val="nil"/>
              <w:right w:val="single" w:sz="4" w:space="0" w:color="auto"/>
            </w:tcBorders>
            <w:vAlign w:val="center"/>
          </w:tcPr>
          <w:p>
            <w:pPr>
              <w:jc w:val="center"/>
            </w:pPr>
            <w:r>
              <w:t xml:space="preserve">Процент исполнения </w:t>
            </w:r>
          </w:p>
          <w:p>
            <w:pPr>
              <w:jc w:val="center"/>
            </w:pPr>
            <w:r>
              <w:t>к плану</w:t>
            </w:r>
            <w:r>
              <w:br/>
              <w:t xml:space="preserve"> 2020 г.</w:t>
            </w:r>
          </w:p>
        </w:tc>
      </w:tr>
      <w:tr>
        <w:trPr>
          <w:trHeight w:val="321"/>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p>
        </w:tc>
        <w:tc>
          <w:tcPr>
            <w:tcW w:w="4131" w:type="dxa"/>
            <w:tcBorders>
              <w:top w:val="single" w:sz="4" w:space="0" w:color="auto"/>
              <w:left w:val="nil"/>
              <w:bottom w:val="single" w:sz="4" w:space="0" w:color="auto"/>
              <w:right w:val="single" w:sz="4" w:space="0" w:color="auto"/>
            </w:tcBorders>
            <w:shd w:val="clear" w:color="auto" w:fill="auto"/>
            <w:vAlign w:val="center"/>
          </w:tcPr>
          <w:p>
            <w:r>
              <w:t>УМСП ФКиС:</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488 365,51</w:t>
            </w:r>
          </w:p>
        </w:tc>
        <w:tc>
          <w:tcPr>
            <w:tcW w:w="1291" w:type="dxa"/>
            <w:tcBorders>
              <w:top w:val="single" w:sz="4" w:space="0" w:color="auto"/>
              <w:left w:val="nil"/>
              <w:bottom w:val="single" w:sz="4" w:space="0" w:color="auto"/>
              <w:right w:val="single" w:sz="4" w:space="0" w:color="auto"/>
            </w:tcBorders>
            <w:vAlign w:val="center"/>
          </w:tcPr>
          <w:p>
            <w:pPr>
              <w:jc w:val="right"/>
            </w:pPr>
            <w:r>
              <w:t>488 357,92</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r>
        <w:trPr>
          <w:trHeight w:val="25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0700</w:t>
            </w:r>
          </w:p>
        </w:tc>
        <w:tc>
          <w:tcPr>
            <w:tcW w:w="4131" w:type="dxa"/>
            <w:tcBorders>
              <w:top w:val="single" w:sz="4" w:space="0" w:color="auto"/>
              <w:left w:val="nil"/>
              <w:bottom w:val="single" w:sz="4" w:space="0" w:color="auto"/>
              <w:right w:val="single" w:sz="4" w:space="0" w:color="auto"/>
            </w:tcBorders>
            <w:shd w:val="clear" w:color="auto" w:fill="auto"/>
            <w:vAlign w:val="center"/>
          </w:tcPr>
          <w:p>
            <w:r>
              <w:t>Образование</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212 048,28</w:t>
            </w:r>
          </w:p>
        </w:tc>
        <w:tc>
          <w:tcPr>
            <w:tcW w:w="1291" w:type="dxa"/>
            <w:tcBorders>
              <w:top w:val="single" w:sz="4" w:space="0" w:color="auto"/>
              <w:left w:val="nil"/>
              <w:bottom w:val="single" w:sz="4" w:space="0" w:color="auto"/>
              <w:right w:val="single" w:sz="4" w:space="0" w:color="auto"/>
            </w:tcBorders>
            <w:vAlign w:val="center"/>
          </w:tcPr>
          <w:p>
            <w:pPr>
              <w:jc w:val="right"/>
            </w:pPr>
            <w:r>
              <w:t>212 040,69</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r>
        <w:trPr>
          <w:trHeight w:val="25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highlight w:val="yellow"/>
              </w:rPr>
            </w:pPr>
            <w:r>
              <w:t>0900</w:t>
            </w:r>
          </w:p>
        </w:tc>
        <w:tc>
          <w:tcPr>
            <w:tcW w:w="4131" w:type="dxa"/>
            <w:tcBorders>
              <w:top w:val="single" w:sz="4" w:space="0" w:color="auto"/>
              <w:left w:val="nil"/>
              <w:bottom w:val="single" w:sz="4" w:space="0" w:color="auto"/>
              <w:right w:val="single" w:sz="4" w:space="0" w:color="auto"/>
            </w:tcBorders>
            <w:shd w:val="clear" w:color="auto" w:fill="auto"/>
            <w:vAlign w:val="center"/>
          </w:tcPr>
          <w:p>
            <w:pPr>
              <w:rPr>
                <w:highlight w:val="yellow"/>
              </w:rPr>
            </w:pPr>
            <w:r>
              <w:t>Здравоохранение</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7 190,73</w:t>
            </w:r>
          </w:p>
        </w:tc>
        <w:tc>
          <w:tcPr>
            <w:tcW w:w="1291" w:type="dxa"/>
            <w:tcBorders>
              <w:top w:val="single" w:sz="4" w:space="0" w:color="auto"/>
              <w:left w:val="nil"/>
              <w:bottom w:val="single" w:sz="4" w:space="0" w:color="auto"/>
              <w:right w:val="single" w:sz="4" w:space="0" w:color="auto"/>
            </w:tcBorders>
            <w:vAlign w:val="center"/>
          </w:tcPr>
          <w:p>
            <w:pPr>
              <w:jc w:val="right"/>
            </w:pPr>
            <w:r>
              <w:t>7 190,73</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r>
        <w:trPr>
          <w:trHeight w:val="25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1000</w:t>
            </w:r>
          </w:p>
        </w:tc>
        <w:tc>
          <w:tcPr>
            <w:tcW w:w="4131" w:type="dxa"/>
            <w:tcBorders>
              <w:top w:val="single" w:sz="4" w:space="0" w:color="auto"/>
              <w:left w:val="nil"/>
              <w:bottom w:val="single" w:sz="4" w:space="0" w:color="auto"/>
              <w:right w:val="single" w:sz="4" w:space="0" w:color="auto"/>
            </w:tcBorders>
            <w:shd w:val="clear" w:color="auto" w:fill="auto"/>
            <w:vAlign w:val="center"/>
          </w:tcPr>
          <w:p>
            <w:r>
              <w:t>Социальная политика</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12 096,00</w:t>
            </w:r>
          </w:p>
        </w:tc>
        <w:tc>
          <w:tcPr>
            <w:tcW w:w="1291" w:type="dxa"/>
            <w:tcBorders>
              <w:top w:val="single" w:sz="4" w:space="0" w:color="auto"/>
              <w:left w:val="nil"/>
              <w:bottom w:val="single" w:sz="4" w:space="0" w:color="auto"/>
              <w:right w:val="single" w:sz="4" w:space="0" w:color="auto"/>
            </w:tcBorders>
            <w:vAlign w:val="center"/>
          </w:tcPr>
          <w:p>
            <w:pPr>
              <w:jc w:val="right"/>
            </w:pPr>
            <w:r>
              <w:t>12 096,00</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r>
        <w:trPr>
          <w:trHeight w:val="25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1100</w:t>
            </w:r>
          </w:p>
        </w:tc>
        <w:tc>
          <w:tcPr>
            <w:tcW w:w="4131" w:type="dxa"/>
            <w:tcBorders>
              <w:top w:val="single" w:sz="4" w:space="0" w:color="auto"/>
              <w:left w:val="nil"/>
              <w:bottom w:val="single" w:sz="4" w:space="0" w:color="auto"/>
              <w:right w:val="single" w:sz="4" w:space="0" w:color="auto"/>
            </w:tcBorders>
            <w:shd w:val="clear" w:color="auto" w:fill="auto"/>
            <w:vAlign w:val="center"/>
          </w:tcPr>
          <w:p>
            <w:r>
              <w:t>Физическая культура и спорт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257 030,50</w:t>
            </w:r>
          </w:p>
        </w:tc>
        <w:tc>
          <w:tcPr>
            <w:tcW w:w="1291" w:type="dxa"/>
            <w:tcBorders>
              <w:top w:val="single" w:sz="4" w:space="0" w:color="auto"/>
              <w:left w:val="nil"/>
              <w:bottom w:val="single" w:sz="4" w:space="0" w:color="auto"/>
              <w:right w:val="single" w:sz="4" w:space="0" w:color="auto"/>
            </w:tcBorders>
            <w:vAlign w:val="center"/>
          </w:tcPr>
          <w:p>
            <w:pPr>
              <w:jc w:val="right"/>
            </w:pPr>
            <w:r>
              <w:t>257 030,50</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bl>
    <w:p>
      <w:pPr>
        <w:pStyle w:val="31"/>
        <w:tabs>
          <w:tab w:val="clear" w:pos="5529"/>
          <w:tab w:val="left" w:pos="709"/>
        </w:tabs>
        <w:ind w:right="-2"/>
        <w:rPr>
          <w:sz w:val="24"/>
          <w:szCs w:val="24"/>
          <w:highlight w:val="yellow"/>
        </w:rPr>
      </w:pPr>
    </w:p>
    <w:p>
      <w:pPr>
        <w:pStyle w:val="31"/>
        <w:spacing w:after="120"/>
        <w:ind w:right="0"/>
        <w:jc w:val="center"/>
        <w:rPr>
          <w:b/>
          <w:sz w:val="24"/>
          <w:szCs w:val="24"/>
        </w:rPr>
      </w:pPr>
      <w:r>
        <w:rPr>
          <w:b/>
          <w:sz w:val="24"/>
          <w:szCs w:val="24"/>
        </w:rPr>
        <w:t>4.2.6. Управление по делам защиты населения и территорий от чрезвычайных ситуаций Администрации ЗАТО Северск</w:t>
      </w:r>
    </w:p>
    <w:p>
      <w:pPr>
        <w:pStyle w:val="31"/>
        <w:ind w:right="0" w:firstLine="709"/>
        <w:rPr>
          <w:sz w:val="24"/>
          <w:szCs w:val="24"/>
        </w:rPr>
      </w:pPr>
      <w:r>
        <w:rPr>
          <w:sz w:val="24"/>
          <w:szCs w:val="24"/>
        </w:rPr>
        <w:t>Кассовое исполнение расходов за 2020 год составило 25 774,26 тыс.руб. или 99,1% к утвержденным годовым назначениям.</w:t>
      </w:r>
    </w:p>
    <w:p>
      <w:pPr>
        <w:pStyle w:val="31"/>
        <w:ind w:right="0" w:firstLine="709"/>
        <w:rPr>
          <w:sz w:val="24"/>
          <w:szCs w:val="24"/>
        </w:rPr>
      </w:pPr>
      <w:r>
        <w:rPr>
          <w:sz w:val="24"/>
          <w:szCs w:val="24"/>
        </w:rPr>
        <w:t xml:space="preserve">В общей структуре расходов удельный вес расходов, подведомственных Управлению ЧС, составил 0,5%. </w:t>
      </w:r>
    </w:p>
    <w:p>
      <w:pPr>
        <w:pStyle w:val="31"/>
        <w:ind w:right="0" w:firstLine="709"/>
        <w:rPr>
          <w:sz w:val="24"/>
          <w:szCs w:val="24"/>
          <w:highlight w:val="yellow"/>
        </w:rPr>
      </w:pPr>
      <w:r>
        <w:rPr>
          <w:sz w:val="24"/>
          <w:szCs w:val="24"/>
        </w:rPr>
        <w:t>Управление ЧС является ответственным исполнителем муниципальной программы «</w:t>
      </w:r>
      <w:r>
        <w:rPr>
          <w:bCs/>
          <w:sz w:val="24"/>
          <w:szCs w:val="24"/>
        </w:rPr>
        <w:t xml:space="preserve">Обеспечение безопасности населения на территории ЗАТО Северск» на 2015 - 2020 годы, которая </w:t>
      </w:r>
      <w:r>
        <w:rPr>
          <w:sz w:val="24"/>
          <w:szCs w:val="24"/>
        </w:rPr>
        <w:t xml:space="preserve">за 2020 год </w:t>
      </w:r>
      <w:r>
        <w:rPr>
          <w:spacing w:val="-4"/>
          <w:sz w:val="24"/>
          <w:szCs w:val="24"/>
        </w:rPr>
        <w:t xml:space="preserve">исполнена управлением в общей сумме 25 774,26 тыс.руб. или </w:t>
      </w:r>
      <w:r>
        <w:rPr>
          <w:sz w:val="24"/>
          <w:szCs w:val="24"/>
        </w:rPr>
        <w:t xml:space="preserve">99,1% к утвержденным годовым назначениям. </w:t>
      </w:r>
    </w:p>
    <w:p>
      <w:pPr>
        <w:ind w:firstLine="709"/>
        <w:jc w:val="both"/>
        <w:rPr>
          <w:sz w:val="24"/>
          <w:szCs w:val="24"/>
          <w:highlight w:val="yellow"/>
        </w:rPr>
      </w:pPr>
      <w:r>
        <w:rPr>
          <w:sz w:val="24"/>
          <w:szCs w:val="24"/>
        </w:rPr>
        <w:t xml:space="preserve">В разрезе разделов исполнение расходов осуществлялось по одному направлению: «Национальная безопасность и правоохранительная деятельность» на общую сумму </w:t>
      </w:r>
      <w:r>
        <w:rPr>
          <w:spacing w:val="-4"/>
          <w:sz w:val="24"/>
          <w:szCs w:val="24"/>
        </w:rPr>
        <w:t xml:space="preserve">25 774,26 </w:t>
      </w:r>
      <w:r>
        <w:rPr>
          <w:sz w:val="24"/>
          <w:szCs w:val="24"/>
        </w:rPr>
        <w:t>тыс.руб. или 99,1% к утвержденным годовым назначениям.</w:t>
      </w:r>
    </w:p>
    <w:p>
      <w:pPr>
        <w:pStyle w:val="3"/>
        <w:spacing w:before="0" w:after="120"/>
        <w:jc w:val="center"/>
        <w:rPr>
          <w:rFonts w:ascii="Times New Roman" w:hAnsi="Times New Roman" w:cs="Times New Roman"/>
          <w:sz w:val="24"/>
          <w:szCs w:val="24"/>
          <w:highlight w:val="yellow"/>
        </w:rPr>
      </w:pPr>
    </w:p>
    <w:p>
      <w:pPr>
        <w:pStyle w:val="3"/>
        <w:spacing w:before="0" w:after="120"/>
        <w:jc w:val="center"/>
        <w:rPr>
          <w:rFonts w:ascii="Times New Roman" w:hAnsi="Times New Roman" w:cs="Times New Roman"/>
          <w:sz w:val="24"/>
          <w:szCs w:val="24"/>
        </w:rPr>
      </w:pPr>
      <w:r>
        <w:rPr>
          <w:rFonts w:ascii="Times New Roman" w:hAnsi="Times New Roman" w:cs="Times New Roman"/>
          <w:sz w:val="24"/>
          <w:szCs w:val="24"/>
        </w:rPr>
        <w:t>4.2.7. Управление образования Администрации ЗАТО Северск</w:t>
      </w:r>
    </w:p>
    <w:p>
      <w:pPr>
        <w:ind w:firstLine="708"/>
        <w:jc w:val="both"/>
        <w:rPr>
          <w:sz w:val="24"/>
          <w:szCs w:val="24"/>
        </w:rPr>
      </w:pPr>
      <w:r>
        <w:rPr>
          <w:sz w:val="24"/>
          <w:szCs w:val="24"/>
        </w:rPr>
        <w:t>Кассовое исполнение расходов за 2020 год составило 2 298 111,39 тыс.руб. или 99,6% к утвержденным годовым назначениям.</w:t>
      </w:r>
    </w:p>
    <w:p>
      <w:pPr>
        <w:pStyle w:val="31"/>
        <w:ind w:right="0" w:firstLine="709"/>
        <w:rPr>
          <w:sz w:val="24"/>
          <w:szCs w:val="24"/>
        </w:rPr>
      </w:pPr>
      <w:r>
        <w:rPr>
          <w:sz w:val="24"/>
          <w:szCs w:val="24"/>
        </w:rPr>
        <w:t xml:space="preserve">В общей структуре расходов удельный вес расходов, подведомственных Управлению образования, составил 48,7%. </w:t>
      </w:r>
    </w:p>
    <w:p>
      <w:pPr>
        <w:ind w:firstLine="708"/>
        <w:jc w:val="both"/>
        <w:rPr>
          <w:i/>
          <w:spacing w:val="-4"/>
          <w:sz w:val="6"/>
          <w:szCs w:val="6"/>
        </w:rPr>
      </w:pPr>
      <w:r>
        <w:rPr>
          <w:sz w:val="24"/>
          <w:szCs w:val="24"/>
        </w:rPr>
        <w:t>Управление образования является ответственным исполнителем муниципальной программы «Развитие образования в ЗАТО Северск» и участником четырех муниципальных программ.</w:t>
      </w:r>
      <w:r>
        <w:rPr>
          <w:bCs/>
          <w:sz w:val="24"/>
          <w:szCs w:val="24"/>
        </w:rPr>
        <w:t xml:space="preserve"> Расходы по муниципальным программам исполнены </w:t>
      </w:r>
      <w:r>
        <w:rPr>
          <w:sz w:val="24"/>
          <w:szCs w:val="24"/>
        </w:rPr>
        <w:t xml:space="preserve">в сумме 2 292 712,82 </w:t>
      </w:r>
      <w:r>
        <w:rPr>
          <w:spacing w:val="-4"/>
          <w:sz w:val="24"/>
          <w:szCs w:val="24"/>
        </w:rPr>
        <w:t>тыс.руб. или 99,6</w:t>
      </w:r>
      <w:r>
        <w:rPr>
          <w:sz w:val="24"/>
          <w:szCs w:val="24"/>
        </w:rPr>
        <w:t>% к утвержденным годовым назначениям.</w:t>
      </w:r>
      <w:r>
        <w:rPr>
          <w:i/>
          <w:spacing w:val="-4"/>
          <w:sz w:val="6"/>
          <w:szCs w:val="6"/>
        </w:rPr>
        <w:t xml:space="preserve"> </w:t>
      </w:r>
    </w:p>
    <w:p>
      <w:pPr>
        <w:ind w:firstLine="708"/>
        <w:jc w:val="both"/>
        <w:rPr>
          <w:i/>
          <w:spacing w:val="-4"/>
          <w:sz w:val="6"/>
          <w:szCs w:val="6"/>
        </w:rPr>
      </w:pPr>
    </w:p>
    <w:p>
      <w:pPr>
        <w:spacing w:after="120"/>
        <w:ind w:firstLine="709"/>
        <w:jc w:val="both"/>
        <w:rPr>
          <w:spacing w:val="-4"/>
          <w:sz w:val="24"/>
          <w:szCs w:val="24"/>
        </w:rPr>
      </w:pPr>
      <w:r>
        <w:rPr>
          <w:spacing w:val="-4"/>
          <w:sz w:val="24"/>
          <w:szCs w:val="24"/>
        </w:rPr>
        <w:t xml:space="preserve">Таблица 52. Расходы Управления образования в разрезе МП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819"/>
        <w:gridCol w:w="1418"/>
        <w:gridCol w:w="1417"/>
        <w:gridCol w:w="1276"/>
      </w:tblGrid>
      <w:tr>
        <w:trPr>
          <w:cantSplit/>
          <w:trHeight w:val="989"/>
        </w:trPr>
        <w:tc>
          <w:tcPr>
            <w:tcW w:w="426" w:type="dxa"/>
            <w:textDirection w:val="btLr"/>
            <w:vAlign w:val="center"/>
          </w:tcPr>
          <w:p>
            <w:pPr>
              <w:ind w:left="-57" w:right="-57"/>
              <w:jc w:val="center"/>
              <w:rPr>
                <w:bCs/>
              </w:rPr>
            </w:pPr>
            <w:r>
              <w:t>№ п/п</w:t>
            </w:r>
          </w:p>
        </w:tc>
        <w:tc>
          <w:tcPr>
            <w:tcW w:w="4819" w:type="dxa"/>
            <w:vAlign w:val="center"/>
          </w:tcPr>
          <w:p>
            <w:pPr>
              <w:ind w:right="55"/>
              <w:jc w:val="center"/>
              <w:rPr>
                <w:bCs/>
              </w:rPr>
            </w:pPr>
            <w:r>
              <w:t>Наименование программы</w:t>
            </w:r>
          </w:p>
        </w:tc>
        <w:tc>
          <w:tcPr>
            <w:tcW w:w="1418" w:type="dxa"/>
            <w:vAlign w:val="center"/>
          </w:tcPr>
          <w:p>
            <w:pPr>
              <w:jc w:val="center"/>
            </w:pPr>
            <w:r>
              <w:t>Уточненный план</w:t>
            </w:r>
            <w:r>
              <w:br/>
              <w:t>2020 г., тыс.руб.</w:t>
            </w:r>
          </w:p>
        </w:tc>
        <w:tc>
          <w:tcPr>
            <w:tcW w:w="1417" w:type="dxa"/>
            <w:vAlign w:val="center"/>
          </w:tcPr>
          <w:p>
            <w:pPr>
              <w:ind w:right="-42"/>
              <w:jc w:val="center"/>
            </w:pPr>
            <w:r>
              <w:t xml:space="preserve">Исполнено </w:t>
            </w:r>
          </w:p>
          <w:p>
            <w:pPr>
              <w:ind w:right="-42"/>
              <w:jc w:val="center"/>
            </w:pPr>
            <w:r>
              <w:t>за 2020 г., тыс.руб.</w:t>
            </w:r>
          </w:p>
        </w:tc>
        <w:tc>
          <w:tcPr>
            <w:tcW w:w="1276" w:type="dxa"/>
            <w:vAlign w:val="center"/>
          </w:tcPr>
          <w:p>
            <w:pPr>
              <w:jc w:val="center"/>
            </w:pPr>
            <w:r>
              <w:t xml:space="preserve">Процент исполнения </w:t>
            </w:r>
          </w:p>
          <w:p>
            <w:pPr>
              <w:jc w:val="center"/>
            </w:pPr>
            <w:r>
              <w:t>к плану</w:t>
            </w:r>
            <w:r>
              <w:br/>
              <w:t xml:space="preserve"> 2020 г.</w:t>
            </w:r>
          </w:p>
        </w:tc>
      </w:tr>
      <w:tr>
        <w:trPr>
          <w:trHeight w:val="354"/>
        </w:trPr>
        <w:tc>
          <w:tcPr>
            <w:tcW w:w="426" w:type="dxa"/>
            <w:vAlign w:val="center"/>
          </w:tcPr>
          <w:p>
            <w:pPr>
              <w:jc w:val="center"/>
            </w:pPr>
            <w:r>
              <w:t>1</w:t>
            </w:r>
          </w:p>
        </w:tc>
        <w:tc>
          <w:tcPr>
            <w:tcW w:w="4819" w:type="dxa"/>
            <w:vAlign w:val="center"/>
          </w:tcPr>
          <w:p>
            <w:r>
              <w:t>МП «Развитие образования в ЗАТО Северск»</w:t>
            </w:r>
          </w:p>
        </w:tc>
        <w:tc>
          <w:tcPr>
            <w:tcW w:w="1418" w:type="dxa"/>
            <w:vAlign w:val="center"/>
          </w:tcPr>
          <w:p>
            <w:pPr>
              <w:jc w:val="right"/>
              <w:rPr>
                <w:sz w:val="24"/>
                <w:szCs w:val="24"/>
              </w:rPr>
            </w:pPr>
            <w:r>
              <w:t>2 290 662,60</w:t>
            </w:r>
          </w:p>
        </w:tc>
        <w:tc>
          <w:tcPr>
            <w:tcW w:w="1417" w:type="dxa"/>
            <w:vAlign w:val="center"/>
          </w:tcPr>
          <w:p>
            <w:pPr>
              <w:jc w:val="right"/>
              <w:rPr>
                <w:sz w:val="24"/>
                <w:szCs w:val="24"/>
              </w:rPr>
            </w:pPr>
            <w:r>
              <w:t>2 281 332,56</w:t>
            </w:r>
          </w:p>
        </w:tc>
        <w:tc>
          <w:tcPr>
            <w:tcW w:w="1276" w:type="dxa"/>
            <w:vAlign w:val="center"/>
          </w:tcPr>
          <w:p>
            <w:pPr>
              <w:jc w:val="right"/>
            </w:pPr>
            <w:r>
              <w:t>99,8</w:t>
            </w:r>
          </w:p>
        </w:tc>
      </w:tr>
      <w:tr>
        <w:trPr>
          <w:trHeight w:val="548"/>
        </w:trPr>
        <w:tc>
          <w:tcPr>
            <w:tcW w:w="426" w:type="dxa"/>
            <w:vAlign w:val="center"/>
          </w:tcPr>
          <w:p>
            <w:pPr>
              <w:jc w:val="center"/>
            </w:pPr>
            <w:r>
              <w:t>2</w:t>
            </w:r>
          </w:p>
        </w:tc>
        <w:tc>
          <w:tcPr>
            <w:tcW w:w="4819" w:type="dxa"/>
            <w:vAlign w:val="center"/>
          </w:tcPr>
          <w:p>
            <w:r>
              <w:t xml:space="preserve">МП «Обеспечение безопасности населения на территории ЗАТО Северск» </w:t>
            </w:r>
          </w:p>
        </w:tc>
        <w:tc>
          <w:tcPr>
            <w:tcW w:w="1418" w:type="dxa"/>
            <w:vAlign w:val="center"/>
          </w:tcPr>
          <w:p>
            <w:pPr>
              <w:jc w:val="right"/>
              <w:rPr>
                <w:sz w:val="24"/>
                <w:szCs w:val="24"/>
              </w:rPr>
            </w:pPr>
            <w:r>
              <w:t>10 337,60</w:t>
            </w:r>
          </w:p>
        </w:tc>
        <w:tc>
          <w:tcPr>
            <w:tcW w:w="1417" w:type="dxa"/>
            <w:vAlign w:val="center"/>
          </w:tcPr>
          <w:p>
            <w:pPr>
              <w:jc w:val="right"/>
              <w:rPr>
                <w:sz w:val="24"/>
                <w:szCs w:val="24"/>
              </w:rPr>
            </w:pPr>
            <w:r>
              <w:t>10 337,56</w:t>
            </w:r>
          </w:p>
        </w:tc>
        <w:tc>
          <w:tcPr>
            <w:tcW w:w="1276" w:type="dxa"/>
            <w:vAlign w:val="center"/>
          </w:tcPr>
          <w:p>
            <w:pPr>
              <w:jc w:val="right"/>
            </w:pPr>
            <w:r>
              <w:t>99,9</w:t>
            </w:r>
          </w:p>
        </w:tc>
      </w:tr>
      <w:tr>
        <w:trPr>
          <w:trHeight w:val="402"/>
        </w:trPr>
        <w:tc>
          <w:tcPr>
            <w:tcW w:w="426" w:type="dxa"/>
            <w:vAlign w:val="center"/>
          </w:tcPr>
          <w:p>
            <w:pPr>
              <w:jc w:val="center"/>
            </w:pPr>
            <w:r>
              <w:t>3</w:t>
            </w:r>
          </w:p>
        </w:tc>
        <w:tc>
          <w:tcPr>
            <w:tcW w:w="4819" w:type="dxa"/>
            <w:vAlign w:val="center"/>
          </w:tcPr>
          <w:p>
            <w:r>
              <w:t>МП «Охрана окружающей среды на территории ЗАТО Северск»</w:t>
            </w:r>
          </w:p>
        </w:tc>
        <w:tc>
          <w:tcPr>
            <w:tcW w:w="1418" w:type="dxa"/>
            <w:vAlign w:val="center"/>
          </w:tcPr>
          <w:p>
            <w:pPr>
              <w:jc w:val="right"/>
              <w:rPr>
                <w:sz w:val="24"/>
                <w:szCs w:val="24"/>
              </w:rPr>
            </w:pPr>
            <w:r>
              <w:t>89,17</w:t>
            </w:r>
          </w:p>
        </w:tc>
        <w:tc>
          <w:tcPr>
            <w:tcW w:w="1417" w:type="dxa"/>
            <w:vAlign w:val="center"/>
          </w:tcPr>
          <w:p>
            <w:pPr>
              <w:jc w:val="right"/>
              <w:rPr>
                <w:sz w:val="24"/>
                <w:szCs w:val="24"/>
              </w:rPr>
            </w:pPr>
            <w:r>
              <w:t>89,17</w:t>
            </w:r>
          </w:p>
        </w:tc>
        <w:tc>
          <w:tcPr>
            <w:tcW w:w="1276" w:type="dxa"/>
            <w:vAlign w:val="center"/>
          </w:tcPr>
          <w:p>
            <w:pPr>
              <w:jc w:val="right"/>
            </w:pPr>
            <w:r>
              <w:t>100,0</w:t>
            </w:r>
          </w:p>
        </w:tc>
      </w:tr>
      <w:tr>
        <w:trPr>
          <w:trHeight w:val="311"/>
        </w:trPr>
        <w:tc>
          <w:tcPr>
            <w:tcW w:w="426" w:type="dxa"/>
            <w:vAlign w:val="center"/>
          </w:tcPr>
          <w:p>
            <w:pPr>
              <w:jc w:val="center"/>
            </w:pPr>
            <w:r>
              <w:t>4</w:t>
            </w:r>
          </w:p>
        </w:tc>
        <w:tc>
          <w:tcPr>
            <w:tcW w:w="4819" w:type="dxa"/>
            <w:vAlign w:val="center"/>
          </w:tcPr>
          <w:p>
            <w:r>
              <w:t>МП</w:t>
            </w:r>
            <w:r>
              <w:rPr>
                <w:spacing w:val="-4"/>
              </w:rPr>
              <w:t xml:space="preserve"> «Профилактика алкоголизма, наркомании, токсикомании и ВИЧ-инфекции»</w:t>
            </w:r>
          </w:p>
        </w:tc>
        <w:tc>
          <w:tcPr>
            <w:tcW w:w="1418" w:type="dxa"/>
            <w:vAlign w:val="center"/>
          </w:tcPr>
          <w:p>
            <w:pPr>
              <w:jc w:val="right"/>
              <w:rPr>
                <w:sz w:val="24"/>
                <w:szCs w:val="24"/>
              </w:rPr>
            </w:pPr>
            <w:r>
              <w:t>953,53</w:t>
            </w:r>
          </w:p>
        </w:tc>
        <w:tc>
          <w:tcPr>
            <w:tcW w:w="1417" w:type="dxa"/>
            <w:vAlign w:val="center"/>
          </w:tcPr>
          <w:p>
            <w:pPr>
              <w:jc w:val="right"/>
              <w:rPr>
                <w:sz w:val="24"/>
                <w:szCs w:val="24"/>
              </w:rPr>
            </w:pPr>
            <w:r>
              <w:t>953,53</w:t>
            </w:r>
          </w:p>
        </w:tc>
        <w:tc>
          <w:tcPr>
            <w:tcW w:w="1276" w:type="dxa"/>
            <w:vAlign w:val="center"/>
          </w:tcPr>
          <w:p>
            <w:pPr>
              <w:jc w:val="right"/>
            </w:pPr>
            <w:r>
              <w:t>100,0</w:t>
            </w:r>
          </w:p>
        </w:tc>
      </w:tr>
      <w:tr>
        <w:trPr>
          <w:trHeight w:val="311"/>
        </w:trPr>
        <w:tc>
          <w:tcPr>
            <w:tcW w:w="426" w:type="dxa"/>
            <w:vAlign w:val="center"/>
          </w:tcPr>
          <w:p>
            <w:pPr>
              <w:jc w:val="center"/>
            </w:pPr>
          </w:p>
        </w:tc>
        <w:tc>
          <w:tcPr>
            <w:tcW w:w="4819" w:type="dxa"/>
            <w:vAlign w:val="center"/>
          </w:tcPr>
          <w:p>
            <w:r>
              <w:t>Всего по программам</w:t>
            </w:r>
          </w:p>
        </w:tc>
        <w:tc>
          <w:tcPr>
            <w:tcW w:w="1418" w:type="dxa"/>
            <w:vAlign w:val="center"/>
          </w:tcPr>
          <w:p>
            <w:pPr>
              <w:jc w:val="right"/>
            </w:pPr>
            <w:r>
              <w:t>2 302 042,90</w:t>
            </w:r>
          </w:p>
        </w:tc>
        <w:tc>
          <w:tcPr>
            <w:tcW w:w="1417" w:type="dxa"/>
            <w:vAlign w:val="center"/>
          </w:tcPr>
          <w:p>
            <w:pPr>
              <w:jc w:val="right"/>
            </w:pPr>
            <w:r>
              <w:t>2 292 712,82</w:t>
            </w:r>
          </w:p>
        </w:tc>
        <w:tc>
          <w:tcPr>
            <w:tcW w:w="1276" w:type="dxa"/>
            <w:vAlign w:val="center"/>
          </w:tcPr>
          <w:p>
            <w:pPr>
              <w:jc w:val="right"/>
            </w:pPr>
            <w:r>
              <w:t>99,6</w:t>
            </w:r>
          </w:p>
        </w:tc>
      </w:tr>
    </w:tbl>
    <w:p>
      <w:pPr>
        <w:jc w:val="both"/>
        <w:rPr>
          <w:sz w:val="16"/>
          <w:szCs w:val="16"/>
        </w:rPr>
      </w:pPr>
    </w:p>
    <w:p>
      <w:pPr>
        <w:pStyle w:val="31"/>
        <w:ind w:right="-2" w:firstLine="709"/>
        <w:rPr>
          <w:spacing w:val="-4"/>
          <w:sz w:val="24"/>
          <w:szCs w:val="24"/>
        </w:rPr>
      </w:pPr>
      <w:r>
        <w:rPr>
          <w:sz w:val="24"/>
          <w:szCs w:val="24"/>
        </w:rPr>
        <w:t xml:space="preserve">Управлением образования за 2020 год </w:t>
      </w:r>
      <w:r>
        <w:rPr>
          <w:spacing w:val="-4"/>
          <w:sz w:val="24"/>
          <w:szCs w:val="24"/>
        </w:rPr>
        <w:t>исполнены непрограммные мероприятия на сумму 5 398,57 тыс.руб.,  том числе:</w:t>
      </w:r>
    </w:p>
    <w:p>
      <w:pPr>
        <w:pStyle w:val="31"/>
        <w:ind w:right="-2" w:firstLine="709"/>
        <w:rPr>
          <w:spacing w:val="-4"/>
          <w:sz w:val="24"/>
          <w:szCs w:val="24"/>
        </w:rPr>
      </w:pPr>
      <w:r>
        <w:rPr>
          <w:spacing w:val="-4"/>
          <w:sz w:val="24"/>
          <w:szCs w:val="24"/>
        </w:rPr>
        <w:t>-  1 681,75 тыс.руб. за счет средств резервного фонда ФНР Администрации Томской области;</w:t>
      </w:r>
    </w:p>
    <w:p>
      <w:pPr>
        <w:pStyle w:val="31"/>
        <w:ind w:right="-2" w:firstLine="709"/>
        <w:rPr>
          <w:spacing w:val="-4"/>
          <w:sz w:val="24"/>
          <w:szCs w:val="24"/>
        </w:rPr>
      </w:pPr>
      <w:r>
        <w:rPr>
          <w:spacing w:val="-4"/>
          <w:sz w:val="24"/>
          <w:szCs w:val="24"/>
        </w:rPr>
        <w:t>- 976,68 тыс.руб. за счет средств ФНР</w:t>
      </w:r>
      <w:r>
        <w:rPr>
          <w:sz w:val="24"/>
        </w:rPr>
        <w:t xml:space="preserve"> (выплаты однократного единовременного поощрения в связи с прекращением муниципальной службы);</w:t>
      </w:r>
    </w:p>
    <w:p>
      <w:pPr>
        <w:pStyle w:val="31"/>
        <w:ind w:right="-2" w:firstLine="709"/>
        <w:rPr>
          <w:spacing w:val="-4"/>
          <w:sz w:val="24"/>
          <w:szCs w:val="24"/>
        </w:rPr>
      </w:pPr>
      <w:r>
        <w:rPr>
          <w:spacing w:val="-4"/>
          <w:sz w:val="24"/>
          <w:szCs w:val="24"/>
        </w:rPr>
        <w:t>- 2 740,14 тыс.руб. за счет средств местного бюджета (расходы в связи с ликвидацией муниципального учреждения).</w:t>
      </w:r>
    </w:p>
    <w:p>
      <w:pPr>
        <w:pStyle w:val="31"/>
        <w:ind w:right="0"/>
        <w:rPr>
          <w:b/>
          <w:sz w:val="24"/>
          <w:szCs w:val="24"/>
          <w:highlight w:val="yellow"/>
        </w:rPr>
      </w:pPr>
    </w:p>
    <w:p>
      <w:pPr>
        <w:pStyle w:val="31"/>
        <w:spacing w:after="120"/>
        <w:ind w:left="567" w:right="0"/>
        <w:jc w:val="center"/>
        <w:rPr>
          <w:b/>
          <w:sz w:val="24"/>
          <w:szCs w:val="24"/>
        </w:rPr>
      </w:pPr>
      <w:r>
        <w:rPr>
          <w:b/>
          <w:sz w:val="24"/>
          <w:szCs w:val="24"/>
        </w:rPr>
        <w:t>4.2.8. Управление имущественных отношений Администрации ЗАТО Северск</w:t>
      </w:r>
    </w:p>
    <w:p>
      <w:pPr>
        <w:ind w:firstLine="709"/>
        <w:jc w:val="both"/>
        <w:rPr>
          <w:sz w:val="24"/>
          <w:szCs w:val="24"/>
        </w:rPr>
      </w:pPr>
      <w:r>
        <w:rPr>
          <w:sz w:val="24"/>
          <w:szCs w:val="24"/>
        </w:rPr>
        <w:t>Кассовое исполнение расходов за 2020 год составило 83 331,28 тыс.руб. или 92,8% к утвержденным годовым назначениям.</w:t>
      </w:r>
    </w:p>
    <w:p>
      <w:pPr>
        <w:ind w:firstLine="709"/>
        <w:jc w:val="both"/>
        <w:rPr>
          <w:sz w:val="24"/>
          <w:szCs w:val="24"/>
        </w:rPr>
      </w:pPr>
      <w:r>
        <w:rPr>
          <w:sz w:val="24"/>
          <w:szCs w:val="24"/>
        </w:rPr>
        <w:t xml:space="preserve">В общей структуре расходов удельный вес расходов, подведомственных Управлению имущественных отношений, составил 1,8%. </w:t>
      </w:r>
    </w:p>
    <w:p>
      <w:pPr>
        <w:ind w:firstLine="709"/>
        <w:jc w:val="both"/>
        <w:rPr>
          <w:sz w:val="24"/>
          <w:szCs w:val="24"/>
        </w:rPr>
      </w:pPr>
      <w:r>
        <w:rPr>
          <w:sz w:val="24"/>
          <w:szCs w:val="24"/>
        </w:rPr>
        <w:lastRenderedPageBreak/>
        <w:t xml:space="preserve">Управление имущественных отношений является ответственным исполнителем муниципальной программы «Эффективное управление муниципальным имуществом ЗАТО Северск» и участником двух муниципальных программ, расходы по ним исполнены </w:t>
      </w:r>
      <w:r>
        <w:rPr>
          <w:spacing w:val="-4"/>
          <w:sz w:val="24"/>
          <w:szCs w:val="24"/>
        </w:rPr>
        <w:t>на общую сумму 82 024,59 тыс.руб. или 92,7</w:t>
      </w:r>
      <w:r>
        <w:rPr>
          <w:sz w:val="24"/>
          <w:szCs w:val="24"/>
        </w:rPr>
        <w:t>% к утвержденным годовым назначениям.</w:t>
      </w:r>
    </w:p>
    <w:p>
      <w:pPr>
        <w:ind w:firstLine="709"/>
        <w:jc w:val="both"/>
        <w:rPr>
          <w:spacing w:val="-4"/>
          <w:sz w:val="10"/>
          <w:szCs w:val="10"/>
          <w:highlight w:val="yellow"/>
        </w:rPr>
      </w:pPr>
    </w:p>
    <w:p>
      <w:pPr>
        <w:spacing w:after="120"/>
        <w:ind w:firstLine="709"/>
        <w:jc w:val="both"/>
        <w:rPr>
          <w:spacing w:val="-4"/>
          <w:sz w:val="24"/>
          <w:szCs w:val="24"/>
        </w:rPr>
      </w:pPr>
      <w:r>
        <w:rPr>
          <w:spacing w:val="-4"/>
          <w:sz w:val="24"/>
          <w:szCs w:val="24"/>
        </w:rPr>
        <w:t>Таблица 53. Расходы Управления имущественных отношений в разрезе МП</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4677"/>
        <w:gridCol w:w="1560"/>
        <w:gridCol w:w="1275"/>
        <w:gridCol w:w="1418"/>
      </w:tblGrid>
      <w:tr>
        <w:trPr>
          <w:trHeight w:val="840"/>
        </w:trPr>
        <w:tc>
          <w:tcPr>
            <w:tcW w:w="441" w:type="dxa"/>
            <w:shd w:val="clear" w:color="auto" w:fill="auto"/>
            <w:textDirection w:val="btLr"/>
            <w:vAlign w:val="center"/>
          </w:tcPr>
          <w:p>
            <w:pPr>
              <w:jc w:val="center"/>
            </w:pPr>
          </w:p>
          <w:p>
            <w:pPr>
              <w:jc w:val="center"/>
            </w:pPr>
            <w:r>
              <w:rPr>
                <w:lang w:val="en-US"/>
              </w:rPr>
              <w:t xml:space="preserve">№ </w:t>
            </w:r>
            <w:r>
              <w:t>п/п</w:t>
            </w:r>
          </w:p>
          <w:p>
            <w:pPr>
              <w:jc w:val="center"/>
            </w:pPr>
          </w:p>
        </w:tc>
        <w:tc>
          <w:tcPr>
            <w:tcW w:w="4677" w:type="dxa"/>
            <w:shd w:val="clear" w:color="auto" w:fill="auto"/>
            <w:vAlign w:val="center"/>
          </w:tcPr>
          <w:p>
            <w:pPr>
              <w:jc w:val="center"/>
            </w:pPr>
            <w:r>
              <w:t xml:space="preserve">Наименование программы </w:t>
            </w:r>
          </w:p>
        </w:tc>
        <w:tc>
          <w:tcPr>
            <w:tcW w:w="1560" w:type="dxa"/>
            <w:shd w:val="clear" w:color="auto" w:fill="auto"/>
            <w:vAlign w:val="center"/>
          </w:tcPr>
          <w:p>
            <w:pPr>
              <w:jc w:val="center"/>
            </w:pPr>
            <w:r>
              <w:t>Уточненный план 2020 г., тыс.руб.</w:t>
            </w:r>
          </w:p>
        </w:tc>
        <w:tc>
          <w:tcPr>
            <w:tcW w:w="1275" w:type="dxa"/>
            <w:shd w:val="clear" w:color="auto" w:fill="auto"/>
            <w:vAlign w:val="center"/>
          </w:tcPr>
          <w:p>
            <w:pPr>
              <w:ind w:right="-42"/>
              <w:jc w:val="center"/>
            </w:pPr>
            <w:r>
              <w:t xml:space="preserve">Исполнено </w:t>
            </w:r>
          </w:p>
          <w:p>
            <w:pPr>
              <w:ind w:right="-42"/>
              <w:jc w:val="center"/>
            </w:pPr>
            <w:r>
              <w:t>за 2020 г., тыс.руб.</w:t>
            </w:r>
          </w:p>
        </w:tc>
        <w:tc>
          <w:tcPr>
            <w:tcW w:w="1418" w:type="dxa"/>
            <w:shd w:val="clear" w:color="auto" w:fill="auto"/>
            <w:vAlign w:val="center"/>
          </w:tcPr>
          <w:p>
            <w:pPr>
              <w:jc w:val="center"/>
            </w:pPr>
            <w:r>
              <w:t xml:space="preserve">Процент исполнения </w:t>
            </w:r>
          </w:p>
          <w:p>
            <w:pPr>
              <w:jc w:val="center"/>
            </w:pPr>
            <w:r>
              <w:t>к плану</w:t>
            </w:r>
            <w:r>
              <w:br/>
              <w:t xml:space="preserve"> 2020 г.</w:t>
            </w:r>
          </w:p>
        </w:tc>
      </w:tr>
      <w:tr>
        <w:trPr>
          <w:trHeight w:val="476"/>
        </w:trPr>
        <w:tc>
          <w:tcPr>
            <w:tcW w:w="441" w:type="dxa"/>
            <w:shd w:val="clear" w:color="auto" w:fill="auto"/>
            <w:noWrap/>
            <w:vAlign w:val="center"/>
          </w:tcPr>
          <w:p>
            <w:pPr>
              <w:jc w:val="center"/>
            </w:pPr>
            <w:r>
              <w:t>1</w:t>
            </w:r>
          </w:p>
        </w:tc>
        <w:tc>
          <w:tcPr>
            <w:tcW w:w="4677" w:type="dxa"/>
            <w:shd w:val="clear" w:color="auto" w:fill="auto"/>
            <w:vAlign w:val="center"/>
          </w:tcPr>
          <w:p>
            <w:r>
              <w:t>МП «Эффективное управление муниципальным имуществом»</w:t>
            </w:r>
          </w:p>
        </w:tc>
        <w:tc>
          <w:tcPr>
            <w:tcW w:w="1560" w:type="dxa"/>
            <w:shd w:val="clear" w:color="auto" w:fill="auto"/>
            <w:noWrap/>
            <w:vAlign w:val="center"/>
          </w:tcPr>
          <w:p>
            <w:pPr>
              <w:jc w:val="right"/>
            </w:pPr>
            <w:r>
              <w:t>79 660,62</w:t>
            </w:r>
          </w:p>
        </w:tc>
        <w:tc>
          <w:tcPr>
            <w:tcW w:w="1275" w:type="dxa"/>
            <w:shd w:val="clear" w:color="auto" w:fill="auto"/>
            <w:noWrap/>
            <w:vAlign w:val="center"/>
          </w:tcPr>
          <w:p>
            <w:pPr>
              <w:jc w:val="right"/>
            </w:pPr>
            <w:r>
              <w:t>75 809,74</w:t>
            </w:r>
          </w:p>
        </w:tc>
        <w:tc>
          <w:tcPr>
            <w:tcW w:w="1418" w:type="dxa"/>
            <w:shd w:val="clear" w:color="auto" w:fill="auto"/>
            <w:noWrap/>
            <w:vAlign w:val="center"/>
          </w:tcPr>
          <w:p>
            <w:pPr>
              <w:jc w:val="right"/>
            </w:pPr>
            <w:r>
              <w:t>95,2</w:t>
            </w:r>
          </w:p>
        </w:tc>
      </w:tr>
      <w:tr>
        <w:trPr>
          <w:trHeight w:val="255"/>
        </w:trPr>
        <w:tc>
          <w:tcPr>
            <w:tcW w:w="441" w:type="dxa"/>
            <w:shd w:val="clear" w:color="auto" w:fill="auto"/>
            <w:noWrap/>
            <w:vAlign w:val="center"/>
          </w:tcPr>
          <w:p>
            <w:pPr>
              <w:jc w:val="center"/>
            </w:pPr>
            <w:r>
              <w:t>4</w:t>
            </w:r>
          </w:p>
        </w:tc>
        <w:tc>
          <w:tcPr>
            <w:tcW w:w="4677" w:type="dxa"/>
            <w:shd w:val="clear" w:color="auto" w:fill="auto"/>
            <w:vAlign w:val="center"/>
          </w:tcPr>
          <w:p>
            <w:r>
              <w:t xml:space="preserve">МП «Обеспечение безопасности населения на территории ЗАТО Северск» </w:t>
            </w:r>
          </w:p>
        </w:tc>
        <w:tc>
          <w:tcPr>
            <w:tcW w:w="1560" w:type="dxa"/>
            <w:shd w:val="clear" w:color="auto" w:fill="auto"/>
            <w:noWrap/>
            <w:vAlign w:val="center"/>
          </w:tcPr>
          <w:p>
            <w:pPr>
              <w:jc w:val="right"/>
            </w:pPr>
            <w:r>
              <w:t>478,88</w:t>
            </w:r>
          </w:p>
        </w:tc>
        <w:tc>
          <w:tcPr>
            <w:tcW w:w="1275" w:type="dxa"/>
            <w:shd w:val="clear" w:color="auto" w:fill="auto"/>
            <w:noWrap/>
            <w:vAlign w:val="center"/>
          </w:tcPr>
          <w:p>
            <w:pPr>
              <w:jc w:val="right"/>
            </w:pPr>
            <w:r>
              <w:t>478,88</w:t>
            </w:r>
          </w:p>
        </w:tc>
        <w:tc>
          <w:tcPr>
            <w:tcW w:w="1418" w:type="dxa"/>
            <w:shd w:val="clear" w:color="auto" w:fill="auto"/>
            <w:noWrap/>
            <w:vAlign w:val="center"/>
          </w:tcPr>
          <w:p>
            <w:pPr>
              <w:jc w:val="right"/>
            </w:pPr>
            <w:r>
              <w:t>100,0</w:t>
            </w:r>
          </w:p>
        </w:tc>
      </w:tr>
      <w:tr>
        <w:trPr>
          <w:trHeight w:val="506"/>
        </w:trPr>
        <w:tc>
          <w:tcPr>
            <w:tcW w:w="441" w:type="dxa"/>
            <w:shd w:val="clear" w:color="auto" w:fill="auto"/>
            <w:noWrap/>
            <w:vAlign w:val="center"/>
          </w:tcPr>
          <w:p>
            <w:pPr>
              <w:jc w:val="center"/>
            </w:pPr>
            <w:r>
              <w:t>5</w:t>
            </w:r>
          </w:p>
        </w:tc>
        <w:tc>
          <w:tcPr>
            <w:tcW w:w="4677" w:type="dxa"/>
            <w:shd w:val="clear" w:color="auto" w:fill="auto"/>
            <w:vAlign w:val="center"/>
          </w:tcPr>
          <w:p>
            <w:r>
              <w:t>МП «Развитие предпринимательства в ЗАТО Северск»</w:t>
            </w:r>
          </w:p>
        </w:tc>
        <w:tc>
          <w:tcPr>
            <w:tcW w:w="1560" w:type="dxa"/>
            <w:shd w:val="clear" w:color="auto" w:fill="auto"/>
            <w:noWrap/>
            <w:vAlign w:val="center"/>
          </w:tcPr>
          <w:p>
            <w:pPr>
              <w:jc w:val="right"/>
            </w:pPr>
            <w:r>
              <w:t>8 323,00</w:t>
            </w:r>
          </w:p>
        </w:tc>
        <w:tc>
          <w:tcPr>
            <w:tcW w:w="1275" w:type="dxa"/>
            <w:shd w:val="clear" w:color="auto" w:fill="auto"/>
            <w:noWrap/>
            <w:vAlign w:val="center"/>
          </w:tcPr>
          <w:p>
            <w:pPr>
              <w:jc w:val="right"/>
            </w:pPr>
            <w:r>
              <w:t>5 735,97</w:t>
            </w:r>
          </w:p>
        </w:tc>
        <w:tc>
          <w:tcPr>
            <w:tcW w:w="1418" w:type="dxa"/>
            <w:shd w:val="clear" w:color="auto" w:fill="auto"/>
            <w:noWrap/>
            <w:vAlign w:val="center"/>
          </w:tcPr>
          <w:p>
            <w:pPr>
              <w:jc w:val="right"/>
            </w:pPr>
            <w:r>
              <w:t>68,9</w:t>
            </w:r>
          </w:p>
        </w:tc>
      </w:tr>
      <w:tr>
        <w:trPr>
          <w:trHeight w:val="506"/>
        </w:trPr>
        <w:tc>
          <w:tcPr>
            <w:tcW w:w="441" w:type="dxa"/>
            <w:shd w:val="clear" w:color="auto" w:fill="auto"/>
            <w:noWrap/>
            <w:vAlign w:val="center"/>
          </w:tcPr>
          <w:p>
            <w:pPr>
              <w:jc w:val="center"/>
            </w:pPr>
          </w:p>
        </w:tc>
        <w:tc>
          <w:tcPr>
            <w:tcW w:w="4677" w:type="dxa"/>
            <w:shd w:val="clear" w:color="auto" w:fill="auto"/>
            <w:vAlign w:val="center"/>
          </w:tcPr>
          <w:p>
            <w:r>
              <w:t>Всего по программам</w:t>
            </w:r>
          </w:p>
        </w:tc>
        <w:tc>
          <w:tcPr>
            <w:tcW w:w="1560" w:type="dxa"/>
            <w:shd w:val="clear" w:color="auto" w:fill="auto"/>
            <w:noWrap/>
            <w:vAlign w:val="center"/>
          </w:tcPr>
          <w:p>
            <w:pPr>
              <w:jc w:val="right"/>
            </w:pPr>
            <w:r>
              <w:t>88 462,50</w:t>
            </w:r>
          </w:p>
        </w:tc>
        <w:tc>
          <w:tcPr>
            <w:tcW w:w="1275" w:type="dxa"/>
            <w:shd w:val="clear" w:color="auto" w:fill="auto"/>
            <w:noWrap/>
            <w:vAlign w:val="center"/>
          </w:tcPr>
          <w:p>
            <w:pPr>
              <w:jc w:val="right"/>
            </w:pPr>
            <w:r>
              <w:t>82 024,59</w:t>
            </w:r>
          </w:p>
        </w:tc>
        <w:tc>
          <w:tcPr>
            <w:tcW w:w="1418" w:type="dxa"/>
            <w:shd w:val="clear" w:color="auto" w:fill="auto"/>
            <w:noWrap/>
            <w:vAlign w:val="center"/>
          </w:tcPr>
          <w:p>
            <w:pPr>
              <w:jc w:val="right"/>
            </w:pPr>
            <w:r>
              <w:t>92,7</w:t>
            </w:r>
          </w:p>
        </w:tc>
      </w:tr>
    </w:tbl>
    <w:p>
      <w:pPr>
        <w:pStyle w:val="31"/>
        <w:tabs>
          <w:tab w:val="clear" w:pos="5529"/>
          <w:tab w:val="left" w:pos="709"/>
        </w:tabs>
        <w:ind w:right="0" w:firstLine="709"/>
        <w:rPr>
          <w:spacing w:val="-4"/>
          <w:sz w:val="24"/>
          <w:szCs w:val="24"/>
        </w:rPr>
      </w:pPr>
      <w:r>
        <w:rPr>
          <w:sz w:val="24"/>
          <w:szCs w:val="24"/>
        </w:rPr>
        <w:t xml:space="preserve">Управлением имущественных отношений за 2020 год </w:t>
      </w:r>
      <w:r>
        <w:rPr>
          <w:spacing w:val="-4"/>
          <w:sz w:val="24"/>
          <w:szCs w:val="24"/>
        </w:rPr>
        <w:t>исполнялись непрограммные мероприятия:</w:t>
      </w:r>
    </w:p>
    <w:p>
      <w:pPr>
        <w:pStyle w:val="31"/>
        <w:ind w:right="0" w:firstLine="709"/>
        <w:rPr>
          <w:sz w:val="24"/>
        </w:rPr>
      </w:pPr>
      <w:r>
        <w:rPr>
          <w:spacing w:val="-4"/>
          <w:sz w:val="24"/>
          <w:szCs w:val="24"/>
        </w:rPr>
        <w:t>- в сумме 626,20 тыс. руб. за счет средств ФНР</w:t>
      </w:r>
      <w:r>
        <w:rPr>
          <w:sz w:val="24"/>
        </w:rPr>
        <w:t xml:space="preserve"> (выплаты однократного единовременного поощрения в связи с прекращением муниципальной службы);</w:t>
      </w:r>
    </w:p>
    <w:p>
      <w:pPr>
        <w:pStyle w:val="31"/>
        <w:ind w:right="0" w:firstLine="709"/>
        <w:rPr>
          <w:spacing w:val="-4"/>
          <w:sz w:val="24"/>
          <w:szCs w:val="24"/>
        </w:rPr>
      </w:pPr>
      <w:r>
        <w:rPr>
          <w:spacing w:val="-4"/>
          <w:sz w:val="24"/>
          <w:szCs w:val="24"/>
        </w:rPr>
        <w:t>- в сумме 680,48 тыс.руб. - исполнение судебных актов.</w:t>
      </w:r>
    </w:p>
    <w:p>
      <w:pPr>
        <w:spacing w:before="120"/>
        <w:ind w:firstLine="709"/>
        <w:jc w:val="both"/>
        <w:rPr>
          <w:sz w:val="24"/>
          <w:szCs w:val="24"/>
        </w:rPr>
      </w:pPr>
      <w:r>
        <w:rPr>
          <w:sz w:val="24"/>
          <w:szCs w:val="24"/>
        </w:rPr>
        <w:t>В разрезе разделов исполнение расходов осуществлялось по двум разделам:</w:t>
      </w:r>
    </w:p>
    <w:p>
      <w:pPr>
        <w:spacing w:before="120" w:after="60"/>
        <w:ind w:firstLine="709"/>
        <w:jc w:val="both"/>
        <w:rPr>
          <w:sz w:val="24"/>
          <w:szCs w:val="24"/>
        </w:rPr>
      </w:pPr>
      <w:r>
        <w:rPr>
          <w:sz w:val="24"/>
          <w:szCs w:val="24"/>
        </w:rPr>
        <w:t>Таблица 54. Расходы Управления имущественных отношений по разделам                   за 2020 год</w:t>
      </w:r>
    </w:p>
    <w:tbl>
      <w:tblPr>
        <w:tblW w:w="9356" w:type="dxa"/>
        <w:tblInd w:w="108" w:type="dxa"/>
        <w:tblLayout w:type="fixed"/>
        <w:tblLook w:val="04A0" w:firstRow="1" w:lastRow="0" w:firstColumn="1" w:lastColumn="0" w:noHBand="0" w:noVBand="1"/>
      </w:tblPr>
      <w:tblGrid>
        <w:gridCol w:w="720"/>
        <w:gridCol w:w="4383"/>
        <w:gridCol w:w="1560"/>
        <w:gridCol w:w="1275"/>
        <w:gridCol w:w="1418"/>
      </w:tblGrid>
      <w:tr>
        <w:trPr>
          <w:trHeight w:val="959"/>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pPr>
              <w:jc w:val="center"/>
            </w:pPr>
            <w:r>
              <w:t>Раздел, подраздел</w:t>
            </w:r>
          </w:p>
        </w:tc>
        <w:tc>
          <w:tcPr>
            <w:tcW w:w="4383" w:type="dxa"/>
            <w:tcBorders>
              <w:top w:val="single" w:sz="4" w:space="0" w:color="auto"/>
              <w:left w:val="nil"/>
              <w:bottom w:val="single" w:sz="4" w:space="0" w:color="auto"/>
              <w:right w:val="single" w:sz="4" w:space="0" w:color="auto"/>
            </w:tcBorders>
            <w:shd w:val="clear" w:color="auto" w:fill="auto"/>
            <w:vAlign w:val="center"/>
          </w:tcPr>
          <w:p>
            <w:pPr>
              <w:jc w:val="center"/>
            </w:pPr>
            <w:r>
              <w:t>Наименование</w:t>
            </w:r>
          </w:p>
        </w:tc>
        <w:tc>
          <w:tcPr>
            <w:tcW w:w="1560" w:type="dxa"/>
            <w:tcBorders>
              <w:top w:val="single" w:sz="4" w:space="0" w:color="auto"/>
              <w:left w:val="nil"/>
              <w:bottom w:val="single" w:sz="4" w:space="0" w:color="auto"/>
              <w:right w:val="single" w:sz="4" w:space="0" w:color="auto"/>
            </w:tcBorders>
            <w:shd w:val="clear" w:color="auto" w:fill="auto"/>
            <w:vAlign w:val="center"/>
          </w:tcPr>
          <w:p>
            <w:pPr>
              <w:jc w:val="center"/>
            </w:pPr>
            <w:r>
              <w:t>Уточненный план 2020 г., 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right="-42"/>
              <w:jc w:val="center"/>
            </w:pPr>
            <w:r>
              <w:t xml:space="preserve">Исполнено </w:t>
            </w:r>
          </w:p>
          <w:p>
            <w:pPr>
              <w:ind w:right="-42"/>
              <w:jc w:val="center"/>
            </w:pPr>
            <w:r>
              <w:t>за 2020 г., тыс.руб.</w:t>
            </w:r>
          </w:p>
        </w:tc>
        <w:tc>
          <w:tcPr>
            <w:tcW w:w="1418" w:type="dxa"/>
            <w:tcBorders>
              <w:top w:val="single" w:sz="4" w:space="0" w:color="auto"/>
              <w:left w:val="nil"/>
              <w:bottom w:val="single" w:sz="4" w:space="0" w:color="auto"/>
              <w:right w:val="single" w:sz="4" w:space="0" w:color="auto"/>
            </w:tcBorders>
            <w:vAlign w:val="center"/>
          </w:tcPr>
          <w:p>
            <w:pPr>
              <w:jc w:val="center"/>
            </w:pPr>
            <w:r>
              <w:t xml:space="preserve">Процент </w:t>
            </w:r>
          </w:p>
          <w:p>
            <w:pPr>
              <w:jc w:val="center"/>
            </w:pPr>
            <w:r>
              <w:t xml:space="preserve">исполнения </w:t>
            </w:r>
          </w:p>
          <w:p>
            <w:pPr>
              <w:jc w:val="center"/>
            </w:pPr>
            <w:r>
              <w:t>к плану</w:t>
            </w:r>
            <w:r>
              <w:br/>
              <w:t xml:space="preserve"> 2020 г.</w:t>
            </w:r>
          </w:p>
        </w:tc>
      </w:tr>
      <w:tr>
        <w:trPr>
          <w:trHeight w:val="247"/>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p>
        </w:tc>
        <w:tc>
          <w:tcPr>
            <w:tcW w:w="4383" w:type="dxa"/>
            <w:tcBorders>
              <w:top w:val="nil"/>
              <w:left w:val="nil"/>
              <w:bottom w:val="single" w:sz="4" w:space="0" w:color="auto"/>
              <w:right w:val="single" w:sz="4" w:space="0" w:color="auto"/>
            </w:tcBorders>
            <w:shd w:val="clear" w:color="auto" w:fill="auto"/>
            <w:vAlign w:val="center"/>
          </w:tcPr>
          <w:p>
            <w:r>
              <w:t>Управление имущественных отношений:</w:t>
            </w:r>
          </w:p>
        </w:tc>
        <w:tc>
          <w:tcPr>
            <w:tcW w:w="1560" w:type="dxa"/>
            <w:tcBorders>
              <w:top w:val="nil"/>
              <w:left w:val="nil"/>
              <w:bottom w:val="single" w:sz="4" w:space="0" w:color="auto"/>
              <w:right w:val="single" w:sz="4" w:space="0" w:color="auto"/>
            </w:tcBorders>
            <w:shd w:val="clear" w:color="auto" w:fill="auto"/>
            <w:noWrap/>
            <w:vAlign w:val="center"/>
          </w:tcPr>
          <w:p>
            <w:pPr>
              <w:jc w:val="right"/>
            </w:pPr>
            <w:r>
              <w:t>89 769,20</w:t>
            </w:r>
          </w:p>
        </w:tc>
        <w:tc>
          <w:tcPr>
            <w:tcW w:w="1275" w:type="dxa"/>
            <w:tcBorders>
              <w:top w:val="single" w:sz="4" w:space="0" w:color="auto"/>
              <w:left w:val="nil"/>
              <w:bottom w:val="single" w:sz="4" w:space="0" w:color="auto"/>
              <w:right w:val="single" w:sz="4" w:space="0" w:color="auto"/>
            </w:tcBorders>
            <w:shd w:val="clear" w:color="auto" w:fill="auto"/>
            <w:noWrap/>
            <w:vAlign w:val="center"/>
          </w:tcPr>
          <w:p>
            <w:pPr>
              <w:jc w:val="right"/>
            </w:pPr>
            <w:r>
              <w:t>83 331,28</w:t>
            </w:r>
          </w:p>
        </w:tc>
        <w:tc>
          <w:tcPr>
            <w:tcW w:w="1418" w:type="dxa"/>
            <w:tcBorders>
              <w:top w:val="single" w:sz="4" w:space="0" w:color="auto"/>
              <w:left w:val="nil"/>
              <w:bottom w:val="single" w:sz="4" w:space="0" w:color="auto"/>
              <w:right w:val="single" w:sz="4" w:space="0" w:color="auto"/>
            </w:tcBorders>
            <w:vAlign w:val="center"/>
          </w:tcPr>
          <w:p>
            <w:pPr>
              <w:jc w:val="right"/>
            </w:pPr>
            <w:r>
              <w:t>92,8</w:t>
            </w:r>
          </w:p>
        </w:tc>
      </w:tr>
      <w:tr>
        <w:trPr>
          <w:trHeight w:val="278"/>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0100</w:t>
            </w:r>
          </w:p>
        </w:tc>
        <w:tc>
          <w:tcPr>
            <w:tcW w:w="4383" w:type="dxa"/>
            <w:tcBorders>
              <w:top w:val="nil"/>
              <w:left w:val="nil"/>
              <w:bottom w:val="single" w:sz="4" w:space="0" w:color="auto"/>
              <w:right w:val="single" w:sz="4" w:space="0" w:color="auto"/>
            </w:tcBorders>
            <w:shd w:val="clear" w:color="auto" w:fill="auto"/>
            <w:vAlign w:val="center"/>
          </w:tcPr>
          <w:p>
            <w:r>
              <w:t>Общегосударственные вопросы</w:t>
            </w:r>
          </w:p>
        </w:tc>
        <w:tc>
          <w:tcPr>
            <w:tcW w:w="1560" w:type="dxa"/>
            <w:tcBorders>
              <w:top w:val="nil"/>
              <w:left w:val="nil"/>
              <w:bottom w:val="single" w:sz="4" w:space="0" w:color="auto"/>
              <w:right w:val="single" w:sz="4" w:space="0" w:color="auto"/>
            </w:tcBorders>
            <w:shd w:val="clear" w:color="auto" w:fill="auto"/>
            <w:noWrap/>
            <w:vAlign w:val="center"/>
          </w:tcPr>
          <w:p>
            <w:pPr>
              <w:jc w:val="right"/>
            </w:pPr>
            <w:r>
              <w:t>18 206,83</w:t>
            </w:r>
          </w:p>
        </w:tc>
        <w:tc>
          <w:tcPr>
            <w:tcW w:w="1275" w:type="dxa"/>
            <w:tcBorders>
              <w:top w:val="nil"/>
              <w:left w:val="nil"/>
              <w:bottom w:val="single" w:sz="4" w:space="0" w:color="auto"/>
              <w:right w:val="single" w:sz="4" w:space="0" w:color="auto"/>
            </w:tcBorders>
            <w:shd w:val="clear" w:color="auto" w:fill="auto"/>
            <w:noWrap/>
            <w:vAlign w:val="center"/>
          </w:tcPr>
          <w:p>
            <w:pPr>
              <w:jc w:val="right"/>
            </w:pPr>
            <w:r>
              <w:t>16 864,67</w:t>
            </w:r>
          </w:p>
        </w:tc>
        <w:tc>
          <w:tcPr>
            <w:tcW w:w="1418" w:type="dxa"/>
            <w:tcBorders>
              <w:top w:val="single" w:sz="4" w:space="0" w:color="auto"/>
              <w:left w:val="nil"/>
              <w:bottom w:val="single" w:sz="4" w:space="0" w:color="auto"/>
              <w:right w:val="single" w:sz="4" w:space="0" w:color="auto"/>
            </w:tcBorders>
            <w:vAlign w:val="center"/>
          </w:tcPr>
          <w:p>
            <w:pPr>
              <w:jc w:val="right"/>
            </w:pPr>
            <w:r>
              <w:t>92,6</w:t>
            </w:r>
          </w:p>
        </w:tc>
      </w:tr>
      <w:tr>
        <w:trPr>
          <w:trHeight w:val="255"/>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0400</w:t>
            </w:r>
          </w:p>
        </w:tc>
        <w:tc>
          <w:tcPr>
            <w:tcW w:w="4383" w:type="dxa"/>
            <w:tcBorders>
              <w:top w:val="nil"/>
              <w:left w:val="nil"/>
              <w:bottom w:val="single" w:sz="4" w:space="0" w:color="auto"/>
              <w:right w:val="single" w:sz="4" w:space="0" w:color="auto"/>
            </w:tcBorders>
            <w:shd w:val="clear" w:color="auto" w:fill="auto"/>
            <w:vAlign w:val="center"/>
          </w:tcPr>
          <w:p>
            <w:r>
              <w:t>Национальная экономика</w:t>
            </w:r>
          </w:p>
        </w:tc>
        <w:tc>
          <w:tcPr>
            <w:tcW w:w="1560" w:type="dxa"/>
            <w:tcBorders>
              <w:top w:val="nil"/>
              <w:left w:val="nil"/>
              <w:bottom w:val="single" w:sz="4" w:space="0" w:color="auto"/>
              <w:right w:val="single" w:sz="4" w:space="0" w:color="auto"/>
            </w:tcBorders>
            <w:shd w:val="clear" w:color="auto" w:fill="auto"/>
            <w:noWrap/>
            <w:vAlign w:val="center"/>
          </w:tcPr>
          <w:p>
            <w:pPr>
              <w:jc w:val="right"/>
            </w:pPr>
            <w:r>
              <w:t>71 562,37</w:t>
            </w:r>
          </w:p>
        </w:tc>
        <w:tc>
          <w:tcPr>
            <w:tcW w:w="1275" w:type="dxa"/>
            <w:tcBorders>
              <w:top w:val="nil"/>
              <w:left w:val="nil"/>
              <w:bottom w:val="single" w:sz="4" w:space="0" w:color="auto"/>
              <w:right w:val="single" w:sz="4" w:space="0" w:color="auto"/>
            </w:tcBorders>
            <w:shd w:val="clear" w:color="auto" w:fill="auto"/>
            <w:noWrap/>
            <w:vAlign w:val="center"/>
          </w:tcPr>
          <w:p>
            <w:pPr>
              <w:jc w:val="right"/>
            </w:pPr>
            <w:r>
              <w:t>66 466,61</w:t>
            </w:r>
          </w:p>
        </w:tc>
        <w:tc>
          <w:tcPr>
            <w:tcW w:w="1418" w:type="dxa"/>
            <w:tcBorders>
              <w:top w:val="single" w:sz="4" w:space="0" w:color="auto"/>
              <w:left w:val="nil"/>
              <w:bottom w:val="single" w:sz="4" w:space="0" w:color="auto"/>
              <w:right w:val="single" w:sz="4" w:space="0" w:color="auto"/>
            </w:tcBorders>
            <w:vAlign w:val="center"/>
          </w:tcPr>
          <w:p>
            <w:pPr>
              <w:jc w:val="right"/>
            </w:pPr>
            <w:r>
              <w:t>92,9</w:t>
            </w:r>
          </w:p>
        </w:tc>
      </w:tr>
    </w:tbl>
    <w:p>
      <w:pPr>
        <w:pStyle w:val="31"/>
        <w:tabs>
          <w:tab w:val="clear" w:pos="5529"/>
          <w:tab w:val="left" w:pos="709"/>
        </w:tabs>
        <w:spacing w:before="120"/>
        <w:ind w:right="0"/>
        <w:rPr>
          <w:b/>
          <w:sz w:val="24"/>
          <w:szCs w:val="24"/>
        </w:rPr>
      </w:pPr>
      <w:r>
        <w:rPr>
          <w:b/>
          <w:sz w:val="24"/>
          <w:szCs w:val="24"/>
        </w:rPr>
        <w:tab/>
      </w:r>
      <w:r>
        <w:rPr>
          <w:b/>
          <w:sz w:val="24"/>
          <w:szCs w:val="24"/>
        </w:rPr>
        <w:tab/>
      </w:r>
    </w:p>
    <w:p>
      <w:pPr>
        <w:pStyle w:val="31"/>
        <w:spacing w:after="120"/>
        <w:ind w:right="0" w:firstLine="709"/>
        <w:jc w:val="center"/>
        <w:outlineLvl w:val="2"/>
        <w:rPr>
          <w:b/>
          <w:sz w:val="24"/>
          <w:szCs w:val="24"/>
        </w:rPr>
      </w:pPr>
      <w:r>
        <w:rPr>
          <w:b/>
          <w:sz w:val="24"/>
          <w:szCs w:val="24"/>
        </w:rPr>
        <w:t>4.2.9. Счетная палата ЗАТО Северск</w:t>
      </w:r>
    </w:p>
    <w:p>
      <w:pPr>
        <w:ind w:firstLine="709"/>
        <w:jc w:val="both"/>
        <w:rPr>
          <w:sz w:val="24"/>
          <w:szCs w:val="24"/>
        </w:rPr>
      </w:pPr>
      <w:r>
        <w:rPr>
          <w:sz w:val="24"/>
          <w:szCs w:val="24"/>
        </w:rPr>
        <w:t>Кассовое исполнение по непрограммным направлениям расходов за 2020 год составило 15 267,13 тыс.руб. или 99,9% к плану к утвержденным годовым назначениям.</w:t>
      </w:r>
    </w:p>
    <w:p>
      <w:pPr>
        <w:ind w:firstLine="709"/>
        <w:jc w:val="both"/>
        <w:rPr>
          <w:sz w:val="24"/>
          <w:szCs w:val="24"/>
        </w:rPr>
      </w:pPr>
      <w:r>
        <w:rPr>
          <w:sz w:val="24"/>
          <w:szCs w:val="24"/>
        </w:rPr>
        <w:t>В общей структуре произведенных расходов удельный вес расходов, подведомственных Счетной палате, составил 0,3%, исполнение расходов осуществлялось по разделу 0100 «Общегосударственные расходы».</w:t>
      </w:r>
    </w:p>
    <w:p>
      <w:pPr>
        <w:ind w:firstLine="709"/>
        <w:jc w:val="both"/>
        <w:rPr>
          <w:sz w:val="24"/>
          <w:szCs w:val="24"/>
        </w:rPr>
      </w:pPr>
      <w:r>
        <w:rPr>
          <w:sz w:val="24"/>
          <w:szCs w:val="24"/>
        </w:rPr>
        <w:t>Бюджетные ассигнования направлены на:</w:t>
      </w:r>
    </w:p>
    <w:p>
      <w:pPr>
        <w:ind w:firstLine="709"/>
        <w:jc w:val="both"/>
        <w:rPr>
          <w:sz w:val="24"/>
          <w:szCs w:val="24"/>
        </w:rPr>
      </w:pPr>
      <w:r>
        <w:rPr>
          <w:sz w:val="24"/>
          <w:szCs w:val="24"/>
        </w:rPr>
        <w:t>1) обеспечение деятельности Счетной палаты – 15 242,13 тыс.руб., из них:</w:t>
      </w:r>
    </w:p>
    <w:p>
      <w:pPr>
        <w:ind w:firstLine="709"/>
        <w:jc w:val="both"/>
        <w:rPr>
          <w:sz w:val="24"/>
          <w:szCs w:val="24"/>
        </w:rPr>
      </w:pPr>
      <w:r>
        <w:rPr>
          <w:sz w:val="24"/>
          <w:szCs w:val="24"/>
        </w:rPr>
        <w:t>- 12 364,77 тыс.руб. на заработную плату с начислениями;</w:t>
      </w:r>
    </w:p>
    <w:p>
      <w:pPr>
        <w:pStyle w:val="31"/>
        <w:tabs>
          <w:tab w:val="clear" w:pos="5529"/>
        </w:tabs>
        <w:ind w:right="0" w:firstLine="709"/>
        <w:rPr>
          <w:sz w:val="24"/>
          <w:szCs w:val="24"/>
        </w:rPr>
      </w:pPr>
      <w:r>
        <w:rPr>
          <w:sz w:val="24"/>
          <w:szCs w:val="24"/>
        </w:rPr>
        <w:t>- 1 759,98 тыс.руб. . оплата справочной правовой системы «КонсультантПлюс», услуг связи, обслуживание программного обеспечение, приобретение вычислительной техники и комплектующих к ней;</w:t>
      </w:r>
    </w:p>
    <w:p>
      <w:pPr>
        <w:pStyle w:val="31"/>
        <w:tabs>
          <w:tab w:val="clear" w:pos="5529"/>
        </w:tabs>
        <w:ind w:right="0" w:firstLine="709"/>
        <w:jc w:val="left"/>
        <w:rPr>
          <w:sz w:val="24"/>
          <w:szCs w:val="24"/>
        </w:rPr>
      </w:pPr>
      <w:r>
        <w:rPr>
          <w:sz w:val="24"/>
          <w:szCs w:val="24"/>
        </w:rPr>
        <w:t>-160,51 тыс.руб. на оплату коммунальных услуг;</w:t>
      </w:r>
    </w:p>
    <w:p>
      <w:pPr>
        <w:ind w:firstLine="709"/>
        <w:jc w:val="both"/>
        <w:rPr>
          <w:sz w:val="24"/>
          <w:szCs w:val="24"/>
        </w:rPr>
      </w:pPr>
      <w:r>
        <w:rPr>
          <w:sz w:val="24"/>
          <w:szCs w:val="24"/>
        </w:rPr>
        <w:t>2)</w:t>
      </w:r>
      <w:r>
        <w:rPr>
          <w:sz w:val="24"/>
          <w:szCs w:val="24"/>
        </w:rPr>
        <w:tab/>
        <w:t>оплату членских взносов в Союз муниципальных контрольно-счетных органов – 25,0 тыс.руб.</w:t>
      </w:r>
    </w:p>
    <w:p>
      <w:pPr>
        <w:ind w:firstLine="709"/>
        <w:jc w:val="both"/>
        <w:rPr>
          <w:sz w:val="24"/>
          <w:szCs w:val="24"/>
          <w:highlight w:val="yellow"/>
        </w:rPr>
      </w:pPr>
    </w:p>
    <w:p>
      <w:pPr>
        <w:pStyle w:val="31"/>
        <w:ind w:right="0" w:firstLine="709"/>
        <w:jc w:val="center"/>
        <w:rPr>
          <w:b/>
          <w:sz w:val="24"/>
          <w:szCs w:val="24"/>
        </w:rPr>
      </w:pPr>
      <w:r>
        <w:rPr>
          <w:b/>
          <w:sz w:val="24"/>
          <w:szCs w:val="24"/>
        </w:rPr>
        <w:t xml:space="preserve">4.2.10. Управление жилищно-коммунального хозяйства, </w:t>
      </w:r>
    </w:p>
    <w:p>
      <w:pPr>
        <w:pStyle w:val="31"/>
        <w:spacing w:after="120"/>
        <w:ind w:right="0" w:firstLine="709"/>
        <w:jc w:val="center"/>
        <w:rPr>
          <w:b/>
          <w:sz w:val="24"/>
          <w:szCs w:val="24"/>
        </w:rPr>
      </w:pPr>
      <w:r>
        <w:rPr>
          <w:b/>
          <w:sz w:val="24"/>
          <w:szCs w:val="24"/>
        </w:rPr>
        <w:t>транспорта и связи Администрации ЗАТО Северск</w:t>
      </w:r>
    </w:p>
    <w:p>
      <w:pPr>
        <w:pStyle w:val="27"/>
        <w:shd w:val="clear" w:color="auto" w:fill="auto"/>
        <w:spacing w:line="240" w:lineRule="auto"/>
        <w:ind w:firstLine="709"/>
        <w:rPr>
          <w:rFonts w:eastAsia="Calibri"/>
          <w:sz w:val="24"/>
          <w:szCs w:val="24"/>
        </w:rPr>
      </w:pPr>
      <w:r>
        <w:rPr>
          <w:rFonts w:eastAsia="Calibri"/>
          <w:sz w:val="24"/>
          <w:szCs w:val="24"/>
        </w:rPr>
        <w:t>Кассовое исполнение расходов за 2020 год составило 428 956,08 тыс.руб. или 93,5% к утвержденным годовым назначениям.</w:t>
      </w:r>
    </w:p>
    <w:p>
      <w:pPr>
        <w:pStyle w:val="27"/>
        <w:shd w:val="clear" w:color="auto" w:fill="auto"/>
        <w:spacing w:line="240" w:lineRule="auto"/>
        <w:ind w:firstLine="709"/>
        <w:rPr>
          <w:rFonts w:eastAsia="Calibri"/>
          <w:sz w:val="24"/>
          <w:szCs w:val="24"/>
        </w:rPr>
      </w:pPr>
      <w:r>
        <w:rPr>
          <w:rFonts w:eastAsia="Calibri"/>
          <w:sz w:val="24"/>
          <w:szCs w:val="24"/>
        </w:rPr>
        <w:lastRenderedPageBreak/>
        <w:t xml:space="preserve">В общей структуре произведенных расходов удельный вес расходов, подведомственных УЖКХ ТиС, составил 9,1%. </w:t>
      </w:r>
    </w:p>
    <w:p>
      <w:pPr>
        <w:ind w:firstLine="709"/>
        <w:jc w:val="both"/>
        <w:rPr>
          <w:sz w:val="24"/>
          <w:szCs w:val="24"/>
        </w:rPr>
      </w:pPr>
      <w:r>
        <w:rPr>
          <w:sz w:val="24"/>
          <w:szCs w:val="24"/>
        </w:rPr>
        <w:t>УЖКХ ТиС является ответственным исполнителем четырех муниципальных программ, участником трех муниципальных программ, исполнителем программы «Комплексное развитие систем коммунальной и инженерной инфраструктуры ЗАТО Северск» на 2013 год и на перспективу до 2035 года.</w:t>
      </w:r>
    </w:p>
    <w:p>
      <w:pPr>
        <w:ind w:firstLine="709"/>
        <w:jc w:val="both"/>
        <w:rPr>
          <w:spacing w:val="-4"/>
          <w:sz w:val="24"/>
          <w:szCs w:val="24"/>
        </w:rPr>
      </w:pPr>
      <w:r>
        <w:rPr>
          <w:sz w:val="24"/>
          <w:szCs w:val="24"/>
        </w:rPr>
        <w:t xml:space="preserve">Кассовое исполнение по муниципальным программам составило </w:t>
      </w:r>
      <w:r>
        <w:rPr>
          <w:spacing w:val="-4"/>
          <w:sz w:val="24"/>
          <w:szCs w:val="24"/>
        </w:rPr>
        <w:t xml:space="preserve">416 590,04 тыс.руб. </w:t>
      </w:r>
      <w:r>
        <w:rPr>
          <w:sz w:val="24"/>
          <w:szCs w:val="24"/>
        </w:rPr>
        <w:t>или 94,6% к утвержденным годовым назначениям.</w:t>
      </w:r>
    </w:p>
    <w:p>
      <w:pPr>
        <w:pStyle w:val="31"/>
        <w:tabs>
          <w:tab w:val="clear" w:pos="5529"/>
          <w:tab w:val="left" w:pos="0"/>
        </w:tabs>
        <w:spacing w:before="120" w:after="60"/>
        <w:ind w:right="0" w:firstLine="709"/>
        <w:rPr>
          <w:spacing w:val="-4"/>
          <w:sz w:val="24"/>
          <w:szCs w:val="24"/>
        </w:rPr>
      </w:pPr>
      <w:r>
        <w:rPr>
          <w:sz w:val="24"/>
          <w:szCs w:val="24"/>
        </w:rPr>
        <w:t>Таблица 55. Расходы УЖКХ ТиС в разрезе МП</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4871"/>
        <w:gridCol w:w="1296"/>
        <w:gridCol w:w="1403"/>
        <w:gridCol w:w="1422"/>
      </w:tblGrid>
      <w:tr>
        <w:trPr>
          <w:cantSplit/>
          <w:trHeight w:val="988"/>
        </w:trPr>
        <w:tc>
          <w:tcPr>
            <w:tcW w:w="506" w:type="dxa"/>
            <w:textDirection w:val="btLr"/>
            <w:vAlign w:val="center"/>
          </w:tcPr>
          <w:p>
            <w:pPr>
              <w:ind w:left="113" w:right="55"/>
              <w:jc w:val="center"/>
              <w:rPr>
                <w:bCs/>
              </w:rPr>
            </w:pPr>
            <w:r>
              <w:rPr>
                <w:lang w:val="en-US"/>
              </w:rPr>
              <w:t xml:space="preserve">№ </w:t>
            </w:r>
            <w:r>
              <w:t>п/п</w:t>
            </w:r>
          </w:p>
        </w:tc>
        <w:tc>
          <w:tcPr>
            <w:tcW w:w="4871" w:type="dxa"/>
            <w:vAlign w:val="center"/>
          </w:tcPr>
          <w:p>
            <w:pPr>
              <w:ind w:right="55"/>
              <w:jc w:val="center"/>
              <w:rPr>
                <w:bCs/>
              </w:rPr>
            </w:pPr>
            <w:r>
              <w:t>Наименование программы</w:t>
            </w:r>
          </w:p>
        </w:tc>
        <w:tc>
          <w:tcPr>
            <w:tcW w:w="1296" w:type="dxa"/>
            <w:vAlign w:val="center"/>
          </w:tcPr>
          <w:p>
            <w:pPr>
              <w:pStyle w:val="31"/>
              <w:spacing w:line="264" w:lineRule="auto"/>
              <w:ind w:left="-103" w:right="-103"/>
              <w:jc w:val="center"/>
              <w:rPr>
                <w:sz w:val="20"/>
              </w:rPr>
            </w:pPr>
            <w:r>
              <w:rPr>
                <w:sz w:val="20"/>
              </w:rPr>
              <w:t>Утверждено на 2020 год, тыс.руб.</w:t>
            </w:r>
          </w:p>
        </w:tc>
        <w:tc>
          <w:tcPr>
            <w:tcW w:w="1403" w:type="dxa"/>
            <w:vAlign w:val="center"/>
          </w:tcPr>
          <w:p>
            <w:pPr>
              <w:ind w:right="55"/>
              <w:jc w:val="center"/>
            </w:pPr>
            <w:r>
              <w:rPr>
                <w:bCs/>
              </w:rPr>
              <w:t>Исполнено за 2020 год, тыс. руб.</w:t>
            </w:r>
          </w:p>
        </w:tc>
        <w:tc>
          <w:tcPr>
            <w:tcW w:w="1422" w:type="dxa"/>
            <w:vAlign w:val="center"/>
          </w:tcPr>
          <w:p>
            <w:pPr>
              <w:jc w:val="center"/>
            </w:pPr>
            <w:r>
              <w:t xml:space="preserve">Процент </w:t>
            </w:r>
          </w:p>
          <w:p>
            <w:pPr>
              <w:jc w:val="center"/>
            </w:pPr>
            <w:r>
              <w:t>исполнения</w:t>
            </w:r>
          </w:p>
          <w:p>
            <w:pPr>
              <w:jc w:val="center"/>
            </w:pPr>
            <w:r>
              <w:t>к плану</w:t>
            </w:r>
            <w:r>
              <w:br/>
              <w:t xml:space="preserve"> 2020 г.</w:t>
            </w:r>
          </w:p>
        </w:tc>
      </w:tr>
      <w:tr>
        <w:trPr>
          <w:trHeight w:val="406"/>
        </w:trPr>
        <w:tc>
          <w:tcPr>
            <w:tcW w:w="506" w:type="dxa"/>
            <w:vAlign w:val="center"/>
          </w:tcPr>
          <w:p>
            <w:pPr>
              <w:jc w:val="center"/>
              <w:rPr>
                <w:bCs/>
              </w:rPr>
            </w:pPr>
            <w:r>
              <w:rPr>
                <w:bCs/>
              </w:rPr>
              <w:t>1</w:t>
            </w:r>
          </w:p>
        </w:tc>
        <w:tc>
          <w:tcPr>
            <w:tcW w:w="4871" w:type="dxa"/>
            <w:vAlign w:val="center"/>
          </w:tcPr>
          <w:p>
            <w:pPr>
              <w:rPr>
                <w:bCs/>
              </w:rPr>
            </w:pPr>
            <w:r>
              <w:rPr>
                <w:bCs/>
              </w:rPr>
              <w:t>МП «Социальная поддержка населения ЗАТО Северск»</w:t>
            </w:r>
          </w:p>
        </w:tc>
        <w:tc>
          <w:tcPr>
            <w:tcW w:w="1296" w:type="dxa"/>
            <w:vAlign w:val="center"/>
          </w:tcPr>
          <w:p>
            <w:pPr>
              <w:jc w:val="right"/>
            </w:pPr>
            <w:r>
              <w:t>7 083,37</w:t>
            </w:r>
          </w:p>
        </w:tc>
        <w:tc>
          <w:tcPr>
            <w:tcW w:w="1403" w:type="dxa"/>
            <w:vAlign w:val="center"/>
          </w:tcPr>
          <w:p>
            <w:pPr>
              <w:jc w:val="right"/>
            </w:pPr>
            <w:r>
              <w:t>7 005,56</w:t>
            </w:r>
          </w:p>
        </w:tc>
        <w:tc>
          <w:tcPr>
            <w:tcW w:w="1422" w:type="dxa"/>
            <w:vAlign w:val="center"/>
          </w:tcPr>
          <w:p>
            <w:pPr>
              <w:jc w:val="right"/>
            </w:pPr>
            <w:r>
              <w:t>98,9</w:t>
            </w:r>
          </w:p>
        </w:tc>
      </w:tr>
      <w:tr>
        <w:trPr>
          <w:trHeight w:val="640"/>
        </w:trPr>
        <w:tc>
          <w:tcPr>
            <w:tcW w:w="506" w:type="dxa"/>
            <w:vAlign w:val="center"/>
          </w:tcPr>
          <w:p>
            <w:pPr>
              <w:jc w:val="center"/>
              <w:rPr>
                <w:bCs/>
              </w:rPr>
            </w:pPr>
            <w:r>
              <w:rPr>
                <w:bCs/>
              </w:rPr>
              <w:t>2</w:t>
            </w:r>
          </w:p>
        </w:tc>
        <w:tc>
          <w:tcPr>
            <w:tcW w:w="4871" w:type="dxa"/>
            <w:vAlign w:val="center"/>
          </w:tcPr>
          <w:p>
            <w:pPr>
              <w:rPr>
                <w:bCs/>
              </w:rPr>
            </w:pPr>
            <w:r>
              <w:rPr>
                <w:bCs/>
              </w:rPr>
              <w:t>МП «Улучшение качественного состояния объектов улично-дорожной сети, благоустройства и озеленения территории г.Северска»</w:t>
            </w:r>
          </w:p>
        </w:tc>
        <w:tc>
          <w:tcPr>
            <w:tcW w:w="1296" w:type="dxa"/>
            <w:vAlign w:val="center"/>
          </w:tcPr>
          <w:p>
            <w:pPr>
              <w:jc w:val="right"/>
            </w:pPr>
            <w:r>
              <w:t>339 443,64</w:t>
            </w:r>
          </w:p>
        </w:tc>
        <w:tc>
          <w:tcPr>
            <w:tcW w:w="1403" w:type="dxa"/>
            <w:vAlign w:val="center"/>
          </w:tcPr>
          <w:p>
            <w:pPr>
              <w:jc w:val="right"/>
            </w:pPr>
            <w:r>
              <w:t>335 333,46</w:t>
            </w:r>
          </w:p>
        </w:tc>
        <w:tc>
          <w:tcPr>
            <w:tcW w:w="1422" w:type="dxa"/>
            <w:vAlign w:val="center"/>
          </w:tcPr>
          <w:p>
            <w:pPr>
              <w:jc w:val="right"/>
            </w:pPr>
            <w:r>
              <w:t>98,8</w:t>
            </w:r>
          </w:p>
        </w:tc>
      </w:tr>
      <w:tr>
        <w:trPr>
          <w:trHeight w:val="380"/>
        </w:trPr>
        <w:tc>
          <w:tcPr>
            <w:tcW w:w="506" w:type="dxa"/>
            <w:vAlign w:val="center"/>
          </w:tcPr>
          <w:p>
            <w:pPr>
              <w:jc w:val="center"/>
            </w:pPr>
            <w:r>
              <w:t>3</w:t>
            </w:r>
          </w:p>
        </w:tc>
        <w:tc>
          <w:tcPr>
            <w:tcW w:w="4871" w:type="dxa"/>
            <w:vAlign w:val="center"/>
          </w:tcPr>
          <w:p>
            <w:pPr>
              <w:pStyle w:val="31"/>
              <w:tabs>
                <w:tab w:val="clear" w:pos="5529"/>
                <w:tab w:val="left" w:pos="0"/>
              </w:tabs>
              <w:ind w:right="0"/>
              <w:jc w:val="left"/>
              <w:rPr>
                <w:bCs/>
                <w:sz w:val="20"/>
              </w:rPr>
            </w:pPr>
            <w:r>
              <w:rPr>
                <w:spacing w:val="-4"/>
                <w:sz w:val="20"/>
              </w:rPr>
              <w:t xml:space="preserve">МП </w:t>
            </w:r>
            <w:r>
              <w:rPr>
                <w:bCs/>
                <w:sz w:val="20"/>
              </w:rPr>
              <w:t xml:space="preserve">«Повышение энергоэффективности в ЗАТО Северск» </w:t>
            </w:r>
          </w:p>
        </w:tc>
        <w:tc>
          <w:tcPr>
            <w:tcW w:w="1296" w:type="dxa"/>
            <w:vAlign w:val="center"/>
          </w:tcPr>
          <w:p>
            <w:pPr>
              <w:jc w:val="right"/>
            </w:pPr>
            <w:r>
              <w:t>35 785,17</w:t>
            </w:r>
          </w:p>
        </w:tc>
        <w:tc>
          <w:tcPr>
            <w:tcW w:w="1403" w:type="dxa"/>
            <w:vAlign w:val="center"/>
          </w:tcPr>
          <w:p>
            <w:pPr>
              <w:jc w:val="right"/>
            </w:pPr>
            <w:r>
              <w:t>34 776,89</w:t>
            </w:r>
          </w:p>
        </w:tc>
        <w:tc>
          <w:tcPr>
            <w:tcW w:w="1422" w:type="dxa"/>
            <w:vAlign w:val="center"/>
          </w:tcPr>
          <w:p>
            <w:pPr>
              <w:jc w:val="right"/>
            </w:pPr>
            <w:r>
              <w:t>97,2</w:t>
            </w:r>
          </w:p>
        </w:tc>
      </w:tr>
      <w:tr>
        <w:trPr>
          <w:trHeight w:val="330"/>
        </w:trPr>
        <w:tc>
          <w:tcPr>
            <w:tcW w:w="506" w:type="dxa"/>
            <w:vAlign w:val="center"/>
          </w:tcPr>
          <w:p>
            <w:pPr>
              <w:jc w:val="center"/>
              <w:rPr>
                <w:bCs/>
              </w:rPr>
            </w:pPr>
            <w:r>
              <w:rPr>
                <w:bCs/>
              </w:rPr>
              <w:t>4</w:t>
            </w:r>
          </w:p>
        </w:tc>
        <w:tc>
          <w:tcPr>
            <w:tcW w:w="4871" w:type="dxa"/>
            <w:vAlign w:val="center"/>
          </w:tcPr>
          <w:p>
            <w:pPr>
              <w:rPr>
                <w:bCs/>
              </w:rPr>
            </w:pPr>
            <w:r>
              <w:rPr>
                <w:bCs/>
              </w:rPr>
              <w:t>МП «Обеспечение доступным и комфортным жильем граждан ЗАТО Северск»</w:t>
            </w:r>
          </w:p>
        </w:tc>
        <w:tc>
          <w:tcPr>
            <w:tcW w:w="1296" w:type="dxa"/>
            <w:vAlign w:val="center"/>
          </w:tcPr>
          <w:p>
            <w:pPr>
              <w:jc w:val="right"/>
            </w:pPr>
            <w:r>
              <w:t>17 938,90</w:t>
            </w:r>
          </w:p>
        </w:tc>
        <w:tc>
          <w:tcPr>
            <w:tcW w:w="1403" w:type="dxa"/>
            <w:vAlign w:val="center"/>
          </w:tcPr>
          <w:p>
            <w:pPr>
              <w:jc w:val="right"/>
            </w:pPr>
            <w:r>
              <w:t>16 881,34</w:t>
            </w:r>
          </w:p>
        </w:tc>
        <w:tc>
          <w:tcPr>
            <w:tcW w:w="1422" w:type="dxa"/>
            <w:vAlign w:val="center"/>
          </w:tcPr>
          <w:p>
            <w:pPr>
              <w:jc w:val="right"/>
            </w:pPr>
            <w:r>
              <w:t>94,1</w:t>
            </w:r>
          </w:p>
        </w:tc>
      </w:tr>
      <w:tr>
        <w:trPr>
          <w:trHeight w:val="422"/>
        </w:trPr>
        <w:tc>
          <w:tcPr>
            <w:tcW w:w="506" w:type="dxa"/>
            <w:vAlign w:val="center"/>
          </w:tcPr>
          <w:p>
            <w:pPr>
              <w:jc w:val="center"/>
              <w:rPr>
                <w:bCs/>
              </w:rPr>
            </w:pPr>
            <w:r>
              <w:rPr>
                <w:bCs/>
              </w:rPr>
              <w:t>5</w:t>
            </w:r>
          </w:p>
        </w:tc>
        <w:tc>
          <w:tcPr>
            <w:tcW w:w="4871" w:type="dxa"/>
            <w:vAlign w:val="center"/>
          </w:tcPr>
          <w:p>
            <w:pPr>
              <w:rPr>
                <w:bCs/>
              </w:rPr>
            </w:pPr>
            <w:r>
              <w:rPr>
                <w:bCs/>
              </w:rPr>
              <w:t xml:space="preserve">МП «Обеспечение безопасности населения на территории ЗАТО Северск» </w:t>
            </w:r>
          </w:p>
        </w:tc>
        <w:tc>
          <w:tcPr>
            <w:tcW w:w="1296" w:type="dxa"/>
            <w:vAlign w:val="center"/>
          </w:tcPr>
          <w:p>
            <w:pPr>
              <w:jc w:val="right"/>
            </w:pPr>
            <w:r>
              <w:t>11 037,93</w:t>
            </w:r>
          </w:p>
        </w:tc>
        <w:tc>
          <w:tcPr>
            <w:tcW w:w="1403" w:type="dxa"/>
            <w:vAlign w:val="center"/>
          </w:tcPr>
          <w:p>
            <w:pPr>
              <w:jc w:val="right"/>
            </w:pPr>
            <w:r>
              <w:t>11 037,05</w:t>
            </w:r>
          </w:p>
        </w:tc>
        <w:tc>
          <w:tcPr>
            <w:tcW w:w="1422" w:type="dxa"/>
            <w:vAlign w:val="center"/>
          </w:tcPr>
          <w:p>
            <w:pPr>
              <w:jc w:val="right"/>
            </w:pPr>
            <w:r>
              <w:t>100,0</w:t>
            </w:r>
          </w:p>
        </w:tc>
      </w:tr>
      <w:tr>
        <w:trPr>
          <w:trHeight w:val="386"/>
        </w:trPr>
        <w:tc>
          <w:tcPr>
            <w:tcW w:w="506" w:type="dxa"/>
            <w:vAlign w:val="center"/>
          </w:tcPr>
          <w:p>
            <w:pPr>
              <w:jc w:val="center"/>
              <w:rPr>
                <w:bCs/>
              </w:rPr>
            </w:pPr>
            <w:r>
              <w:rPr>
                <w:bCs/>
              </w:rPr>
              <w:t>6</w:t>
            </w:r>
          </w:p>
        </w:tc>
        <w:tc>
          <w:tcPr>
            <w:tcW w:w="4871" w:type="dxa"/>
            <w:vAlign w:val="center"/>
          </w:tcPr>
          <w:p>
            <w:pPr>
              <w:rPr>
                <w:bCs/>
              </w:rPr>
            </w:pPr>
            <w:r>
              <w:rPr>
                <w:bCs/>
              </w:rPr>
              <w:t xml:space="preserve">МП «Охрана окружающей среды на территории ЗАТО Северск» </w:t>
            </w:r>
          </w:p>
        </w:tc>
        <w:tc>
          <w:tcPr>
            <w:tcW w:w="1296" w:type="dxa"/>
            <w:vAlign w:val="center"/>
          </w:tcPr>
          <w:p>
            <w:pPr>
              <w:jc w:val="right"/>
            </w:pPr>
            <w:r>
              <w:t>6 346,96</w:t>
            </w:r>
          </w:p>
        </w:tc>
        <w:tc>
          <w:tcPr>
            <w:tcW w:w="1403" w:type="dxa"/>
            <w:vAlign w:val="center"/>
          </w:tcPr>
          <w:p>
            <w:pPr>
              <w:jc w:val="right"/>
            </w:pPr>
            <w:r>
              <w:t>6 262,76</w:t>
            </w:r>
          </w:p>
        </w:tc>
        <w:tc>
          <w:tcPr>
            <w:tcW w:w="1422" w:type="dxa"/>
            <w:vAlign w:val="center"/>
          </w:tcPr>
          <w:p>
            <w:pPr>
              <w:jc w:val="right"/>
            </w:pPr>
            <w:r>
              <w:t>98,7</w:t>
            </w:r>
          </w:p>
        </w:tc>
      </w:tr>
      <w:tr>
        <w:trPr>
          <w:trHeight w:val="386"/>
        </w:trPr>
        <w:tc>
          <w:tcPr>
            <w:tcW w:w="506" w:type="dxa"/>
            <w:vAlign w:val="center"/>
          </w:tcPr>
          <w:p>
            <w:pPr>
              <w:jc w:val="center"/>
              <w:rPr>
                <w:bCs/>
              </w:rPr>
            </w:pPr>
            <w:r>
              <w:rPr>
                <w:bCs/>
              </w:rPr>
              <w:t>7</w:t>
            </w:r>
          </w:p>
        </w:tc>
        <w:tc>
          <w:tcPr>
            <w:tcW w:w="4871" w:type="dxa"/>
            <w:vAlign w:val="center"/>
          </w:tcPr>
          <w:p>
            <w:pPr>
              <w:rPr>
                <w:bCs/>
              </w:rPr>
            </w:pPr>
            <w:r>
              <w:rPr>
                <w:bCs/>
              </w:rPr>
              <w:t>МП «Формирование современной городской среды ЗАТО Северск»</w:t>
            </w:r>
          </w:p>
        </w:tc>
        <w:tc>
          <w:tcPr>
            <w:tcW w:w="1296" w:type="dxa"/>
            <w:vAlign w:val="center"/>
          </w:tcPr>
          <w:p>
            <w:pPr>
              <w:jc w:val="right"/>
            </w:pPr>
            <w:r>
              <w:t>22 352,94</w:t>
            </w:r>
          </w:p>
        </w:tc>
        <w:tc>
          <w:tcPr>
            <w:tcW w:w="1403" w:type="dxa"/>
            <w:vAlign w:val="center"/>
          </w:tcPr>
          <w:p>
            <w:pPr>
              <w:jc w:val="right"/>
            </w:pPr>
            <w:r>
              <w:t>4 764,58</w:t>
            </w:r>
          </w:p>
        </w:tc>
        <w:tc>
          <w:tcPr>
            <w:tcW w:w="1422" w:type="dxa"/>
            <w:vAlign w:val="center"/>
          </w:tcPr>
          <w:p>
            <w:pPr>
              <w:jc w:val="right"/>
            </w:pPr>
            <w:r>
              <w:t>21,3</w:t>
            </w:r>
          </w:p>
        </w:tc>
      </w:tr>
      <w:tr>
        <w:tc>
          <w:tcPr>
            <w:tcW w:w="506" w:type="dxa"/>
            <w:shd w:val="clear" w:color="auto" w:fill="auto"/>
            <w:vAlign w:val="center"/>
          </w:tcPr>
          <w:p>
            <w:pPr>
              <w:jc w:val="center"/>
              <w:rPr>
                <w:bCs/>
              </w:rPr>
            </w:pPr>
            <w:r>
              <w:rPr>
                <w:bCs/>
              </w:rPr>
              <w:t>8</w:t>
            </w:r>
          </w:p>
        </w:tc>
        <w:tc>
          <w:tcPr>
            <w:tcW w:w="4871" w:type="dxa"/>
            <w:shd w:val="clear" w:color="auto" w:fill="auto"/>
            <w:vAlign w:val="center"/>
          </w:tcPr>
          <w:p>
            <w:r>
              <w:t>Программа «Комплексное развитие систем коммунальной и инженерной инфраструктуры ЗАТО Северск»</w:t>
            </w:r>
          </w:p>
        </w:tc>
        <w:tc>
          <w:tcPr>
            <w:tcW w:w="1296" w:type="dxa"/>
            <w:shd w:val="clear" w:color="auto" w:fill="auto"/>
            <w:vAlign w:val="center"/>
          </w:tcPr>
          <w:p>
            <w:pPr>
              <w:jc w:val="right"/>
            </w:pPr>
            <w:r>
              <w:t>528,41</w:t>
            </w:r>
          </w:p>
        </w:tc>
        <w:tc>
          <w:tcPr>
            <w:tcW w:w="1403" w:type="dxa"/>
            <w:shd w:val="clear" w:color="auto" w:fill="auto"/>
            <w:vAlign w:val="center"/>
          </w:tcPr>
          <w:p>
            <w:pPr>
              <w:jc w:val="right"/>
            </w:pPr>
            <w:r>
              <w:t>528,40</w:t>
            </w:r>
          </w:p>
        </w:tc>
        <w:tc>
          <w:tcPr>
            <w:tcW w:w="1422" w:type="dxa"/>
            <w:shd w:val="clear" w:color="auto" w:fill="auto"/>
            <w:vAlign w:val="center"/>
          </w:tcPr>
          <w:p>
            <w:pPr>
              <w:jc w:val="right"/>
            </w:pPr>
            <w:r>
              <w:t>100,0</w:t>
            </w:r>
          </w:p>
        </w:tc>
      </w:tr>
      <w:tr>
        <w:tc>
          <w:tcPr>
            <w:tcW w:w="506" w:type="dxa"/>
            <w:shd w:val="clear" w:color="auto" w:fill="auto"/>
            <w:vAlign w:val="center"/>
          </w:tcPr>
          <w:p>
            <w:pPr>
              <w:jc w:val="center"/>
              <w:rPr>
                <w:bCs/>
              </w:rPr>
            </w:pPr>
          </w:p>
        </w:tc>
        <w:tc>
          <w:tcPr>
            <w:tcW w:w="4871" w:type="dxa"/>
            <w:shd w:val="clear" w:color="auto" w:fill="auto"/>
            <w:vAlign w:val="center"/>
          </w:tcPr>
          <w:p>
            <w:r>
              <w:t>Всего по программам</w:t>
            </w:r>
          </w:p>
        </w:tc>
        <w:tc>
          <w:tcPr>
            <w:tcW w:w="1296" w:type="dxa"/>
            <w:shd w:val="clear" w:color="auto" w:fill="auto"/>
            <w:vAlign w:val="center"/>
          </w:tcPr>
          <w:p>
            <w:pPr>
              <w:jc w:val="right"/>
            </w:pPr>
            <w:r>
              <w:t>440 517,32</w:t>
            </w:r>
          </w:p>
        </w:tc>
        <w:tc>
          <w:tcPr>
            <w:tcW w:w="1403" w:type="dxa"/>
            <w:shd w:val="clear" w:color="auto" w:fill="auto"/>
            <w:vAlign w:val="center"/>
          </w:tcPr>
          <w:p>
            <w:pPr>
              <w:jc w:val="right"/>
            </w:pPr>
            <w:r>
              <w:t>416 590,04</w:t>
            </w:r>
          </w:p>
        </w:tc>
        <w:tc>
          <w:tcPr>
            <w:tcW w:w="1422" w:type="dxa"/>
            <w:shd w:val="clear" w:color="auto" w:fill="auto"/>
            <w:vAlign w:val="center"/>
          </w:tcPr>
          <w:p>
            <w:pPr>
              <w:jc w:val="right"/>
            </w:pPr>
            <w:r>
              <w:t>94,6</w:t>
            </w:r>
          </w:p>
        </w:tc>
      </w:tr>
    </w:tbl>
    <w:p>
      <w:pPr>
        <w:pStyle w:val="31"/>
        <w:ind w:right="-2" w:firstLine="709"/>
        <w:rPr>
          <w:spacing w:val="-4"/>
          <w:sz w:val="24"/>
          <w:szCs w:val="24"/>
        </w:rPr>
      </w:pPr>
      <w:r>
        <w:rPr>
          <w:sz w:val="24"/>
          <w:szCs w:val="24"/>
        </w:rPr>
        <w:t xml:space="preserve">УЖКХ ТиС за 2020 год </w:t>
      </w:r>
      <w:r>
        <w:rPr>
          <w:spacing w:val="-4"/>
          <w:sz w:val="24"/>
          <w:szCs w:val="24"/>
        </w:rPr>
        <w:t>исполнялись непрограммные мероприятия на общую сумму 12 366,04 тыс. руб., в том числе:</w:t>
      </w:r>
    </w:p>
    <w:p>
      <w:pPr>
        <w:pStyle w:val="31"/>
        <w:ind w:right="-2" w:firstLine="709"/>
        <w:rPr>
          <w:bCs/>
          <w:sz w:val="24"/>
          <w:szCs w:val="24"/>
        </w:rPr>
      </w:pPr>
      <w:r>
        <w:rPr>
          <w:spacing w:val="-4"/>
          <w:sz w:val="24"/>
          <w:szCs w:val="24"/>
        </w:rPr>
        <w:t>- в сумме 10 708,16 тыс.руб. на исполнение судебных актов, из них:</w:t>
      </w:r>
      <w:r>
        <w:rPr>
          <w:bCs/>
          <w:sz w:val="24"/>
          <w:szCs w:val="24"/>
        </w:rPr>
        <w:t xml:space="preserve"> за счет средств областного бюджета в сумме 9 106,42 тыс.руб. было приобретено 8 жилых помещений для детей-сирот и детей, оставшихся без попечения родителей;</w:t>
      </w:r>
    </w:p>
    <w:p>
      <w:pPr>
        <w:pStyle w:val="31"/>
        <w:ind w:right="-2" w:firstLine="709"/>
        <w:rPr>
          <w:spacing w:val="-4"/>
          <w:sz w:val="24"/>
          <w:szCs w:val="24"/>
        </w:rPr>
      </w:pPr>
      <w:r>
        <w:rPr>
          <w:spacing w:val="-4"/>
          <w:sz w:val="24"/>
          <w:szCs w:val="24"/>
        </w:rPr>
        <w:t xml:space="preserve">- в сумме 1 588,43 тыс.руб. на приобретение дезинфицирующих средств для обработки </w:t>
      </w:r>
      <w:r>
        <w:rPr>
          <w:sz w:val="24"/>
          <w:szCs w:val="24"/>
        </w:rPr>
        <w:t xml:space="preserve">(дезинфекции) улиц г.Северск, </w:t>
      </w:r>
      <w:r>
        <w:rPr>
          <w:spacing w:val="-4"/>
          <w:sz w:val="24"/>
          <w:szCs w:val="24"/>
        </w:rPr>
        <w:t>мест общего пользования в многоквартирных домах ЗАТО Северск в целях профилактики распространения новой коронавирусной инфекции (COVID-19);</w:t>
      </w:r>
    </w:p>
    <w:p>
      <w:pPr>
        <w:pStyle w:val="31"/>
        <w:ind w:right="-2" w:firstLine="709"/>
        <w:rPr>
          <w:sz w:val="24"/>
          <w:szCs w:val="24"/>
        </w:rPr>
      </w:pPr>
      <w:r>
        <w:rPr>
          <w:spacing w:val="-4"/>
          <w:sz w:val="24"/>
          <w:szCs w:val="24"/>
        </w:rPr>
        <w:t xml:space="preserve">- в сумме 69,45 тыс.руб. </w:t>
      </w:r>
      <w:r>
        <w:rPr>
          <w:sz w:val="24"/>
          <w:szCs w:val="24"/>
        </w:rPr>
        <w:t>на приобретение малых архитектурных форм за счет средств резервного фонда финансирования непредвиденных расходов Администрации Томской области</w:t>
      </w:r>
    </w:p>
    <w:p>
      <w:pPr>
        <w:pStyle w:val="27"/>
        <w:shd w:val="clear" w:color="auto" w:fill="auto"/>
        <w:spacing w:before="120" w:line="240" w:lineRule="auto"/>
        <w:ind w:firstLine="709"/>
        <w:rPr>
          <w:rFonts w:eastAsia="Calibri"/>
          <w:sz w:val="24"/>
          <w:szCs w:val="24"/>
        </w:rPr>
      </w:pPr>
      <w:r>
        <w:rPr>
          <w:rStyle w:val="16"/>
          <w:rFonts w:eastAsia="Calibri"/>
          <w:sz w:val="24"/>
          <w:szCs w:val="24"/>
          <w:u w:val="none"/>
        </w:rPr>
        <w:t>В разрезе разделов функциональной классификации и</w:t>
      </w:r>
      <w:r>
        <w:rPr>
          <w:rFonts w:eastAsia="Calibri"/>
          <w:sz w:val="24"/>
          <w:szCs w:val="24"/>
        </w:rPr>
        <w:t xml:space="preserve">сполнение расходов УЖКХ ТиС осуществлялось по 4 разделам: </w:t>
      </w:r>
    </w:p>
    <w:p>
      <w:pPr>
        <w:spacing w:before="120" w:after="60"/>
        <w:ind w:firstLine="709"/>
        <w:jc w:val="both"/>
        <w:rPr>
          <w:sz w:val="24"/>
          <w:szCs w:val="24"/>
        </w:rPr>
      </w:pPr>
      <w:r>
        <w:rPr>
          <w:sz w:val="24"/>
          <w:szCs w:val="24"/>
        </w:rPr>
        <w:t>Таблица 56. Расходы УЖКХ ТиС по разделам за 2020 год</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4636"/>
        <w:gridCol w:w="1320"/>
        <w:gridCol w:w="1296"/>
        <w:gridCol w:w="1395"/>
      </w:tblGrid>
      <w:tr>
        <w:trPr>
          <w:cantSplit/>
          <w:trHeight w:val="959"/>
        </w:trPr>
        <w:tc>
          <w:tcPr>
            <w:tcW w:w="866" w:type="dxa"/>
            <w:shd w:val="clear" w:color="auto" w:fill="auto"/>
            <w:noWrap/>
            <w:tcMar>
              <w:left w:w="0" w:type="dxa"/>
              <w:right w:w="0" w:type="dxa"/>
            </w:tcMar>
            <w:textDirection w:val="btLr"/>
            <w:vAlign w:val="center"/>
          </w:tcPr>
          <w:p>
            <w:pPr>
              <w:ind w:left="113" w:right="113"/>
              <w:jc w:val="center"/>
            </w:pPr>
            <w:r>
              <w:t>Раздел,</w:t>
            </w:r>
          </w:p>
          <w:p>
            <w:pPr>
              <w:ind w:left="113" w:right="113"/>
              <w:jc w:val="center"/>
            </w:pPr>
            <w:r>
              <w:t>подраз-дел</w:t>
            </w:r>
          </w:p>
        </w:tc>
        <w:tc>
          <w:tcPr>
            <w:tcW w:w="4636" w:type="dxa"/>
            <w:shd w:val="clear" w:color="auto" w:fill="auto"/>
            <w:vAlign w:val="center"/>
          </w:tcPr>
          <w:p>
            <w:pPr>
              <w:ind w:left="-57" w:right="-57"/>
              <w:jc w:val="center"/>
            </w:pPr>
            <w:r>
              <w:t>Наименование</w:t>
            </w:r>
          </w:p>
        </w:tc>
        <w:tc>
          <w:tcPr>
            <w:tcW w:w="1320" w:type="dxa"/>
            <w:shd w:val="clear" w:color="auto" w:fill="auto"/>
            <w:noWrap/>
            <w:vAlign w:val="center"/>
          </w:tcPr>
          <w:p>
            <w:pPr>
              <w:ind w:left="-57" w:right="-57"/>
              <w:jc w:val="center"/>
            </w:pPr>
            <w:r>
              <w:t>Утверждено на 2020 год, тыс.руб.</w:t>
            </w:r>
          </w:p>
        </w:tc>
        <w:tc>
          <w:tcPr>
            <w:tcW w:w="1296" w:type="dxa"/>
            <w:shd w:val="clear" w:color="auto" w:fill="auto"/>
            <w:vAlign w:val="center"/>
          </w:tcPr>
          <w:p>
            <w:pPr>
              <w:jc w:val="center"/>
            </w:pPr>
            <w:r>
              <w:t>Исполнено за 2020 год, тыс. руб.</w:t>
            </w:r>
          </w:p>
        </w:tc>
        <w:tc>
          <w:tcPr>
            <w:tcW w:w="1395" w:type="dxa"/>
            <w:shd w:val="clear" w:color="auto" w:fill="auto"/>
            <w:vAlign w:val="center"/>
          </w:tcPr>
          <w:p>
            <w:pPr>
              <w:jc w:val="center"/>
            </w:pPr>
            <w:r>
              <w:t xml:space="preserve">Процент </w:t>
            </w:r>
          </w:p>
          <w:p>
            <w:pPr>
              <w:jc w:val="center"/>
            </w:pPr>
            <w:r>
              <w:t>исполнения</w:t>
            </w:r>
          </w:p>
          <w:p>
            <w:pPr>
              <w:jc w:val="center"/>
            </w:pPr>
            <w:r>
              <w:t>к плану</w:t>
            </w:r>
            <w:r>
              <w:br/>
              <w:t xml:space="preserve"> 2020 г.</w:t>
            </w:r>
          </w:p>
        </w:tc>
      </w:tr>
      <w:tr>
        <w:trPr>
          <w:trHeight w:val="255"/>
        </w:trPr>
        <w:tc>
          <w:tcPr>
            <w:tcW w:w="866" w:type="dxa"/>
            <w:shd w:val="clear" w:color="auto" w:fill="auto"/>
            <w:noWrap/>
            <w:vAlign w:val="center"/>
          </w:tcPr>
          <w:p>
            <w:pPr>
              <w:jc w:val="center"/>
            </w:pPr>
          </w:p>
        </w:tc>
        <w:tc>
          <w:tcPr>
            <w:tcW w:w="4636" w:type="dxa"/>
            <w:shd w:val="clear" w:color="auto" w:fill="auto"/>
            <w:vAlign w:val="center"/>
          </w:tcPr>
          <w:p>
            <w:pPr>
              <w:pStyle w:val="27"/>
              <w:shd w:val="clear" w:color="auto" w:fill="auto"/>
              <w:spacing w:line="264" w:lineRule="auto"/>
              <w:ind w:firstLine="0"/>
              <w:jc w:val="left"/>
              <w:rPr>
                <w:rStyle w:val="55pt"/>
                <w:rFonts w:eastAsia="Calibri"/>
                <w:sz w:val="20"/>
                <w:szCs w:val="20"/>
              </w:rPr>
            </w:pPr>
            <w:r>
              <w:rPr>
                <w:rStyle w:val="55pt"/>
                <w:rFonts w:eastAsia="Calibri"/>
                <w:sz w:val="20"/>
                <w:szCs w:val="20"/>
              </w:rPr>
              <w:t>УЖКХ ТиС:</w:t>
            </w:r>
          </w:p>
        </w:tc>
        <w:tc>
          <w:tcPr>
            <w:tcW w:w="1320" w:type="dxa"/>
            <w:shd w:val="clear" w:color="auto" w:fill="auto"/>
            <w:noWrap/>
            <w:vAlign w:val="center"/>
          </w:tcPr>
          <w:p>
            <w:pPr>
              <w:jc w:val="right"/>
            </w:pPr>
            <w:r>
              <w:t>458 867,67</w:t>
            </w:r>
          </w:p>
        </w:tc>
        <w:tc>
          <w:tcPr>
            <w:tcW w:w="1296" w:type="dxa"/>
            <w:shd w:val="clear" w:color="auto" w:fill="auto"/>
            <w:noWrap/>
            <w:vAlign w:val="center"/>
          </w:tcPr>
          <w:p>
            <w:pPr>
              <w:jc w:val="right"/>
            </w:pPr>
            <w:r>
              <w:t>428 956,08</w:t>
            </w:r>
          </w:p>
        </w:tc>
        <w:tc>
          <w:tcPr>
            <w:tcW w:w="1395" w:type="dxa"/>
            <w:shd w:val="clear" w:color="auto" w:fill="auto"/>
            <w:noWrap/>
            <w:vAlign w:val="center"/>
          </w:tcPr>
          <w:p>
            <w:pPr>
              <w:jc w:val="center"/>
            </w:pPr>
            <w:r>
              <w:t>93,5</w:t>
            </w:r>
          </w:p>
        </w:tc>
      </w:tr>
      <w:tr>
        <w:trPr>
          <w:trHeight w:val="255"/>
        </w:trPr>
        <w:tc>
          <w:tcPr>
            <w:tcW w:w="866" w:type="dxa"/>
            <w:shd w:val="clear" w:color="auto" w:fill="auto"/>
            <w:noWrap/>
            <w:vAlign w:val="center"/>
          </w:tcPr>
          <w:p>
            <w:pPr>
              <w:jc w:val="center"/>
            </w:pPr>
            <w:r>
              <w:t>0100</w:t>
            </w:r>
          </w:p>
        </w:tc>
        <w:tc>
          <w:tcPr>
            <w:tcW w:w="4636" w:type="dxa"/>
            <w:shd w:val="clear" w:color="auto" w:fill="auto"/>
            <w:vAlign w:val="center"/>
          </w:tcPr>
          <w:p>
            <w:r>
              <w:t>Общегосударственные вопросы</w:t>
            </w:r>
          </w:p>
        </w:tc>
        <w:tc>
          <w:tcPr>
            <w:tcW w:w="1320" w:type="dxa"/>
            <w:shd w:val="clear" w:color="auto" w:fill="auto"/>
            <w:noWrap/>
            <w:vAlign w:val="center"/>
          </w:tcPr>
          <w:p>
            <w:pPr>
              <w:jc w:val="right"/>
            </w:pPr>
            <w:r>
              <w:t>1 601,74</w:t>
            </w:r>
          </w:p>
        </w:tc>
        <w:tc>
          <w:tcPr>
            <w:tcW w:w="1296" w:type="dxa"/>
            <w:shd w:val="clear" w:color="auto" w:fill="auto"/>
            <w:noWrap/>
            <w:vAlign w:val="center"/>
          </w:tcPr>
          <w:p>
            <w:pPr>
              <w:jc w:val="right"/>
            </w:pPr>
            <w:r>
              <w:t>1 601,74</w:t>
            </w:r>
          </w:p>
        </w:tc>
        <w:tc>
          <w:tcPr>
            <w:tcW w:w="1395" w:type="dxa"/>
            <w:shd w:val="clear" w:color="auto" w:fill="auto"/>
            <w:noWrap/>
            <w:vAlign w:val="center"/>
          </w:tcPr>
          <w:p>
            <w:pPr>
              <w:jc w:val="center"/>
            </w:pPr>
            <w:r>
              <w:t>100,0</w:t>
            </w:r>
          </w:p>
        </w:tc>
      </w:tr>
      <w:tr>
        <w:trPr>
          <w:trHeight w:val="146"/>
        </w:trPr>
        <w:tc>
          <w:tcPr>
            <w:tcW w:w="866" w:type="dxa"/>
            <w:shd w:val="clear" w:color="auto" w:fill="auto"/>
            <w:noWrap/>
            <w:vAlign w:val="center"/>
          </w:tcPr>
          <w:p>
            <w:pPr>
              <w:jc w:val="center"/>
            </w:pPr>
            <w:r>
              <w:t>0400</w:t>
            </w:r>
          </w:p>
        </w:tc>
        <w:tc>
          <w:tcPr>
            <w:tcW w:w="4636" w:type="dxa"/>
            <w:shd w:val="clear" w:color="auto" w:fill="auto"/>
            <w:vAlign w:val="center"/>
          </w:tcPr>
          <w:p>
            <w:pPr>
              <w:pStyle w:val="27"/>
              <w:shd w:val="clear" w:color="auto" w:fill="auto"/>
              <w:spacing w:line="264" w:lineRule="auto"/>
              <w:ind w:firstLine="0"/>
              <w:jc w:val="left"/>
              <w:rPr>
                <w:rFonts w:eastAsia="Calibri"/>
                <w:sz w:val="20"/>
                <w:szCs w:val="20"/>
              </w:rPr>
            </w:pPr>
            <w:r>
              <w:rPr>
                <w:rStyle w:val="55pt"/>
                <w:rFonts w:eastAsia="Calibri"/>
                <w:sz w:val="20"/>
                <w:szCs w:val="20"/>
              </w:rPr>
              <w:t>Национальная экономика</w:t>
            </w:r>
          </w:p>
        </w:tc>
        <w:tc>
          <w:tcPr>
            <w:tcW w:w="1320" w:type="dxa"/>
            <w:shd w:val="clear" w:color="auto" w:fill="auto"/>
            <w:noWrap/>
            <w:vAlign w:val="center"/>
          </w:tcPr>
          <w:p>
            <w:pPr>
              <w:jc w:val="right"/>
            </w:pPr>
            <w:r>
              <w:t>251 272,44</w:t>
            </w:r>
          </w:p>
        </w:tc>
        <w:tc>
          <w:tcPr>
            <w:tcW w:w="1296" w:type="dxa"/>
            <w:shd w:val="clear" w:color="auto" w:fill="auto"/>
            <w:noWrap/>
            <w:vAlign w:val="center"/>
          </w:tcPr>
          <w:p>
            <w:pPr>
              <w:jc w:val="right"/>
            </w:pPr>
            <w:r>
              <w:t>247 558,31</w:t>
            </w:r>
          </w:p>
        </w:tc>
        <w:tc>
          <w:tcPr>
            <w:tcW w:w="1395" w:type="dxa"/>
            <w:shd w:val="clear" w:color="auto" w:fill="auto"/>
            <w:noWrap/>
            <w:vAlign w:val="center"/>
          </w:tcPr>
          <w:p>
            <w:pPr>
              <w:jc w:val="center"/>
            </w:pPr>
            <w:r>
              <w:t>98,5</w:t>
            </w:r>
          </w:p>
        </w:tc>
      </w:tr>
      <w:tr>
        <w:trPr>
          <w:trHeight w:val="279"/>
        </w:trPr>
        <w:tc>
          <w:tcPr>
            <w:tcW w:w="866" w:type="dxa"/>
            <w:shd w:val="clear" w:color="auto" w:fill="auto"/>
            <w:noWrap/>
            <w:vAlign w:val="center"/>
          </w:tcPr>
          <w:p>
            <w:pPr>
              <w:jc w:val="center"/>
            </w:pPr>
            <w:r>
              <w:t>0500</w:t>
            </w:r>
          </w:p>
        </w:tc>
        <w:tc>
          <w:tcPr>
            <w:tcW w:w="4636" w:type="dxa"/>
            <w:shd w:val="clear" w:color="auto" w:fill="auto"/>
            <w:vAlign w:val="center"/>
          </w:tcPr>
          <w:p>
            <w:pPr>
              <w:pStyle w:val="27"/>
              <w:shd w:val="clear" w:color="auto" w:fill="auto"/>
              <w:spacing w:line="264" w:lineRule="auto"/>
              <w:ind w:firstLine="0"/>
              <w:jc w:val="left"/>
              <w:rPr>
                <w:rFonts w:eastAsia="Calibri"/>
                <w:sz w:val="20"/>
                <w:szCs w:val="20"/>
              </w:rPr>
            </w:pPr>
            <w:r>
              <w:rPr>
                <w:rStyle w:val="55pt"/>
                <w:rFonts w:eastAsia="Calibri"/>
                <w:sz w:val="20"/>
                <w:szCs w:val="20"/>
              </w:rPr>
              <w:t>Жилищно-коммунальное хозяйство</w:t>
            </w:r>
          </w:p>
        </w:tc>
        <w:tc>
          <w:tcPr>
            <w:tcW w:w="1320" w:type="dxa"/>
            <w:shd w:val="clear" w:color="auto" w:fill="auto"/>
            <w:noWrap/>
            <w:vAlign w:val="center"/>
          </w:tcPr>
          <w:p>
            <w:pPr>
              <w:jc w:val="right"/>
            </w:pPr>
            <w:r>
              <w:t>180 294,65</w:t>
            </w:r>
          </w:p>
        </w:tc>
        <w:tc>
          <w:tcPr>
            <w:tcW w:w="1296" w:type="dxa"/>
            <w:shd w:val="clear" w:color="auto" w:fill="auto"/>
            <w:noWrap/>
            <w:vAlign w:val="center"/>
          </w:tcPr>
          <w:p>
            <w:pPr>
              <w:jc w:val="right"/>
            </w:pPr>
            <w:r>
              <w:t>160 586,33</w:t>
            </w:r>
          </w:p>
        </w:tc>
        <w:tc>
          <w:tcPr>
            <w:tcW w:w="1395" w:type="dxa"/>
            <w:shd w:val="clear" w:color="auto" w:fill="auto"/>
            <w:noWrap/>
            <w:vAlign w:val="center"/>
          </w:tcPr>
          <w:p>
            <w:pPr>
              <w:jc w:val="center"/>
            </w:pPr>
            <w:r>
              <w:t>89,1</w:t>
            </w:r>
          </w:p>
        </w:tc>
      </w:tr>
      <w:tr>
        <w:trPr>
          <w:trHeight w:val="255"/>
        </w:trPr>
        <w:tc>
          <w:tcPr>
            <w:tcW w:w="866" w:type="dxa"/>
            <w:shd w:val="clear" w:color="auto" w:fill="auto"/>
            <w:noWrap/>
            <w:vAlign w:val="center"/>
          </w:tcPr>
          <w:p>
            <w:pPr>
              <w:jc w:val="center"/>
            </w:pPr>
            <w:r>
              <w:t>1000</w:t>
            </w:r>
          </w:p>
        </w:tc>
        <w:tc>
          <w:tcPr>
            <w:tcW w:w="4636" w:type="dxa"/>
            <w:shd w:val="clear" w:color="auto" w:fill="auto"/>
            <w:vAlign w:val="center"/>
          </w:tcPr>
          <w:p>
            <w:pPr>
              <w:pStyle w:val="27"/>
              <w:shd w:val="clear" w:color="auto" w:fill="auto"/>
              <w:spacing w:line="264" w:lineRule="auto"/>
              <w:ind w:firstLine="0"/>
              <w:jc w:val="left"/>
              <w:rPr>
                <w:rFonts w:eastAsia="Calibri"/>
                <w:color w:val="000000"/>
                <w:sz w:val="20"/>
                <w:szCs w:val="20"/>
                <w:shd w:val="clear" w:color="auto" w:fill="FFFFFF"/>
              </w:rPr>
            </w:pPr>
            <w:r>
              <w:rPr>
                <w:rFonts w:eastAsia="Calibri"/>
                <w:color w:val="000000"/>
                <w:sz w:val="20"/>
                <w:szCs w:val="20"/>
                <w:shd w:val="clear" w:color="auto" w:fill="FFFFFF"/>
              </w:rPr>
              <w:t>Социальная политика</w:t>
            </w:r>
          </w:p>
        </w:tc>
        <w:tc>
          <w:tcPr>
            <w:tcW w:w="1320" w:type="dxa"/>
            <w:shd w:val="clear" w:color="auto" w:fill="auto"/>
            <w:noWrap/>
            <w:vAlign w:val="center"/>
          </w:tcPr>
          <w:p>
            <w:pPr>
              <w:jc w:val="right"/>
            </w:pPr>
            <w:r>
              <w:t>25 698,84</w:t>
            </w:r>
          </w:p>
        </w:tc>
        <w:tc>
          <w:tcPr>
            <w:tcW w:w="1296" w:type="dxa"/>
            <w:shd w:val="clear" w:color="auto" w:fill="auto"/>
            <w:noWrap/>
            <w:vAlign w:val="center"/>
          </w:tcPr>
          <w:p>
            <w:pPr>
              <w:jc w:val="right"/>
            </w:pPr>
            <w:r>
              <w:t>19 209,70</w:t>
            </w:r>
          </w:p>
        </w:tc>
        <w:tc>
          <w:tcPr>
            <w:tcW w:w="1395" w:type="dxa"/>
            <w:shd w:val="clear" w:color="auto" w:fill="auto"/>
            <w:noWrap/>
            <w:vAlign w:val="center"/>
          </w:tcPr>
          <w:p>
            <w:pPr>
              <w:jc w:val="center"/>
            </w:pPr>
            <w:r>
              <w:t>74,8</w:t>
            </w:r>
          </w:p>
        </w:tc>
      </w:tr>
    </w:tbl>
    <w:p>
      <w:pPr>
        <w:jc w:val="center"/>
        <w:rPr>
          <w:b/>
          <w:sz w:val="22"/>
          <w:szCs w:val="22"/>
          <w:highlight w:val="yellow"/>
        </w:rPr>
      </w:pPr>
    </w:p>
    <w:p>
      <w:pPr>
        <w:jc w:val="center"/>
        <w:rPr>
          <w:b/>
          <w:sz w:val="24"/>
          <w:szCs w:val="24"/>
        </w:rPr>
      </w:pPr>
      <w:r>
        <w:rPr>
          <w:b/>
          <w:sz w:val="24"/>
          <w:szCs w:val="24"/>
        </w:rPr>
        <w:t>4.2.11. Управление капитального строительства</w:t>
      </w:r>
    </w:p>
    <w:p>
      <w:pPr>
        <w:spacing w:after="120"/>
        <w:jc w:val="center"/>
        <w:rPr>
          <w:b/>
          <w:sz w:val="24"/>
          <w:szCs w:val="24"/>
        </w:rPr>
      </w:pPr>
      <w:r>
        <w:rPr>
          <w:b/>
          <w:sz w:val="24"/>
          <w:szCs w:val="24"/>
        </w:rPr>
        <w:t>Администрации ЗАТО Северск</w:t>
      </w:r>
    </w:p>
    <w:p>
      <w:pPr>
        <w:ind w:firstLine="709"/>
        <w:jc w:val="both"/>
        <w:rPr>
          <w:sz w:val="24"/>
          <w:szCs w:val="24"/>
        </w:rPr>
      </w:pPr>
      <w:r>
        <w:rPr>
          <w:sz w:val="24"/>
          <w:szCs w:val="24"/>
        </w:rPr>
        <w:t>Кассовое исполнение расходов за 2020 год составило 338 370,24 тыс. руб. или 96,7% к утвержденным годовым назначениям.</w:t>
      </w:r>
    </w:p>
    <w:p>
      <w:pPr>
        <w:ind w:firstLine="709"/>
        <w:jc w:val="both"/>
        <w:rPr>
          <w:sz w:val="24"/>
          <w:szCs w:val="24"/>
        </w:rPr>
      </w:pPr>
      <w:r>
        <w:rPr>
          <w:sz w:val="24"/>
          <w:szCs w:val="24"/>
        </w:rPr>
        <w:t xml:space="preserve">В общей структуре расходов удельный вес расходов, подведомственных Управлению капитального строительства, составил 7,2%. </w:t>
      </w:r>
    </w:p>
    <w:p>
      <w:pPr>
        <w:pStyle w:val="31"/>
        <w:ind w:right="0" w:firstLine="709"/>
        <w:rPr>
          <w:sz w:val="24"/>
          <w:szCs w:val="24"/>
        </w:rPr>
      </w:pPr>
      <w:r>
        <w:rPr>
          <w:sz w:val="24"/>
          <w:szCs w:val="24"/>
        </w:rPr>
        <w:t xml:space="preserve">Управление капитального строительства является участником 9 муниципальных программ и исполнителем программы «Комплексное развитие систем коммунальной и инженерной инфраструктуры ЗАТО Северск» на 2013 год и на перспективу до 2035 года.  </w:t>
      </w:r>
    </w:p>
    <w:p>
      <w:pPr>
        <w:ind w:firstLine="709"/>
        <w:jc w:val="both"/>
        <w:rPr>
          <w:sz w:val="24"/>
          <w:szCs w:val="24"/>
        </w:rPr>
      </w:pPr>
      <w:r>
        <w:rPr>
          <w:sz w:val="24"/>
          <w:szCs w:val="24"/>
        </w:rPr>
        <w:t>Кассовое исполнение по программам составило сумму 338 370,24 тыс.руб.</w:t>
      </w:r>
    </w:p>
    <w:p>
      <w:pPr>
        <w:spacing w:before="60" w:after="60"/>
        <w:ind w:right="57" w:firstLine="709"/>
        <w:jc w:val="both"/>
        <w:rPr>
          <w:sz w:val="24"/>
          <w:szCs w:val="24"/>
        </w:rPr>
      </w:pPr>
      <w:r>
        <w:rPr>
          <w:sz w:val="24"/>
          <w:szCs w:val="24"/>
        </w:rPr>
        <w:t xml:space="preserve">Таблица 57. Расходы Управления капитального строительства в разрезе МП </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4961"/>
        <w:gridCol w:w="1417"/>
        <w:gridCol w:w="1276"/>
        <w:gridCol w:w="1276"/>
      </w:tblGrid>
      <w:tr>
        <w:trPr>
          <w:trHeight w:val="928"/>
        </w:trPr>
        <w:tc>
          <w:tcPr>
            <w:tcW w:w="441" w:type="dxa"/>
            <w:shd w:val="clear" w:color="auto" w:fill="auto"/>
            <w:textDirection w:val="btLr"/>
            <w:vAlign w:val="center"/>
          </w:tcPr>
          <w:p>
            <w:pPr>
              <w:jc w:val="center"/>
            </w:pPr>
          </w:p>
          <w:p>
            <w:pPr>
              <w:jc w:val="center"/>
            </w:pPr>
            <w:r>
              <w:rPr>
                <w:lang w:val="en-US"/>
              </w:rPr>
              <w:t xml:space="preserve">№ </w:t>
            </w:r>
            <w:r>
              <w:t>п/п</w:t>
            </w:r>
          </w:p>
          <w:p>
            <w:pPr>
              <w:jc w:val="center"/>
            </w:pPr>
          </w:p>
        </w:tc>
        <w:tc>
          <w:tcPr>
            <w:tcW w:w="4961" w:type="dxa"/>
            <w:shd w:val="clear" w:color="auto" w:fill="auto"/>
            <w:vAlign w:val="center"/>
          </w:tcPr>
          <w:p>
            <w:pPr>
              <w:jc w:val="center"/>
            </w:pPr>
            <w:r>
              <w:t xml:space="preserve">Наименование программы </w:t>
            </w:r>
          </w:p>
        </w:tc>
        <w:tc>
          <w:tcPr>
            <w:tcW w:w="1417" w:type="dxa"/>
            <w:shd w:val="clear" w:color="auto" w:fill="auto"/>
            <w:vAlign w:val="center"/>
          </w:tcPr>
          <w:p>
            <w:pPr>
              <w:jc w:val="center"/>
            </w:pPr>
            <w:r>
              <w:t>Уточненный план 2020 г., тыс.руб.</w:t>
            </w:r>
          </w:p>
        </w:tc>
        <w:tc>
          <w:tcPr>
            <w:tcW w:w="1276" w:type="dxa"/>
            <w:shd w:val="clear" w:color="auto" w:fill="auto"/>
            <w:vAlign w:val="center"/>
          </w:tcPr>
          <w:p>
            <w:pPr>
              <w:ind w:right="-42"/>
              <w:jc w:val="center"/>
            </w:pPr>
            <w:r>
              <w:t xml:space="preserve">Исполнено </w:t>
            </w:r>
          </w:p>
          <w:p>
            <w:pPr>
              <w:ind w:right="-42"/>
              <w:jc w:val="center"/>
            </w:pPr>
            <w:r>
              <w:t>за 2020 г., тыс.руб.</w:t>
            </w:r>
          </w:p>
        </w:tc>
        <w:tc>
          <w:tcPr>
            <w:tcW w:w="1276" w:type="dxa"/>
            <w:shd w:val="clear" w:color="auto" w:fill="auto"/>
            <w:vAlign w:val="center"/>
          </w:tcPr>
          <w:p>
            <w:pPr>
              <w:ind w:left="-57" w:right="-57"/>
              <w:jc w:val="center"/>
            </w:pPr>
            <w:r>
              <w:t xml:space="preserve">Процент исполнения </w:t>
            </w:r>
          </w:p>
          <w:p>
            <w:pPr>
              <w:ind w:left="-57" w:right="-57"/>
              <w:jc w:val="center"/>
            </w:pPr>
            <w:r>
              <w:t>к плану</w:t>
            </w:r>
            <w:r>
              <w:br/>
              <w:t xml:space="preserve"> 2020 г.</w:t>
            </w:r>
          </w:p>
        </w:tc>
      </w:tr>
      <w:tr>
        <w:trPr>
          <w:trHeight w:val="255"/>
        </w:trPr>
        <w:tc>
          <w:tcPr>
            <w:tcW w:w="441" w:type="dxa"/>
            <w:shd w:val="clear" w:color="auto" w:fill="auto"/>
            <w:noWrap/>
            <w:vAlign w:val="center"/>
          </w:tcPr>
          <w:p>
            <w:pPr>
              <w:jc w:val="center"/>
            </w:pPr>
            <w:r>
              <w:t>1</w:t>
            </w:r>
          </w:p>
        </w:tc>
        <w:tc>
          <w:tcPr>
            <w:tcW w:w="4961" w:type="dxa"/>
            <w:shd w:val="clear" w:color="auto" w:fill="auto"/>
            <w:vAlign w:val="center"/>
          </w:tcPr>
          <w:p>
            <w:r>
              <w:t>МП «Развитие физической культуры и спорта в ЗАТО Северск»</w:t>
            </w:r>
          </w:p>
        </w:tc>
        <w:tc>
          <w:tcPr>
            <w:tcW w:w="1417" w:type="dxa"/>
            <w:shd w:val="clear" w:color="auto" w:fill="auto"/>
            <w:noWrap/>
            <w:vAlign w:val="center"/>
          </w:tcPr>
          <w:p>
            <w:pPr>
              <w:jc w:val="right"/>
            </w:pPr>
            <w:r>
              <w:t>146,66</w:t>
            </w:r>
          </w:p>
        </w:tc>
        <w:tc>
          <w:tcPr>
            <w:tcW w:w="1276" w:type="dxa"/>
            <w:shd w:val="clear" w:color="auto" w:fill="auto"/>
            <w:noWrap/>
            <w:vAlign w:val="center"/>
          </w:tcPr>
          <w:p>
            <w:pPr>
              <w:jc w:val="right"/>
            </w:pPr>
            <w:r>
              <w:t>146,66</w:t>
            </w:r>
          </w:p>
        </w:tc>
        <w:tc>
          <w:tcPr>
            <w:tcW w:w="1276" w:type="dxa"/>
            <w:shd w:val="clear" w:color="auto" w:fill="auto"/>
            <w:noWrap/>
            <w:vAlign w:val="center"/>
          </w:tcPr>
          <w:p>
            <w:pPr>
              <w:jc w:val="right"/>
            </w:pPr>
            <w:r>
              <w:t>100,0</w:t>
            </w:r>
          </w:p>
        </w:tc>
      </w:tr>
      <w:tr>
        <w:trPr>
          <w:trHeight w:val="255"/>
        </w:trPr>
        <w:tc>
          <w:tcPr>
            <w:tcW w:w="441" w:type="dxa"/>
            <w:shd w:val="clear" w:color="auto" w:fill="auto"/>
            <w:noWrap/>
            <w:vAlign w:val="center"/>
          </w:tcPr>
          <w:p>
            <w:pPr>
              <w:jc w:val="center"/>
            </w:pPr>
            <w:r>
              <w:t>2</w:t>
            </w:r>
          </w:p>
        </w:tc>
        <w:tc>
          <w:tcPr>
            <w:tcW w:w="4961" w:type="dxa"/>
            <w:shd w:val="clear" w:color="auto" w:fill="auto"/>
            <w:vAlign w:val="center"/>
          </w:tcPr>
          <w:p>
            <w:r>
              <w:t>МП «Развитие культуры и туризма в ЗАТО Северск»</w:t>
            </w:r>
          </w:p>
        </w:tc>
        <w:tc>
          <w:tcPr>
            <w:tcW w:w="1417" w:type="dxa"/>
            <w:shd w:val="clear" w:color="auto" w:fill="auto"/>
            <w:noWrap/>
            <w:vAlign w:val="center"/>
          </w:tcPr>
          <w:p>
            <w:pPr>
              <w:jc w:val="right"/>
            </w:pPr>
            <w:r>
              <w:t>4 005,24</w:t>
            </w:r>
          </w:p>
        </w:tc>
        <w:tc>
          <w:tcPr>
            <w:tcW w:w="1276" w:type="dxa"/>
            <w:shd w:val="clear" w:color="auto" w:fill="auto"/>
            <w:noWrap/>
            <w:vAlign w:val="center"/>
          </w:tcPr>
          <w:p>
            <w:pPr>
              <w:jc w:val="right"/>
            </w:pPr>
            <w:r>
              <w:t>3 115,49</w:t>
            </w:r>
          </w:p>
        </w:tc>
        <w:tc>
          <w:tcPr>
            <w:tcW w:w="1276" w:type="dxa"/>
            <w:shd w:val="clear" w:color="auto" w:fill="auto"/>
            <w:noWrap/>
            <w:vAlign w:val="center"/>
          </w:tcPr>
          <w:p>
            <w:pPr>
              <w:jc w:val="right"/>
            </w:pPr>
            <w:r>
              <w:t>77,8</w:t>
            </w:r>
          </w:p>
        </w:tc>
      </w:tr>
      <w:tr>
        <w:trPr>
          <w:trHeight w:val="255"/>
        </w:trPr>
        <w:tc>
          <w:tcPr>
            <w:tcW w:w="441" w:type="dxa"/>
            <w:shd w:val="clear" w:color="auto" w:fill="auto"/>
            <w:noWrap/>
            <w:vAlign w:val="center"/>
          </w:tcPr>
          <w:p>
            <w:pPr>
              <w:jc w:val="center"/>
            </w:pPr>
            <w:r>
              <w:t>3</w:t>
            </w:r>
          </w:p>
        </w:tc>
        <w:tc>
          <w:tcPr>
            <w:tcW w:w="4961" w:type="dxa"/>
            <w:shd w:val="clear" w:color="auto" w:fill="auto"/>
            <w:vAlign w:val="center"/>
          </w:tcPr>
          <w:p>
            <w:r>
              <w:t>МП «Развитие образования в ЗАТО Северск»</w:t>
            </w:r>
          </w:p>
        </w:tc>
        <w:tc>
          <w:tcPr>
            <w:tcW w:w="1417" w:type="dxa"/>
            <w:shd w:val="clear" w:color="auto" w:fill="auto"/>
            <w:noWrap/>
            <w:vAlign w:val="center"/>
          </w:tcPr>
          <w:p>
            <w:pPr>
              <w:jc w:val="right"/>
            </w:pPr>
            <w:r>
              <w:t>4 760,38</w:t>
            </w:r>
          </w:p>
        </w:tc>
        <w:tc>
          <w:tcPr>
            <w:tcW w:w="1276" w:type="dxa"/>
            <w:shd w:val="clear" w:color="auto" w:fill="auto"/>
            <w:noWrap/>
            <w:vAlign w:val="center"/>
          </w:tcPr>
          <w:p>
            <w:pPr>
              <w:jc w:val="right"/>
            </w:pPr>
            <w:r>
              <w:t>4 760,37</w:t>
            </w:r>
          </w:p>
        </w:tc>
        <w:tc>
          <w:tcPr>
            <w:tcW w:w="1276" w:type="dxa"/>
            <w:shd w:val="clear" w:color="auto" w:fill="auto"/>
            <w:noWrap/>
            <w:vAlign w:val="center"/>
          </w:tcPr>
          <w:p>
            <w:pPr>
              <w:jc w:val="right"/>
            </w:pPr>
            <w:r>
              <w:t>100,0</w:t>
            </w:r>
          </w:p>
        </w:tc>
      </w:tr>
      <w:tr>
        <w:trPr>
          <w:trHeight w:val="255"/>
        </w:trPr>
        <w:tc>
          <w:tcPr>
            <w:tcW w:w="441" w:type="dxa"/>
            <w:shd w:val="clear" w:color="auto" w:fill="auto"/>
            <w:noWrap/>
            <w:vAlign w:val="center"/>
          </w:tcPr>
          <w:p>
            <w:pPr>
              <w:jc w:val="center"/>
            </w:pPr>
            <w:r>
              <w:t>4</w:t>
            </w:r>
          </w:p>
        </w:tc>
        <w:tc>
          <w:tcPr>
            <w:tcW w:w="4961" w:type="dxa"/>
            <w:shd w:val="clear" w:color="auto" w:fill="auto"/>
            <w:vAlign w:val="center"/>
          </w:tcPr>
          <w:p>
            <w:r>
              <w:t>МП «Улучшение качественного состояния объектов улично-дорожной сети, благоустройства и озеленения территории г.Северска»</w:t>
            </w:r>
          </w:p>
        </w:tc>
        <w:tc>
          <w:tcPr>
            <w:tcW w:w="1417" w:type="dxa"/>
            <w:shd w:val="clear" w:color="auto" w:fill="auto"/>
            <w:noWrap/>
            <w:vAlign w:val="center"/>
          </w:tcPr>
          <w:p>
            <w:pPr>
              <w:jc w:val="right"/>
            </w:pPr>
            <w:r>
              <w:t>218 872,97</w:t>
            </w:r>
          </w:p>
        </w:tc>
        <w:tc>
          <w:tcPr>
            <w:tcW w:w="1276" w:type="dxa"/>
            <w:shd w:val="clear" w:color="auto" w:fill="auto"/>
            <w:noWrap/>
            <w:vAlign w:val="center"/>
          </w:tcPr>
          <w:p>
            <w:pPr>
              <w:jc w:val="right"/>
            </w:pPr>
            <w:r>
              <w:t>217 795,44</w:t>
            </w:r>
          </w:p>
        </w:tc>
        <w:tc>
          <w:tcPr>
            <w:tcW w:w="1276" w:type="dxa"/>
            <w:shd w:val="clear" w:color="auto" w:fill="auto"/>
            <w:noWrap/>
            <w:vAlign w:val="center"/>
          </w:tcPr>
          <w:p>
            <w:pPr>
              <w:jc w:val="right"/>
            </w:pPr>
            <w:r>
              <w:t>99,5</w:t>
            </w:r>
          </w:p>
        </w:tc>
      </w:tr>
      <w:tr>
        <w:trPr>
          <w:trHeight w:val="255"/>
        </w:trPr>
        <w:tc>
          <w:tcPr>
            <w:tcW w:w="441" w:type="dxa"/>
            <w:shd w:val="clear" w:color="auto" w:fill="auto"/>
            <w:noWrap/>
            <w:vAlign w:val="center"/>
          </w:tcPr>
          <w:p>
            <w:pPr>
              <w:jc w:val="center"/>
            </w:pPr>
            <w:r>
              <w:t>5</w:t>
            </w:r>
          </w:p>
        </w:tc>
        <w:tc>
          <w:tcPr>
            <w:tcW w:w="4961" w:type="dxa"/>
            <w:shd w:val="clear" w:color="auto" w:fill="auto"/>
            <w:vAlign w:val="center"/>
          </w:tcPr>
          <w:p>
            <w:r>
              <w:t>МП «Повышение энергоэффективности в ЗАТО Северск»</w:t>
            </w:r>
          </w:p>
        </w:tc>
        <w:tc>
          <w:tcPr>
            <w:tcW w:w="1417" w:type="dxa"/>
            <w:shd w:val="clear" w:color="auto" w:fill="auto"/>
            <w:noWrap/>
            <w:vAlign w:val="center"/>
          </w:tcPr>
          <w:p>
            <w:pPr>
              <w:jc w:val="right"/>
            </w:pPr>
            <w:r>
              <w:t>7 138,62</w:t>
            </w:r>
          </w:p>
        </w:tc>
        <w:tc>
          <w:tcPr>
            <w:tcW w:w="1276" w:type="dxa"/>
            <w:shd w:val="clear" w:color="auto" w:fill="auto"/>
            <w:noWrap/>
            <w:vAlign w:val="center"/>
          </w:tcPr>
          <w:p>
            <w:pPr>
              <w:jc w:val="right"/>
            </w:pPr>
            <w:r>
              <w:t>486,02</w:t>
            </w:r>
          </w:p>
        </w:tc>
        <w:tc>
          <w:tcPr>
            <w:tcW w:w="1276" w:type="dxa"/>
            <w:shd w:val="clear" w:color="auto" w:fill="auto"/>
            <w:noWrap/>
            <w:vAlign w:val="center"/>
          </w:tcPr>
          <w:p>
            <w:pPr>
              <w:jc w:val="right"/>
            </w:pPr>
            <w:r>
              <w:t>6,8</w:t>
            </w:r>
          </w:p>
        </w:tc>
      </w:tr>
      <w:tr>
        <w:trPr>
          <w:trHeight w:val="255"/>
        </w:trPr>
        <w:tc>
          <w:tcPr>
            <w:tcW w:w="441" w:type="dxa"/>
            <w:shd w:val="clear" w:color="auto" w:fill="auto"/>
            <w:noWrap/>
            <w:vAlign w:val="center"/>
          </w:tcPr>
          <w:p>
            <w:pPr>
              <w:jc w:val="center"/>
              <w:rPr>
                <w:highlight w:val="yellow"/>
              </w:rPr>
            </w:pPr>
            <w:r>
              <w:t>6</w:t>
            </w:r>
          </w:p>
        </w:tc>
        <w:tc>
          <w:tcPr>
            <w:tcW w:w="4961" w:type="dxa"/>
            <w:shd w:val="clear" w:color="auto" w:fill="auto"/>
            <w:vAlign w:val="center"/>
          </w:tcPr>
          <w:p>
            <w:r>
              <w:t>МП «Обеспечение безопасности населения на территории ЗАТО Северск»</w:t>
            </w:r>
          </w:p>
        </w:tc>
        <w:tc>
          <w:tcPr>
            <w:tcW w:w="1417" w:type="dxa"/>
            <w:shd w:val="clear" w:color="auto" w:fill="auto"/>
            <w:noWrap/>
            <w:vAlign w:val="center"/>
          </w:tcPr>
          <w:p>
            <w:pPr>
              <w:jc w:val="right"/>
            </w:pPr>
            <w:r>
              <w:t>9 537,45</w:t>
            </w:r>
          </w:p>
        </w:tc>
        <w:tc>
          <w:tcPr>
            <w:tcW w:w="1276" w:type="dxa"/>
            <w:shd w:val="clear" w:color="auto" w:fill="auto"/>
            <w:noWrap/>
            <w:vAlign w:val="center"/>
          </w:tcPr>
          <w:p>
            <w:pPr>
              <w:jc w:val="right"/>
            </w:pPr>
            <w:r>
              <w:t>8 870,52</w:t>
            </w:r>
          </w:p>
        </w:tc>
        <w:tc>
          <w:tcPr>
            <w:tcW w:w="1276" w:type="dxa"/>
            <w:shd w:val="clear" w:color="auto" w:fill="auto"/>
            <w:noWrap/>
            <w:vAlign w:val="center"/>
          </w:tcPr>
          <w:p>
            <w:pPr>
              <w:jc w:val="right"/>
            </w:pPr>
            <w:r>
              <w:t>93,0</w:t>
            </w:r>
          </w:p>
        </w:tc>
      </w:tr>
      <w:tr>
        <w:trPr>
          <w:trHeight w:val="436"/>
        </w:trPr>
        <w:tc>
          <w:tcPr>
            <w:tcW w:w="441" w:type="dxa"/>
            <w:shd w:val="clear" w:color="auto" w:fill="auto"/>
            <w:noWrap/>
            <w:vAlign w:val="center"/>
          </w:tcPr>
          <w:p>
            <w:pPr>
              <w:jc w:val="center"/>
            </w:pPr>
            <w:r>
              <w:t>7</w:t>
            </w:r>
          </w:p>
        </w:tc>
        <w:tc>
          <w:tcPr>
            <w:tcW w:w="4961" w:type="dxa"/>
            <w:shd w:val="clear" w:color="auto" w:fill="auto"/>
            <w:vAlign w:val="center"/>
          </w:tcPr>
          <w:p>
            <w:r>
              <w:t>МП «Эффективное управление муниципальным имуществом ЗАТО Северск»</w:t>
            </w:r>
          </w:p>
        </w:tc>
        <w:tc>
          <w:tcPr>
            <w:tcW w:w="1417" w:type="dxa"/>
            <w:shd w:val="clear" w:color="auto" w:fill="auto"/>
            <w:noWrap/>
            <w:vAlign w:val="center"/>
          </w:tcPr>
          <w:p>
            <w:pPr>
              <w:jc w:val="right"/>
            </w:pPr>
            <w:r>
              <w:t>100,00</w:t>
            </w:r>
          </w:p>
        </w:tc>
        <w:tc>
          <w:tcPr>
            <w:tcW w:w="1276" w:type="dxa"/>
            <w:shd w:val="clear" w:color="auto" w:fill="auto"/>
            <w:noWrap/>
            <w:vAlign w:val="center"/>
          </w:tcPr>
          <w:p>
            <w:pPr>
              <w:jc w:val="right"/>
            </w:pPr>
            <w:r>
              <w:t>100,00</w:t>
            </w:r>
          </w:p>
        </w:tc>
        <w:tc>
          <w:tcPr>
            <w:tcW w:w="1276" w:type="dxa"/>
            <w:shd w:val="clear" w:color="auto" w:fill="auto"/>
            <w:noWrap/>
            <w:vAlign w:val="center"/>
          </w:tcPr>
          <w:p>
            <w:pPr>
              <w:jc w:val="right"/>
            </w:pPr>
            <w:r>
              <w:t>100,0</w:t>
            </w:r>
          </w:p>
        </w:tc>
      </w:tr>
      <w:tr>
        <w:trPr>
          <w:trHeight w:val="255"/>
        </w:trPr>
        <w:tc>
          <w:tcPr>
            <w:tcW w:w="441" w:type="dxa"/>
            <w:shd w:val="clear" w:color="auto" w:fill="auto"/>
            <w:noWrap/>
            <w:vAlign w:val="center"/>
          </w:tcPr>
          <w:p>
            <w:pPr>
              <w:jc w:val="center"/>
            </w:pPr>
            <w:r>
              <w:t>8</w:t>
            </w:r>
          </w:p>
        </w:tc>
        <w:tc>
          <w:tcPr>
            <w:tcW w:w="4961" w:type="dxa"/>
            <w:shd w:val="clear" w:color="auto" w:fill="auto"/>
            <w:vAlign w:val="center"/>
          </w:tcPr>
          <w:p>
            <w:r>
              <w:t>МП «Формирование современной городской среды ЗАТО Северск»</w:t>
            </w:r>
          </w:p>
        </w:tc>
        <w:tc>
          <w:tcPr>
            <w:tcW w:w="1417" w:type="dxa"/>
            <w:shd w:val="clear" w:color="auto" w:fill="auto"/>
            <w:noWrap/>
            <w:vAlign w:val="center"/>
          </w:tcPr>
          <w:p>
            <w:pPr>
              <w:jc w:val="right"/>
            </w:pPr>
            <w:r>
              <w:t>91 736,05</w:t>
            </w:r>
          </w:p>
        </w:tc>
        <w:tc>
          <w:tcPr>
            <w:tcW w:w="1276" w:type="dxa"/>
            <w:shd w:val="clear" w:color="auto" w:fill="auto"/>
            <w:noWrap/>
            <w:vAlign w:val="center"/>
          </w:tcPr>
          <w:p>
            <w:pPr>
              <w:jc w:val="right"/>
            </w:pPr>
            <w:r>
              <w:t>91 736,04</w:t>
            </w:r>
          </w:p>
        </w:tc>
        <w:tc>
          <w:tcPr>
            <w:tcW w:w="1276" w:type="dxa"/>
            <w:shd w:val="clear" w:color="auto" w:fill="auto"/>
            <w:noWrap/>
            <w:vAlign w:val="center"/>
          </w:tcPr>
          <w:p>
            <w:pPr>
              <w:jc w:val="right"/>
            </w:pPr>
            <w:r>
              <w:t>100,0</w:t>
            </w:r>
          </w:p>
        </w:tc>
      </w:tr>
      <w:tr>
        <w:trPr>
          <w:trHeight w:val="255"/>
        </w:trPr>
        <w:tc>
          <w:tcPr>
            <w:tcW w:w="441" w:type="dxa"/>
            <w:shd w:val="clear" w:color="auto" w:fill="auto"/>
            <w:noWrap/>
            <w:vAlign w:val="center"/>
          </w:tcPr>
          <w:p>
            <w:pPr>
              <w:jc w:val="center"/>
              <w:rPr>
                <w:highlight w:val="yellow"/>
              </w:rPr>
            </w:pPr>
            <w:r>
              <w:t>9</w:t>
            </w:r>
          </w:p>
        </w:tc>
        <w:tc>
          <w:tcPr>
            <w:tcW w:w="4961" w:type="dxa"/>
            <w:shd w:val="clear" w:color="auto" w:fill="auto"/>
            <w:vAlign w:val="center"/>
          </w:tcPr>
          <w:p>
            <w:r>
              <w:t>Программа «Комплексное развитие систем коммунальной и инженерной инфраструктуры ЗАТО Северск» на 2013 год и на перспективу до 2035 года</w:t>
            </w:r>
          </w:p>
        </w:tc>
        <w:tc>
          <w:tcPr>
            <w:tcW w:w="1417" w:type="dxa"/>
            <w:shd w:val="clear" w:color="auto" w:fill="auto"/>
            <w:noWrap/>
            <w:vAlign w:val="center"/>
          </w:tcPr>
          <w:p>
            <w:pPr>
              <w:jc w:val="right"/>
            </w:pPr>
            <w:r>
              <w:t>11 251,33</w:t>
            </w:r>
          </w:p>
        </w:tc>
        <w:tc>
          <w:tcPr>
            <w:tcW w:w="1276" w:type="dxa"/>
            <w:shd w:val="clear" w:color="auto" w:fill="auto"/>
            <w:noWrap/>
            <w:vAlign w:val="center"/>
          </w:tcPr>
          <w:p>
            <w:pPr>
              <w:jc w:val="right"/>
            </w:pPr>
            <w:r>
              <w:t>8 969,19</w:t>
            </w:r>
          </w:p>
        </w:tc>
        <w:tc>
          <w:tcPr>
            <w:tcW w:w="1276" w:type="dxa"/>
            <w:shd w:val="clear" w:color="auto" w:fill="auto"/>
            <w:noWrap/>
            <w:vAlign w:val="center"/>
          </w:tcPr>
          <w:p>
            <w:pPr>
              <w:jc w:val="right"/>
            </w:pPr>
            <w:r>
              <w:t>79,7</w:t>
            </w:r>
          </w:p>
        </w:tc>
      </w:tr>
      <w:tr>
        <w:trPr>
          <w:trHeight w:val="255"/>
        </w:trPr>
        <w:tc>
          <w:tcPr>
            <w:tcW w:w="441" w:type="dxa"/>
            <w:shd w:val="clear" w:color="auto" w:fill="auto"/>
            <w:noWrap/>
            <w:vAlign w:val="center"/>
          </w:tcPr>
          <w:p>
            <w:pPr>
              <w:jc w:val="center"/>
              <w:rPr>
                <w:highlight w:val="yellow"/>
              </w:rPr>
            </w:pPr>
            <w:r>
              <w:t>10</w:t>
            </w:r>
          </w:p>
        </w:tc>
        <w:tc>
          <w:tcPr>
            <w:tcW w:w="4961" w:type="dxa"/>
            <w:shd w:val="clear" w:color="auto" w:fill="auto"/>
            <w:vAlign w:val="center"/>
          </w:tcPr>
          <w:p>
            <w:pPr>
              <w:rPr>
                <w:highlight w:val="yellow"/>
              </w:rPr>
            </w:pPr>
            <w:r>
              <w:t>МП «Молодежная политика в ЗАТО Северск»</w:t>
            </w:r>
          </w:p>
        </w:tc>
        <w:tc>
          <w:tcPr>
            <w:tcW w:w="1417" w:type="dxa"/>
            <w:shd w:val="clear" w:color="auto" w:fill="auto"/>
            <w:noWrap/>
            <w:vAlign w:val="center"/>
          </w:tcPr>
          <w:p>
            <w:pPr>
              <w:jc w:val="right"/>
            </w:pPr>
            <w:r>
              <w:t>2 408,33</w:t>
            </w:r>
          </w:p>
        </w:tc>
        <w:tc>
          <w:tcPr>
            <w:tcW w:w="1276" w:type="dxa"/>
            <w:shd w:val="clear" w:color="auto" w:fill="auto"/>
            <w:noWrap/>
            <w:vAlign w:val="center"/>
          </w:tcPr>
          <w:p>
            <w:pPr>
              <w:jc w:val="right"/>
            </w:pPr>
            <w:r>
              <w:t>2 390,51</w:t>
            </w:r>
          </w:p>
        </w:tc>
        <w:tc>
          <w:tcPr>
            <w:tcW w:w="1276" w:type="dxa"/>
            <w:shd w:val="clear" w:color="auto" w:fill="auto"/>
            <w:noWrap/>
            <w:vAlign w:val="center"/>
          </w:tcPr>
          <w:p>
            <w:pPr>
              <w:jc w:val="right"/>
            </w:pPr>
            <w:r>
              <w:t>99,3</w:t>
            </w:r>
          </w:p>
        </w:tc>
      </w:tr>
      <w:tr>
        <w:trPr>
          <w:trHeight w:val="255"/>
        </w:trPr>
        <w:tc>
          <w:tcPr>
            <w:tcW w:w="441" w:type="dxa"/>
            <w:shd w:val="clear" w:color="auto" w:fill="auto"/>
            <w:noWrap/>
            <w:vAlign w:val="center"/>
          </w:tcPr>
          <w:p>
            <w:pPr>
              <w:jc w:val="center"/>
            </w:pPr>
          </w:p>
        </w:tc>
        <w:tc>
          <w:tcPr>
            <w:tcW w:w="4961" w:type="dxa"/>
            <w:shd w:val="clear" w:color="auto" w:fill="auto"/>
            <w:vAlign w:val="center"/>
          </w:tcPr>
          <w:p>
            <w:r>
              <w:t>Всего по программам</w:t>
            </w:r>
          </w:p>
        </w:tc>
        <w:tc>
          <w:tcPr>
            <w:tcW w:w="1417" w:type="dxa"/>
            <w:shd w:val="clear" w:color="auto" w:fill="auto"/>
            <w:noWrap/>
            <w:vAlign w:val="center"/>
          </w:tcPr>
          <w:p>
            <w:pPr>
              <w:jc w:val="right"/>
            </w:pPr>
            <w:r>
              <w:t>349 957,03</w:t>
            </w:r>
          </w:p>
        </w:tc>
        <w:tc>
          <w:tcPr>
            <w:tcW w:w="1276" w:type="dxa"/>
            <w:shd w:val="clear" w:color="auto" w:fill="auto"/>
            <w:noWrap/>
            <w:vAlign w:val="center"/>
          </w:tcPr>
          <w:p>
            <w:pPr>
              <w:jc w:val="right"/>
            </w:pPr>
            <w:r>
              <w:t>338 370,24</w:t>
            </w:r>
          </w:p>
        </w:tc>
        <w:tc>
          <w:tcPr>
            <w:tcW w:w="1276" w:type="dxa"/>
            <w:shd w:val="clear" w:color="auto" w:fill="auto"/>
            <w:noWrap/>
            <w:vAlign w:val="center"/>
          </w:tcPr>
          <w:p>
            <w:pPr>
              <w:jc w:val="right"/>
            </w:pPr>
            <w:r>
              <w:t>96,7</w:t>
            </w:r>
          </w:p>
        </w:tc>
      </w:tr>
    </w:tbl>
    <w:p>
      <w:pPr>
        <w:spacing w:before="120" w:after="120"/>
        <w:ind w:firstLine="709"/>
        <w:jc w:val="both"/>
        <w:rPr>
          <w:rFonts w:eastAsia="Calibri"/>
          <w:sz w:val="24"/>
          <w:szCs w:val="24"/>
        </w:rPr>
      </w:pPr>
      <w:r>
        <w:rPr>
          <w:rStyle w:val="16"/>
          <w:rFonts w:eastAsia="Calibri"/>
          <w:sz w:val="24"/>
          <w:szCs w:val="24"/>
          <w:u w:val="none"/>
        </w:rPr>
        <w:t>В разрезе разделов функциональной классификации и</w:t>
      </w:r>
      <w:r>
        <w:rPr>
          <w:rFonts w:eastAsia="Calibri"/>
          <w:sz w:val="24"/>
          <w:szCs w:val="24"/>
        </w:rPr>
        <w:t xml:space="preserve">сполнение расходов УКС Администрации ЗАТО Северск осуществлялось по 6 разделам: </w:t>
      </w:r>
    </w:p>
    <w:p>
      <w:pPr>
        <w:spacing w:before="120" w:after="120"/>
        <w:ind w:right="57" w:firstLine="709"/>
        <w:jc w:val="both"/>
        <w:rPr>
          <w:sz w:val="24"/>
          <w:szCs w:val="24"/>
        </w:rPr>
      </w:pPr>
      <w:r>
        <w:rPr>
          <w:sz w:val="24"/>
          <w:szCs w:val="24"/>
        </w:rPr>
        <w:t>Таблица 58. Расходы УКС по разделам  за 2020 год</w:t>
      </w:r>
    </w:p>
    <w:tbl>
      <w:tblPr>
        <w:tblW w:w="9356" w:type="dxa"/>
        <w:tblInd w:w="108" w:type="dxa"/>
        <w:tblLayout w:type="fixed"/>
        <w:tblLook w:val="04A0" w:firstRow="1" w:lastRow="0" w:firstColumn="1" w:lastColumn="0" w:noHBand="0" w:noVBand="1"/>
      </w:tblPr>
      <w:tblGrid>
        <w:gridCol w:w="720"/>
        <w:gridCol w:w="4667"/>
        <w:gridCol w:w="1417"/>
        <w:gridCol w:w="1276"/>
        <w:gridCol w:w="1276"/>
      </w:tblGrid>
      <w:tr>
        <w:trPr>
          <w:trHeight w:val="959"/>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pPr>
              <w:jc w:val="center"/>
            </w:pPr>
            <w:r>
              <w:t>Раздел, подраздел</w:t>
            </w:r>
          </w:p>
        </w:tc>
        <w:tc>
          <w:tcPr>
            <w:tcW w:w="4667" w:type="dxa"/>
            <w:tcBorders>
              <w:top w:val="single" w:sz="4" w:space="0" w:color="auto"/>
              <w:left w:val="nil"/>
              <w:bottom w:val="single" w:sz="4" w:space="0" w:color="auto"/>
              <w:right w:val="single" w:sz="4" w:space="0" w:color="auto"/>
            </w:tcBorders>
            <w:shd w:val="clear" w:color="auto" w:fill="auto"/>
            <w:vAlign w:val="center"/>
          </w:tcPr>
          <w:p>
            <w:pPr>
              <w:jc w:val="center"/>
            </w:pPr>
            <w:r>
              <w:t>Наименование</w:t>
            </w:r>
          </w:p>
        </w:tc>
        <w:tc>
          <w:tcPr>
            <w:tcW w:w="1417" w:type="dxa"/>
            <w:tcBorders>
              <w:top w:val="single" w:sz="4" w:space="0" w:color="auto"/>
              <w:left w:val="nil"/>
              <w:bottom w:val="single" w:sz="4" w:space="0" w:color="auto"/>
              <w:right w:val="single" w:sz="4" w:space="0" w:color="auto"/>
            </w:tcBorders>
            <w:shd w:val="clear" w:color="auto" w:fill="auto"/>
            <w:vAlign w:val="center"/>
          </w:tcPr>
          <w:p>
            <w:pPr>
              <w:jc w:val="center"/>
            </w:pPr>
            <w:r>
              <w:t>Уточненный план</w:t>
            </w:r>
            <w:r>
              <w:br/>
              <w:t>2020 г.,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right="-42"/>
              <w:jc w:val="center"/>
            </w:pPr>
            <w:r>
              <w:t xml:space="preserve">Исполнено </w:t>
            </w:r>
          </w:p>
          <w:p>
            <w:pPr>
              <w:ind w:right="-42"/>
              <w:jc w:val="center"/>
            </w:pPr>
            <w:r>
              <w:t>за 2020 г., тыс.руб.</w:t>
            </w:r>
          </w:p>
        </w:tc>
        <w:tc>
          <w:tcPr>
            <w:tcW w:w="1276" w:type="dxa"/>
            <w:tcBorders>
              <w:top w:val="single" w:sz="4" w:space="0" w:color="auto"/>
              <w:left w:val="nil"/>
              <w:bottom w:val="single" w:sz="4" w:space="0" w:color="auto"/>
              <w:right w:val="single" w:sz="4" w:space="0" w:color="auto"/>
            </w:tcBorders>
            <w:vAlign w:val="center"/>
          </w:tcPr>
          <w:p>
            <w:pPr>
              <w:jc w:val="center"/>
            </w:pPr>
            <w:r>
              <w:t xml:space="preserve">Процент </w:t>
            </w:r>
          </w:p>
          <w:p>
            <w:pPr>
              <w:jc w:val="center"/>
            </w:pPr>
            <w:r>
              <w:t xml:space="preserve">исполнения </w:t>
            </w:r>
          </w:p>
          <w:p>
            <w:pPr>
              <w:jc w:val="center"/>
            </w:pPr>
            <w:r>
              <w:t>к плану</w:t>
            </w:r>
            <w:r>
              <w:br/>
              <w:t xml:space="preserve"> 2020 г.</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p>
        </w:tc>
        <w:tc>
          <w:tcPr>
            <w:tcW w:w="4667" w:type="dxa"/>
            <w:tcBorders>
              <w:top w:val="nil"/>
              <w:left w:val="nil"/>
              <w:bottom w:val="single" w:sz="4" w:space="0" w:color="auto"/>
              <w:right w:val="single" w:sz="4" w:space="0" w:color="auto"/>
            </w:tcBorders>
            <w:shd w:val="clear" w:color="auto" w:fill="auto"/>
            <w:vAlign w:val="center"/>
          </w:tcPr>
          <w:p>
            <w:r>
              <w:t>Управление капитального строительства:</w:t>
            </w:r>
          </w:p>
        </w:tc>
        <w:tc>
          <w:tcPr>
            <w:tcW w:w="1417" w:type="dxa"/>
            <w:tcBorders>
              <w:top w:val="nil"/>
              <w:left w:val="nil"/>
              <w:bottom w:val="single" w:sz="4" w:space="0" w:color="auto"/>
              <w:right w:val="single" w:sz="4" w:space="0" w:color="auto"/>
            </w:tcBorders>
            <w:shd w:val="clear" w:color="auto" w:fill="auto"/>
            <w:noWrap/>
            <w:vAlign w:val="bottom"/>
          </w:tcPr>
          <w:p>
            <w:pPr>
              <w:jc w:val="right"/>
            </w:pPr>
            <w:r>
              <w:t>349 957,03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pPr>
              <w:jc w:val="right"/>
            </w:pPr>
            <w:r>
              <w:t>338 370,24</w:t>
            </w:r>
          </w:p>
        </w:tc>
        <w:tc>
          <w:tcPr>
            <w:tcW w:w="1276" w:type="dxa"/>
            <w:tcBorders>
              <w:top w:val="single" w:sz="4" w:space="0" w:color="auto"/>
              <w:left w:val="nil"/>
              <w:bottom w:val="single" w:sz="4" w:space="0" w:color="auto"/>
              <w:right w:val="single" w:sz="4" w:space="0" w:color="auto"/>
            </w:tcBorders>
            <w:vAlign w:val="bottom"/>
          </w:tcPr>
          <w:p>
            <w:pPr>
              <w:jc w:val="center"/>
            </w:pPr>
            <w:r>
              <w:t>96,7</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0100</w:t>
            </w:r>
          </w:p>
        </w:tc>
        <w:tc>
          <w:tcPr>
            <w:tcW w:w="4667" w:type="dxa"/>
            <w:tcBorders>
              <w:top w:val="nil"/>
              <w:left w:val="nil"/>
              <w:bottom w:val="single" w:sz="4" w:space="0" w:color="auto"/>
              <w:right w:val="single" w:sz="4" w:space="0" w:color="auto"/>
            </w:tcBorders>
            <w:shd w:val="clear" w:color="auto" w:fill="auto"/>
            <w:vAlign w:val="center"/>
          </w:tcPr>
          <w:p>
            <w:r>
              <w:t>Общегосударственные вопросы</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100,00</w:t>
            </w:r>
          </w:p>
        </w:tc>
        <w:tc>
          <w:tcPr>
            <w:tcW w:w="1276" w:type="dxa"/>
            <w:tcBorders>
              <w:top w:val="nil"/>
              <w:left w:val="nil"/>
              <w:bottom w:val="single" w:sz="4" w:space="0" w:color="auto"/>
              <w:right w:val="single" w:sz="4" w:space="0" w:color="auto"/>
            </w:tcBorders>
            <w:shd w:val="clear" w:color="auto" w:fill="auto"/>
            <w:noWrap/>
            <w:vAlign w:val="center"/>
          </w:tcPr>
          <w:p>
            <w:pPr>
              <w:jc w:val="right"/>
            </w:pPr>
            <w:r>
              <w:t>100,00</w:t>
            </w:r>
          </w:p>
        </w:tc>
        <w:tc>
          <w:tcPr>
            <w:tcW w:w="1276" w:type="dxa"/>
            <w:tcBorders>
              <w:top w:val="single" w:sz="4" w:space="0" w:color="auto"/>
              <w:left w:val="nil"/>
              <w:bottom w:val="single" w:sz="4" w:space="0" w:color="auto"/>
              <w:right w:val="single" w:sz="4" w:space="0" w:color="auto"/>
            </w:tcBorders>
            <w:vAlign w:val="center"/>
          </w:tcPr>
          <w:p>
            <w:pPr>
              <w:jc w:val="center"/>
            </w:pPr>
            <w:r>
              <w:t>100,0</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0400</w:t>
            </w:r>
          </w:p>
        </w:tc>
        <w:tc>
          <w:tcPr>
            <w:tcW w:w="4667" w:type="dxa"/>
            <w:tcBorders>
              <w:top w:val="nil"/>
              <w:left w:val="nil"/>
              <w:bottom w:val="single" w:sz="4" w:space="0" w:color="auto"/>
              <w:right w:val="single" w:sz="4" w:space="0" w:color="auto"/>
            </w:tcBorders>
            <w:shd w:val="clear" w:color="auto" w:fill="auto"/>
            <w:vAlign w:val="center"/>
          </w:tcPr>
          <w:p>
            <w:r>
              <w:t>Национальная экономика</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186 786,75</w:t>
            </w:r>
          </w:p>
        </w:tc>
        <w:tc>
          <w:tcPr>
            <w:tcW w:w="1276" w:type="dxa"/>
            <w:tcBorders>
              <w:top w:val="nil"/>
              <w:left w:val="nil"/>
              <w:bottom w:val="single" w:sz="4" w:space="0" w:color="auto"/>
              <w:right w:val="single" w:sz="4" w:space="0" w:color="auto"/>
            </w:tcBorders>
            <w:shd w:val="clear" w:color="auto" w:fill="auto"/>
            <w:noWrap/>
            <w:vAlign w:val="center"/>
          </w:tcPr>
          <w:p>
            <w:pPr>
              <w:jc w:val="right"/>
            </w:pPr>
            <w:r>
              <w:t>185 959,23</w:t>
            </w:r>
          </w:p>
        </w:tc>
        <w:tc>
          <w:tcPr>
            <w:tcW w:w="1276" w:type="dxa"/>
            <w:tcBorders>
              <w:top w:val="single" w:sz="4" w:space="0" w:color="auto"/>
              <w:left w:val="nil"/>
              <w:bottom w:val="single" w:sz="4" w:space="0" w:color="auto"/>
              <w:right w:val="single" w:sz="4" w:space="0" w:color="auto"/>
            </w:tcBorders>
            <w:vAlign w:val="center"/>
          </w:tcPr>
          <w:p>
            <w:pPr>
              <w:jc w:val="center"/>
            </w:pPr>
            <w:r>
              <w:t>99,6</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0500</w:t>
            </w:r>
          </w:p>
        </w:tc>
        <w:tc>
          <w:tcPr>
            <w:tcW w:w="4667" w:type="dxa"/>
            <w:tcBorders>
              <w:top w:val="nil"/>
              <w:left w:val="nil"/>
              <w:bottom w:val="single" w:sz="4" w:space="0" w:color="auto"/>
              <w:right w:val="single" w:sz="4" w:space="0" w:color="auto"/>
            </w:tcBorders>
            <w:shd w:val="clear" w:color="auto" w:fill="auto"/>
            <w:vAlign w:val="center"/>
          </w:tcPr>
          <w:p>
            <w:r>
              <w:t>Жилищно-коммунальное хозяйство</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144 62,55</w:t>
            </w:r>
          </w:p>
        </w:tc>
        <w:tc>
          <w:tcPr>
            <w:tcW w:w="1276" w:type="dxa"/>
            <w:tcBorders>
              <w:top w:val="nil"/>
              <w:left w:val="nil"/>
              <w:bottom w:val="single" w:sz="4" w:space="0" w:color="auto"/>
              <w:right w:val="single" w:sz="4" w:space="0" w:color="auto"/>
            </w:tcBorders>
            <w:shd w:val="clear" w:color="auto" w:fill="auto"/>
            <w:noWrap/>
            <w:vAlign w:val="center"/>
          </w:tcPr>
          <w:p>
            <w:pPr>
              <w:jc w:val="right"/>
            </w:pPr>
            <w:r>
              <w:t>135 417,97</w:t>
            </w:r>
          </w:p>
        </w:tc>
        <w:tc>
          <w:tcPr>
            <w:tcW w:w="1276" w:type="dxa"/>
            <w:tcBorders>
              <w:top w:val="single" w:sz="4" w:space="0" w:color="auto"/>
              <w:left w:val="nil"/>
              <w:bottom w:val="single" w:sz="4" w:space="0" w:color="auto"/>
              <w:right w:val="single" w:sz="4" w:space="0" w:color="auto"/>
            </w:tcBorders>
            <w:vAlign w:val="center"/>
          </w:tcPr>
          <w:p>
            <w:pPr>
              <w:jc w:val="center"/>
            </w:pPr>
            <w:r>
              <w:t>93,6</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0700</w:t>
            </w:r>
          </w:p>
        </w:tc>
        <w:tc>
          <w:tcPr>
            <w:tcW w:w="4667" w:type="dxa"/>
            <w:tcBorders>
              <w:top w:val="nil"/>
              <w:left w:val="nil"/>
              <w:bottom w:val="single" w:sz="4" w:space="0" w:color="auto"/>
              <w:right w:val="single" w:sz="4" w:space="0" w:color="auto"/>
            </w:tcBorders>
            <w:shd w:val="clear" w:color="auto" w:fill="auto"/>
            <w:vAlign w:val="center"/>
          </w:tcPr>
          <w:p>
            <w:pPr>
              <w:autoSpaceDE w:val="0"/>
              <w:autoSpaceDN w:val="0"/>
              <w:adjustRightInd w:val="0"/>
              <w:jc w:val="both"/>
              <w:outlineLvl w:val="4"/>
            </w:pPr>
            <w:r>
              <w:t>Образование</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11 588,21</w:t>
            </w:r>
          </w:p>
        </w:tc>
        <w:tc>
          <w:tcPr>
            <w:tcW w:w="1276" w:type="dxa"/>
            <w:tcBorders>
              <w:top w:val="nil"/>
              <w:left w:val="nil"/>
              <w:bottom w:val="single" w:sz="4" w:space="0" w:color="auto"/>
              <w:right w:val="single" w:sz="4" w:space="0" w:color="auto"/>
            </w:tcBorders>
            <w:shd w:val="clear" w:color="auto" w:fill="auto"/>
            <w:noWrap/>
            <w:vAlign w:val="center"/>
          </w:tcPr>
          <w:p>
            <w:pPr>
              <w:jc w:val="right"/>
            </w:pPr>
            <w:r>
              <w:t>10 520,17</w:t>
            </w:r>
          </w:p>
        </w:tc>
        <w:tc>
          <w:tcPr>
            <w:tcW w:w="1276" w:type="dxa"/>
            <w:tcBorders>
              <w:top w:val="single" w:sz="4" w:space="0" w:color="auto"/>
              <w:left w:val="nil"/>
              <w:bottom w:val="single" w:sz="4" w:space="0" w:color="auto"/>
              <w:right w:val="single" w:sz="4" w:space="0" w:color="auto"/>
            </w:tcBorders>
            <w:vAlign w:val="center"/>
          </w:tcPr>
          <w:p>
            <w:pPr>
              <w:jc w:val="center"/>
            </w:pPr>
            <w:r>
              <w:t>90,8</w:t>
            </w:r>
          </w:p>
        </w:tc>
      </w:tr>
      <w:tr>
        <w:trPr>
          <w:trHeight w:val="284"/>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pPr>
              <w:shd w:val="clear" w:color="auto" w:fill="FFFFFF"/>
              <w:jc w:val="center"/>
            </w:pPr>
            <w:r>
              <w:t>0800</w:t>
            </w:r>
          </w:p>
        </w:tc>
        <w:tc>
          <w:tcPr>
            <w:tcW w:w="4667" w:type="dxa"/>
            <w:tcBorders>
              <w:top w:val="single" w:sz="4" w:space="0" w:color="auto"/>
              <w:left w:val="nil"/>
              <w:bottom w:val="single" w:sz="4" w:space="0" w:color="auto"/>
              <w:right w:val="single" w:sz="4" w:space="0" w:color="auto"/>
            </w:tcBorders>
            <w:shd w:val="clear" w:color="auto" w:fill="auto"/>
            <w:vAlign w:val="center"/>
          </w:tcPr>
          <w:p>
            <w:r>
              <w:t>Культура и кинематография</w:t>
            </w:r>
          </w:p>
        </w:tc>
        <w:tc>
          <w:tcPr>
            <w:tcW w:w="1417" w:type="dxa"/>
            <w:tcBorders>
              <w:top w:val="single" w:sz="4" w:space="0" w:color="auto"/>
              <w:left w:val="nil"/>
              <w:bottom w:val="single" w:sz="4" w:space="0" w:color="auto"/>
              <w:right w:val="single" w:sz="4" w:space="0" w:color="auto"/>
            </w:tcBorders>
            <w:shd w:val="clear" w:color="auto" w:fill="auto"/>
            <w:noWrap/>
            <w:vAlign w:val="center"/>
          </w:tcPr>
          <w:p>
            <w:pPr>
              <w:jc w:val="right"/>
            </w:pPr>
            <w:r>
              <w:t>6 714,86</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jc w:val="right"/>
            </w:pPr>
            <w:r>
              <w:t>6 226,22</w:t>
            </w:r>
          </w:p>
        </w:tc>
        <w:tc>
          <w:tcPr>
            <w:tcW w:w="1276" w:type="dxa"/>
            <w:tcBorders>
              <w:top w:val="single" w:sz="4" w:space="0" w:color="auto"/>
              <w:left w:val="nil"/>
              <w:bottom w:val="single" w:sz="4" w:space="0" w:color="auto"/>
              <w:right w:val="single" w:sz="4" w:space="0" w:color="auto"/>
            </w:tcBorders>
            <w:vAlign w:val="center"/>
          </w:tcPr>
          <w:p>
            <w:pPr>
              <w:jc w:val="center"/>
            </w:pPr>
            <w:r>
              <w:t>92,7</w:t>
            </w:r>
          </w:p>
        </w:tc>
      </w:tr>
      <w:tr>
        <w:trPr>
          <w:trHeight w:val="284"/>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pPr>
              <w:shd w:val="clear" w:color="auto" w:fill="FFFFFF"/>
              <w:jc w:val="center"/>
            </w:pPr>
            <w:r>
              <w:t>1100</w:t>
            </w:r>
          </w:p>
        </w:tc>
        <w:tc>
          <w:tcPr>
            <w:tcW w:w="4667" w:type="dxa"/>
            <w:tcBorders>
              <w:top w:val="single" w:sz="4" w:space="0" w:color="auto"/>
              <w:left w:val="nil"/>
              <w:bottom w:val="single" w:sz="4" w:space="0" w:color="auto"/>
              <w:right w:val="single" w:sz="4" w:space="0" w:color="auto"/>
            </w:tcBorders>
            <w:shd w:val="clear" w:color="auto" w:fill="auto"/>
            <w:vAlign w:val="center"/>
          </w:tcPr>
          <w:p>
            <w:r>
              <w:t>Физическая культура и спорт</w:t>
            </w:r>
          </w:p>
        </w:tc>
        <w:tc>
          <w:tcPr>
            <w:tcW w:w="1417" w:type="dxa"/>
            <w:tcBorders>
              <w:top w:val="single" w:sz="4" w:space="0" w:color="auto"/>
              <w:left w:val="nil"/>
              <w:bottom w:val="single" w:sz="4" w:space="0" w:color="auto"/>
              <w:right w:val="single" w:sz="4" w:space="0" w:color="auto"/>
            </w:tcBorders>
            <w:shd w:val="clear" w:color="auto" w:fill="auto"/>
            <w:noWrap/>
            <w:vAlign w:val="center"/>
          </w:tcPr>
          <w:p>
            <w:pPr>
              <w:jc w:val="right"/>
            </w:pPr>
            <w:r>
              <w:t>146,66</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jc w:val="right"/>
            </w:pPr>
            <w:r>
              <w:t>146,65</w:t>
            </w:r>
          </w:p>
        </w:tc>
        <w:tc>
          <w:tcPr>
            <w:tcW w:w="1276" w:type="dxa"/>
            <w:tcBorders>
              <w:top w:val="single" w:sz="4" w:space="0" w:color="auto"/>
              <w:left w:val="nil"/>
              <w:bottom w:val="single" w:sz="4" w:space="0" w:color="auto"/>
              <w:right w:val="single" w:sz="4" w:space="0" w:color="auto"/>
            </w:tcBorders>
            <w:vAlign w:val="center"/>
          </w:tcPr>
          <w:p>
            <w:pPr>
              <w:jc w:val="center"/>
            </w:pPr>
            <w:r>
              <w:t>100,0</w:t>
            </w:r>
          </w:p>
        </w:tc>
      </w:tr>
    </w:tbl>
    <w:p>
      <w:pPr>
        <w:ind w:firstLine="709"/>
        <w:jc w:val="both"/>
        <w:rPr>
          <w:sz w:val="16"/>
          <w:szCs w:val="16"/>
          <w:highlight w:val="yellow"/>
        </w:rPr>
      </w:pPr>
    </w:p>
    <w:p>
      <w:pPr>
        <w:pStyle w:val="3"/>
        <w:spacing w:before="0" w:after="0" w:line="264" w:lineRule="auto"/>
        <w:ind w:right="28" w:firstLine="709"/>
        <w:jc w:val="center"/>
        <w:rPr>
          <w:rFonts w:ascii="Times New Roman" w:hAnsi="Times New Roman" w:cs="Times New Roman"/>
          <w:color w:val="000000"/>
          <w:sz w:val="24"/>
          <w:szCs w:val="24"/>
        </w:rPr>
      </w:pPr>
    </w:p>
    <w:p>
      <w:pPr>
        <w:pStyle w:val="3"/>
        <w:spacing w:before="0" w:after="0" w:line="264" w:lineRule="auto"/>
        <w:ind w:right="28"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4.2.12. Управление по внегородским территориям</w:t>
      </w:r>
    </w:p>
    <w:p>
      <w:pPr>
        <w:pStyle w:val="3"/>
        <w:spacing w:before="0" w:after="200" w:line="264" w:lineRule="auto"/>
        <w:ind w:right="28"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Администрации ЗАТО Северск</w:t>
      </w:r>
    </w:p>
    <w:p>
      <w:pPr>
        <w:ind w:firstLine="709"/>
        <w:jc w:val="both"/>
        <w:rPr>
          <w:sz w:val="24"/>
          <w:szCs w:val="24"/>
        </w:rPr>
      </w:pPr>
      <w:r>
        <w:rPr>
          <w:sz w:val="24"/>
          <w:szCs w:val="24"/>
        </w:rPr>
        <w:t xml:space="preserve">Кассовое исполнение расходов за 2020 год составило 50 818,34 тыс. руб. или 93,7% к утвержденным годовым назначениям. </w:t>
      </w:r>
    </w:p>
    <w:p>
      <w:pPr>
        <w:ind w:firstLine="709"/>
        <w:jc w:val="both"/>
        <w:rPr>
          <w:sz w:val="24"/>
          <w:szCs w:val="24"/>
        </w:rPr>
      </w:pPr>
      <w:r>
        <w:rPr>
          <w:sz w:val="24"/>
          <w:szCs w:val="24"/>
        </w:rPr>
        <w:t xml:space="preserve">В общей структуре произведенных расходов удельный вес расходов, подведомственных </w:t>
      </w:r>
      <w:r>
        <w:rPr>
          <w:color w:val="000000"/>
          <w:sz w:val="24"/>
          <w:szCs w:val="24"/>
        </w:rPr>
        <w:t>Управлению по внегородским территориям Администрации ЗАТО Северск</w:t>
      </w:r>
      <w:r>
        <w:rPr>
          <w:sz w:val="24"/>
          <w:szCs w:val="24"/>
        </w:rPr>
        <w:t xml:space="preserve"> (далее - УВГТ) составил 1,1%. </w:t>
      </w:r>
    </w:p>
    <w:p>
      <w:pPr>
        <w:ind w:firstLine="709"/>
        <w:jc w:val="both"/>
        <w:rPr>
          <w:sz w:val="24"/>
          <w:szCs w:val="24"/>
        </w:rPr>
      </w:pPr>
      <w:r>
        <w:rPr>
          <w:sz w:val="24"/>
          <w:szCs w:val="24"/>
        </w:rPr>
        <w:t>УВГТ является ответственным исполнителем одной м</w:t>
      </w:r>
      <w:r>
        <w:rPr>
          <w:bCs/>
          <w:sz w:val="24"/>
          <w:szCs w:val="24"/>
        </w:rPr>
        <w:t xml:space="preserve">униципальной программы «Улучшение жизнедеятельности внегородских территорий ЗАТО Северск» </w:t>
      </w:r>
      <w:r>
        <w:rPr>
          <w:sz w:val="24"/>
          <w:szCs w:val="24"/>
        </w:rPr>
        <w:t>и участником двух муниципальных программ «Охрана окружающей среды на территории ЗАТО Северск»</w:t>
      </w:r>
      <w:r>
        <w:rPr>
          <w:spacing w:val="-4"/>
          <w:sz w:val="24"/>
          <w:szCs w:val="24"/>
        </w:rPr>
        <w:t xml:space="preserve"> и «Обеспечение безопасности населения на территории ЗАТО Северск».</w:t>
      </w:r>
    </w:p>
    <w:p>
      <w:pPr>
        <w:ind w:firstLine="709"/>
        <w:jc w:val="both"/>
        <w:rPr>
          <w:sz w:val="24"/>
          <w:szCs w:val="24"/>
        </w:rPr>
      </w:pPr>
      <w:r>
        <w:rPr>
          <w:sz w:val="24"/>
          <w:szCs w:val="24"/>
        </w:rPr>
        <w:t>Кассовое исполнение по программам составило 50 568,34 </w:t>
      </w:r>
      <w:r>
        <w:rPr>
          <w:spacing w:val="-4"/>
          <w:sz w:val="24"/>
          <w:szCs w:val="24"/>
        </w:rPr>
        <w:t xml:space="preserve">тыс. руб. </w:t>
      </w:r>
      <w:r>
        <w:rPr>
          <w:sz w:val="24"/>
          <w:szCs w:val="24"/>
        </w:rPr>
        <w:t xml:space="preserve">или 93,6% к утвержденным годовым назначениям. </w:t>
      </w:r>
    </w:p>
    <w:p>
      <w:pPr>
        <w:spacing w:before="120" w:after="120"/>
        <w:ind w:right="57" w:firstLine="709"/>
        <w:jc w:val="both"/>
        <w:rPr>
          <w:bCs/>
          <w:sz w:val="24"/>
          <w:szCs w:val="24"/>
        </w:rPr>
      </w:pPr>
      <w:r>
        <w:rPr>
          <w:spacing w:val="-4"/>
          <w:sz w:val="24"/>
          <w:szCs w:val="24"/>
        </w:rPr>
        <w:t>Таблица 59. Расходы УВГТ в разрезе МП</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4469"/>
        <w:gridCol w:w="1559"/>
        <w:gridCol w:w="1418"/>
        <w:gridCol w:w="1559"/>
      </w:tblGrid>
      <w:tr>
        <w:trPr>
          <w:cantSplit/>
          <w:trHeight w:val="952"/>
        </w:trPr>
        <w:tc>
          <w:tcPr>
            <w:tcW w:w="459" w:type="dxa"/>
            <w:textDirection w:val="btLr"/>
            <w:vAlign w:val="center"/>
          </w:tcPr>
          <w:p>
            <w:pPr>
              <w:ind w:left="113" w:right="55"/>
              <w:jc w:val="center"/>
              <w:rPr>
                <w:bCs/>
              </w:rPr>
            </w:pPr>
            <w:r>
              <w:rPr>
                <w:lang w:val="en-US"/>
              </w:rPr>
              <w:t xml:space="preserve">№ </w:t>
            </w:r>
            <w:r>
              <w:t>п/п</w:t>
            </w:r>
          </w:p>
        </w:tc>
        <w:tc>
          <w:tcPr>
            <w:tcW w:w="4469" w:type="dxa"/>
            <w:vAlign w:val="center"/>
          </w:tcPr>
          <w:p>
            <w:pPr>
              <w:ind w:right="55"/>
              <w:jc w:val="center"/>
              <w:rPr>
                <w:bCs/>
              </w:rPr>
            </w:pPr>
            <w:r>
              <w:t>Наименование программы</w:t>
            </w:r>
          </w:p>
        </w:tc>
        <w:tc>
          <w:tcPr>
            <w:tcW w:w="1559" w:type="dxa"/>
            <w:vAlign w:val="center"/>
          </w:tcPr>
          <w:p>
            <w:pPr>
              <w:jc w:val="center"/>
            </w:pPr>
            <w:r>
              <w:t xml:space="preserve">Уточненный план 2020 г., </w:t>
            </w:r>
          </w:p>
          <w:p>
            <w:pPr>
              <w:jc w:val="center"/>
            </w:pPr>
            <w:r>
              <w:t>тыс. руб.</w:t>
            </w:r>
          </w:p>
        </w:tc>
        <w:tc>
          <w:tcPr>
            <w:tcW w:w="1418" w:type="dxa"/>
            <w:vAlign w:val="center"/>
          </w:tcPr>
          <w:p>
            <w:pPr>
              <w:ind w:right="-42"/>
              <w:jc w:val="center"/>
            </w:pPr>
            <w:r>
              <w:t xml:space="preserve">Исполнено </w:t>
            </w:r>
          </w:p>
          <w:p>
            <w:pPr>
              <w:ind w:right="-42"/>
              <w:jc w:val="center"/>
            </w:pPr>
            <w:r>
              <w:t xml:space="preserve">за 2020 г., </w:t>
            </w:r>
          </w:p>
          <w:p>
            <w:pPr>
              <w:ind w:right="-42"/>
              <w:jc w:val="center"/>
            </w:pPr>
            <w:r>
              <w:t>тыс. руб.</w:t>
            </w:r>
          </w:p>
        </w:tc>
        <w:tc>
          <w:tcPr>
            <w:tcW w:w="1559" w:type="dxa"/>
            <w:vAlign w:val="center"/>
          </w:tcPr>
          <w:p>
            <w:pPr>
              <w:jc w:val="center"/>
            </w:pPr>
            <w:r>
              <w:t>% исполнения</w:t>
            </w:r>
          </w:p>
          <w:p>
            <w:pPr>
              <w:jc w:val="center"/>
            </w:pPr>
            <w:r>
              <w:t>к плану 2020 г.</w:t>
            </w:r>
          </w:p>
        </w:tc>
      </w:tr>
      <w:tr>
        <w:trPr>
          <w:trHeight w:val="566"/>
        </w:trPr>
        <w:tc>
          <w:tcPr>
            <w:tcW w:w="459" w:type="dxa"/>
            <w:vAlign w:val="center"/>
          </w:tcPr>
          <w:p>
            <w:pPr>
              <w:jc w:val="center"/>
            </w:pPr>
            <w:r>
              <w:t>1</w:t>
            </w:r>
          </w:p>
        </w:tc>
        <w:tc>
          <w:tcPr>
            <w:tcW w:w="4469" w:type="dxa"/>
            <w:vAlign w:val="center"/>
          </w:tcPr>
          <w:p>
            <w:r>
              <w:t xml:space="preserve">МП «Улучшение жизнедеятельности внегородских территорий ЗАТО Северск» </w:t>
            </w:r>
          </w:p>
        </w:tc>
        <w:tc>
          <w:tcPr>
            <w:tcW w:w="1559" w:type="dxa"/>
            <w:vAlign w:val="center"/>
          </w:tcPr>
          <w:p>
            <w:pPr>
              <w:jc w:val="right"/>
            </w:pPr>
            <w:r>
              <w:t>51 595,07</w:t>
            </w:r>
          </w:p>
        </w:tc>
        <w:tc>
          <w:tcPr>
            <w:tcW w:w="1418" w:type="dxa"/>
            <w:vAlign w:val="center"/>
          </w:tcPr>
          <w:p>
            <w:pPr>
              <w:jc w:val="right"/>
            </w:pPr>
            <w:r>
              <w:t>48 273,73</w:t>
            </w:r>
          </w:p>
        </w:tc>
        <w:tc>
          <w:tcPr>
            <w:tcW w:w="1559" w:type="dxa"/>
            <w:vAlign w:val="center"/>
          </w:tcPr>
          <w:p>
            <w:pPr>
              <w:jc w:val="right"/>
            </w:pPr>
            <w:r>
              <w:t>93,6</w:t>
            </w:r>
          </w:p>
        </w:tc>
      </w:tr>
      <w:tr>
        <w:trPr>
          <w:trHeight w:val="560"/>
        </w:trPr>
        <w:tc>
          <w:tcPr>
            <w:tcW w:w="459" w:type="dxa"/>
            <w:vAlign w:val="center"/>
          </w:tcPr>
          <w:p>
            <w:pPr>
              <w:jc w:val="center"/>
            </w:pPr>
            <w:r>
              <w:t>2</w:t>
            </w:r>
          </w:p>
        </w:tc>
        <w:tc>
          <w:tcPr>
            <w:tcW w:w="4469" w:type="dxa"/>
            <w:vAlign w:val="center"/>
          </w:tcPr>
          <w:p>
            <w:r>
              <w:t xml:space="preserve">МП «Охрана окружающей среды </w:t>
            </w:r>
          </w:p>
          <w:p>
            <w:r>
              <w:t xml:space="preserve">на территории ЗАТО Северск» </w:t>
            </w:r>
          </w:p>
        </w:tc>
        <w:tc>
          <w:tcPr>
            <w:tcW w:w="1559" w:type="dxa"/>
            <w:vAlign w:val="center"/>
          </w:tcPr>
          <w:p>
            <w:pPr>
              <w:jc w:val="right"/>
            </w:pPr>
            <w:r>
              <w:t>2 039,48</w:t>
            </w:r>
          </w:p>
        </w:tc>
        <w:tc>
          <w:tcPr>
            <w:tcW w:w="1418" w:type="dxa"/>
            <w:vAlign w:val="center"/>
          </w:tcPr>
          <w:p>
            <w:pPr>
              <w:jc w:val="right"/>
            </w:pPr>
            <w:r>
              <w:t>1 924,73</w:t>
            </w:r>
          </w:p>
        </w:tc>
        <w:tc>
          <w:tcPr>
            <w:tcW w:w="1559" w:type="dxa"/>
            <w:vAlign w:val="center"/>
          </w:tcPr>
          <w:p>
            <w:pPr>
              <w:jc w:val="right"/>
            </w:pPr>
            <w:r>
              <w:t>94,4</w:t>
            </w:r>
          </w:p>
        </w:tc>
      </w:tr>
      <w:tr>
        <w:trPr>
          <w:trHeight w:val="554"/>
        </w:trPr>
        <w:tc>
          <w:tcPr>
            <w:tcW w:w="459" w:type="dxa"/>
            <w:vAlign w:val="center"/>
          </w:tcPr>
          <w:p>
            <w:pPr>
              <w:jc w:val="center"/>
            </w:pPr>
            <w:r>
              <w:t>3</w:t>
            </w:r>
          </w:p>
        </w:tc>
        <w:tc>
          <w:tcPr>
            <w:tcW w:w="4469" w:type="dxa"/>
            <w:vAlign w:val="center"/>
          </w:tcPr>
          <w:p>
            <w:r>
              <w:t>МП «</w:t>
            </w:r>
            <w:r>
              <w:rPr>
                <w:spacing w:val="-4"/>
              </w:rPr>
              <w:t>Обеспечение безопасности населения на территории ЗАТО Северск</w:t>
            </w:r>
            <w:r>
              <w:t xml:space="preserve">» </w:t>
            </w:r>
          </w:p>
        </w:tc>
        <w:tc>
          <w:tcPr>
            <w:tcW w:w="1559" w:type="dxa"/>
            <w:vAlign w:val="center"/>
          </w:tcPr>
          <w:p>
            <w:pPr>
              <w:jc w:val="right"/>
            </w:pPr>
            <w:r>
              <w:t>369,89</w:t>
            </w:r>
          </w:p>
        </w:tc>
        <w:tc>
          <w:tcPr>
            <w:tcW w:w="1418" w:type="dxa"/>
            <w:vAlign w:val="center"/>
          </w:tcPr>
          <w:p>
            <w:pPr>
              <w:jc w:val="right"/>
            </w:pPr>
            <w:r>
              <w:t>369,88</w:t>
            </w:r>
          </w:p>
        </w:tc>
        <w:tc>
          <w:tcPr>
            <w:tcW w:w="1559" w:type="dxa"/>
            <w:vAlign w:val="center"/>
          </w:tcPr>
          <w:p>
            <w:pPr>
              <w:jc w:val="right"/>
            </w:pPr>
            <w:r>
              <w:t>100,0</w:t>
            </w:r>
          </w:p>
        </w:tc>
      </w:tr>
      <w:tr>
        <w:trPr>
          <w:trHeight w:val="322"/>
        </w:trPr>
        <w:tc>
          <w:tcPr>
            <w:tcW w:w="459" w:type="dxa"/>
            <w:vAlign w:val="center"/>
          </w:tcPr>
          <w:p>
            <w:pPr>
              <w:jc w:val="center"/>
            </w:pPr>
          </w:p>
        </w:tc>
        <w:tc>
          <w:tcPr>
            <w:tcW w:w="4469" w:type="dxa"/>
            <w:vAlign w:val="center"/>
          </w:tcPr>
          <w:p>
            <w:r>
              <w:t>Всего по программам</w:t>
            </w:r>
          </w:p>
        </w:tc>
        <w:tc>
          <w:tcPr>
            <w:tcW w:w="1559" w:type="dxa"/>
            <w:vAlign w:val="center"/>
          </w:tcPr>
          <w:p>
            <w:pPr>
              <w:jc w:val="right"/>
            </w:pPr>
            <w:r>
              <w:t>54 004,44</w:t>
            </w:r>
          </w:p>
        </w:tc>
        <w:tc>
          <w:tcPr>
            <w:tcW w:w="1418" w:type="dxa"/>
            <w:vAlign w:val="center"/>
          </w:tcPr>
          <w:p>
            <w:pPr>
              <w:jc w:val="right"/>
            </w:pPr>
            <w:r>
              <w:t>50 568,34</w:t>
            </w:r>
          </w:p>
        </w:tc>
        <w:tc>
          <w:tcPr>
            <w:tcW w:w="1559" w:type="dxa"/>
            <w:vAlign w:val="center"/>
          </w:tcPr>
          <w:p>
            <w:pPr>
              <w:jc w:val="right"/>
            </w:pPr>
            <w:r>
              <w:t>93,6</w:t>
            </w:r>
          </w:p>
        </w:tc>
      </w:tr>
    </w:tbl>
    <w:p>
      <w:pPr>
        <w:pStyle w:val="31"/>
        <w:ind w:right="-2" w:firstLine="709"/>
        <w:rPr>
          <w:spacing w:val="-4"/>
          <w:sz w:val="24"/>
          <w:szCs w:val="24"/>
        </w:rPr>
      </w:pPr>
      <w:r>
        <w:rPr>
          <w:sz w:val="24"/>
          <w:szCs w:val="24"/>
        </w:rPr>
        <w:t xml:space="preserve">УВГТ за 2020 год </w:t>
      </w:r>
      <w:r>
        <w:rPr>
          <w:spacing w:val="-4"/>
          <w:sz w:val="24"/>
          <w:szCs w:val="24"/>
        </w:rPr>
        <w:t xml:space="preserve">исполнялись непрограммные мероприятия в сумме 250,00 тыс. руб. на исполнение судебных актов </w:t>
      </w:r>
      <w:r>
        <w:rPr>
          <w:sz w:val="24"/>
          <w:szCs w:val="24"/>
        </w:rPr>
        <w:t>(расходы на оплату административных штрафов (несоблюдение УВГТ требований по обеспечению безопасности дорожного движения при содержании дорог)).</w:t>
      </w:r>
    </w:p>
    <w:p>
      <w:pPr>
        <w:spacing w:before="120" w:after="60"/>
        <w:ind w:firstLine="709"/>
        <w:jc w:val="both"/>
        <w:rPr>
          <w:sz w:val="24"/>
          <w:szCs w:val="24"/>
        </w:rPr>
      </w:pPr>
      <w:r>
        <w:rPr>
          <w:sz w:val="24"/>
          <w:szCs w:val="24"/>
        </w:rPr>
        <w:t>Таблица 60. Расходы УВГТ по разделам за 2020 год</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56"/>
        <w:gridCol w:w="4179"/>
        <w:gridCol w:w="1559"/>
        <w:gridCol w:w="1418"/>
        <w:gridCol w:w="1559"/>
      </w:tblGrid>
      <w:tr>
        <w:trPr>
          <w:trHeight w:val="935"/>
        </w:trPr>
        <w:tc>
          <w:tcPr>
            <w:tcW w:w="656" w:type="dxa"/>
            <w:shd w:val="clear" w:color="auto" w:fill="FFFFFF"/>
            <w:noWrap/>
            <w:textDirection w:val="btLr"/>
            <w:vAlign w:val="center"/>
          </w:tcPr>
          <w:p>
            <w:pPr>
              <w:jc w:val="center"/>
            </w:pPr>
            <w:r>
              <w:t>Раздел, подраздел</w:t>
            </w:r>
          </w:p>
        </w:tc>
        <w:tc>
          <w:tcPr>
            <w:tcW w:w="4179" w:type="dxa"/>
            <w:shd w:val="clear" w:color="auto" w:fill="FFFFFF"/>
            <w:vAlign w:val="center"/>
          </w:tcPr>
          <w:p>
            <w:pPr>
              <w:ind w:left="-57" w:right="-57"/>
              <w:jc w:val="center"/>
            </w:pPr>
            <w:r>
              <w:t>Наименование</w:t>
            </w:r>
          </w:p>
        </w:tc>
        <w:tc>
          <w:tcPr>
            <w:tcW w:w="1559" w:type="dxa"/>
            <w:shd w:val="clear" w:color="auto" w:fill="FFFFFF"/>
            <w:vAlign w:val="center"/>
          </w:tcPr>
          <w:p>
            <w:pPr>
              <w:ind w:left="-57" w:right="-57"/>
              <w:jc w:val="center"/>
            </w:pPr>
            <w:r>
              <w:t xml:space="preserve">Уточненный план 2020 г., </w:t>
            </w:r>
          </w:p>
          <w:p>
            <w:pPr>
              <w:ind w:left="-57" w:right="-57"/>
              <w:jc w:val="center"/>
            </w:pPr>
            <w:r>
              <w:t>тыс. руб.</w:t>
            </w:r>
          </w:p>
        </w:tc>
        <w:tc>
          <w:tcPr>
            <w:tcW w:w="1418" w:type="dxa"/>
            <w:shd w:val="clear" w:color="auto" w:fill="FFFFFF"/>
            <w:vAlign w:val="center"/>
          </w:tcPr>
          <w:p>
            <w:pPr>
              <w:ind w:left="-57" w:right="-57"/>
              <w:jc w:val="center"/>
            </w:pPr>
            <w:r>
              <w:t xml:space="preserve">Исполнено </w:t>
            </w:r>
          </w:p>
          <w:p>
            <w:pPr>
              <w:ind w:left="-57" w:right="-57"/>
              <w:jc w:val="center"/>
            </w:pPr>
            <w:r>
              <w:t xml:space="preserve">за 2020 г., </w:t>
            </w:r>
          </w:p>
          <w:p>
            <w:pPr>
              <w:ind w:left="-57" w:right="-57"/>
              <w:jc w:val="center"/>
            </w:pPr>
            <w:r>
              <w:t>тыс. руб.</w:t>
            </w:r>
          </w:p>
        </w:tc>
        <w:tc>
          <w:tcPr>
            <w:tcW w:w="1559" w:type="dxa"/>
            <w:shd w:val="clear" w:color="auto" w:fill="FFFFFF"/>
            <w:vAlign w:val="center"/>
          </w:tcPr>
          <w:p>
            <w:pPr>
              <w:ind w:left="-57" w:right="-57"/>
              <w:jc w:val="center"/>
            </w:pPr>
            <w:r>
              <w:t>% исполнения</w:t>
            </w:r>
          </w:p>
          <w:p>
            <w:pPr>
              <w:ind w:left="-57" w:right="-57"/>
              <w:jc w:val="center"/>
            </w:pPr>
            <w:r>
              <w:t>к плану 2020 г.</w:t>
            </w:r>
          </w:p>
        </w:tc>
      </w:tr>
      <w:tr>
        <w:trPr>
          <w:trHeight w:val="284"/>
        </w:trPr>
        <w:tc>
          <w:tcPr>
            <w:tcW w:w="656" w:type="dxa"/>
            <w:shd w:val="clear" w:color="auto" w:fill="FFFFFF"/>
            <w:noWrap/>
            <w:vAlign w:val="center"/>
          </w:tcPr>
          <w:p>
            <w:pPr>
              <w:jc w:val="center"/>
            </w:pPr>
          </w:p>
        </w:tc>
        <w:tc>
          <w:tcPr>
            <w:tcW w:w="4179" w:type="dxa"/>
            <w:shd w:val="clear" w:color="auto" w:fill="FFFFFF"/>
            <w:vAlign w:val="center"/>
          </w:tcPr>
          <w:p>
            <w:r>
              <w:t>УВГТ:</w:t>
            </w:r>
          </w:p>
        </w:tc>
        <w:tc>
          <w:tcPr>
            <w:tcW w:w="1559" w:type="dxa"/>
            <w:shd w:val="clear" w:color="auto" w:fill="FFFFFF"/>
          </w:tcPr>
          <w:p>
            <w:pPr>
              <w:jc w:val="right"/>
            </w:pPr>
            <w:r>
              <w:t>54 254,44</w:t>
            </w:r>
          </w:p>
        </w:tc>
        <w:tc>
          <w:tcPr>
            <w:tcW w:w="1418" w:type="dxa"/>
            <w:shd w:val="clear" w:color="auto" w:fill="FFFFFF"/>
          </w:tcPr>
          <w:p>
            <w:pPr>
              <w:jc w:val="right"/>
            </w:pPr>
            <w:r>
              <w:t>50 818,34</w:t>
            </w:r>
          </w:p>
        </w:tc>
        <w:tc>
          <w:tcPr>
            <w:tcW w:w="1559" w:type="dxa"/>
            <w:shd w:val="clear" w:color="auto" w:fill="FFFFFF"/>
          </w:tcPr>
          <w:p>
            <w:pPr>
              <w:jc w:val="center"/>
            </w:pPr>
            <w:r>
              <w:t>93,7</w:t>
            </w:r>
          </w:p>
        </w:tc>
      </w:tr>
      <w:tr>
        <w:trPr>
          <w:trHeight w:val="284"/>
        </w:trPr>
        <w:tc>
          <w:tcPr>
            <w:tcW w:w="656" w:type="dxa"/>
            <w:shd w:val="clear" w:color="auto" w:fill="FFFFFF"/>
            <w:noWrap/>
            <w:vAlign w:val="center"/>
          </w:tcPr>
          <w:p>
            <w:pPr>
              <w:jc w:val="center"/>
            </w:pPr>
            <w:r>
              <w:t>0100</w:t>
            </w:r>
          </w:p>
        </w:tc>
        <w:tc>
          <w:tcPr>
            <w:tcW w:w="4179" w:type="dxa"/>
            <w:shd w:val="clear" w:color="auto" w:fill="FFFFFF"/>
            <w:vAlign w:val="center"/>
          </w:tcPr>
          <w:p>
            <w:r>
              <w:t>Общегосударственные вопросы</w:t>
            </w:r>
          </w:p>
        </w:tc>
        <w:tc>
          <w:tcPr>
            <w:tcW w:w="1559" w:type="dxa"/>
            <w:shd w:val="clear" w:color="auto" w:fill="FFFFFF"/>
            <w:vAlign w:val="center"/>
          </w:tcPr>
          <w:p>
            <w:pPr>
              <w:jc w:val="right"/>
            </w:pPr>
            <w:r>
              <w:t>12 611,23</w:t>
            </w:r>
          </w:p>
        </w:tc>
        <w:tc>
          <w:tcPr>
            <w:tcW w:w="1418" w:type="dxa"/>
            <w:shd w:val="clear" w:color="auto" w:fill="FFFFFF"/>
            <w:vAlign w:val="center"/>
          </w:tcPr>
          <w:p>
            <w:pPr>
              <w:jc w:val="right"/>
            </w:pPr>
            <w:r>
              <w:t>12 459,07</w:t>
            </w:r>
          </w:p>
        </w:tc>
        <w:tc>
          <w:tcPr>
            <w:tcW w:w="1559" w:type="dxa"/>
            <w:shd w:val="clear" w:color="auto" w:fill="FFFFFF"/>
            <w:vAlign w:val="center"/>
          </w:tcPr>
          <w:p>
            <w:pPr>
              <w:jc w:val="center"/>
            </w:pPr>
            <w:r>
              <w:t>98,8</w:t>
            </w:r>
          </w:p>
        </w:tc>
      </w:tr>
      <w:tr>
        <w:trPr>
          <w:trHeight w:val="284"/>
        </w:trPr>
        <w:tc>
          <w:tcPr>
            <w:tcW w:w="656" w:type="dxa"/>
            <w:shd w:val="clear" w:color="auto" w:fill="FFFFFF"/>
            <w:noWrap/>
            <w:vAlign w:val="center"/>
          </w:tcPr>
          <w:p>
            <w:pPr>
              <w:jc w:val="center"/>
            </w:pPr>
            <w:r>
              <w:t>0300</w:t>
            </w:r>
          </w:p>
        </w:tc>
        <w:tc>
          <w:tcPr>
            <w:tcW w:w="4179" w:type="dxa"/>
            <w:shd w:val="clear" w:color="auto" w:fill="FFFFFF"/>
            <w:vAlign w:val="center"/>
          </w:tcPr>
          <w:p>
            <w:r>
              <w:t>Национальная безопасность и правоохранительная деятельность</w:t>
            </w:r>
          </w:p>
        </w:tc>
        <w:tc>
          <w:tcPr>
            <w:tcW w:w="1559" w:type="dxa"/>
            <w:shd w:val="clear" w:color="auto" w:fill="FFFFFF"/>
            <w:vAlign w:val="center"/>
          </w:tcPr>
          <w:p>
            <w:pPr>
              <w:jc w:val="right"/>
            </w:pPr>
            <w:r>
              <w:t>86,90</w:t>
            </w:r>
          </w:p>
        </w:tc>
        <w:tc>
          <w:tcPr>
            <w:tcW w:w="1418" w:type="dxa"/>
            <w:shd w:val="clear" w:color="auto" w:fill="FFFFFF"/>
            <w:vAlign w:val="center"/>
          </w:tcPr>
          <w:p>
            <w:pPr>
              <w:jc w:val="right"/>
            </w:pPr>
            <w:r>
              <w:t>86,77</w:t>
            </w:r>
          </w:p>
        </w:tc>
        <w:tc>
          <w:tcPr>
            <w:tcW w:w="1559" w:type="dxa"/>
            <w:shd w:val="clear" w:color="auto" w:fill="FFFFFF"/>
            <w:vAlign w:val="center"/>
          </w:tcPr>
          <w:p>
            <w:pPr>
              <w:jc w:val="center"/>
            </w:pPr>
            <w:r>
              <w:t>99,9</w:t>
            </w:r>
          </w:p>
        </w:tc>
      </w:tr>
      <w:tr>
        <w:trPr>
          <w:trHeight w:val="284"/>
        </w:trPr>
        <w:tc>
          <w:tcPr>
            <w:tcW w:w="656" w:type="dxa"/>
            <w:shd w:val="clear" w:color="auto" w:fill="FFFFFF"/>
            <w:noWrap/>
            <w:vAlign w:val="center"/>
          </w:tcPr>
          <w:p>
            <w:pPr>
              <w:jc w:val="center"/>
            </w:pPr>
            <w:r>
              <w:t>0400</w:t>
            </w:r>
          </w:p>
        </w:tc>
        <w:tc>
          <w:tcPr>
            <w:tcW w:w="4179" w:type="dxa"/>
            <w:shd w:val="clear" w:color="auto" w:fill="FFFFFF"/>
            <w:vAlign w:val="center"/>
          </w:tcPr>
          <w:p>
            <w:r>
              <w:t>Национальная экономика</w:t>
            </w:r>
          </w:p>
        </w:tc>
        <w:tc>
          <w:tcPr>
            <w:tcW w:w="1559" w:type="dxa"/>
            <w:shd w:val="clear" w:color="auto" w:fill="FFFFFF"/>
            <w:vAlign w:val="center"/>
          </w:tcPr>
          <w:p>
            <w:pPr>
              <w:jc w:val="right"/>
            </w:pPr>
            <w:r>
              <w:t>12 251,82</w:t>
            </w:r>
          </w:p>
        </w:tc>
        <w:tc>
          <w:tcPr>
            <w:tcW w:w="1418" w:type="dxa"/>
            <w:shd w:val="clear" w:color="auto" w:fill="FFFFFF"/>
            <w:vAlign w:val="center"/>
          </w:tcPr>
          <w:p>
            <w:pPr>
              <w:jc w:val="right"/>
            </w:pPr>
            <w:r>
              <w:t>12 135,73</w:t>
            </w:r>
          </w:p>
        </w:tc>
        <w:tc>
          <w:tcPr>
            <w:tcW w:w="1559" w:type="dxa"/>
            <w:shd w:val="clear" w:color="auto" w:fill="FFFFFF"/>
            <w:vAlign w:val="center"/>
          </w:tcPr>
          <w:p>
            <w:pPr>
              <w:jc w:val="center"/>
            </w:pPr>
            <w:r>
              <w:t>99,1</w:t>
            </w:r>
          </w:p>
        </w:tc>
      </w:tr>
      <w:tr>
        <w:trPr>
          <w:trHeight w:val="284"/>
        </w:trPr>
        <w:tc>
          <w:tcPr>
            <w:tcW w:w="656" w:type="dxa"/>
            <w:shd w:val="clear" w:color="auto" w:fill="FFFFFF"/>
            <w:noWrap/>
            <w:vAlign w:val="center"/>
          </w:tcPr>
          <w:p>
            <w:pPr>
              <w:jc w:val="center"/>
            </w:pPr>
            <w:r>
              <w:t>0500</w:t>
            </w:r>
          </w:p>
        </w:tc>
        <w:tc>
          <w:tcPr>
            <w:tcW w:w="4179" w:type="dxa"/>
            <w:shd w:val="clear" w:color="auto" w:fill="FFFFFF"/>
            <w:vAlign w:val="center"/>
          </w:tcPr>
          <w:p>
            <w:r>
              <w:t>Жилищно-коммунальное хозяйство</w:t>
            </w:r>
          </w:p>
        </w:tc>
        <w:tc>
          <w:tcPr>
            <w:tcW w:w="1559" w:type="dxa"/>
            <w:shd w:val="clear" w:color="auto" w:fill="FFFFFF"/>
            <w:vAlign w:val="center"/>
          </w:tcPr>
          <w:p>
            <w:pPr>
              <w:jc w:val="right"/>
            </w:pPr>
            <w:r>
              <w:t>29 304,48</w:t>
            </w:r>
          </w:p>
        </w:tc>
        <w:tc>
          <w:tcPr>
            <w:tcW w:w="1418" w:type="dxa"/>
            <w:shd w:val="clear" w:color="auto" w:fill="FFFFFF"/>
            <w:vAlign w:val="center"/>
          </w:tcPr>
          <w:p>
            <w:pPr>
              <w:jc w:val="right"/>
            </w:pPr>
            <w:r>
              <w:t>26 136,78</w:t>
            </w:r>
          </w:p>
        </w:tc>
        <w:tc>
          <w:tcPr>
            <w:tcW w:w="1559" w:type="dxa"/>
            <w:shd w:val="clear" w:color="auto" w:fill="FFFFFF"/>
            <w:vAlign w:val="center"/>
          </w:tcPr>
          <w:p>
            <w:pPr>
              <w:jc w:val="center"/>
            </w:pPr>
            <w:r>
              <w:t>89,2</w:t>
            </w:r>
          </w:p>
        </w:tc>
      </w:tr>
    </w:tbl>
    <w:p>
      <w:pPr>
        <w:spacing w:after="120"/>
        <w:rPr>
          <w:b/>
          <w:sz w:val="16"/>
          <w:szCs w:val="16"/>
          <w:highlight w:val="yellow"/>
        </w:rPr>
      </w:pPr>
    </w:p>
    <w:p>
      <w:pPr>
        <w:spacing w:after="120"/>
        <w:jc w:val="center"/>
        <w:rPr>
          <w:b/>
          <w:sz w:val="24"/>
          <w:szCs w:val="24"/>
        </w:rPr>
      </w:pPr>
      <w:r>
        <w:rPr>
          <w:b/>
          <w:sz w:val="24"/>
          <w:szCs w:val="24"/>
          <w:lang w:val="en-US"/>
        </w:rPr>
        <w:t>V</w:t>
      </w:r>
      <w:r>
        <w:rPr>
          <w:b/>
          <w:sz w:val="24"/>
          <w:szCs w:val="24"/>
        </w:rPr>
        <w:t>. БАЛАНС БЮДЖЕТА ЗАТО СЕВЕРСК</w:t>
      </w:r>
    </w:p>
    <w:p>
      <w:pPr>
        <w:spacing w:after="120"/>
        <w:jc w:val="center"/>
        <w:rPr>
          <w:b/>
          <w:sz w:val="24"/>
          <w:szCs w:val="24"/>
        </w:rPr>
      </w:pPr>
      <w:r>
        <w:rPr>
          <w:b/>
          <w:sz w:val="24"/>
          <w:szCs w:val="24"/>
        </w:rPr>
        <w:t>5.1. Дефицит бюджета ЗАТО Северск</w:t>
      </w:r>
    </w:p>
    <w:p>
      <w:pPr>
        <w:autoSpaceDE w:val="0"/>
        <w:autoSpaceDN w:val="0"/>
        <w:adjustRightInd w:val="0"/>
        <w:ind w:firstLine="540"/>
        <w:jc w:val="both"/>
        <w:rPr>
          <w:sz w:val="24"/>
          <w:szCs w:val="24"/>
        </w:rPr>
      </w:pPr>
      <w:r>
        <w:rPr>
          <w:sz w:val="24"/>
          <w:szCs w:val="24"/>
        </w:rPr>
        <w:t>При первоначально утвержденном</w:t>
      </w:r>
      <w:r>
        <w:rPr>
          <w:rFonts w:eastAsia="Calibri" w:cs="Times New Roman CYR"/>
          <w:sz w:val="24"/>
          <w:szCs w:val="24"/>
        </w:rPr>
        <w:t xml:space="preserve"> решением Думы ЗАТО Северск                  10.12.2019 № 46/1 бюджете ЗАТО Северск дефицит составлял 40 508,29 тыс.руб. или 4,5% от </w:t>
      </w:r>
      <w:r>
        <w:rPr>
          <w:sz w:val="24"/>
          <w:szCs w:val="24"/>
        </w:rPr>
        <w:t>утвержденного общего годового объема налоговых и неналоговых доходов без учета поступлений НДФЛ по дополнительным нормативам отчислений.</w:t>
      </w:r>
    </w:p>
    <w:p>
      <w:pPr>
        <w:pStyle w:val="20"/>
        <w:ind w:firstLine="567"/>
        <w:rPr>
          <w:rFonts w:eastAsia="Calibri" w:cs="Times New Roman CYR"/>
          <w:szCs w:val="24"/>
        </w:rPr>
      </w:pPr>
      <w:r>
        <w:rPr>
          <w:rFonts w:eastAsia="Calibri" w:cs="Times New Roman CYR"/>
          <w:szCs w:val="24"/>
        </w:rPr>
        <w:t xml:space="preserve">В течение года  в условиях пандемии в части необходимого исполнения текущих расходов в полном объеме и принятия несвойственных местным бюджетам расходов по осуществлению мероприятий, направленных на нераспространение и предупреждение </w:t>
      </w:r>
      <w:r>
        <w:rPr>
          <w:rFonts w:eastAsia="Calibri" w:cs="Times New Roman CYR"/>
          <w:szCs w:val="24"/>
        </w:rPr>
        <w:lastRenderedPageBreak/>
        <w:t>коронавирусной инфекции,  объем дефицита был увеличен в пределах допустимого 10%-го размера</w:t>
      </w:r>
      <w:r>
        <w:rPr>
          <w:rFonts w:eastAsia="Calibri" w:cs="Times New Roman CYR"/>
          <w:szCs w:val="24"/>
          <w:vertAlign w:val="superscript"/>
        </w:rPr>
        <w:t>1</w:t>
      </w:r>
      <w:r>
        <w:rPr>
          <w:rFonts w:eastAsia="Calibri" w:cs="Times New Roman CYR"/>
          <w:szCs w:val="24"/>
        </w:rPr>
        <w:t xml:space="preserve">.  Кроме того, в соответствии с нормами п.3 ст.92.1 Бюджетного кодекса Российской Федерации дефицит бюджета был увеличен на сумму остатков (30 320,77 тыс.руб.), сформированных на едином счете бюджета по состоянию на 01.01.2020. </w:t>
      </w:r>
    </w:p>
    <w:p>
      <w:pPr>
        <w:pStyle w:val="20"/>
        <w:ind w:firstLine="567"/>
        <w:rPr>
          <w:rFonts w:eastAsia="Calibri" w:cs="Times New Roman CYR"/>
          <w:sz w:val="16"/>
          <w:szCs w:val="16"/>
        </w:rPr>
      </w:pPr>
    </w:p>
    <w:p>
      <w:pPr>
        <w:pStyle w:val="20"/>
        <w:ind w:firstLine="567"/>
        <w:rPr>
          <w:rFonts w:eastAsia="Calibri" w:cs="Times New Roman CYR"/>
          <w:szCs w:val="24"/>
        </w:rPr>
      </w:pPr>
      <w:r>
        <w:rPr>
          <w:rFonts w:eastAsia="Calibri" w:cs="Times New Roman CYR"/>
          <w:szCs w:val="24"/>
        </w:rPr>
        <w:t>Таблица 61. Анализ дефицита бюджета ЗАТО Северск</w:t>
      </w:r>
    </w:p>
    <w:p>
      <w:pPr>
        <w:pStyle w:val="20"/>
        <w:ind w:firstLine="567"/>
        <w:rPr>
          <w:rFonts w:eastAsia="Calibri" w:cs="Times New Roman CYR"/>
          <w:sz w:val="16"/>
          <w:szCs w:val="16"/>
        </w:rPr>
      </w:pP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701"/>
        <w:gridCol w:w="1417"/>
        <w:gridCol w:w="1418"/>
        <w:gridCol w:w="1559"/>
        <w:gridCol w:w="1417"/>
      </w:tblGrid>
      <w:tr>
        <w:tc>
          <w:tcPr>
            <w:tcW w:w="1985" w:type="dxa"/>
            <w:vAlign w:val="center"/>
          </w:tcPr>
          <w:p>
            <w:pPr>
              <w:jc w:val="center"/>
              <w:rPr>
                <w:spacing w:val="-4"/>
              </w:rPr>
            </w:pPr>
            <w:r>
              <w:rPr>
                <w:spacing w:val="-4"/>
              </w:rPr>
              <w:t>Наименование</w:t>
            </w:r>
          </w:p>
        </w:tc>
        <w:tc>
          <w:tcPr>
            <w:tcW w:w="1701" w:type="dxa"/>
            <w:vAlign w:val="center"/>
          </w:tcPr>
          <w:p>
            <w:pPr>
              <w:jc w:val="center"/>
              <w:rPr>
                <w:spacing w:val="-4"/>
              </w:rPr>
            </w:pPr>
            <w:r>
              <w:rPr>
                <w:spacing w:val="-4"/>
              </w:rPr>
              <w:t>Первоначальный план, тыс.руб.</w:t>
            </w:r>
          </w:p>
        </w:tc>
        <w:tc>
          <w:tcPr>
            <w:tcW w:w="1417" w:type="dxa"/>
            <w:vAlign w:val="center"/>
          </w:tcPr>
          <w:p>
            <w:pPr>
              <w:jc w:val="center"/>
              <w:rPr>
                <w:spacing w:val="-4"/>
              </w:rPr>
            </w:pPr>
            <w:r>
              <w:rPr>
                <w:spacing w:val="-4"/>
              </w:rPr>
              <w:t>Уточненный план, тыс.руб.</w:t>
            </w:r>
          </w:p>
        </w:tc>
        <w:tc>
          <w:tcPr>
            <w:tcW w:w="1418" w:type="dxa"/>
            <w:vAlign w:val="center"/>
          </w:tcPr>
          <w:p>
            <w:pPr>
              <w:jc w:val="center"/>
              <w:rPr>
                <w:spacing w:val="-4"/>
              </w:rPr>
            </w:pPr>
            <w:r>
              <w:rPr>
                <w:spacing w:val="-4"/>
              </w:rPr>
              <w:t>Отклонение, тыс.руб.</w:t>
            </w:r>
          </w:p>
        </w:tc>
        <w:tc>
          <w:tcPr>
            <w:tcW w:w="1559" w:type="dxa"/>
            <w:vAlign w:val="center"/>
          </w:tcPr>
          <w:p>
            <w:pPr>
              <w:jc w:val="center"/>
              <w:rPr>
                <w:spacing w:val="-4"/>
              </w:rPr>
            </w:pPr>
            <w:r>
              <w:rPr>
                <w:spacing w:val="-4"/>
              </w:rPr>
              <w:t>Исполнено, тыс.руб.</w:t>
            </w:r>
          </w:p>
        </w:tc>
        <w:tc>
          <w:tcPr>
            <w:tcW w:w="1417" w:type="dxa"/>
            <w:vAlign w:val="center"/>
          </w:tcPr>
          <w:p>
            <w:pPr>
              <w:jc w:val="center"/>
              <w:rPr>
                <w:spacing w:val="-4"/>
              </w:rPr>
            </w:pPr>
            <w:r>
              <w:rPr>
                <w:spacing w:val="-4"/>
              </w:rPr>
              <w:t>Отклонение, тыс.руб.</w:t>
            </w:r>
          </w:p>
        </w:tc>
      </w:tr>
      <w:tr>
        <w:tc>
          <w:tcPr>
            <w:tcW w:w="1985" w:type="dxa"/>
          </w:tcPr>
          <w:p>
            <w:pPr>
              <w:jc w:val="center"/>
              <w:rPr>
                <w:spacing w:val="-4"/>
              </w:rPr>
            </w:pPr>
            <w:r>
              <w:rPr>
                <w:spacing w:val="-4"/>
              </w:rPr>
              <w:t>1</w:t>
            </w:r>
          </w:p>
        </w:tc>
        <w:tc>
          <w:tcPr>
            <w:tcW w:w="1701" w:type="dxa"/>
            <w:vAlign w:val="center"/>
          </w:tcPr>
          <w:p>
            <w:pPr>
              <w:jc w:val="center"/>
            </w:pPr>
            <w:r>
              <w:t>2</w:t>
            </w:r>
          </w:p>
        </w:tc>
        <w:tc>
          <w:tcPr>
            <w:tcW w:w="1417" w:type="dxa"/>
            <w:vAlign w:val="center"/>
          </w:tcPr>
          <w:p>
            <w:pPr>
              <w:jc w:val="center"/>
            </w:pPr>
            <w:r>
              <w:t>3</w:t>
            </w:r>
          </w:p>
        </w:tc>
        <w:tc>
          <w:tcPr>
            <w:tcW w:w="1418" w:type="dxa"/>
            <w:vAlign w:val="center"/>
          </w:tcPr>
          <w:p>
            <w:pPr>
              <w:jc w:val="center"/>
              <w:rPr>
                <w:spacing w:val="-4"/>
              </w:rPr>
            </w:pPr>
            <w:r>
              <w:rPr>
                <w:spacing w:val="-4"/>
              </w:rPr>
              <w:t>4=3-2</w:t>
            </w:r>
          </w:p>
        </w:tc>
        <w:tc>
          <w:tcPr>
            <w:tcW w:w="1559" w:type="dxa"/>
            <w:vAlign w:val="center"/>
          </w:tcPr>
          <w:p>
            <w:pPr>
              <w:jc w:val="center"/>
              <w:rPr>
                <w:spacing w:val="-4"/>
              </w:rPr>
            </w:pPr>
            <w:r>
              <w:rPr>
                <w:spacing w:val="-4"/>
              </w:rPr>
              <w:t>5</w:t>
            </w:r>
          </w:p>
        </w:tc>
        <w:tc>
          <w:tcPr>
            <w:tcW w:w="1417" w:type="dxa"/>
            <w:vAlign w:val="center"/>
          </w:tcPr>
          <w:p>
            <w:pPr>
              <w:jc w:val="center"/>
              <w:rPr>
                <w:spacing w:val="-4"/>
              </w:rPr>
            </w:pPr>
            <w:r>
              <w:rPr>
                <w:spacing w:val="-4"/>
              </w:rPr>
              <w:t>6=5-3</w:t>
            </w:r>
          </w:p>
        </w:tc>
      </w:tr>
      <w:tr>
        <w:tc>
          <w:tcPr>
            <w:tcW w:w="1985" w:type="dxa"/>
          </w:tcPr>
          <w:p>
            <w:pPr>
              <w:jc w:val="both"/>
              <w:rPr>
                <w:spacing w:val="-4"/>
              </w:rPr>
            </w:pPr>
            <w:r>
              <w:rPr>
                <w:spacing w:val="-4"/>
              </w:rPr>
              <w:t>1.Доходы</w:t>
            </w:r>
          </w:p>
        </w:tc>
        <w:tc>
          <w:tcPr>
            <w:tcW w:w="1701" w:type="dxa"/>
            <w:vAlign w:val="center"/>
          </w:tcPr>
          <w:p>
            <w:pPr>
              <w:jc w:val="center"/>
              <w:rPr>
                <w:spacing w:val="-4"/>
              </w:rPr>
            </w:pPr>
            <w:r>
              <w:t>3 874 608,04</w:t>
            </w:r>
          </w:p>
        </w:tc>
        <w:tc>
          <w:tcPr>
            <w:tcW w:w="1417" w:type="dxa"/>
            <w:vAlign w:val="center"/>
          </w:tcPr>
          <w:p>
            <w:pPr>
              <w:jc w:val="center"/>
              <w:rPr>
                <w:spacing w:val="-4"/>
              </w:rPr>
            </w:pPr>
            <w:r>
              <w:t>4 689 498,88</w:t>
            </w:r>
          </w:p>
        </w:tc>
        <w:tc>
          <w:tcPr>
            <w:tcW w:w="1418" w:type="dxa"/>
            <w:vAlign w:val="center"/>
          </w:tcPr>
          <w:p>
            <w:pPr>
              <w:jc w:val="center"/>
              <w:rPr>
                <w:spacing w:val="-4"/>
              </w:rPr>
            </w:pPr>
            <w:r>
              <w:rPr>
                <w:spacing w:val="-4"/>
              </w:rPr>
              <w:t>+ 814 890,84</w:t>
            </w:r>
          </w:p>
        </w:tc>
        <w:tc>
          <w:tcPr>
            <w:tcW w:w="1559" w:type="dxa"/>
            <w:vAlign w:val="center"/>
          </w:tcPr>
          <w:p>
            <w:pPr>
              <w:jc w:val="center"/>
              <w:rPr>
                <w:spacing w:val="-4"/>
              </w:rPr>
            </w:pPr>
            <w:r>
              <w:rPr>
                <w:spacing w:val="-4"/>
              </w:rPr>
              <w:t>4 679 645,19</w:t>
            </w:r>
          </w:p>
        </w:tc>
        <w:tc>
          <w:tcPr>
            <w:tcW w:w="1417" w:type="dxa"/>
            <w:vAlign w:val="center"/>
          </w:tcPr>
          <w:p>
            <w:pPr>
              <w:jc w:val="center"/>
              <w:rPr>
                <w:spacing w:val="-4"/>
              </w:rPr>
            </w:pPr>
            <w:r>
              <w:rPr>
                <w:spacing w:val="-4"/>
              </w:rPr>
              <w:t>-9 853,69</w:t>
            </w:r>
          </w:p>
        </w:tc>
      </w:tr>
      <w:tr>
        <w:tc>
          <w:tcPr>
            <w:tcW w:w="1985" w:type="dxa"/>
            <w:shd w:val="clear" w:color="auto" w:fill="auto"/>
          </w:tcPr>
          <w:p>
            <w:pPr>
              <w:rPr>
                <w:spacing w:val="-4"/>
              </w:rPr>
            </w:pPr>
            <w:r>
              <w:rPr>
                <w:spacing w:val="-4"/>
              </w:rPr>
              <w:t xml:space="preserve">1.1.Налоговые и неналоговые </w:t>
            </w:r>
          </w:p>
        </w:tc>
        <w:tc>
          <w:tcPr>
            <w:tcW w:w="1701" w:type="dxa"/>
            <w:shd w:val="clear" w:color="auto" w:fill="auto"/>
            <w:vAlign w:val="center"/>
          </w:tcPr>
          <w:p>
            <w:pPr>
              <w:ind w:left="-108"/>
              <w:jc w:val="center"/>
              <w:rPr>
                <w:bCs/>
                <w:color w:val="000000"/>
              </w:rPr>
            </w:pPr>
            <w:r>
              <w:rPr>
                <w:bCs/>
                <w:color w:val="000000"/>
              </w:rPr>
              <w:t>1 139 142,84</w:t>
            </w:r>
          </w:p>
        </w:tc>
        <w:tc>
          <w:tcPr>
            <w:tcW w:w="1417" w:type="dxa"/>
            <w:shd w:val="clear" w:color="auto" w:fill="auto"/>
            <w:vAlign w:val="center"/>
          </w:tcPr>
          <w:p>
            <w:pPr>
              <w:ind w:left="-108"/>
              <w:jc w:val="center"/>
              <w:rPr>
                <w:bCs/>
                <w:color w:val="000000"/>
              </w:rPr>
            </w:pPr>
            <w:r>
              <w:rPr>
                <w:bCs/>
                <w:color w:val="000000"/>
              </w:rPr>
              <w:t>1 107 763,52</w:t>
            </w:r>
          </w:p>
        </w:tc>
        <w:tc>
          <w:tcPr>
            <w:tcW w:w="1418" w:type="dxa"/>
            <w:vAlign w:val="center"/>
          </w:tcPr>
          <w:p>
            <w:pPr>
              <w:jc w:val="center"/>
              <w:rPr>
                <w:spacing w:val="-4"/>
              </w:rPr>
            </w:pPr>
            <w:r>
              <w:rPr>
                <w:spacing w:val="-4"/>
              </w:rPr>
              <w:t>-31 379,32</w:t>
            </w:r>
          </w:p>
        </w:tc>
        <w:tc>
          <w:tcPr>
            <w:tcW w:w="1559" w:type="dxa"/>
            <w:shd w:val="clear" w:color="auto" w:fill="auto"/>
            <w:vAlign w:val="center"/>
          </w:tcPr>
          <w:p>
            <w:pPr>
              <w:ind w:left="-108"/>
              <w:jc w:val="center"/>
              <w:rPr>
                <w:bCs/>
                <w:color w:val="000000"/>
              </w:rPr>
            </w:pPr>
            <w:r>
              <w:rPr>
                <w:bCs/>
                <w:color w:val="000000"/>
              </w:rPr>
              <w:t>1 124 987,26</w:t>
            </w:r>
          </w:p>
        </w:tc>
        <w:tc>
          <w:tcPr>
            <w:tcW w:w="1417" w:type="dxa"/>
            <w:shd w:val="clear" w:color="auto" w:fill="auto"/>
            <w:vAlign w:val="center"/>
          </w:tcPr>
          <w:p>
            <w:pPr>
              <w:jc w:val="center"/>
              <w:rPr>
                <w:spacing w:val="-4"/>
              </w:rPr>
            </w:pPr>
            <w:r>
              <w:rPr>
                <w:spacing w:val="-4"/>
              </w:rPr>
              <w:t>+17 223,740</w:t>
            </w:r>
          </w:p>
        </w:tc>
      </w:tr>
      <w:tr>
        <w:tc>
          <w:tcPr>
            <w:tcW w:w="1985" w:type="dxa"/>
            <w:shd w:val="clear" w:color="auto" w:fill="auto"/>
          </w:tcPr>
          <w:p>
            <w:pPr>
              <w:rPr>
                <w:spacing w:val="-4"/>
              </w:rPr>
            </w:pPr>
            <w:r>
              <w:rPr>
                <w:spacing w:val="-4"/>
              </w:rPr>
              <w:t>1.1.1.Доп. норма-тив НДФЛ</w:t>
            </w:r>
          </w:p>
        </w:tc>
        <w:tc>
          <w:tcPr>
            <w:tcW w:w="1701" w:type="dxa"/>
            <w:shd w:val="clear" w:color="auto" w:fill="auto"/>
            <w:vAlign w:val="center"/>
          </w:tcPr>
          <w:p>
            <w:pPr>
              <w:jc w:val="center"/>
            </w:pPr>
            <w:r>
              <w:t>238 369,83</w:t>
            </w:r>
          </w:p>
        </w:tc>
        <w:tc>
          <w:tcPr>
            <w:tcW w:w="1417" w:type="dxa"/>
            <w:shd w:val="clear" w:color="auto" w:fill="auto"/>
            <w:vAlign w:val="center"/>
          </w:tcPr>
          <w:p>
            <w:pPr>
              <w:jc w:val="center"/>
            </w:pPr>
            <w:r>
              <w:t>242 895,98</w:t>
            </w:r>
          </w:p>
        </w:tc>
        <w:tc>
          <w:tcPr>
            <w:tcW w:w="1418" w:type="dxa"/>
            <w:vAlign w:val="center"/>
          </w:tcPr>
          <w:p>
            <w:pPr>
              <w:jc w:val="center"/>
              <w:rPr>
                <w:spacing w:val="-4"/>
              </w:rPr>
            </w:pPr>
            <w:r>
              <w:rPr>
                <w:spacing w:val="-4"/>
              </w:rPr>
              <w:t>+4 526,15</w:t>
            </w:r>
          </w:p>
        </w:tc>
        <w:tc>
          <w:tcPr>
            <w:tcW w:w="1559" w:type="dxa"/>
            <w:shd w:val="clear" w:color="auto" w:fill="auto"/>
            <w:vAlign w:val="center"/>
          </w:tcPr>
          <w:p>
            <w:pPr>
              <w:jc w:val="center"/>
            </w:pPr>
            <w:r>
              <w:t>246 027,88</w:t>
            </w:r>
          </w:p>
        </w:tc>
        <w:tc>
          <w:tcPr>
            <w:tcW w:w="1417" w:type="dxa"/>
            <w:shd w:val="clear" w:color="auto" w:fill="auto"/>
            <w:vAlign w:val="center"/>
          </w:tcPr>
          <w:p>
            <w:pPr>
              <w:jc w:val="center"/>
              <w:rPr>
                <w:spacing w:val="-4"/>
              </w:rPr>
            </w:pPr>
            <w:r>
              <w:rPr>
                <w:spacing w:val="-4"/>
              </w:rPr>
              <w:t>+3 131,90</w:t>
            </w:r>
          </w:p>
        </w:tc>
      </w:tr>
      <w:tr>
        <w:tc>
          <w:tcPr>
            <w:tcW w:w="1985" w:type="dxa"/>
            <w:shd w:val="clear" w:color="auto" w:fill="auto"/>
          </w:tcPr>
          <w:p>
            <w:pPr>
              <w:rPr>
                <w:spacing w:val="-4"/>
              </w:rPr>
            </w:pPr>
            <w:r>
              <w:rPr>
                <w:spacing w:val="-4"/>
              </w:rPr>
              <w:t>2.Расходы</w:t>
            </w:r>
          </w:p>
        </w:tc>
        <w:tc>
          <w:tcPr>
            <w:tcW w:w="1701" w:type="dxa"/>
            <w:shd w:val="clear" w:color="auto" w:fill="auto"/>
            <w:vAlign w:val="center"/>
          </w:tcPr>
          <w:p>
            <w:pPr>
              <w:jc w:val="center"/>
              <w:rPr>
                <w:spacing w:val="-4"/>
              </w:rPr>
            </w:pPr>
            <w:r>
              <w:t>3 915 116,33</w:t>
            </w:r>
          </w:p>
        </w:tc>
        <w:tc>
          <w:tcPr>
            <w:tcW w:w="1417" w:type="dxa"/>
            <w:shd w:val="clear" w:color="auto" w:fill="auto"/>
            <w:vAlign w:val="center"/>
          </w:tcPr>
          <w:p>
            <w:pPr>
              <w:jc w:val="center"/>
              <w:rPr>
                <w:spacing w:val="-4"/>
              </w:rPr>
            </w:pPr>
            <w:r>
              <w:t>4 800 951,30</w:t>
            </w:r>
          </w:p>
        </w:tc>
        <w:tc>
          <w:tcPr>
            <w:tcW w:w="1418" w:type="dxa"/>
            <w:vAlign w:val="center"/>
          </w:tcPr>
          <w:p>
            <w:pPr>
              <w:jc w:val="center"/>
              <w:rPr>
                <w:spacing w:val="-4"/>
              </w:rPr>
            </w:pPr>
            <w:r>
              <w:rPr>
                <w:spacing w:val="-4"/>
              </w:rPr>
              <w:t>+1 843 606,98</w:t>
            </w:r>
          </w:p>
        </w:tc>
        <w:tc>
          <w:tcPr>
            <w:tcW w:w="1559" w:type="dxa"/>
            <w:shd w:val="clear" w:color="auto" w:fill="auto"/>
            <w:vAlign w:val="center"/>
          </w:tcPr>
          <w:p>
            <w:pPr>
              <w:jc w:val="center"/>
              <w:rPr>
                <w:spacing w:val="-4"/>
              </w:rPr>
            </w:pPr>
            <w:r>
              <w:t>4 723 671,21</w:t>
            </w:r>
          </w:p>
        </w:tc>
        <w:tc>
          <w:tcPr>
            <w:tcW w:w="1417" w:type="dxa"/>
            <w:shd w:val="clear" w:color="auto" w:fill="auto"/>
            <w:vAlign w:val="center"/>
          </w:tcPr>
          <w:p>
            <w:pPr>
              <w:jc w:val="center"/>
              <w:rPr>
                <w:spacing w:val="-4"/>
              </w:rPr>
            </w:pPr>
            <w:r>
              <w:rPr>
                <w:spacing w:val="-4"/>
              </w:rPr>
              <w:t>- 77 280,09</w:t>
            </w:r>
          </w:p>
        </w:tc>
      </w:tr>
      <w:tr>
        <w:tc>
          <w:tcPr>
            <w:tcW w:w="1985" w:type="dxa"/>
            <w:shd w:val="clear" w:color="auto" w:fill="auto"/>
          </w:tcPr>
          <w:p>
            <w:pPr>
              <w:rPr>
                <w:spacing w:val="-4"/>
              </w:rPr>
            </w:pPr>
            <w:r>
              <w:rPr>
                <w:spacing w:val="-4"/>
              </w:rPr>
              <w:t>3.Дефицит (-)</w:t>
            </w:r>
          </w:p>
        </w:tc>
        <w:tc>
          <w:tcPr>
            <w:tcW w:w="1701" w:type="dxa"/>
            <w:shd w:val="clear" w:color="auto" w:fill="auto"/>
            <w:vAlign w:val="center"/>
          </w:tcPr>
          <w:p>
            <w:pPr>
              <w:jc w:val="center"/>
              <w:rPr>
                <w:spacing w:val="-4"/>
              </w:rPr>
            </w:pPr>
            <w:r>
              <w:rPr>
                <w:spacing w:val="-4"/>
              </w:rPr>
              <w:t>-40 508,29</w:t>
            </w:r>
          </w:p>
        </w:tc>
        <w:tc>
          <w:tcPr>
            <w:tcW w:w="1417" w:type="dxa"/>
            <w:shd w:val="clear" w:color="auto" w:fill="auto"/>
            <w:vAlign w:val="center"/>
          </w:tcPr>
          <w:p>
            <w:pPr>
              <w:jc w:val="center"/>
              <w:rPr>
                <w:spacing w:val="-4"/>
              </w:rPr>
            </w:pPr>
            <w:r>
              <w:t>-111 452,42</w:t>
            </w:r>
          </w:p>
        </w:tc>
        <w:tc>
          <w:tcPr>
            <w:tcW w:w="1418" w:type="dxa"/>
            <w:vAlign w:val="center"/>
          </w:tcPr>
          <w:p>
            <w:pPr>
              <w:jc w:val="center"/>
              <w:rPr>
                <w:spacing w:val="-4"/>
              </w:rPr>
            </w:pPr>
            <w:r>
              <w:rPr>
                <w:spacing w:val="-4"/>
              </w:rPr>
              <w:t>- 69 286,91</w:t>
            </w:r>
          </w:p>
        </w:tc>
        <w:tc>
          <w:tcPr>
            <w:tcW w:w="1559" w:type="dxa"/>
            <w:shd w:val="clear" w:color="auto" w:fill="auto"/>
            <w:vAlign w:val="center"/>
          </w:tcPr>
          <w:p>
            <w:pPr>
              <w:jc w:val="center"/>
              <w:rPr>
                <w:spacing w:val="-4"/>
              </w:rPr>
            </w:pPr>
            <w:r>
              <w:t>- 44 026,02</w:t>
            </w:r>
          </w:p>
        </w:tc>
        <w:tc>
          <w:tcPr>
            <w:tcW w:w="1417" w:type="dxa"/>
            <w:shd w:val="clear" w:color="auto" w:fill="auto"/>
            <w:vAlign w:val="center"/>
          </w:tcPr>
          <w:p>
            <w:pPr>
              <w:jc w:val="center"/>
              <w:rPr>
                <w:spacing w:val="-4"/>
              </w:rPr>
            </w:pPr>
            <w:r>
              <w:rPr>
                <w:spacing w:val="-4"/>
              </w:rPr>
              <w:t>+ 67 426,40</w:t>
            </w:r>
          </w:p>
        </w:tc>
      </w:tr>
      <w:tr>
        <w:tc>
          <w:tcPr>
            <w:tcW w:w="1985" w:type="dxa"/>
            <w:shd w:val="clear" w:color="auto" w:fill="auto"/>
          </w:tcPr>
          <w:p>
            <w:pPr>
              <w:rPr>
                <w:spacing w:val="-4"/>
              </w:rPr>
            </w:pPr>
            <w:r>
              <w:rPr>
                <w:spacing w:val="-4"/>
              </w:rPr>
              <w:t>4. Размер дефицита (стр.3/(стр.1.1-стр.1.1.1))</w:t>
            </w:r>
          </w:p>
        </w:tc>
        <w:tc>
          <w:tcPr>
            <w:tcW w:w="1701" w:type="dxa"/>
            <w:shd w:val="clear" w:color="auto" w:fill="auto"/>
            <w:vAlign w:val="center"/>
          </w:tcPr>
          <w:p>
            <w:pPr>
              <w:jc w:val="center"/>
              <w:rPr>
                <w:spacing w:val="-4"/>
              </w:rPr>
            </w:pPr>
            <w:r>
              <w:rPr>
                <w:spacing w:val="-4"/>
              </w:rPr>
              <w:t>4,5%</w:t>
            </w:r>
          </w:p>
        </w:tc>
        <w:tc>
          <w:tcPr>
            <w:tcW w:w="1417" w:type="dxa"/>
            <w:shd w:val="clear" w:color="auto" w:fill="auto"/>
            <w:vAlign w:val="center"/>
          </w:tcPr>
          <w:p>
            <w:pPr>
              <w:jc w:val="center"/>
              <w:rPr>
                <w:vertAlign w:val="superscript"/>
              </w:rPr>
            </w:pPr>
            <w:r>
              <w:t>12,9%</w:t>
            </w:r>
            <w:r>
              <w:rPr>
                <w:vertAlign w:val="superscript"/>
              </w:rPr>
              <w:t>2</w:t>
            </w:r>
          </w:p>
        </w:tc>
        <w:tc>
          <w:tcPr>
            <w:tcW w:w="1418" w:type="dxa"/>
            <w:vAlign w:val="center"/>
          </w:tcPr>
          <w:p>
            <w:pPr>
              <w:jc w:val="center"/>
              <w:rPr>
                <w:spacing w:val="-4"/>
              </w:rPr>
            </w:pPr>
          </w:p>
        </w:tc>
        <w:tc>
          <w:tcPr>
            <w:tcW w:w="1559" w:type="dxa"/>
            <w:shd w:val="clear" w:color="auto" w:fill="auto"/>
            <w:vAlign w:val="center"/>
          </w:tcPr>
          <w:p>
            <w:pPr>
              <w:jc w:val="center"/>
            </w:pPr>
            <w:r>
              <w:rPr>
                <w:spacing w:val="-4"/>
              </w:rPr>
              <w:t>7,9%</w:t>
            </w:r>
          </w:p>
        </w:tc>
        <w:tc>
          <w:tcPr>
            <w:tcW w:w="1417" w:type="dxa"/>
            <w:shd w:val="clear" w:color="auto" w:fill="auto"/>
            <w:vAlign w:val="center"/>
          </w:tcPr>
          <w:p>
            <w:pPr>
              <w:jc w:val="center"/>
              <w:rPr>
                <w:spacing w:val="-4"/>
              </w:rPr>
            </w:pPr>
          </w:p>
        </w:tc>
      </w:tr>
    </w:tbl>
    <w:p>
      <w:pPr>
        <w:spacing w:after="120"/>
        <w:jc w:val="both"/>
        <w:rPr>
          <w:sz w:val="24"/>
          <w:szCs w:val="24"/>
        </w:rPr>
      </w:pPr>
      <w:r>
        <w:rPr>
          <w:b/>
          <w:sz w:val="24"/>
          <w:szCs w:val="24"/>
        </w:rPr>
        <w:tab/>
      </w:r>
      <w:r>
        <w:rPr>
          <w:sz w:val="24"/>
          <w:szCs w:val="24"/>
        </w:rPr>
        <w:t>При плановом дефиците в 111 452,42 тыс.руб. бюджет ЗАТО Северск в 2020 году исполнен с дефицитом в 44 026,02 тыс.руб.</w:t>
      </w:r>
    </w:p>
    <w:p>
      <w:pPr>
        <w:spacing w:after="120"/>
        <w:jc w:val="both"/>
        <w:rPr>
          <w:b/>
          <w:color w:val="000000"/>
          <w:sz w:val="16"/>
          <w:szCs w:val="16"/>
        </w:rPr>
      </w:pPr>
      <w:r>
        <w:rPr>
          <w:sz w:val="24"/>
          <w:szCs w:val="24"/>
        </w:rPr>
        <w:tab/>
        <w:t xml:space="preserve">По состоянию на 01.01.2021 остатки средств на едином счете бюджета ЗАТО Северск составили 47 426,40 тыс.руб., в т.ч. целевые межбюджетные трансферты – 21 055,56 тыс.руб. (возвращены в областной бюджет до 29.01.2021); законтрактованные – 6 281,89 тыс.руб.; свободные к распределению – 20 088,95 тыс.руб. </w:t>
      </w:r>
    </w:p>
    <w:p>
      <w:pPr>
        <w:pStyle w:val="a5"/>
        <w:tabs>
          <w:tab w:val="left" w:pos="6946"/>
        </w:tabs>
        <w:spacing w:after="0"/>
        <w:ind w:firstLine="567"/>
        <w:jc w:val="center"/>
        <w:rPr>
          <w:b/>
          <w:color w:val="000000"/>
          <w:sz w:val="24"/>
          <w:szCs w:val="24"/>
        </w:rPr>
      </w:pPr>
      <w:r>
        <w:rPr>
          <w:b/>
          <w:color w:val="000000"/>
          <w:sz w:val="24"/>
          <w:szCs w:val="24"/>
        </w:rPr>
        <w:t>5.2. Муниципальный долг</w:t>
      </w:r>
    </w:p>
    <w:p>
      <w:pPr>
        <w:pStyle w:val="20"/>
        <w:ind w:firstLine="709"/>
        <w:rPr>
          <w:spacing w:val="-4"/>
          <w:szCs w:val="24"/>
        </w:rPr>
      </w:pPr>
    </w:p>
    <w:p>
      <w:pPr>
        <w:pStyle w:val="20"/>
        <w:ind w:firstLine="709"/>
        <w:rPr>
          <w:spacing w:val="-4"/>
          <w:szCs w:val="24"/>
        </w:rPr>
      </w:pPr>
      <w:r>
        <w:rPr>
          <w:spacing w:val="-4"/>
          <w:szCs w:val="24"/>
        </w:rPr>
        <w:t xml:space="preserve">Муниципальный долг на 01.01.2021 составил 249 573,58 тыс. руб.;  к уровню начала 2020 года увеличен на 32,4% или 61 131,65 тыс.руб. </w:t>
      </w:r>
    </w:p>
    <w:p>
      <w:pPr>
        <w:pStyle w:val="20"/>
        <w:ind w:firstLine="709"/>
        <w:rPr>
          <w:spacing w:val="-4"/>
          <w:szCs w:val="24"/>
        </w:rPr>
      </w:pPr>
      <w:r>
        <w:rPr>
          <w:rFonts w:eastAsia="Calibri" w:cs="Times New Roman CYR"/>
          <w:szCs w:val="24"/>
        </w:rPr>
        <w:t xml:space="preserve">По состоянию на 1 января 2021 года </w:t>
      </w:r>
      <w:r>
        <w:rPr>
          <w:szCs w:val="24"/>
        </w:rPr>
        <w:t>в</w:t>
      </w:r>
      <w:r>
        <w:rPr>
          <w:rFonts w:eastAsia="Calibri" w:cs="Times New Roman CYR"/>
          <w:szCs w:val="24"/>
        </w:rPr>
        <w:t>ерхний предел муниципального внутреннего долга ЗАТО Северск (269 573,58 тыс. руб.)</w:t>
      </w:r>
      <w:r>
        <w:rPr>
          <w:szCs w:val="24"/>
        </w:rPr>
        <w:t>,</w:t>
      </w:r>
      <w:r>
        <w:rPr>
          <w:rFonts w:eastAsia="Calibri" w:cs="Times New Roman CYR"/>
          <w:szCs w:val="24"/>
        </w:rPr>
        <w:t xml:space="preserve"> установленный пунктом 3 Решения Думы ЗАТО Северск от</w:t>
      </w:r>
      <w:r>
        <w:rPr>
          <w:szCs w:val="24"/>
        </w:rPr>
        <w:t xml:space="preserve"> 10.12.2019 № 58/1 «О бюджете ЗАТО Северск на 2020 год и на плановый период 2021 и 2022 годов», </w:t>
      </w:r>
      <w:r>
        <w:rPr>
          <w:rFonts w:eastAsia="Calibri" w:cs="Times New Roman CYR"/>
          <w:szCs w:val="24"/>
        </w:rPr>
        <w:t>не превышен.</w:t>
      </w:r>
      <w:r>
        <w:rPr>
          <w:szCs w:val="24"/>
        </w:rPr>
        <w:t xml:space="preserve">  </w:t>
      </w:r>
    </w:p>
    <w:p>
      <w:pPr>
        <w:pStyle w:val="a5"/>
        <w:tabs>
          <w:tab w:val="left" w:pos="6946"/>
        </w:tabs>
        <w:spacing w:after="0"/>
        <w:ind w:firstLine="709"/>
        <w:jc w:val="both"/>
        <w:rPr>
          <w:spacing w:val="-4"/>
          <w:sz w:val="24"/>
          <w:szCs w:val="24"/>
        </w:rPr>
      </w:pPr>
      <w:r>
        <w:rPr>
          <w:spacing w:val="-4"/>
          <w:sz w:val="24"/>
          <w:szCs w:val="24"/>
        </w:rPr>
        <w:t xml:space="preserve">В отчетном году на погашение долговых обязательств бюджета ЗАТО Северск по коммерческим кредитам было направлено 106 000 тыс.руб. при плановой сумме погашения 86 000 тыс.руб. </w:t>
      </w:r>
    </w:p>
    <w:p>
      <w:pPr>
        <w:pStyle w:val="a5"/>
        <w:tabs>
          <w:tab w:val="left" w:pos="6946"/>
        </w:tabs>
        <w:spacing w:after="0"/>
        <w:ind w:firstLine="709"/>
        <w:jc w:val="both"/>
        <w:rPr>
          <w:spacing w:val="-4"/>
          <w:sz w:val="24"/>
          <w:szCs w:val="24"/>
        </w:rPr>
      </w:pPr>
      <w:r>
        <w:rPr>
          <w:spacing w:val="-4"/>
          <w:sz w:val="24"/>
          <w:szCs w:val="24"/>
        </w:rPr>
        <w:t>Погашение долговых обязательств осуществлялось по привлеченным в 2019 году кредитам  коммерческого банка</w:t>
      </w:r>
      <w:r>
        <w:rPr>
          <w:spacing w:val="-1"/>
          <w:sz w:val="24"/>
          <w:szCs w:val="24"/>
        </w:rPr>
        <w:t xml:space="preserve"> НСКБ «Левобережный»</w:t>
      </w:r>
      <w:r>
        <w:rPr>
          <w:spacing w:val="-4"/>
          <w:sz w:val="24"/>
          <w:szCs w:val="24"/>
        </w:rPr>
        <w:t>:</w:t>
      </w:r>
    </w:p>
    <w:p>
      <w:pPr>
        <w:pStyle w:val="a5"/>
        <w:tabs>
          <w:tab w:val="left" w:pos="6946"/>
        </w:tabs>
        <w:spacing w:after="0"/>
        <w:ind w:firstLine="709"/>
        <w:jc w:val="both"/>
        <w:rPr>
          <w:spacing w:val="-4"/>
          <w:sz w:val="24"/>
          <w:szCs w:val="24"/>
        </w:rPr>
      </w:pPr>
      <w:r>
        <w:rPr>
          <w:spacing w:val="-4"/>
          <w:sz w:val="24"/>
          <w:szCs w:val="24"/>
        </w:rPr>
        <w:t xml:space="preserve"> - полностью погашен основной долг по кредиту согласно </w:t>
      </w:r>
      <w:r>
        <w:rPr>
          <w:spacing w:val="-1"/>
          <w:sz w:val="24"/>
          <w:szCs w:val="24"/>
        </w:rPr>
        <w:t>муниципальному контракту от 24.06.2019</w:t>
      </w:r>
      <w:r>
        <w:rPr>
          <w:spacing w:val="-4"/>
          <w:sz w:val="24"/>
          <w:szCs w:val="24"/>
        </w:rPr>
        <w:t xml:space="preserve"> № 3 в общей сумме 86 000,00 тыс.руб.;</w:t>
      </w:r>
    </w:p>
    <w:p>
      <w:pPr>
        <w:pStyle w:val="a5"/>
        <w:tabs>
          <w:tab w:val="left" w:pos="6946"/>
        </w:tabs>
        <w:spacing w:after="0"/>
        <w:ind w:firstLine="709"/>
        <w:jc w:val="both"/>
        <w:rPr>
          <w:spacing w:val="-4"/>
          <w:sz w:val="24"/>
          <w:szCs w:val="24"/>
        </w:rPr>
      </w:pPr>
      <w:r>
        <w:rPr>
          <w:spacing w:val="-4"/>
          <w:sz w:val="24"/>
          <w:szCs w:val="24"/>
        </w:rPr>
        <w:t xml:space="preserve">- частично погашен основной долг по кредиту согласно </w:t>
      </w:r>
      <w:r>
        <w:rPr>
          <w:spacing w:val="-1"/>
          <w:sz w:val="24"/>
          <w:szCs w:val="24"/>
        </w:rPr>
        <w:t>муниципальному контракту от 23.09.2019</w:t>
      </w:r>
      <w:r>
        <w:rPr>
          <w:spacing w:val="-4"/>
          <w:sz w:val="24"/>
          <w:szCs w:val="24"/>
        </w:rPr>
        <w:t xml:space="preserve"> № 4 в общей сумме 20 000,00 тыс.руб. (29.12.2020 – 12 000,00 тыс.руб., 31.12.2020  - 8 000,00 тыс.руб.).</w:t>
      </w:r>
    </w:p>
    <w:p>
      <w:pPr>
        <w:pStyle w:val="20"/>
        <w:spacing w:before="60" w:after="60"/>
        <w:ind w:right="45" w:firstLine="709"/>
        <w:rPr>
          <w:spacing w:val="-4"/>
          <w:szCs w:val="24"/>
        </w:rPr>
      </w:pPr>
      <w:r>
        <w:rPr>
          <w:spacing w:val="-4"/>
          <w:szCs w:val="24"/>
        </w:rPr>
        <w:t>Источники сверхпланового погашения основного долга (20 000,00 тыс.руб.) - сверхплановые поступления от налоговых и неналоговых доходов и незаконтрактованные остатки по средствам местного бюджета.</w:t>
      </w:r>
    </w:p>
    <w:p>
      <w:pPr>
        <w:pStyle w:val="31"/>
        <w:spacing w:before="120" w:after="60"/>
        <w:ind w:right="0"/>
        <w:rPr>
          <w:spacing w:val="-4"/>
          <w:sz w:val="16"/>
          <w:szCs w:val="16"/>
        </w:rPr>
      </w:pPr>
      <w:r>
        <w:rPr>
          <w:spacing w:val="-4"/>
          <w:sz w:val="24"/>
          <w:szCs w:val="24"/>
        </w:rPr>
        <w:t>____________________________________________________________________________</w:t>
      </w:r>
    </w:p>
    <w:p>
      <w:pPr>
        <w:pStyle w:val="31"/>
        <w:spacing w:before="120" w:after="60"/>
        <w:ind w:right="0" w:firstLine="567"/>
        <w:rPr>
          <w:sz w:val="20"/>
        </w:rPr>
      </w:pPr>
      <w:r>
        <w:rPr>
          <w:spacing w:val="-4"/>
          <w:sz w:val="24"/>
          <w:szCs w:val="24"/>
          <w:vertAlign w:val="superscript"/>
        </w:rPr>
        <w:t xml:space="preserve">1 </w:t>
      </w:r>
      <w:r>
        <w:rPr>
          <w:rFonts w:eastAsia="Calibri" w:cs="Times New Roman CYR"/>
          <w:sz w:val="20"/>
        </w:rPr>
        <w:t xml:space="preserve">С 2020 года муниципальное образование ЗАТО Северск перешло в категорию муниципальных образований, дефицит бюджета которых может быть установлен в размере 10% к налоговым и неналоговым доходам  </w:t>
      </w:r>
      <w:r>
        <w:rPr>
          <w:sz w:val="20"/>
        </w:rPr>
        <w:t>без учета  поступлений НДФЛ по дополнительным нормативам отчислений.</w:t>
      </w:r>
    </w:p>
    <w:p>
      <w:pPr>
        <w:pStyle w:val="31"/>
        <w:spacing w:before="120" w:after="60"/>
        <w:ind w:right="0" w:firstLine="567"/>
        <w:rPr>
          <w:spacing w:val="-4"/>
          <w:sz w:val="24"/>
          <w:szCs w:val="24"/>
        </w:rPr>
      </w:pPr>
      <w:r>
        <w:rPr>
          <w:sz w:val="20"/>
          <w:vertAlign w:val="superscript"/>
        </w:rPr>
        <w:t xml:space="preserve">2 </w:t>
      </w:r>
      <w:r>
        <w:rPr>
          <w:sz w:val="20"/>
        </w:rPr>
        <w:t xml:space="preserve">В соответствии с п.3 ст.92.1 БК РФ допустимо превышение дефицита при направлении в качестве источников покрытия дефицита остатков средств. За вычетом остатков размер дефицита – 9,4%.   </w:t>
      </w:r>
    </w:p>
    <w:p>
      <w:pPr>
        <w:pStyle w:val="20"/>
        <w:spacing w:before="60" w:after="60"/>
        <w:ind w:right="45" w:firstLine="709"/>
        <w:rPr>
          <w:spacing w:val="-4"/>
          <w:szCs w:val="24"/>
        </w:rPr>
      </w:pPr>
    </w:p>
    <w:p>
      <w:pPr>
        <w:pStyle w:val="20"/>
        <w:spacing w:before="60" w:after="60"/>
        <w:ind w:right="45" w:firstLine="709"/>
        <w:rPr>
          <w:spacing w:val="-4"/>
          <w:szCs w:val="24"/>
        </w:rPr>
      </w:pPr>
      <w:r>
        <w:rPr>
          <w:spacing w:val="-4"/>
          <w:szCs w:val="24"/>
        </w:rPr>
        <w:lastRenderedPageBreak/>
        <w:t>Таблица 62. Динамика долговых обязательств 2020 года</w:t>
      </w:r>
    </w:p>
    <w:tbl>
      <w:tblPr>
        <w:tblStyle w:val="af7"/>
        <w:tblW w:w="9507" w:type="dxa"/>
        <w:tblLook w:val="04A0" w:firstRow="1" w:lastRow="0" w:firstColumn="1" w:lastColumn="0" w:noHBand="0" w:noVBand="1"/>
      </w:tblPr>
      <w:tblGrid>
        <w:gridCol w:w="4077"/>
        <w:gridCol w:w="1559"/>
        <w:gridCol w:w="1135"/>
        <w:gridCol w:w="1559"/>
        <w:gridCol w:w="1177"/>
      </w:tblGrid>
      <w:tr>
        <w:trPr>
          <w:trHeight w:val="368"/>
        </w:trPr>
        <w:tc>
          <w:tcPr>
            <w:tcW w:w="4077" w:type="dxa"/>
            <w:vMerge w:val="restart"/>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Виды долговых обязательств</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Погашено</w:t>
            </w:r>
          </w:p>
        </w:tc>
        <w:tc>
          <w:tcPr>
            <w:tcW w:w="2736" w:type="dxa"/>
            <w:gridSpan w:val="2"/>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Получено</w:t>
            </w:r>
          </w:p>
        </w:tc>
      </w:tr>
      <w:tr>
        <w:trPr>
          <w:trHeight w:val="415"/>
        </w:trPr>
        <w:tc>
          <w:tcPr>
            <w:tcW w:w="0" w:type="auto"/>
            <w:vMerge/>
            <w:tcBorders>
              <w:top w:val="single" w:sz="4" w:space="0" w:color="auto"/>
              <w:left w:val="single" w:sz="4" w:space="0" w:color="auto"/>
              <w:bottom w:val="single" w:sz="4" w:space="0" w:color="auto"/>
              <w:right w:val="single" w:sz="4" w:space="0" w:color="auto"/>
            </w:tcBorders>
            <w:vAlign w:val="center"/>
            <w:hideMark/>
          </w:tcPr>
          <w:p>
            <w:pPr>
              <w:rPr>
                <w:spacing w:val="-1"/>
              </w:rPr>
            </w:pP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tabs>
                <w:tab w:val="left" w:pos="1452"/>
              </w:tabs>
              <w:ind w:right="-109"/>
              <w:rPr>
                <w:spacing w:val="-1"/>
                <w:sz w:val="20"/>
              </w:rPr>
            </w:pPr>
            <w:r>
              <w:rPr>
                <w:spacing w:val="-1"/>
                <w:sz w:val="20"/>
              </w:rPr>
              <w:t>Сумма, тыс.руб.</w:t>
            </w:r>
          </w:p>
        </w:tc>
        <w:tc>
          <w:tcPr>
            <w:tcW w:w="1135"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Доля, %</w:t>
            </w: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ind w:right="-183"/>
              <w:rPr>
                <w:spacing w:val="-1"/>
                <w:sz w:val="20"/>
              </w:rPr>
            </w:pPr>
            <w:r>
              <w:rPr>
                <w:spacing w:val="-1"/>
                <w:sz w:val="20"/>
              </w:rPr>
              <w:t>Сумма, тыс.руб.</w:t>
            </w:r>
          </w:p>
        </w:tc>
        <w:tc>
          <w:tcPr>
            <w:tcW w:w="117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Доля, %</w:t>
            </w:r>
          </w:p>
        </w:tc>
      </w:tr>
      <w:tr>
        <w:trPr>
          <w:trHeight w:val="304"/>
        </w:trPr>
        <w:tc>
          <w:tcPr>
            <w:tcW w:w="4077" w:type="dxa"/>
            <w:tcBorders>
              <w:top w:val="single" w:sz="4" w:space="0" w:color="auto"/>
              <w:left w:val="single" w:sz="4" w:space="0" w:color="auto"/>
              <w:bottom w:val="single" w:sz="4" w:space="0" w:color="auto"/>
              <w:right w:val="single" w:sz="4" w:space="0" w:color="auto"/>
            </w:tcBorders>
            <w:vAlign w:val="center"/>
            <w:hideMark/>
          </w:tcPr>
          <w:p>
            <w:pPr>
              <w:pStyle w:val="20"/>
              <w:jc w:val="left"/>
              <w:rPr>
                <w:spacing w:val="-1"/>
                <w:sz w:val="20"/>
              </w:rPr>
            </w:pPr>
            <w:r>
              <w:rPr>
                <w:spacing w:val="-1"/>
                <w:sz w:val="20"/>
              </w:rPr>
              <w:t>Кредиты от кредитных организаций</w:t>
            </w: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106 000,0</w:t>
            </w:r>
          </w:p>
        </w:tc>
        <w:tc>
          <w:tcPr>
            <w:tcW w:w="1135"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100</w:t>
            </w: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highlight w:val="yellow"/>
              </w:rPr>
            </w:pPr>
            <w:r>
              <w:rPr>
                <w:spacing w:val="-1"/>
                <w:sz w:val="20"/>
              </w:rPr>
              <w:t>226 508,29</w:t>
            </w:r>
          </w:p>
        </w:tc>
        <w:tc>
          <w:tcPr>
            <w:tcW w:w="1177" w:type="dxa"/>
            <w:tcBorders>
              <w:top w:val="single" w:sz="4" w:space="0" w:color="auto"/>
              <w:left w:val="single" w:sz="4" w:space="0" w:color="auto"/>
              <w:bottom w:val="single" w:sz="4" w:space="0" w:color="auto"/>
              <w:right w:val="single" w:sz="4" w:space="0" w:color="auto"/>
            </w:tcBorders>
            <w:vAlign w:val="center"/>
          </w:tcPr>
          <w:p>
            <w:pPr>
              <w:pStyle w:val="20"/>
              <w:jc w:val="center"/>
              <w:rPr>
                <w:spacing w:val="-1"/>
                <w:sz w:val="20"/>
              </w:rPr>
            </w:pPr>
            <w:r>
              <w:rPr>
                <w:spacing w:val="-1"/>
                <w:sz w:val="20"/>
              </w:rPr>
              <w:t>84,8</w:t>
            </w:r>
          </w:p>
        </w:tc>
      </w:tr>
      <w:tr>
        <w:trPr>
          <w:trHeight w:val="335"/>
        </w:trPr>
        <w:tc>
          <w:tcPr>
            <w:tcW w:w="4077" w:type="dxa"/>
            <w:tcBorders>
              <w:top w:val="single" w:sz="4" w:space="0" w:color="auto"/>
              <w:left w:val="single" w:sz="4" w:space="0" w:color="auto"/>
              <w:bottom w:val="single" w:sz="4" w:space="0" w:color="auto"/>
              <w:right w:val="single" w:sz="4" w:space="0" w:color="auto"/>
            </w:tcBorders>
            <w:vAlign w:val="center"/>
            <w:hideMark/>
          </w:tcPr>
          <w:p>
            <w:pPr>
              <w:pStyle w:val="20"/>
              <w:jc w:val="left"/>
              <w:rPr>
                <w:spacing w:val="-1"/>
                <w:sz w:val="20"/>
              </w:rPr>
            </w:pPr>
            <w:r>
              <w:rPr>
                <w:spacing w:val="-1"/>
                <w:sz w:val="20"/>
              </w:rPr>
              <w:t xml:space="preserve">Бюджетные кредиты от других бюджетов </w:t>
            </w: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highlight w:val="yellow"/>
              </w:rPr>
            </w:pPr>
          </w:p>
        </w:tc>
        <w:tc>
          <w:tcPr>
            <w:tcW w:w="1135"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highlight w:val="yellow"/>
              </w:rPr>
            </w:pP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highlight w:val="yellow"/>
              </w:rPr>
            </w:pPr>
            <w:r>
              <w:rPr>
                <w:spacing w:val="-1"/>
                <w:sz w:val="20"/>
              </w:rPr>
              <w:t>40 623,36</w:t>
            </w:r>
          </w:p>
        </w:tc>
        <w:tc>
          <w:tcPr>
            <w:tcW w:w="117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15,2</w:t>
            </w:r>
          </w:p>
        </w:tc>
      </w:tr>
      <w:tr>
        <w:trPr>
          <w:trHeight w:val="378"/>
        </w:trPr>
        <w:tc>
          <w:tcPr>
            <w:tcW w:w="4077" w:type="dxa"/>
            <w:tcBorders>
              <w:top w:val="single" w:sz="4" w:space="0" w:color="auto"/>
              <w:left w:val="single" w:sz="4" w:space="0" w:color="auto"/>
              <w:bottom w:val="single" w:sz="4" w:space="0" w:color="auto"/>
              <w:right w:val="single" w:sz="4" w:space="0" w:color="auto"/>
            </w:tcBorders>
            <w:vAlign w:val="center"/>
            <w:hideMark/>
          </w:tcPr>
          <w:p>
            <w:pPr>
              <w:pStyle w:val="20"/>
              <w:jc w:val="left"/>
              <w:rPr>
                <w:spacing w:val="-1"/>
                <w:sz w:val="20"/>
              </w:rPr>
            </w:pPr>
            <w:r>
              <w:rPr>
                <w:spacing w:val="-1"/>
                <w:sz w:val="20"/>
              </w:rPr>
              <w:t>Всего</w:t>
            </w: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106 000,0</w:t>
            </w:r>
          </w:p>
        </w:tc>
        <w:tc>
          <w:tcPr>
            <w:tcW w:w="1135" w:type="dxa"/>
            <w:tcBorders>
              <w:top w:val="single" w:sz="4" w:space="0" w:color="auto"/>
              <w:left w:val="single" w:sz="4" w:space="0" w:color="auto"/>
              <w:bottom w:val="single" w:sz="4" w:space="0" w:color="auto"/>
              <w:right w:val="single" w:sz="4" w:space="0" w:color="auto"/>
            </w:tcBorders>
            <w:vAlign w:val="center"/>
          </w:tcPr>
          <w:p>
            <w:pPr>
              <w:pStyle w:val="20"/>
              <w:jc w:val="center"/>
              <w:rPr>
                <w:spacing w:val="-1"/>
                <w:sz w:val="20"/>
              </w:rPr>
            </w:pPr>
            <w:r>
              <w:rPr>
                <w:spacing w:val="-1"/>
                <w:sz w:val="20"/>
              </w:rPr>
              <w:t>100</w:t>
            </w:r>
          </w:p>
        </w:tc>
        <w:tc>
          <w:tcPr>
            <w:tcW w:w="1559"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highlight w:val="yellow"/>
              </w:rPr>
            </w:pPr>
            <w:r>
              <w:rPr>
                <w:spacing w:val="-1"/>
                <w:sz w:val="20"/>
              </w:rPr>
              <w:t>267 131,65</w:t>
            </w:r>
          </w:p>
        </w:tc>
        <w:tc>
          <w:tcPr>
            <w:tcW w:w="1177" w:type="dxa"/>
            <w:tcBorders>
              <w:top w:val="single" w:sz="4" w:space="0" w:color="auto"/>
              <w:left w:val="single" w:sz="4" w:space="0" w:color="auto"/>
              <w:bottom w:val="single" w:sz="4" w:space="0" w:color="auto"/>
              <w:right w:val="single" w:sz="4" w:space="0" w:color="auto"/>
            </w:tcBorders>
            <w:vAlign w:val="center"/>
          </w:tcPr>
          <w:p>
            <w:pPr>
              <w:pStyle w:val="20"/>
              <w:jc w:val="center"/>
              <w:rPr>
                <w:spacing w:val="-1"/>
                <w:sz w:val="20"/>
              </w:rPr>
            </w:pPr>
            <w:r>
              <w:rPr>
                <w:spacing w:val="-1"/>
                <w:sz w:val="20"/>
              </w:rPr>
              <w:t>100</w:t>
            </w:r>
          </w:p>
        </w:tc>
      </w:tr>
    </w:tbl>
    <w:p>
      <w:pPr>
        <w:pStyle w:val="20"/>
        <w:ind w:firstLine="709"/>
        <w:rPr>
          <w:spacing w:val="-4"/>
          <w:szCs w:val="24"/>
        </w:rPr>
      </w:pPr>
      <w:r>
        <w:rPr>
          <w:spacing w:val="-4"/>
          <w:szCs w:val="24"/>
        </w:rPr>
        <w:t xml:space="preserve">По состоянию на 01.01.2020 все заимствования муниципального образования ЗАТО Северск были у коммерческого банка. </w:t>
      </w:r>
    </w:p>
    <w:p>
      <w:pPr>
        <w:pStyle w:val="20"/>
        <w:ind w:firstLine="567"/>
        <w:rPr>
          <w:spacing w:val="-1"/>
          <w:szCs w:val="24"/>
        </w:rPr>
      </w:pPr>
      <w:r>
        <w:rPr>
          <w:noProof/>
        </w:rPr>
        <w:pict>
          <v:shapetype id="_x0000_t202" coordsize="21600,21600" o:spt="202" path="m,l,21600r21600,l21600,xe">
            <v:stroke joinstyle="miter"/>
            <v:path gradientshapeok="t" o:connecttype="rect"/>
          </v:shapetype>
          <v:shape id="TextBox 14" o:spid="_x0000_s1081" type="#_x0000_t202" style="position:absolute;left:0;text-align:left;margin-left:344.55pt;margin-top:34.8pt;width:54.35pt;height:17.5pt;z-index:251661312;visibility:visibl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" fillcolor="window" strokecolor="#bcbcbc">
            <v:textbox>
              <w:txbxContent>
                <w:p>
                  <w:pPr>
                    <w:pStyle w:val="afc"/>
                    <w:spacing w:before="0" w:beforeAutospacing="0" w:after="0" w:afterAutospacing="0"/>
                    <w:rPr>
                      <w:sz w:val="20"/>
                      <w:szCs w:val="20"/>
                    </w:rPr>
                  </w:pPr>
                  <w:r>
                    <w:rPr>
                      <w:b/>
                      <w:bCs/>
                      <w:color w:val="000000"/>
                      <w:sz w:val="20"/>
                      <w:szCs w:val="20"/>
                    </w:rPr>
                    <w:t>249 574</w:t>
                  </w:r>
                </w:p>
              </w:txbxContent>
            </v:textbox>
          </v:shape>
        </w:pict>
      </w:r>
      <w:r>
        <w:rPr>
          <w:spacing w:val="-4"/>
          <w:szCs w:val="24"/>
        </w:rPr>
        <w:t xml:space="preserve">В течение 2020 года для покрытия дефицита и погашения части муниципального долга </w:t>
      </w:r>
      <w:r>
        <w:rPr>
          <w:spacing w:val="-1"/>
          <w:szCs w:val="24"/>
        </w:rPr>
        <w:t xml:space="preserve">были привлечены кредитные ресурсы, как коммерческого банка, так и бюджетные средства. </w:t>
      </w:r>
    </w:p>
    <w:p>
      <w:pPr>
        <w:pStyle w:val="20"/>
        <w:rPr>
          <w:spacing w:val="-1"/>
          <w:szCs w:val="24"/>
        </w:rPr>
      </w:pPr>
      <w:r>
        <w:rPr>
          <w:noProof/>
        </w:rPr>
        <w:drawing>
          <wp:inline distT="0" distB="0" distL="0" distR="0">
            <wp:extent cx="5669915" cy="229362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80663" cy="2297968"/>
                    </a:xfrm>
                    <a:prstGeom prst="rect">
                      <a:avLst/>
                    </a:prstGeom>
                    <a:noFill/>
                    <a:ln>
                      <a:noFill/>
                    </a:ln>
                  </pic:spPr>
                </pic:pic>
              </a:graphicData>
            </a:graphic>
          </wp:inline>
        </w:drawing>
      </w:r>
    </w:p>
    <w:p>
      <w:pPr>
        <w:pStyle w:val="a5"/>
        <w:tabs>
          <w:tab w:val="left" w:pos="6946"/>
        </w:tabs>
        <w:spacing w:after="0"/>
        <w:ind w:firstLine="567"/>
        <w:rPr>
          <w:color w:val="FF0000"/>
          <w:spacing w:val="-4"/>
          <w:sz w:val="16"/>
          <w:szCs w:val="16"/>
        </w:rPr>
      </w:pPr>
      <w:r>
        <w:rPr>
          <w:sz w:val="24"/>
          <w:szCs w:val="24"/>
        </w:rPr>
        <w:t xml:space="preserve">Рисунок 11. Структура муниципального долга ЗАТО Северск </w:t>
      </w:r>
    </w:p>
    <w:p>
      <w:pPr>
        <w:pStyle w:val="a5"/>
        <w:tabs>
          <w:tab w:val="left" w:pos="6946"/>
        </w:tabs>
        <w:spacing w:after="0"/>
        <w:jc w:val="both"/>
        <w:rPr>
          <w:spacing w:val="-4"/>
          <w:sz w:val="16"/>
          <w:szCs w:val="16"/>
        </w:rPr>
      </w:pPr>
    </w:p>
    <w:p>
      <w:pPr>
        <w:pStyle w:val="20"/>
        <w:ind w:firstLine="567"/>
        <w:rPr>
          <w:spacing w:val="-4"/>
          <w:szCs w:val="24"/>
        </w:rPr>
      </w:pPr>
      <w:r>
        <w:rPr>
          <w:spacing w:val="-1"/>
          <w:szCs w:val="24"/>
        </w:rPr>
        <w:t>В отчетном году по привлечению</w:t>
      </w:r>
      <w:r>
        <w:rPr>
          <w:spacing w:val="-4"/>
          <w:szCs w:val="24"/>
        </w:rPr>
        <w:t xml:space="preserve"> кредитных ресурсов были</w:t>
      </w:r>
      <w:r>
        <w:rPr>
          <w:spacing w:val="-1"/>
          <w:szCs w:val="24"/>
        </w:rPr>
        <w:t xml:space="preserve"> </w:t>
      </w:r>
      <w:r>
        <w:rPr>
          <w:spacing w:val="-4"/>
          <w:szCs w:val="24"/>
        </w:rPr>
        <w:t>заключены:</w:t>
      </w:r>
    </w:p>
    <w:p>
      <w:pPr>
        <w:pStyle w:val="20"/>
        <w:ind w:firstLine="567"/>
        <w:rPr>
          <w:spacing w:val="-1"/>
          <w:szCs w:val="24"/>
        </w:rPr>
      </w:pPr>
      <w:r>
        <w:rPr>
          <w:spacing w:val="-4"/>
          <w:szCs w:val="24"/>
        </w:rPr>
        <w:t xml:space="preserve">- муниципальный контракт </w:t>
      </w:r>
      <w:r>
        <w:rPr>
          <w:spacing w:val="-1"/>
          <w:szCs w:val="24"/>
        </w:rPr>
        <w:t>с НСКБ «Левобережный»</w:t>
      </w:r>
      <w:r>
        <w:rPr>
          <w:spacing w:val="-4"/>
          <w:szCs w:val="24"/>
        </w:rPr>
        <w:t xml:space="preserve"> </w:t>
      </w:r>
      <w:r>
        <w:rPr>
          <w:spacing w:val="-1"/>
          <w:szCs w:val="24"/>
        </w:rPr>
        <w:t>на сумму 126 508,29 тыс.руб.;</w:t>
      </w:r>
    </w:p>
    <w:p>
      <w:pPr>
        <w:pStyle w:val="20"/>
        <w:ind w:firstLine="567"/>
        <w:rPr>
          <w:spacing w:val="-1"/>
          <w:szCs w:val="24"/>
        </w:rPr>
      </w:pPr>
      <w:r>
        <w:rPr>
          <w:spacing w:val="-1"/>
          <w:szCs w:val="24"/>
        </w:rPr>
        <w:t>- договор с Департаментом финансов Томской области от 22.12.2020 № 121-БК на сумму 40 623,36 тыс.руб.</w:t>
      </w:r>
    </w:p>
    <w:p>
      <w:pPr>
        <w:pStyle w:val="20"/>
        <w:spacing w:before="60" w:after="60"/>
        <w:ind w:right="45" w:firstLine="709"/>
        <w:rPr>
          <w:szCs w:val="24"/>
        </w:rPr>
      </w:pPr>
      <w:r>
        <w:rPr>
          <w:spacing w:val="-1"/>
          <w:szCs w:val="24"/>
        </w:rPr>
        <w:t>Таблица 63. Муниципальные заимствования 2020 года</w:t>
      </w:r>
    </w:p>
    <w:tbl>
      <w:tblPr>
        <w:tblStyle w:val="af7"/>
        <w:tblW w:w="0" w:type="auto"/>
        <w:tblLook w:val="04A0" w:firstRow="1" w:lastRow="0" w:firstColumn="1" w:lastColumn="0" w:noHBand="0" w:noVBand="1"/>
      </w:tblPr>
      <w:tblGrid>
        <w:gridCol w:w="449"/>
        <w:gridCol w:w="5109"/>
        <w:gridCol w:w="1347"/>
        <w:gridCol w:w="1272"/>
        <w:gridCol w:w="1177"/>
      </w:tblGrid>
      <w:tr>
        <w:tc>
          <w:tcPr>
            <w:tcW w:w="449" w:type="dxa"/>
            <w:tcBorders>
              <w:top w:val="single" w:sz="4" w:space="0" w:color="auto"/>
              <w:left w:val="single" w:sz="4" w:space="0" w:color="auto"/>
              <w:bottom w:val="single" w:sz="4" w:space="0" w:color="auto"/>
              <w:right w:val="single" w:sz="4" w:space="0" w:color="auto"/>
            </w:tcBorders>
            <w:vAlign w:val="center"/>
            <w:hideMark/>
          </w:tcPr>
          <w:p>
            <w:pPr>
              <w:pStyle w:val="20"/>
              <w:rPr>
                <w:spacing w:val="-1"/>
                <w:sz w:val="20"/>
              </w:rPr>
            </w:pPr>
            <w:r>
              <w:rPr>
                <w:spacing w:val="-1"/>
                <w:sz w:val="20"/>
              </w:rPr>
              <w:t>№</w:t>
            </w:r>
          </w:p>
        </w:tc>
        <w:tc>
          <w:tcPr>
            <w:tcW w:w="5109" w:type="dxa"/>
            <w:tcBorders>
              <w:top w:val="single" w:sz="4" w:space="0" w:color="auto"/>
              <w:left w:val="single" w:sz="4" w:space="0" w:color="auto"/>
              <w:bottom w:val="single" w:sz="4" w:space="0" w:color="auto"/>
              <w:right w:val="single" w:sz="4" w:space="0" w:color="auto"/>
            </w:tcBorders>
            <w:vAlign w:val="center"/>
            <w:hideMark/>
          </w:tcPr>
          <w:p>
            <w:pPr>
              <w:pStyle w:val="20"/>
              <w:jc w:val="left"/>
              <w:rPr>
                <w:spacing w:val="-1"/>
                <w:sz w:val="20"/>
              </w:rPr>
            </w:pPr>
            <w:r>
              <w:rPr>
                <w:spacing w:val="-1"/>
                <w:sz w:val="20"/>
              </w:rPr>
              <w:t xml:space="preserve">Наименование </w:t>
            </w:r>
          </w:p>
        </w:tc>
        <w:tc>
          <w:tcPr>
            <w:tcW w:w="134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Объем обязательств по кредиту</w:t>
            </w:r>
          </w:p>
        </w:tc>
        <w:tc>
          <w:tcPr>
            <w:tcW w:w="1272"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Процентная ставка</w:t>
            </w:r>
          </w:p>
        </w:tc>
        <w:tc>
          <w:tcPr>
            <w:tcW w:w="117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Дата погашения</w:t>
            </w:r>
          </w:p>
        </w:tc>
      </w:tr>
      <w:tr>
        <w:trPr>
          <w:trHeight w:val="422"/>
        </w:trPr>
        <w:tc>
          <w:tcPr>
            <w:tcW w:w="449" w:type="dxa"/>
            <w:tcBorders>
              <w:top w:val="single" w:sz="4" w:space="0" w:color="auto"/>
              <w:left w:val="single" w:sz="4" w:space="0" w:color="auto"/>
              <w:bottom w:val="single" w:sz="4" w:space="0" w:color="auto"/>
              <w:right w:val="single" w:sz="4" w:space="0" w:color="auto"/>
            </w:tcBorders>
            <w:vAlign w:val="center"/>
            <w:hideMark/>
          </w:tcPr>
          <w:p>
            <w:pPr>
              <w:pStyle w:val="20"/>
              <w:jc w:val="left"/>
              <w:rPr>
                <w:spacing w:val="-1"/>
                <w:sz w:val="20"/>
              </w:rPr>
            </w:pPr>
            <w:r>
              <w:rPr>
                <w:spacing w:val="-1"/>
                <w:sz w:val="20"/>
              </w:rPr>
              <w:t>1.</w:t>
            </w:r>
          </w:p>
        </w:tc>
        <w:tc>
          <w:tcPr>
            <w:tcW w:w="5109" w:type="dxa"/>
            <w:tcBorders>
              <w:top w:val="single" w:sz="4" w:space="0" w:color="auto"/>
              <w:left w:val="single" w:sz="4" w:space="0" w:color="auto"/>
              <w:bottom w:val="single" w:sz="4" w:space="0" w:color="auto"/>
              <w:right w:val="single" w:sz="4" w:space="0" w:color="auto"/>
            </w:tcBorders>
            <w:vAlign w:val="center"/>
            <w:hideMark/>
          </w:tcPr>
          <w:p>
            <w:pPr>
              <w:pStyle w:val="20"/>
              <w:rPr>
                <w:spacing w:val="-1"/>
                <w:sz w:val="20"/>
              </w:rPr>
            </w:pPr>
            <w:r>
              <w:rPr>
                <w:spacing w:val="-1"/>
                <w:sz w:val="20"/>
              </w:rPr>
              <w:t xml:space="preserve">НСКБ «Левобережный», МК №2 от 18.07.2020 </w:t>
            </w:r>
          </w:p>
        </w:tc>
        <w:tc>
          <w:tcPr>
            <w:tcW w:w="134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126 508,29</w:t>
            </w:r>
          </w:p>
        </w:tc>
        <w:tc>
          <w:tcPr>
            <w:tcW w:w="1272"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8,74</w:t>
            </w:r>
          </w:p>
        </w:tc>
        <w:tc>
          <w:tcPr>
            <w:tcW w:w="117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20.07.2022</w:t>
            </w:r>
          </w:p>
        </w:tc>
      </w:tr>
      <w:tr>
        <w:trPr>
          <w:trHeight w:val="272"/>
        </w:trPr>
        <w:tc>
          <w:tcPr>
            <w:tcW w:w="449"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2.</w:t>
            </w:r>
          </w:p>
        </w:tc>
        <w:tc>
          <w:tcPr>
            <w:tcW w:w="5109" w:type="dxa"/>
            <w:tcBorders>
              <w:top w:val="single" w:sz="4" w:space="0" w:color="auto"/>
              <w:left w:val="single" w:sz="4" w:space="0" w:color="auto"/>
              <w:bottom w:val="single" w:sz="4" w:space="0" w:color="auto"/>
              <w:right w:val="single" w:sz="4" w:space="0" w:color="auto"/>
            </w:tcBorders>
            <w:vAlign w:val="center"/>
            <w:hideMark/>
          </w:tcPr>
          <w:p>
            <w:pPr>
              <w:pStyle w:val="20"/>
              <w:rPr>
                <w:spacing w:val="-1"/>
                <w:sz w:val="20"/>
              </w:rPr>
            </w:pPr>
            <w:r>
              <w:rPr>
                <w:spacing w:val="-1"/>
                <w:sz w:val="20"/>
              </w:rPr>
              <w:t>Департамент финансов Томской области, договор № 121-БК от 22.12.2020</w:t>
            </w:r>
          </w:p>
        </w:tc>
        <w:tc>
          <w:tcPr>
            <w:tcW w:w="134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40 623,36</w:t>
            </w:r>
          </w:p>
        </w:tc>
        <w:tc>
          <w:tcPr>
            <w:tcW w:w="1272"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4,25</w:t>
            </w:r>
          </w:p>
        </w:tc>
        <w:tc>
          <w:tcPr>
            <w:tcW w:w="1177" w:type="dxa"/>
            <w:tcBorders>
              <w:top w:val="single" w:sz="4" w:space="0" w:color="auto"/>
              <w:left w:val="single" w:sz="4" w:space="0" w:color="auto"/>
              <w:bottom w:val="single" w:sz="4" w:space="0" w:color="auto"/>
              <w:right w:val="single" w:sz="4" w:space="0" w:color="auto"/>
            </w:tcBorders>
            <w:vAlign w:val="center"/>
            <w:hideMark/>
          </w:tcPr>
          <w:p>
            <w:pPr>
              <w:pStyle w:val="20"/>
              <w:jc w:val="center"/>
              <w:rPr>
                <w:spacing w:val="-1"/>
                <w:sz w:val="20"/>
              </w:rPr>
            </w:pPr>
            <w:r>
              <w:rPr>
                <w:spacing w:val="-1"/>
                <w:sz w:val="20"/>
              </w:rPr>
              <w:t>30.06.2022</w:t>
            </w:r>
          </w:p>
        </w:tc>
      </w:tr>
    </w:tbl>
    <w:p>
      <w:pPr>
        <w:pStyle w:val="20"/>
        <w:ind w:firstLine="567"/>
        <w:rPr>
          <w:spacing w:val="-4"/>
          <w:sz w:val="10"/>
          <w:szCs w:val="10"/>
          <w:highlight w:val="yellow"/>
        </w:rPr>
      </w:pPr>
    </w:p>
    <w:p>
      <w:pPr>
        <w:ind w:firstLine="567"/>
        <w:jc w:val="both"/>
        <w:rPr>
          <w:b/>
          <w:sz w:val="24"/>
          <w:szCs w:val="24"/>
          <w:highlight w:val="yellow"/>
        </w:rPr>
      </w:pPr>
      <w:r>
        <w:rPr>
          <w:sz w:val="24"/>
          <w:szCs w:val="24"/>
        </w:rPr>
        <w:t xml:space="preserve">В соответствии с нормами ст.107.1 Бюджетного кодекса Российской Федерации муниципального образования  ЗАТО Северск по установленному перечню показателей относится к группе муниципальных образований с высокой долговой устойчивостью. </w:t>
      </w:r>
    </w:p>
    <w:p>
      <w:pPr>
        <w:spacing w:line="264" w:lineRule="auto"/>
        <w:jc w:val="both"/>
        <w:rPr>
          <w:b/>
          <w:sz w:val="24"/>
          <w:szCs w:val="24"/>
          <w:highlight w:val="yellow"/>
        </w:rPr>
      </w:pPr>
    </w:p>
    <w:p>
      <w:pPr>
        <w:spacing w:line="264" w:lineRule="auto"/>
        <w:jc w:val="both"/>
        <w:rPr>
          <w:sz w:val="24"/>
          <w:szCs w:val="24"/>
        </w:rPr>
      </w:pPr>
      <w:r>
        <w:rPr>
          <w:sz w:val="24"/>
          <w:szCs w:val="24"/>
        </w:rPr>
        <w:t xml:space="preserve">Заместитель Мэра ЗАТО Северск </w:t>
      </w:r>
    </w:p>
    <w:p>
      <w:pPr>
        <w:spacing w:line="264" w:lineRule="auto"/>
        <w:jc w:val="both"/>
        <w:rPr>
          <w:sz w:val="24"/>
          <w:szCs w:val="24"/>
        </w:rPr>
      </w:pPr>
      <w:r>
        <w:rPr>
          <w:sz w:val="24"/>
          <w:szCs w:val="24"/>
        </w:rPr>
        <w:t>по экономике и финансам                                                                                 Л.В.Смольникова</w:t>
      </w:r>
    </w:p>
    <w:p>
      <w:pPr>
        <w:spacing w:before="120"/>
        <w:ind w:right="57"/>
        <w:jc w:val="both"/>
        <w:rPr>
          <w:sz w:val="16"/>
          <w:szCs w:val="16"/>
        </w:rPr>
      </w:pPr>
    </w:p>
    <w:p>
      <w:pPr>
        <w:spacing w:before="120"/>
        <w:ind w:right="57"/>
        <w:jc w:val="both"/>
        <w:rPr>
          <w:sz w:val="24"/>
          <w:szCs w:val="24"/>
        </w:rPr>
      </w:pPr>
      <w:r>
        <w:rPr>
          <w:sz w:val="24"/>
          <w:szCs w:val="24"/>
        </w:rPr>
        <w:t xml:space="preserve">Начальник Финансового управления                                                       </w:t>
      </w:r>
      <w:r>
        <w:rPr>
          <w:sz w:val="24"/>
          <w:szCs w:val="24"/>
        </w:rPr>
        <w:tab/>
        <w:t xml:space="preserve">          Л.И.Овчаренко                                        </w:t>
      </w:r>
    </w:p>
    <w:p>
      <w:pPr>
        <w:spacing w:line="264" w:lineRule="auto"/>
        <w:ind w:right="55"/>
        <w:jc w:val="right"/>
        <w:rPr>
          <w:i/>
          <w:sz w:val="24"/>
          <w:szCs w:val="24"/>
          <w:highlight w:val="yellow"/>
        </w:rPr>
      </w:pPr>
    </w:p>
    <w:p>
      <w:pPr>
        <w:spacing w:line="264" w:lineRule="auto"/>
        <w:ind w:right="55"/>
        <w:rPr>
          <w:i/>
          <w:sz w:val="16"/>
          <w:szCs w:val="16"/>
          <w:highlight w:val="yellow"/>
        </w:rPr>
      </w:pPr>
    </w:p>
    <w:p>
      <w:pPr>
        <w:spacing w:line="264" w:lineRule="auto"/>
        <w:ind w:right="55"/>
        <w:jc w:val="both"/>
      </w:pPr>
      <w:r>
        <w:t>О.Н.Кириллова 77 38 60</w:t>
      </w:r>
    </w:p>
    <w:p>
      <w:pPr>
        <w:spacing w:line="264" w:lineRule="auto"/>
        <w:ind w:right="55"/>
        <w:jc w:val="both"/>
      </w:pPr>
      <w:r>
        <w:t>С.В.Шурыгина 77 39 09</w:t>
      </w:r>
    </w:p>
    <w:p>
      <w:pPr>
        <w:spacing w:line="264" w:lineRule="auto"/>
        <w:ind w:right="55"/>
        <w:jc w:val="both"/>
      </w:pPr>
      <w:r>
        <w:t>Е.В.Чеснокова 77 23 83</w:t>
      </w:r>
    </w:p>
    <w:p>
      <w:pPr>
        <w:spacing w:line="264" w:lineRule="auto"/>
        <w:ind w:right="55"/>
        <w:jc w:val="both"/>
      </w:pPr>
      <w:r>
        <w:t>О.Ю.Шаперова 77 38 14</w:t>
      </w:r>
    </w:p>
    <w:p>
      <w:pPr>
        <w:spacing w:line="264" w:lineRule="auto"/>
        <w:ind w:right="55"/>
        <w:jc w:val="both"/>
      </w:pPr>
      <w:r>
        <w:t>И.О.Купцова 77 38 16</w:t>
      </w:r>
    </w:p>
    <w:sectPr>
      <w:footerReference w:type="even" r:id="rId19"/>
      <w:footerReference w:type="default" r:id="rId20"/>
      <w:footerReference w:type="first" r:id="rId21"/>
      <w:pgSz w:w="11906" w:h="16838"/>
      <w:pgMar w:top="568" w:right="851" w:bottom="426"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d"/>
      <w:jc w:val="right"/>
    </w:pPr>
    <w:r>
      <w:fldChar w:fldCharType="begin"/>
    </w:r>
    <w:r>
      <w:instrText xml:space="preserve"> PAGE   \* MERGEFORMAT </w:instrText>
    </w:r>
    <w:r>
      <w:fldChar w:fldCharType="separate"/>
    </w:r>
    <w:r>
      <w:rPr>
        <w:noProof/>
      </w:rPr>
      <w:t>2</w:t>
    </w:r>
    <w:r>
      <w:rPr>
        <w:noProof/>
      </w:rPr>
      <w:fldChar w:fldCharType="end"/>
    </w:r>
  </w:p>
  <w:p>
    <w:pPr>
      <w:pStyle w:val="ad"/>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d"/>
      <w:jc w:val="right"/>
      <w:rPr>
        <w:color w:val="FFFFFF"/>
      </w:rPr>
    </w:pPr>
    <w:r>
      <w:rPr>
        <w:color w:val="FFFFFF"/>
      </w:rPr>
      <w:fldChar w:fldCharType="begin"/>
    </w:r>
    <w:r>
      <w:rPr>
        <w:color w:val="FFFFFF"/>
      </w:rPr>
      <w:instrText xml:space="preserve"> PAGE   \* MERGEFORMAT </w:instrText>
    </w:r>
    <w:r>
      <w:rPr>
        <w:color w:val="FFFFFF"/>
      </w:rPr>
      <w:fldChar w:fldCharType="separate"/>
    </w:r>
    <w:r>
      <w:rPr>
        <w:noProof/>
        <w:color w:val="FFFFFF"/>
      </w:rPr>
      <w:t>1</w:t>
    </w:r>
    <w:r>
      <w:rPr>
        <w:color w:val="FFFFFF"/>
      </w:rPr>
      <w:fldChar w:fldCharType="end"/>
    </w:r>
  </w:p>
  <w:p>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C0F2F"/>
    <w:multiLevelType w:val="hybridMultilevel"/>
    <w:tmpl w:val="45F2B97A"/>
    <w:lvl w:ilvl="0" w:tplc="04190001">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1">
    <w:nsid w:val="0BF60F40"/>
    <w:multiLevelType w:val="hybridMultilevel"/>
    <w:tmpl w:val="936050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1C27F5"/>
    <w:multiLevelType w:val="hybridMultilevel"/>
    <w:tmpl w:val="244E14C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D9239AA"/>
    <w:multiLevelType w:val="multilevel"/>
    <w:tmpl w:val="DBE43A74"/>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0FBF3F0C"/>
    <w:multiLevelType w:val="hybridMultilevel"/>
    <w:tmpl w:val="DFE4C4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2A03DAE"/>
    <w:multiLevelType w:val="hybridMultilevel"/>
    <w:tmpl w:val="E46CA1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7A19F8"/>
    <w:multiLevelType w:val="hybridMultilevel"/>
    <w:tmpl w:val="C50A931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7572373"/>
    <w:multiLevelType w:val="hybridMultilevel"/>
    <w:tmpl w:val="3D64728A"/>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8">
    <w:nsid w:val="20EF1C8C"/>
    <w:multiLevelType w:val="hybridMultilevel"/>
    <w:tmpl w:val="D8249C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48110D5"/>
    <w:multiLevelType w:val="hybridMultilevel"/>
    <w:tmpl w:val="5E462A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5C942AA"/>
    <w:multiLevelType w:val="hybridMultilevel"/>
    <w:tmpl w:val="A03A709E"/>
    <w:lvl w:ilvl="0" w:tplc="6A98A22A">
      <w:start w:val="1"/>
      <w:numFmt w:val="bullet"/>
      <w:suff w:val="space"/>
      <w:lvlText w:val=""/>
      <w:lvlJc w:val="left"/>
      <w:pPr>
        <w:ind w:left="1440"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2AA3783A"/>
    <w:multiLevelType w:val="hybridMultilevel"/>
    <w:tmpl w:val="A152334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D8B79A9"/>
    <w:multiLevelType w:val="hybridMultilevel"/>
    <w:tmpl w:val="2FE6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DC21675"/>
    <w:multiLevelType w:val="multilevel"/>
    <w:tmpl w:val="9800AED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2E292262"/>
    <w:multiLevelType w:val="hybridMultilevel"/>
    <w:tmpl w:val="7DF6C99C"/>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36CA2DBD"/>
    <w:multiLevelType w:val="hybridMultilevel"/>
    <w:tmpl w:val="F32A1E1A"/>
    <w:lvl w:ilvl="0" w:tplc="0AF8439A">
      <w:start w:val="1"/>
      <w:numFmt w:val="decimal"/>
      <w:suff w:val="space"/>
      <w:lvlText w:val="%1."/>
      <w:lvlJc w:val="left"/>
      <w:pPr>
        <w:ind w:left="1429" w:hanging="360"/>
      </w:pPr>
      <w:rPr>
        <w:rFonts w:ascii="Times New Roman" w:eastAsia="Times New Roman"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7BC5F4E"/>
    <w:multiLevelType w:val="hybridMultilevel"/>
    <w:tmpl w:val="E2A8DC1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3A7F68E9"/>
    <w:multiLevelType w:val="hybridMultilevel"/>
    <w:tmpl w:val="06509ECE"/>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A935DA4"/>
    <w:multiLevelType w:val="hybridMultilevel"/>
    <w:tmpl w:val="29DC281E"/>
    <w:lvl w:ilvl="0" w:tplc="04190003">
      <w:start w:val="1"/>
      <w:numFmt w:val="bullet"/>
      <w:lvlText w:val="o"/>
      <w:lvlJc w:val="left"/>
      <w:pPr>
        <w:ind w:left="1353" w:hanging="360"/>
      </w:pPr>
      <w:rPr>
        <w:rFonts w:ascii="Courier New" w:hAnsi="Courier New" w:cs="Courier New" w:hint="default"/>
      </w:rPr>
    </w:lvl>
    <w:lvl w:ilvl="1" w:tplc="04190003" w:tentative="1">
      <w:start w:val="1"/>
      <w:numFmt w:val="bullet"/>
      <w:lvlText w:val="o"/>
      <w:lvlJc w:val="left"/>
      <w:pPr>
        <w:ind w:left="2855" w:hanging="360"/>
      </w:pPr>
      <w:rPr>
        <w:rFonts w:ascii="Courier New" w:hAnsi="Courier New" w:cs="Courier New" w:hint="default"/>
      </w:rPr>
    </w:lvl>
    <w:lvl w:ilvl="2" w:tplc="04190005" w:tentative="1">
      <w:start w:val="1"/>
      <w:numFmt w:val="bullet"/>
      <w:lvlText w:val=""/>
      <w:lvlJc w:val="left"/>
      <w:pPr>
        <w:ind w:left="3575" w:hanging="360"/>
      </w:pPr>
      <w:rPr>
        <w:rFonts w:ascii="Wingdings" w:hAnsi="Wingdings" w:hint="default"/>
      </w:rPr>
    </w:lvl>
    <w:lvl w:ilvl="3" w:tplc="04190001" w:tentative="1">
      <w:start w:val="1"/>
      <w:numFmt w:val="bullet"/>
      <w:lvlText w:val=""/>
      <w:lvlJc w:val="left"/>
      <w:pPr>
        <w:ind w:left="4295" w:hanging="360"/>
      </w:pPr>
      <w:rPr>
        <w:rFonts w:ascii="Symbol" w:hAnsi="Symbol" w:hint="default"/>
      </w:rPr>
    </w:lvl>
    <w:lvl w:ilvl="4" w:tplc="04190003" w:tentative="1">
      <w:start w:val="1"/>
      <w:numFmt w:val="bullet"/>
      <w:lvlText w:val="o"/>
      <w:lvlJc w:val="left"/>
      <w:pPr>
        <w:ind w:left="5015" w:hanging="360"/>
      </w:pPr>
      <w:rPr>
        <w:rFonts w:ascii="Courier New" w:hAnsi="Courier New" w:cs="Courier New" w:hint="default"/>
      </w:rPr>
    </w:lvl>
    <w:lvl w:ilvl="5" w:tplc="04190005" w:tentative="1">
      <w:start w:val="1"/>
      <w:numFmt w:val="bullet"/>
      <w:lvlText w:val=""/>
      <w:lvlJc w:val="left"/>
      <w:pPr>
        <w:ind w:left="5735" w:hanging="360"/>
      </w:pPr>
      <w:rPr>
        <w:rFonts w:ascii="Wingdings" w:hAnsi="Wingdings" w:hint="default"/>
      </w:rPr>
    </w:lvl>
    <w:lvl w:ilvl="6" w:tplc="04190001" w:tentative="1">
      <w:start w:val="1"/>
      <w:numFmt w:val="bullet"/>
      <w:lvlText w:val=""/>
      <w:lvlJc w:val="left"/>
      <w:pPr>
        <w:ind w:left="6455" w:hanging="360"/>
      </w:pPr>
      <w:rPr>
        <w:rFonts w:ascii="Symbol" w:hAnsi="Symbol" w:hint="default"/>
      </w:rPr>
    </w:lvl>
    <w:lvl w:ilvl="7" w:tplc="04190003" w:tentative="1">
      <w:start w:val="1"/>
      <w:numFmt w:val="bullet"/>
      <w:lvlText w:val="o"/>
      <w:lvlJc w:val="left"/>
      <w:pPr>
        <w:ind w:left="7175" w:hanging="360"/>
      </w:pPr>
      <w:rPr>
        <w:rFonts w:ascii="Courier New" w:hAnsi="Courier New" w:cs="Courier New" w:hint="default"/>
      </w:rPr>
    </w:lvl>
    <w:lvl w:ilvl="8" w:tplc="04190005" w:tentative="1">
      <w:start w:val="1"/>
      <w:numFmt w:val="bullet"/>
      <w:lvlText w:val=""/>
      <w:lvlJc w:val="left"/>
      <w:pPr>
        <w:ind w:left="7895" w:hanging="360"/>
      </w:pPr>
      <w:rPr>
        <w:rFonts w:ascii="Wingdings" w:hAnsi="Wingdings" w:hint="default"/>
      </w:rPr>
    </w:lvl>
  </w:abstractNum>
  <w:abstractNum w:abstractNumId="19">
    <w:nsid w:val="3ADB1BE4"/>
    <w:multiLevelType w:val="hybridMultilevel"/>
    <w:tmpl w:val="3EC217C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0">
    <w:nsid w:val="3BC12B12"/>
    <w:multiLevelType w:val="multilevel"/>
    <w:tmpl w:val="1820ED58"/>
    <w:lvl w:ilvl="0">
      <w:start w:val="1"/>
      <w:numFmt w:val="decimal"/>
      <w:lvlText w:val="%1."/>
      <w:lvlJc w:val="left"/>
      <w:pPr>
        <w:ind w:left="1428" w:hanging="360"/>
      </w:pPr>
      <w:rPr>
        <w:rFonts w:ascii="Times New Roman" w:eastAsia="Times New Roman" w:hAnsi="Times New Roman" w:cs="Times New Roman"/>
      </w:rPr>
    </w:lvl>
    <w:lvl w:ilvl="1">
      <w:start w:val="1"/>
      <w:numFmt w:val="decimal"/>
      <w:isLgl/>
      <w:lvlText w:val="%1.%2."/>
      <w:lvlJc w:val="left"/>
      <w:pPr>
        <w:ind w:left="1490" w:hanging="360"/>
      </w:pPr>
      <w:rPr>
        <w:rFonts w:hint="default"/>
      </w:rPr>
    </w:lvl>
    <w:lvl w:ilvl="2">
      <w:start w:val="1"/>
      <w:numFmt w:val="decimal"/>
      <w:isLgl/>
      <w:lvlText w:val="%1.%2.%3."/>
      <w:lvlJc w:val="left"/>
      <w:pPr>
        <w:ind w:left="1912" w:hanging="720"/>
      </w:pPr>
      <w:rPr>
        <w:rFonts w:hint="default"/>
      </w:rPr>
    </w:lvl>
    <w:lvl w:ilvl="3">
      <w:start w:val="1"/>
      <w:numFmt w:val="decimal"/>
      <w:isLgl/>
      <w:lvlText w:val="%1.%2.%3.%4."/>
      <w:lvlJc w:val="left"/>
      <w:pPr>
        <w:ind w:left="1974" w:hanging="720"/>
      </w:pPr>
      <w:rPr>
        <w:rFonts w:hint="default"/>
      </w:rPr>
    </w:lvl>
    <w:lvl w:ilvl="4">
      <w:start w:val="1"/>
      <w:numFmt w:val="decimal"/>
      <w:isLgl/>
      <w:lvlText w:val="%1.%2.%3.%4.%5."/>
      <w:lvlJc w:val="left"/>
      <w:pPr>
        <w:ind w:left="2396" w:hanging="1080"/>
      </w:pPr>
      <w:rPr>
        <w:rFonts w:hint="default"/>
      </w:rPr>
    </w:lvl>
    <w:lvl w:ilvl="5">
      <w:start w:val="1"/>
      <w:numFmt w:val="decimal"/>
      <w:isLgl/>
      <w:lvlText w:val="%1.%2.%3.%4.%5.%6."/>
      <w:lvlJc w:val="left"/>
      <w:pPr>
        <w:ind w:left="2458"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942" w:hanging="1440"/>
      </w:pPr>
      <w:rPr>
        <w:rFonts w:hint="default"/>
      </w:rPr>
    </w:lvl>
    <w:lvl w:ilvl="8">
      <w:start w:val="1"/>
      <w:numFmt w:val="decimal"/>
      <w:isLgl/>
      <w:lvlText w:val="%1.%2.%3.%4.%5.%6.%7.%8.%9."/>
      <w:lvlJc w:val="left"/>
      <w:pPr>
        <w:ind w:left="3364" w:hanging="1800"/>
      </w:pPr>
      <w:rPr>
        <w:rFonts w:hint="default"/>
      </w:rPr>
    </w:lvl>
  </w:abstractNum>
  <w:abstractNum w:abstractNumId="21">
    <w:nsid w:val="3EDC5200"/>
    <w:multiLevelType w:val="multilevel"/>
    <w:tmpl w:val="32EE4030"/>
    <w:lvl w:ilvl="0">
      <w:start w:val="8"/>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44D02367"/>
    <w:multiLevelType w:val="multilevel"/>
    <w:tmpl w:val="52D65596"/>
    <w:lvl w:ilvl="0">
      <w:start w:val="1"/>
      <w:numFmt w:val="decimal"/>
      <w:suff w:val="space"/>
      <w:lvlText w:val="%1."/>
      <w:lvlJc w:val="left"/>
      <w:pPr>
        <w:ind w:left="1360" w:hanging="360"/>
      </w:pPr>
      <w:rPr>
        <w:rFonts w:ascii="Times New Roman" w:eastAsia="Times New Roman" w:hAnsi="Times New Roman" w:cs="Times New Roman"/>
      </w:rPr>
    </w:lvl>
    <w:lvl w:ilvl="1">
      <w:start w:val="3"/>
      <w:numFmt w:val="decimal"/>
      <w:isLgl/>
      <w:lvlText w:val="%1.%2."/>
      <w:lvlJc w:val="left"/>
      <w:pPr>
        <w:ind w:left="13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1720" w:hanging="720"/>
      </w:pPr>
      <w:rPr>
        <w:rFonts w:hint="default"/>
      </w:rPr>
    </w:lvl>
    <w:lvl w:ilvl="4">
      <w:start w:val="1"/>
      <w:numFmt w:val="decimal"/>
      <w:isLgl/>
      <w:lvlText w:val="%1.%2.%3.%4.%5."/>
      <w:lvlJc w:val="left"/>
      <w:pPr>
        <w:ind w:left="2080" w:hanging="1080"/>
      </w:pPr>
      <w:rPr>
        <w:rFonts w:hint="default"/>
      </w:rPr>
    </w:lvl>
    <w:lvl w:ilvl="5">
      <w:start w:val="1"/>
      <w:numFmt w:val="decimal"/>
      <w:isLgl/>
      <w:lvlText w:val="%1.%2.%3.%4.%5.%6."/>
      <w:lvlJc w:val="left"/>
      <w:pPr>
        <w:ind w:left="2080" w:hanging="1080"/>
      </w:pPr>
      <w:rPr>
        <w:rFonts w:hint="default"/>
      </w:rPr>
    </w:lvl>
    <w:lvl w:ilvl="6">
      <w:start w:val="1"/>
      <w:numFmt w:val="decimal"/>
      <w:isLgl/>
      <w:lvlText w:val="%1.%2.%3.%4.%5.%6.%7."/>
      <w:lvlJc w:val="left"/>
      <w:pPr>
        <w:ind w:left="2440" w:hanging="1440"/>
      </w:pPr>
      <w:rPr>
        <w:rFonts w:hint="default"/>
      </w:rPr>
    </w:lvl>
    <w:lvl w:ilvl="7">
      <w:start w:val="1"/>
      <w:numFmt w:val="decimal"/>
      <w:isLgl/>
      <w:lvlText w:val="%1.%2.%3.%4.%5.%6.%7.%8."/>
      <w:lvlJc w:val="left"/>
      <w:pPr>
        <w:ind w:left="2440" w:hanging="1440"/>
      </w:pPr>
      <w:rPr>
        <w:rFonts w:hint="default"/>
      </w:rPr>
    </w:lvl>
    <w:lvl w:ilvl="8">
      <w:start w:val="1"/>
      <w:numFmt w:val="decimal"/>
      <w:isLgl/>
      <w:lvlText w:val="%1.%2.%3.%4.%5.%6.%7.%8.%9."/>
      <w:lvlJc w:val="left"/>
      <w:pPr>
        <w:ind w:left="2800" w:hanging="1800"/>
      </w:pPr>
      <w:rPr>
        <w:rFonts w:hint="default"/>
      </w:rPr>
    </w:lvl>
  </w:abstractNum>
  <w:abstractNum w:abstractNumId="23">
    <w:nsid w:val="460905E4"/>
    <w:multiLevelType w:val="hybridMultilevel"/>
    <w:tmpl w:val="62F85A46"/>
    <w:lvl w:ilvl="0" w:tplc="04190001">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24">
    <w:nsid w:val="4D7A1116"/>
    <w:multiLevelType w:val="hybridMultilevel"/>
    <w:tmpl w:val="6AB04C6C"/>
    <w:lvl w:ilvl="0" w:tplc="04190001">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25">
    <w:nsid w:val="56664DA2"/>
    <w:multiLevelType w:val="hybridMultilevel"/>
    <w:tmpl w:val="FAD426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57B46405"/>
    <w:multiLevelType w:val="hybridMultilevel"/>
    <w:tmpl w:val="AEC6661C"/>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5A9F4B92"/>
    <w:multiLevelType w:val="hybridMultilevel"/>
    <w:tmpl w:val="B352CCAE"/>
    <w:lvl w:ilvl="0" w:tplc="4FC6EF3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00861C3"/>
    <w:multiLevelType w:val="hybridMultilevel"/>
    <w:tmpl w:val="8D28DAC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29">
    <w:nsid w:val="62E115C7"/>
    <w:multiLevelType w:val="multilevel"/>
    <w:tmpl w:val="2DC8AEAE"/>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0">
    <w:nsid w:val="64DD2CFC"/>
    <w:multiLevelType w:val="hybridMultilevel"/>
    <w:tmpl w:val="002AC7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693717D"/>
    <w:multiLevelType w:val="hybridMultilevel"/>
    <w:tmpl w:val="239C6EE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7F86D09"/>
    <w:multiLevelType w:val="hybridMultilevel"/>
    <w:tmpl w:val="AB6AA696"/>
    <w:lvl w:ilvl="0" w:tplc="9EF243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6988501B"/>
    <w:multiLevelType w:val="multilevel"/>
    <w:tmpl w:val="C672A36A"/>
    <w:lvl w:ilvl="0">
      <w:start w:val="1"/>
      <w:numFmt w:val="decimal"/>
      <w:lvlText w:val="%1."/>
      <w:lvlJc w:val="left"/>
      <w:pPr>
        <w:ind w:left="1428" w:hanging="360"/>
      </w:pPr>
      <w:rPr>
        <w:rFonts w:ascii="Times New Roman" w:eastAsia="Times New Roman" w:hAnsi="Times New Roman" w:cs="Times New Roman"/>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4">
    <w:nsid w:val="6FAF6D7C"/>
    <w:multiLevelType w:val="hybridMultilevel"/>
    <w:tmpl w:val="030AF310"/>
    <w:lvl w:ilvl="0" w:tplc="04190001">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35">
    <w:nsid w:val="70AD74F5"/>
    <w:multiLevelType w:val="multilevel"/>
    <w:tmpl w:val="777C4EA4"/>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4187D0E"/>
    <w:multiLevelType w:val="multilevel"/>
    <w:tmpl w:val="93EC4556"/>
    <w:lvl w:ilvl="0">
      <w:start w:val="4"/>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nsid w:val="75616CF8"/>
    <w:multiLevelType w:val="multilevel"/>
    <w:tmpl w:val="7922774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7E5508C"/>
    <w:multiLevelType w:val="hybridMultilevel"/>
    <w:tmpl w:val="81D665F6"/>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4"/>
  </w:num>
  <w:num w:numId="2">
    <w:abstractNumId w:val="11"/>
  </w:num>
  <w:num w:numId="3">
    <w:abstractNumId w:val="28"/>
  </w:num>
  <w:num w:numId="4">
    <w:abstractNumId w:val="23"/>
  </w:num>
  <w:num w:numId="5">
    <w:abstractNumId w:val="34"/>
  </w:num>
  <w:num w:numId="6">
    <w:abstractNumId w:val="30"/>
  </w:num>
  <w:num w:numId="7">
    <w:abstractNumId w:val="12"/>
  </w:num>
  <w:num w:numId="8">
    <w:abstractNumId w:val="7"/>
  </w:num>
  <w:num w:numId="9">
    <w:abstractNumId w:val="5"/>
  </w:num>
  <w:num w:numId="10">
    <w:abstractNumId w:val="10"/>
  </w:num>
  <w:num w:numId="11">
    <w:abstractNumId w:val="1"/>
  </w:num>
  <w:num w:numId="12">
    <w:abstractNumId w:val="19"/>
  </w:num>
  <w:num w:numId="13">
    <w:abstractNumId w:val="9"/>
  </w:num>
  <w:num w:numId="14">
    <w:abstractNumId w:val="16"/>
  </w:num>
  <w:num w:numId="15">
    <w:abstractNumId w:val="18"/>
  </w:num>
  <w:num w:numId="16">
    <w:abstractNumId w:val="0"/>
  </w:num>
  <w:num w:numId="17">
    <w:abstractNumId w:val="3"/>
  </w:num>
  <w:num w:numId="18">
    <w:abstractNumId w:val="26"/>
  </w:num>
  <w:num w:numId="19">
    <w:abstractNumId w:val="22"/>
  </w:num>
  <w:num w:numId="20">
    <w:abstractNumId w:val="17"/>
  </w:num>
  <w:num w:numId="21">
    <w:abstractNumId w:val="15"/>
  </w:num>
  <w:num w:numId="22">
    <w:abstractNumId w:val="27"/>
  </w:num>
  <w:num w:numId="23">
    <w:abstractNumId w:val="31"/>
  </w:num>
  <w:num w:numId="24">
    <w:abstractNumId w:val="8"/>
  </w:num>
  <w:num w:numId="25">
    <w:abstractNumId w:val="38"/>
  </w:num>
  <w:num w:numId="26">
    <w:abstractNumId w:val="6"/>
  </w:num>
  <w:num w:numId="27">
    <w:abstractNumId w:val="4"/>
  </w:num>
  <w:num w:numId="28">
    <w:abstractNumId w:val="24"/>
  </w:num>
  <w:num w:numId="29">
    <w:abstractNumId w:val="2"/>
  </w:num>
  <w:num w:numId="30">
    <w:abstractNumId w:val="25"/>
  </w:num>
  <w:num w:numId="31">
    <w:abstractNumId w:val="29"/>
  </w:num>
  <w:num w:numId="32">
    <w:abstractNumId w:val="32"/>
  </w:num>
  <w:num w:numId="33">
    <w:abstractNumId w:val="20"/>
  </w:num>
  <w:num w:numId="34">
    <w:abstractNumId w:val="33"/>
  </w:num>
  <w:num w:numId="35">
    <w:abstractNumId w:val="35"/>
  </w:num>
  <w:num w:numId="36">
    <w:abstractNumId w:val="21"/>
  </w:num>
  <w:num w:numId="37">
    <w:abstractNumId w:val="37"/>
  </w:num>
  <w:num w:numId="38">
    <w:abstractNumId w:val="36"/>
  </w:num>
  <w:num w:numId="39">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32865"/>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932865"/>
    <o:shapelayout v:ext="edit">
      <o:idmap v:ext="edit" data="1"/>
      <o:rules v:ext="edit">
        <o:r id="V:Rule9" type="connector" idref="#_x0000_s1086"/>
        <o:r id="V:Rule10" type="connector" idref="#_x0000_s1085"/>
        <o:r id="V:Rule11" type="connector" idref="#_x0000_s1087"/>
        <o:r id="V:Rule12" type="connector" idref="#_x0000_s1088"/>
        <o:r id="V:Rule13" type="connector" idref="#_x0000_s1091"/>
        <o:r id="V:Rule14" type="connector" idref="#_x0000_s1084"/>
        <o:r id="V:Rule15" type="connector" idref="#_x0000_s1083"/>
        <o:r id="V:Rule16" type="connector" idref="#_x0000_s1089"/>
      </o:rules>
    </o:shapelayout>
  </w:shapeDefaults>
  <w:decimalSymbol w:val=","/>
  <w:listSeparator w:val=";"/>
  <w15:docId w15:val="{9FB2F75A-99F8-4754-AA15-7B408B6DE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outlineLvl w:val="0"/>
    </w:pPr>
    <w:rPr>
      <w:b/>
    </w:rPr>
  </w:style>
  <w:style w:type="paragraph" w:styleId="2">
    <w:name w:val="heading 2"/>
    <w:basedOn w:val="a"/>
    <w:next w:val="a"/>
    <w:qFormat/>
    <w:pPr>
      <w:keepNext/>
      <w:outlineLvl w:val="1"/>
    </w:pPr>
    <w:rPr>
      <w:sz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qFormat/>
    <w:pPr>
      <w:keepNext/>
      <w:tabs>
        <w:tab w:val="left" w:pos="5529"/>
      </w:tabs>
      <w:ind w:right="-87" w:firstLine="993"/>
      <w:jc w:val="both"/>
      <w:outlineLvl w:val="3"/>
    </w:pPr>
    <w:rPr>
      <w:sz w:val="24"/>
    </w:rPr>
  </w:style>
  <w:style w:type="paragraph" w:styleId="5">
    <w:name w:val="heading 5"/>
    <w:basedOn w:val="a"/>
    <w:next w:val="a"/>
    <w:qFormat/>
    <w:pPr>
      <w:keepNext/>
      <w:outlineLvl w:val="4"/>
    </w:pPr>
    <w:rPr>
      <w:sz w:val="24"/>
    </w:rPr>
  </w:style>
  <w:style w:type="paragraph" w:styleId="6">
    <w:name w:val="heading 6"/>
    <w:basedOn w:val="a"/>
    <w:next w:val="a"/>
    <w:qFormat/>
    <w:pPr>
      <w:keepNext/>
      <w:tabs>
        <w:tab w:val="left" w:pos="5529"/>
      </w:tabs>
      <w:outlineLvl w:val="5"/>
    </w:pPr>
    <w:rPr>
      <w:b/>
      <w:sz w:val="28"/>
    </w:rPr>
  </w:style>
  <w:style w:type="paragraph" w:styleId="7">
    <w:name w:val="heading 7"/>
    <w:basedOn w:val="a"/>
    <w:next w:val="a"/>
    <w:qFormat/>
    <w:pPr>
      <w:keepNext/>
      <w:jc w:val="both"/>
      <w:outlineLvl w:val="6"/>
    </w:pPr>
    <w:rPr>
      <w:sz w:val="24"/>
    </w:rPr>
  </w:style>
  <w:style w:type="paragraph" w:styleId="8">
    <w:name w:val="heading 8"/>
    <w:basedOn w:val="a"/>
    <w:next w:val="a"/>
    <w:qFormat/>
    <w:pPr>
      <w:keepNext/>
      <w:ind w:firstLine="708"/>
      <w:jc w:val="both"/>
      <w:outlineLvl w:val="7"/>
    </w:pPr>
    <w:rPr>
      <w:sz w:val="24"/>
      <w:szCs w:val="24"/>
    </w:rPr>
  </w:style>
  <w:style w:type="paragraph" w:styleId="9">
    <w:name w:val="heading 9"/>
    <w:basedOn w:val="a"/>
    <w:next w:val="a"/>
    <w:qFormat/>
    <w:pPr>
      <w:keepNext/>
      <w:jc w:val="both"/>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b/>
    </w:rPr>
  </w:style>
  <w:style w:type="character" w:customStyle="1" w:styleId="30">
    <w:name w:val="Заголовок 3 Знак"/>
    <w:basedOn w:val="a0"/>
    <w:link w:val="3"/>
    <w:rPr>
      <w:rFonts w:ascii="Arial" w:hAnsi="Arial" w:cs="Arial"/>
      <w:b/>
      <w:bCs/>
      <w:sz w:val="26"/>
      <w:szCs w:val="26"/>
    </w:rPr>
  </w:style>
  <w:style w:type="paragraph" w:customStyle="1" w:styleId="a3">
    <w:name w:val="Знак Знак"/>
    <w:basedOn w:val="a"/>
    <w:pPr>
      <w:spacing w:before="100" w:beforeAutospacing="1" w:after="100" w:afterAutospacing="1"/>
    </w:pPr>
    <w:rPr>
      <w:rFonts w:ascii="Tahoma" w:hAnsi="Tahoma"/>
      <w:lang w:val="en-US" w:eastAsia="en-US"/>
    </w:rPr>
  </w:style>
  <w:style w:type="paragraph" w:styleId="20">
    <w:name w:val="Body Text 2"/>
    <w:basedOn w:val="a"/>
    <w:link w:val="21"/>
    <w:pPr>
      <w:ind w:right="43"/>
      <w:jc w:val="both"/>
    </w:pPr>
    <w:rPr>
      <w:sz w:val="24"/>
    </w:rPr>
  </w:style>
  <w:style w:type="character" w:customStyle="1" w:styleId="21">
    <w:name w:val="Основной текст 2 Знак"/>
    <w:basedOn w:val="a0"/>
    <w:link w:val="20"/>
    <w:rPr>
      <w:sz w:val="24"/>
    </w:rPr>
  </w:style>
  <w:style w:type="paragraph" w:styleId="31">
    <w:name w:val="Body Text 3"/>
    <w:basedOn w:val="a"/>
    <w:link w:val="32"/>
    <w:pPr>
      <w:tabs>
        <w:tab w:val="left" w:pos="5529"/>
      </w:tabs>
      <w:ind w:right="-1050"/>
      <w:jc w:val="both"/>
    </w:pPr>
    <w:rPr>
      <w:sz w:val="28"/>
    </w:rPr>
  </w:style>
  <w:style w:type="character" w:customStyle="1" w:styleId="32">
    <w:name w:val="Основной текст 3 Знак"/>
    <w:link w:val="31"/>
    <w:rPr>
      <w:sz w:val="28"/>
      <w:lang w:val="ru-RU" w:eastAsia="ru-RU" w:bidi="ar-SA"/>
    </w:rPr>
  </w:style>
  <w:style w:type="paragraph" w:styleId="a4">
    <w:name w:val="Title"/>
    <w:basedOn w:val="a"/>
    <w:qFormat/>
    <w:pPr>
      <w:jc w:val="center"/>
    </w:pPr>
    <w:rPr>
      <w:b/>
      <w:sz w:val="28"/>
    </w:rPr>
  </w:style>
  <w:style w:type="paragraph" w:styleId="a5">
    <w:name w:val="Body Text"/>
    <w:basedOn w:val="a"/>
    <w:link w:val="a6"/>
    <w:pPr>
      <w:spacing w:after="120"/>
    </w:pPr>
  </w:style>
  <w:style w:type="character" w:customStyle="1" w:styleId="a6">
    <w:name w:val="Основной текст Знак"/>
    <w:basedOn w:val="a0"/>
    <w:link w:val="a5"/>
  </w:style>
  <w:style w:type="paragraph" w:customStyle="1" w:styleId="11">
    <w:name w:val="Знак Знак1"/>
    <w:basedOn w:val="a"/>
    <w:pPr>
      <w:spacing w:after="160" w:line="240" w:lineRule="exact"/>
    </w:pPr>
    <w:rPr>
      <w:rFonts w:ascii="Verdana" w:hAnsi="Verdana"/>
      <w:lang w:val="en-US" w:eastAsia="en-US"/>
    </w:rPr>
  </w:style>
  <w:style w:type="paragraph" w:styleId="a7">
    <w:name w:val="Block Text"/>
    <w:basedOn w:val="a"/>
    <w:pPr>
      <w:ind w:left="720" w:right="43"/>
      <w:jc w:val="center"/>
    </w:pPr>
    <w:rPr>
      <w:sz w:val="24"/>
    </w:rPr>
  </w:style>
  <w:style w:type="paragraph" w:styleId="a8">
    <w:name w:val="Body Text Indent"/>
    <w:basedOn w:val="a"/>
    <w:link w:val="a9"/>
    <w:pPr>
      <w:spacing w:after="120"/>
      <w:ind w:left="283"/>
    </w:pPr>
  </w:style>
  <w:style w:type="character" w:customStyle="1" w:styleId="a9">
    <w:name w:val="Основной текст с отступом Знак"/>
    <w:basedOn w:val="a0"/>
    <w:link w:val="a8"/>
  </w:style>
  <w:style w:type="paragraph" w:customStyle="1" w:styleId="aa">
    <w:name w:val="Знак Знак Знак Знак Знак Знак"/>
    <w:basedOn w:val="a"/>
    <w:pPr>
      <w:spacing w:before="100" w:beforeAutospacing="1" w:after="100" w:afterAutospacing="1"/>
    </w:pPr>
    <w:rPr>
      <w:rFonts w:ascii="Tahoma" w:hAnsi="Tahoma"/>
      <w:lang w:val="en-US" w:eastAsia="en-US"/>
    </w:rPr>
  </w:style>
  <w:style w:type="paragraph" w:styleId="22">
    <w:name w:val="Body Text Indent 2"/>
    <w:basedOn w:val="a"/>
    <w:link w:val="23"/>
    <w:pPr>
      <w:ind w:right="43" w:firstLine="720"/>
      <w:jc w:val="both"/>
    </w:pPr>
    <w:rPr>
      <w:sz w:val="24"/>
    </w:rPr>
  </w:style>
  <w:style w:type="paragraph" w:styleId="33">
    <w:name w:val="Body Text Indent 3"/>
    <w:basedOn w:val="a"/>
    <w:link w:val="34"/>
    <w:pPr>
      <w:ind w:firstLine="720"/>
      <w:jc w:val="both"/>
    </w:pPr>
    <w:rPr>
      <w:sz w:val="28"/>
    </w:rPr>
  </w:style>
  <w:style w:type="character" w:customStyle="1" w:styleId="34">
    <w:name w:val="Основной текст с отступом 3 Знак"/>
    <w:basedOn w:val="a0"/>
    <w:link w:val="33"/>
    <w:rPr>
      <w:sz w:val="28"/>
    </w:rPr>
  </w:style>
  <w:style w:type="paragraph" w:styleId="ab">
    <w:name w:val="header"/>
    <w:basedOn w:val="a"/>
    <w:link w:val="ac"/>
    <w:uiPriority w:val="99"/>
    <w:pPr>
      <w:tabs>
        <w:tab w:val="center" w:pos="4153"/>
        <w:tab w:val="right" w:pos="8306"/>
      </w:tabs>
    </w:pPr>
  </w:style>
  <w:style w:type="character" w:customStyle="1" w:styleId="ac">
    <w:name w:val="Верхний колонтитул Знак"/>
    <w:link w:val="ab"/>
    <w:uiPriority w:val="99"/>
  </w:style>
  <w:style w:type="paragraph" w:styleId="ad">
    <w:name w:val="footer"/>
    <w:basedOn w:val="a"/>
    <w:link w:val="ae"/>
    <w:uiPriority w:val="99"/>
    <w:pPr>
      <w:tabs>
        <w:tab w:val="center" w:pos="4153"/>
        <w:tab w:val="right" w:pos="8306"/>
      </w:tabs>
    </w:pPr>
  </w:style>
  <w:style w:type="character" w:customStyle="1" w:styleId="ae">
    <w:name w:val="Нижний колонтитул Знак"/>
    <w:basedOn w:val="a0"/>
    <w:link w:val="ad"/>
    <w:uiPriority w:val="99"/>
  </w:style>
  <w:style w:type="character" w:styleId="af">
    <w:name w:val="page number"/>
    <w:basedOn w:val="a0"/>
  </w:style>
  <w:style w:type="paragraph" w:styleId="af0">
    <w:name w:val="Plain Text"/>
    <w:basedOn w:val="a"/>
    <w:rPr>
      <w:rFonts w:ascii="Courier New" w:hAnsi="Courier New" w:cs="Courier New"/>
    </w:rPr>
  </w:style>
  <w:style w:type="character" w:styleId="af1">
    <w:name w:val="Hyperlink"/>
    <w:rPr>
      <w:color w:val="0000FF"/>
      <w:u w:val="single"/>
    </w:rPr>
  </w:style>
  <w:style w:type="paragraph" w:customStyle="1" w:styleId="12">
    <w:name w:val="Обычный1"/>
    <w:pPr>
      <w:widowControl w:val="0"/>
      <w:snapToGrid w:val="0"/>
    </w:pPr>
    <w:rPr>
      <w:sz w:val="28"/>
    </w:rPr>
  </w:style>
  <w:style w:type="character" w:customStyle="1" w:styleId="af2">
    <w:name w:val="Знак"/>
    <w:basedOn w:val="a0"/>
  </w:style>
  <w:style w:type="paragraph" w:customStyle="1" w:styleId="af3">
    <w:name w:val="Знак Знак Знак Знак"/>
    <w:basedOn w:val="a"/>
    <w:rPr>
      <w:rFonts w:ascii="Verdana" w:hAnsi="Verdana" w:cs="Verdana"/>
      <w:lang w:val="en-US" w:eastAsia="en-US"/>
    </w:rPr>
  </w:style>
  <w:style w:type="paragraph" w:customStyle="1" w:styleId="13">
    <w:name w:val="Знак Знак1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af4">
    <w:name w:val="Знак Знак Знак Знак Знак Знак Знак Знак"/>
    <w:basedOn w:val="a"/>
    <w:pPr>
      <w:spacing w:after="160" w:line="240" w:lineRule="exact"/>
    </w:pPr>
    <w:rPr>
      <w:rFonts w:ascii="Verdana" w:hAnsi="Verdana"/>
      <w:lang w:val="en-US" w:eastAsia="en-US"/>
    </w:rPr>
  </w:style>
  <w:style w:type="paragraph" w:customStyle="1" w:styleId="14">
    <w:name w:val="Знак Знак Знак Знак Знак Знак1 Знак Знак Знак Знак Знак Знак Знак Знак Знак Знак"/>
    <w:basedOn w:val="a"/>
    <w:pPr>
      <w:tabs>
        <w:tab w:val="num" w:pos="360"/>
      </w:tabs>
      <w:spacing w:after="160" w:line="240" w:lineRule="exact"/>
    </w:pPr>
    <w:rPr>
      <w:rFonts w:ascii="Verdana" w:hAnsi="Verdana" w:cs="Verdana"/>
      <w:lang w:val="en-US" w:eastAsia="en-US"/>
    </w:rPr>
  </w:style>
  <w:style w:type="character" w:customStyle="1" w:styleId="af5">
    <w:name w:val="Знак Знак"/>
    <w:rPr>
      <w:sz w:val="28"/>
      <w:lang w:val="ru-RU" w:eastAsia="ru-RU" w:bidi="ar-SA"/>
    </w:rPr>
  </w:style>
  <w:style w:type="paragraph" w:customStyle="1" w:styleId="ConsPlusCell">
    <w:name w:val="ConsPlusCell"/>
    <w:pPr>
      <w:autoSpaceDE w:val="0"/>
      <w:autoSpaceDN w:val="0"/>
      <w:adjustRightInd w:val="0"/>
    </w:pPr>
  </w:style>
  <w:style w:type="paragraph" w:styleId="af6">
    <w:name w:val="Balloon Text"/>
    <w:basedOn w:val="a"/>
    <w:semiHidden/>
    <w:rPr>
      <w:rFonts w:ascii="Tahoma" w:hAnsi="Tahoma" w:cs="Tahoma"/>
      <w:sz w:val="16"/>
      <w:szCs w:val="16"/>
    </w:rPr>
  </w:style>
  <w:style w:type="paragraph" w:customStyle="1" w:styleId="24">
    <w:name w:val="Знак2"/>
    <w:basedOn w:val="a"/>
    <w:rPr>
      <w:rFonts w:ascii="Verdana" w:hAnsi="Verdana" w:cs="Verdana"/>
      <w:lang w:val="en-US" w:eastAsia="en-US"/>
    </w:rPr>
  </w:style>
  <w:style w:type="table" w:styleId="af7">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сновной текст с отступом 21"/>
    <w:basedOn w:val="a"/>
    <w:uiPriority w:val="99"/>
    <w:pPr>
      <w:suppressAutoHyphens/>
      <w:ind w:firstLine="360"/>
      <w:jc w:val="both"/>
    </w:pPr>
    <w:rPr>
      <w:sz w:val="24"/>
      <w:lang w:eastAsia="ar-SA"/>
    </w:rPr>
  </w:style>
  <w:style w:type="paragraph" w:styleId="af8">
    <w:name w:val="List Paragraph"/>
    <w:basedOn w:val="a"/>
    <w:uiPriority w:val="34"/>
    <w:qFormat/>
    <w:pPr>
      <w:ind w:left="720"/>
      <w:contextualSpacing/>
    </w:pPr>
  </w:style>
  <w:style w:type="paragraph" w:customStyle="1" w:styleId="15">
    <w:name w:val="Знак Знак Знак Знак Знак Знак Знак1"/>
    <w:basedOn w:val="a"/>
    <w:autoRedefine/>
    <w:pPr>
      <w:spacing w:after="160" w:line="240" w:lineRule="exact"/>
      <w:ind w:left="540"/>
    </w:pPr>
    <w:rPr>
      <w:rFonts w:eastAsia="SimSun"/>
      <w:b/>
      <w:sz w:val="32"/>
      <w:szCs w:val="32"/>
      <w:lang w:eastAsia="en-US"/>
    </w:rPr>
  </w:style>
  <w:style w:type="character" w:customStyle="1" w:styleId="25">
    <w:name w:val="Основной текст (2)_"/>
    <w:basedOn w:val="a0"/>
    <w:link w:val="26"/>
    <w:rPr>
      <w:b/>
      <w:bCs/>
      <w:spacing w:val="6"/>
      <w:sz w:val="13"/>
      <w:szCs w:val="13"/>
      <w:shd w:val="clear" w:color="auto" w:fill="FFFFFF"/>
    </w:rPr>
  </w:style>
  <w:style w:type="paragraph" w:customStyle="1" w:styleId="26">
    <w:name w:val="Основной текст (2)"/>
    <w:basedOn w:val="a"/>
    <w:link w:val="25"/>
    <w:pPr>
      <w:widowControl w:val="0"/>
      <w:shd w:val="clear" w:color="auto" w:fill="FFFFFF"/>
      <w:spacing w:line="178" w:lineRule="exact"/>
      <w:ind w:hanging="1160"/>
    </w:pPr>
    <w:rPr>
      <w:b/>
      <w:bCs/>
      <w:spacing w:val="6"/>
      <w:sz w:val="13"/>
      <w:szCs w:val="13"/>
    </w:rPr>
  </w:style>
  <w:style w:type="character" w:customStyle="1" w:styleId="af9">
    <w:name w:val="Основной текст_"/>
    <w:basedOn w:val="a0"/>
    <w:link w:val="27"/>
    <w:rPr>
      <w:spacing w:val="2"/>
      <w:sz w:val="14"/>
      <w:szCs w:val="14"/>
      <w:shd w:val="clear" w:color="auto" w:fill="FFFFFF"/>
    </w:rPr>
  </w:style>
  <w:style w:type="paragraph" w:customStyle="1" w:styleId="27">
    <w:name w:val="Основной текст2"/>
    <w:basedOn w:val="a"/>
    <w:link w:val="af9"/>
    <w:pPr>
      <w:widowControl w:val="0"/>
      <w:shd w:val="clear" w:color="auto" w:fill="FFFFFF"/>
      <w:spacing w:line="182" w:lineRule="exact"/>
      <w:ind w:firstLine="480"/>
      <w:jc w:val="both"/>
    </w:pPr>
    <w:rPr>
      <w:spacing w:val="2"/>
      <w:sz w:val="14"/>
      <w:szCs w:val="14"/>
    </w:rPr>
  </w:style>
  <w:style w:type="character" w:customStyle="1" w:styleId="16">
    <w:name w:val="Основной текст1"/>
    <w:basedOn w:val="af9"/>
    <w:rPr>
      <w:color w:val="000000"/>
      <w:spacing w:val="2"/>
      <w:w w:val="100"/>
      <w:position w:val="0"/>
      <w:sz w:val="14"/>
      <w:szCs w:val="14"/>
      <w:u w:val="single"/>
      <w:shd w:val="clear" w:color="auto" w:fill="FFFFFF"/>
      <w:lang w:val="ru-RU"/>
    </w:rPr>
  </w:style>
  <w:style w:type="character" w:customStyle="1" w:styleId="afa">
    <w:name w:val="Подпись к таблице_"/>
    <w:basedOn w:val="a0"/>
    <w:link w:val="afb"/>
    <w:rPr>
      <w:spacing w:val="2"/>
      <w:sz w:val="14"/>
      <w:szCs w:val="14"/>
      <w:shd w:val="clear" w:color="auto" w:fill="FFFFFF"/>
    </w:rPr>
  </w:style>
  <w:style w:type="paragraph" w:customStyle="1" w:styleId="afb">
    <w:name w:val="Подпись к таблице"/>
    <w:basedOn w:val="a"/>
    <w:link w:val="afa"/>
    <w:pPr>
      <w:widowControl w:val="0"/>
      <w:shd w:val="clear" w:color="auto" w:fill="FFFFFF"/>
      <w:spacing w:line="0" w:lineRule="atLeast"/>
    </w:pPr>
    <w:rPr>
      <w:spacing w:val="2"/>
      <w:sz w:val="14"/>
      <w:szCs w:val="14"/>
    </w:rPr>
  </w:style>
  <w:style w:type="character" w:customStyle="1" w:styleId="55pt">
    <w:name w:val="Основной текст + 5;5 pt"/>
    <w:basedOn w:val="af9"/>
    <w:rPr>
      <w:rFonts w:ascii="Times New Roman" w:eastAsia="Times New Roman" w:hAnsi="Times New Roman" w:cs="Times New Roman"/>
      <w:b w:val="0"/>
      <w:bCs w:val="0"/>
      <w:i w:val="0"/>
      <w:iCs w:val="0"/>
      <w:smallCaps w:val="0"/>
      <w:strike w:val="0"/>
      <w:color w:val="000000"/>
      <w:spacing w:val="2"/>
      <w:w w:val="100"/>
      <w:position w:val="0"/>
      <w:sz w:val="11"/>
      <w:szCs w:val="11"/>
      <w:u w:val="none"/>
      <w:shd w:val="clear" w:color="auto" w:fill="FFFFFF"/>
      <w:lang w:val="ru-RU"/>
    </w:rPr>
  </w:style>
  <w:style w:type="character" w:customStyle="1" w:styleId="28">
    <w:name w:val="Подпись к таблице (2)_"/>
    <w:basedOn w:val="a0"/>
    <w:link w:val="29"/>
    <w:rPr>
      <w:sz w:val="15"/>
      <w:szCs w:val="15"/>
      <w:shd w:val="clear" w:color="auto" w:fill="FFFFFF"/>
    </w:rPr>
  </w:style>
  <w:style w:type="paragraph" w:customStyle="1" w:styleId="29">
    <w:name w:val="Подпись к таблице (2)"/>
    <w:basedOn w:val="a"/>
    <w:link w:val="28"/>
    <w:pPr>
      <w:widowControl w:val="0"/>
      <w:shd w:val="clear" w:color="auto" w:fill="FFFFFF"/>
      <w:spacing w:line="0" w:lineRule="atLeast"/>
    </w:pPr>
    <w:rPr>
      <w:sz w:val="15"/>
      <w:szCs w:val="15"/>
    </w:rPr>
  </w:style>
  <w:style w:type="character" w:customStyle="1" w:styleId="55pt0pt">
    <w:name w:val="Основной текст + 5;5 pt;Интервал 0 pt"/>
    <w:basedOn w:val="af9"/>
    <w:rPr>
      <w:rFonts w:ascii="Times New Roman" w:eastAsia="Times New Roman" w:hAnsi="Times New Roman" w:cs="Times New Roman"/>
      <w:b w:val="0"/>
      <w:bCs w:val="0"/>
      <w:i w:val="0"/>
      <w:iCs w:val="0"/>
      <w:smallCaps w:val="0"/>
      <w:strike w:val="0"/>
      <w:color w:val="000000"/>
      <w:spacing w:val="3"/>
      <w:w w:val="100"/>
      <w:position w:val="0"/>
      <w:sz w:val="11"/>
      <w:szCs w:val="11"/>
      <w:u w:val="none"/>
      <w:shd w:val="clear" w:color="auto" w:fill="FFFFFF"/>
      <w:lang w:val="ru-RU"/>
    </w:rPr>
  </w:style>
  <w:style w:type="character" w:customStyle="1" w:styleId="0pt">
    <w:name w:val="Основной текст + Интервал 0 pt"/>
    <w:basedOn w:val="af9"/>
    <w:rPr>
      <w:rFonts w:ascii="Times New Roman" w:eastAsia="Times New Roman" w:hAnsi="Times New Roman" w:cs="Times New Roman"/>
      <w:b w:val="0"/>
      <w:bCs w:val="0"/>
      <w:i w:val="0"/>
      <w:iCs w:val="0"/>
      <w:smallCaps w:val="0"/>
      <w:strike w:val="0"/>
      <w:color w:val="000000"/>
      <w:spacing w:val="3"/>
      <w:w w:val="100"/>
      <w:position w:val="0"/>
      <w:sz w:val="14"/>
      <w:szCs w:val="14"/>
      <w:u w:val="none"/>
      <w:shd w:val="clear" w:color="auto" w:fill="FFFFFF"/>
      <w:lang w:val="ru-RU"/>
    </w:rPr>
  </w:style>
  <w:style w:type="character" w:customStyle="1" w:styleId="65pt0pt">
    <w:name w:val="Основной текст + 6;5 pt;Полужирный;Интервал 0 pt"/>
    <w:basedOn w:val="af9"/>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rPr>
  </w:style>
  <w:style w:type="character" w:customStyle="1" w:styleId="0pt0">
    <w:name w:val="Подпись к таблице + Интервал 0 pt"/>
    <w:basedOn w:val="afa"/>
    <w:rPr>
      <w:rFonts w:ascii="Times New Roman" w:eastAsia="Times New Roman" w:hAnsi="Times New Roman" w:cs="Times New Roman"/>
      <w:b w:val="0"/>
      <w:bCs w:val="0"/>
      <w:i w:val="0"/>
      <w:iCs w:val="0"/>
      <w:smallCaps w:val="0"/>
      <w:strike w:val="0"/>
      <w:color w:val="000000"/>
      <w:spacing w:val="3"/>
      <w:w w:val="100"/>
      <w:position w:val="0"/>
      <w:sz w:val="14"/>
      <w:szCs w:val="14"/>
      <w:u w:val="none"/>
      <w:shd w:val="clear" w:color="auto" w:fill="FFFFFF"/>
      <w:lang w:val="ru-RU"/>
    </w:rPr>
  </w:style>
  <w:style w:type="paragraph" w:customStyle="1" w:styleId="ConsPlusNormal">
    <w:name w:val="ConsPlusNormal"/>
    <w:link w:val="ConsPlusNormal0"/>
    <w:pPr>
      <w:autoSpaceDE w:val="0"/>
      <w:autoSpaceDN w:val="0"/>
      <w:adjustRightInd w:val="0"/>
    </w:pPr>
    <w:rPr>
      <w:sz w:val="24"/>
      <w:szCs w:val="24"/>
    </w:rPr>
  </w:style>
  <w:style w:type="character" w:customStyle="1" w:styleId="ConsPlusNormal0">
    <w:name w:val="ConsPlusNormal Знак"/>
    <w:link w:val="ConsPlusNormal"/>
    <w:locked/>
    <w:rPr>
      <w:sz w:val="24"/>
      <w:szCs w:val="24"/>
    </w:rPr>
  </w:style>
  <w:style w:type="paragraph" w:styleId="afc">
    <w:name w:val="Normal (Web)"/>
    <w:basedOn w:val="a"/>
    <w:uiPriority w:val="99"/>
    <w:unhideWhenUsed/>
    <w:pPr>
      <w:spacing w:before="100" w:beforeAutospacing="1" w:after="100" w:afterAutospacing="1"/>
    </w:pPr>
    <w:rPr>
      <w:sz w:val="24"/>
      <w:szCs w:val="24"/>
    </w:rPr>
  </w:style>
  <w:style w:type="paragraph" w:customStyle="1" w:styleId="211">
    <w:name w:val="Основной текст 21"/>
    <w:basedOn w:val="a"/>
    <w:pPr>
      <w:widowControl w:val="0"/>
      <w:spacing w:line="360" w:lineRule="auto"/>
      <w:ind w:firstLine="709"/>
      <w:jc w:val="both"/>
    </w:pPr>
    <w:rPr>
      <w:snapToGrid w:val="0"/>
      <w:sz w:val="26"/>
    </w:r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17">
    <w:name w:val="Знак1"/>
    <w:basedOn w:val="a"/>
    <w:pPr>
      <w:tabs>
        <w:tab w:val="num" w:pos="360"/>
      </w:tabs>
      <w:spacing w:after="160" w:line="240" w:lineRule="exact"/>
    </w:pPr>
    <w:rPr>
      <w:rFonts w:ascii="Verdana" w:hAnsi="Verdana" w:cs="Verdana"/>
      <w:lang w:val="en-US" w:eastAsia="en-US"/>
    </w:rPr>
  </w:style>
  <w:style w:type="paragraph" w:customStyle="1" w:styleId="afd">
    <w:name w:val="Знак Знак Знак Знак Знак Знак Знак"/>
    <w:basedOn w:val="a"/>
    <w:rPr>
      <w:rFonts w:ascii="Verdana" w:hAnsi="Verdana" w:cs="Verdana"/>
      <w:lang w:val="en-US" w:eastAsia="en-US"/>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rPr>
      <w:rFonts w:ascii="Courier New" w:hAnsi="Courier New" w:cs="Courier New"/>
    </w:rPr>
  </w:style>
  <w:style w:type="paragraph" w:styleId="afe">
    <w:name w:val="annotation text"/>
    <w:basedOn w:val="a"/>
    <w:link w:val="aff"/>
    <w:semiHidden/>
    <w:unhideWhenUsed/>
  </w:style>
  <w:style w:type="character" w:customStyle="1" w:styleId="aff">
    <w:name w:val="Текст примечания Знак"/>
    <w:basedOn w:val="a0"/>
    <w:link w:val="afe"/>
    <w:semiHidden/>
  </w:style>
  <w:style w:type="paragraph" w:styleId="aff0">
    <w:name w:val="annotation subject"/>
    <w:basedOn w:val="afe"/>
    <w:next w:val="afe"/>
    <w:link w:val="aff1"/>
    <w:semiHidden/>
    <w:unhideWhenUsed/>
    <w:rPr>
      <w:b/>
      <w:bCs/>
    </w:rPr>
  </w:style>
  <w:style w:type="character" w:customStyle="1" w:styleId="aff1">
    <w:name w:val="Тема примечания Знак"/>
    <w:basedOn w:val="aff"/>
    <w:link w:val="aff0"/>
    <w:semiHidden/>
    <w:rPr>
      <w:b/>
      <w:bCs/>
    </w:rPr>
  </w:style>
  <w:style w:type="character" w:customStyle="1" w:styleId="wmi-callto">
    <w:name w:val="wmi-callto"/>
    <w:basedOn w:val="a0"/>
  </w:style>
  <w:style w:type="character" w:customStyle="1" w:styleId="23">
    <w:name w:val="Основной текст с отступом 2 Знак"/>
    <w:link w:val="2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35410">
      <w:bodyDiv w:val="1"/>
      <w:marLeft w:val="0"/>
      <w:marRight w:val="0"/>
      <w:marTop w:val="0"/>
      <w:marBottom w:val="0"/>
      <w:divBdr>
        <w:top w:val="none" w:sz="0" w:space="0" w:color="auto"/>
        <w:left w:val="none" w:sz="0" w:space="0" w:color="auto"/>
        <w:bottom w:val="none" w:sz="0" w:space="0" w:color="auto"/>
        <w:right w:val="none" w:sz="0" w:space="0" w:color="auto"/>
      </w:divBdr>
    </w:div>
    <w:div w:id="135725978">
      <w:bodyDiv w:val="1"/>
      <w:marLeft w:val="0"/>
      <w:marRight w:val="0"/>
      <w:marTop w:val="0"/>
      <w:marBottom w:val="0"/>
      <w:divBdr>
        <w:top w:val="none" w:sz="0" w:space="0" w:color="auto"/>
        <w:left w:val="none" w:sz="0" w:space="0" w:color="auto"/>
        <w:bottom w:val="none" w:sz="0" w:space="0" w:color="auto"/>
        <w:right w:val="none" w:sz="0" w:space="0" w:color="auto"/>
      </w:divBdr>
    </w:div>
    <w:div w:id="139226490">
      <w:bodyDiv w:val="1"/>
      <w:marLeft w:val="0"/>
      <w:marRight w:val="0"/>
      <w:marTop w:val="0"/>
      <w:marBottom w:val="0"/>
      <w:divBdr>
        <w:top w:val="none" w:sz="0" w:space="0" w:color="auto"/>
        <w:left w:val="none" w:sz="0" w:space="0" w:color="auto"/>
        <w:bottom w:val="none" w:sz="0" w:space="0" w:color="auto"/>
        <w:right w:val="none" w:sz="0" w:space="0" w:color="auto"/>
      </w:divBdr>
    </w:div>
    <w:div w:id="209853486">
      <w:bodyDiv w:val="1"/>
      <w:marLeft w:val="0"/>
      <w:marRight w:val="0"/>
      <w:marTop w:val="0"/>
      <w:marBottom w:val="0"/>
      <w:divBdr>
        <w:top w:val="none" w:sz="0" w:space="0" w:color="auto"/>
        <w:left w:val="none" w:sz="0" w:space="0" w:color="auto"/>
        <w:bottom w:val="none" w:sz="0" w:space="0" w:color="auto"/>
        <w:right w:val="none" w:sz="0" w:space="0" w:color="auto"/>
      </w:divBdr>
    </w:div>
    <w:div w:id="225535725">
      <w:bodyDiv w:val="1"/>
      <w:marLeft w:val="0"/>
      <w:marRight w:val="0"/>
      <w:marTop w:val="0"/>
      <w:marBottom w:val="0"/>
      <w:divBdr>
        <w:top w:val="none" w:sz="0" w:space="0" w:color="auto"/>
        <w:left w:val="none" w:sz="0" w:space="0" w:color="auto"/>
        <w:bottom w:val="none" w:sz="0" w:space="0" w:color="auto"/>
        <w:right w:val="none" w:sz="0" w:space="0" w:color="auto"/>
      </w:divBdr>
    </w:div>
    <w:div w:id="245463019">
      <w:bodyDiv w:val="1"/>
      <w:marLeft w:val="0"/>
      <w:marRight w:val="0"/>
      <w:marTop w:val="0"/>
      <w:marBottom w:val="0"/>
      <w:divBdr>
        <w:top w:val="none" w:sz="0" w:space="0" w:color="auto"/>
        <w:left w:val="none" w:sz="0" w:space="0" w:color="auto"/>
        <w:bottom w:val="none" w:sz="0" w:space="0" w:color="auto"/>
        <w:right w:val="none" w:sz="0" w:space="0" w:color="auto"/>
      </w:divBdr>
    </w:div>
    <w:div w:id="258218494">
      <w:bodyDiv w:val="1"/>
      <w:marLeft w:val="0"/>
      <w:marRight w:val="0"/>
      <w:marTop w:val="0"/>
      <w:marBottom w:val="0"/>
      <w:divBdr>
        <w:top w:val="none" w:sz="0" w:space="0" w:color="auto"/>
        <w:left w:val="none" w:sz="0" w:space="0" w:color="auto"/>
        <w:bottom w:val="none" w:sz="0" w:space="0" w:color="auto"/>
        <w:right w:val="none" w:sz="0" w:space="0" w:color="auto"/>
      </w:divBdr>
    </w:div>
    <w:div w:id="314535557">
      <w:bodyDiv w:val="1"/>
      <w:marLeft w:val="0"/>
      <w:marRight w:val="0"/>
      <w:marTop w:val="0"/>
      <w:marBottom w:val="0"/>
      <w:divBdr>
        <w:top w:val="none" w:sz="0" w:space="0" w:color="auto"/>
        <w:left w:val="none" w:sz="0" w:space="0" w:color="auto"/>
        <w:bottom w:val="none" w:sz="0" w:space="0" w:color="auto"/>
        <w:right w:val="none" w:sz="0" w:space="0" w:color="auto"/>
      </w:divBdr>
    </w:div>
    <w:div w:id="354888214">
      <w:bodyDiv w:val="1"/>
      <w:marLeft w:val="0"/>
      <w:marRight w:val="0"/>
      <w:marTop w:val="0"/>
      <w:marBottom w:val="0"/>
      <w:divBdr>
        <w:top w:val="none" w:sz="0" w:space="0" w:color="auto"/>
        <w:left w:val="none" w:sz="0" w:space="0" w:color="auto"/>
        <w:bottom w:val="none" w:sz="0" w:space="0" w:color="auto"/>
        <w:right w:val="none" w:sz="0" w:space="0" w:color="auto"/>
      </w:divBdr>
    </w:div>
    <w:div w:id="355471847">
      <w:bodyDiv w:val="1"/>
      <w:marLeft w:val="0"/>
      <w:marRight w:val="0"/>
      <w:marTop w:val="0"/>
      <w:marBottom w:val="0"/>
      <w:divBdr>
        <w:top w:val="none" w:sz="0" w:space="0" w:color="auto"/>
        <w:left w:val="none" w:sz="0" w:space="0" w:color="auto"/>
        <w:bottom w:val="none" w:sz="0" w:space="0" w:color="auto"/>
        <w:right w:val="none" w:sz="0" w:space="0" w:color="auto"/>
      </w:divBdr>
    </w:div>
    <w:div w:id="384908972">
      <w:bodyDiv w:val="1"/>
      <w:marLeft w:val="0"/>
      <w:marRight w:val="0"/>
      <w:marTop w:val="0"/>
      <w:marBottom w:val="0"/>
      <w:divBdr>
        <w:top w:val="none" w:sz="0" w:space="0" w:color="auto"/>
        <w:left w:val="none" w:sz="0" w:space="0" w:color="auto"/>
        <w:bottom w:val="none" w:sz="0" w:space="0" w:color="auto"/>
        <w:right w:val="none" w:sz="0" w:space="0" w:color="auto"/>
      </w:divBdr>
    </w:div>
    <w:div w:id="473104924">
      <w:bodyDiv w:val="1"/>
      <w:marLeft w:val="0"/>
      <w:marRight w:val="0"/>
      <w:marTop w:val="0"/>
      <w:marBottom w:val="0"/>
      <w:divBdr>
        <w:top w:val="none" w:sz="0" w:space="0" w:color="auto"/>
        <w:left w:val="none" w:sz="0" w:space="0" w:color="auto"/>
        <w:bottom w:val="none" w:sz="0" w:space="0" w:color="auto"/>
        <w:right w:val="none" w:sz="0" w:space="0" w:color="auto"/>
      </w:divBdr>
    </w:div>
    <w:div w:id="573205501">
      <w:bodyDiv w:val="1"/>
      <w:marLeft w:val="0"/>
      <w:marRight w:val="0"/>
      <w:marTop w:val="0"/>
      <w:marBottom w:val="0"/>
      <w:divBdr>
        <w:top w:val="none" w:sz="0" w:space="0" w:color="auto"/>
        <w:left w:val="none" w:sz="0" w:space="0" w:color="auto"/>
        <w:bottom w:val="none" w:sz="0" w:space="0" w:color="auto"/>
        <w:right w:val="none" w:sz="0" w:space="0" w:color="auto"/>
      </w:divBdr>
    </w:div>
    <w:div w:id="574323200">
      <w:bodyDiv w:val="1"/>
      <w:marLeft w:val="0"/>
      <w:marRight w:val="0"/>
      <w:marTop w:val="0"/>
      <w:marBottom w:val="0"/>
      <w:divBdr>
        <w:top w:val="none" w:sz="0" w:space="0" w:color="auto"/>
        <w:left w:val="none" w:sz="0" w:space="0" w:color="auto"/>
        <w:bottom w:val="none" w:sz="0" w:space="0" w:color="auto"/>
        <w:right w:val="none" w:sz="0" w:space="0" w:color="auto"/>
      </w:divBdr>
    </w:div>
    <w:div w:id="598027396">
      <w:bodyDiv w:val="1"/>
      <w:marLeft w:val="0"/>
      <w:marRight w:val="0"/>
      <w:marTop w:val="0"/>
      <w:marBottom w:val="0"/>
      <w:divBdr>
        <w:top w:val="none" w:sz="0" w:space="0" w:color="auto"/>
        <w:left w:val="none" w:sz="0" w:space="0" w:color="auto"/>
        <w:bottom w:val="none" w:sz="0" w:space="0" w:color="auto"/>
        <w:right w:val="none" w:sz="0" w:space="0" w:color="auto"/>
      </w:divBdr>
    </w:div>
    <w:div w:id="644042776">
      <w:bodyDiv w:val="1"/>
      <w:marLeft w:val="0"/>
      <w:marRight w:val="0"/>
      <w:marTop w:val="0"/>
      <w:marBottom w:val="0"/>
      <w:divBdr>
        <w:top w:val="none" w:sz="0" w:space="0" w:color="auto"/>
        <w:left w:val="none" w:sz="0" w:space="0" w:color="auto"/>
        <w:bottom w:val="none" w:sz="0" w:space="0" w:color="auto"/>
        <w:right w:val="none" w:sz="0" w:space="0" w:color="auto"/>
      </w:divBdr>
    </w:div>
    <w:div w:id="681976968">
      <w:bodyDiv w:val="1"/>
      <w:marLeft w:val="0"/>
      <w:marRight w:val="0"/>
      <w:marTop w:val="0"/>
      <w:marBottom w:val="0"/>
      <w:divBdr>
        <w:top w:val="none" w:sz="0" w:space="0" w:color="auto"/>
        <w:left w:val="none" w:sz="0" w:space="0" w:color="auto"/>
        <w:bottom w:val="none" w:sz="0" w:space="0" w:color="auto"/>
        <w:right w:val="none" w:sz="0" w:space="0" w:color="auto"/>
      </w:divBdr>
    </w:div>
    <w:div w:id="694506828">
      <w:bodyDiv w:val="1"/>
      <w:marLeft w:val="0"/>
      <w:marRight w:val="0"/>
      <w:marTop w:val="0"/>
      <w:marBottom w:val="0"/>
      <w:divBdr>
        <w:top w:val="none" w:sz="0" w:space="0" w:color="auto"/>
        <w:left w:val="none" w:sz="0" w:space="0" w:color="auto"/>
        <w:bottom w:val="none" w:sz="0" w:space="0" w:color="auto"/>
        <w:right w:val="none" w:sz="0" w:space="0" w:color="auto"/>
      </w:divBdr>
    </w:div>
    <w:div w:id="766585639">
      <w:bodyDiv w:val="1"/>
      <w:marLeft w:val="0"/>
      <w:marRight w:val="0"/>
      <w:marTop w:val="0"/>
      <w:marBottom w:val="0"/>
      <w:divBdr>
        <w:top w:val="none" w:sz="0" w:space="0" w:color="auto"/>
        <w:left w:val="none" w:sz="0" w:space="0" w:color="auto"/>
        <w:bottom w:val="none" w:sz="0" w:space="0" w:color="auto"/>
        <w:right w:val="none" w:sz="0" w:space="0" w:color="auto"/>
      </w:divBdr>
    </w:div>
    <w:div w:id="793645104">
      <w:bodyDiv w:val="1"/>
      <w:marLeft w:val="0"/>
      <w:marRight w:val="0"/>
      <w:marTop w:val="0"/>
      <w:marBottom w:val="0"/>
      <w:divBdr>
        <w:top w:val="none" w:sz="0" w:space="0" w:color="auto"/>
        <w:left w:val="none" w:sz="0" w:space="0" w:color="auto"/>
        <w:bottom w:val="none" w:sz="0" w:space="0" w:color="auto"/>
        <w:right w:val="none" w:sz="0" w:space="0" w:color="auto"/>
      </w:divBdr>
    </w:div>
    <w:div w:id="898708466">
      <w:bodyDiv w:val="1"/>
      <w:marLeft w:val="0"/>
      <w:marRight w:val="0"/>
      <w:marTop w:val="0"/>
      <w:marBottom w:val="0"/>
      <w:divBdr>
        <w:top w:val="none" w:sz="0" w:space="0" w:color="auto"/>
        <w:left w:val="none" w:sz="0" w:space="0" w:color="auto"/>
        <w:bottom w:val="none" w:sz="0" w:space="0" w:color="auto"/>
        <w:right w:val="none" w:sz="0" w:space="0" w:color="auto"/>
      </w:divBdr>
    </w:div>
    <w:div w:id="955793729">
      <w:bodyDiv w:val="1"/>
      <w:marLeft w:val="0"/>
      <w:marRight w:val="0"/>
      <w:marTop w:val="0"/>
      <w:marBottom w:val="0"/>
      <w:divBdr>
        <w:top w:val="none" w:sz="0" w:space="0" w:color="auto"/>
        <w:left w:val="none" w:sz="0" w:space="0" w:color="auto"/>
        <w:bottom w:val="none" w:sz="0" w:space="0" w:color="auto"/>
        <w:right w:val="none" w:sz="0" w:space="0" w:color="auto"/>
      </w:divBdr>
    </w:div>
    <w:div w:id="1002126867">
      <w:bodyDiv w:val="1"/>
      <w:marLeft w:val="0"/>
      <w:marRight w:val="0"/>
      <w:marTop w:val="0"/>
      <w:marBottom w:val="0"/>
      <w:divBdr>
        <w:top w:val="none" w:sz="0" w:space="0" w:color="auto"/>
        <w:left w:val="none" w:sz="0" w:space="0" w:color="auto"/>
        <w:bottom w:val="none" w:sz="0" w:space="0" w:color="auto"/>
        <w:right w:val="none" w:sz="0" w:space="0" w:color="auto"/>
      </w:divBdr>
    </w:div>
    <w:div w:id="1016737256">
      <w:bodyDiv w:val="1"/>
      <w:marLeft w:val="0"/>
      <w:marRight w:val="0"/>
      <w:marTop w:val="0"/>
      <w:marBottom w:val="0"/>
      <w:divBdr>
        <w:top w:val="none" w:sz="0" w:space="0" w:color="auto"/>
        <w:left w:val="none" w:sz="0" w:space="0" w:color="auto"/>
        <w:bottom w:val="none" w:sz="0" w:space="0" w:color="auto"/>
        <w:right w:val="none" w:sz="0" w:space="0" w:color="auto"/>
      </w:divBdr>
    </w:div>
    <w:div w:id="1118645062">
      <w:bodyDiv w:val="1"/>
      <w:marLeft w:val="0"/>
      <w:marRight w:val="0"/>
      <w:marTop w:val="0"/>
      <w:marBottom w:val="0"/>
      <w:divBdr>
        <w:top w:val="none" w:sz="0" w:space="0" w:color="auto"/>
        <w:left w:val="none" w:sz="0" w:space="0" w:color="auto"/>
        <w:bottom w:val="none" w:sz="0" w:space="0" w:color="auto"/>
        <w:right w:val="none" w:sz="0" w:space="0" w:color="auto"/>
      </w:divBdr>
    </w:div>
    <w:div w:id="1120763790">
      <w:bodyDiv w:val="1"/>
      <w:marLeft w:val="0"/>
      <w:marRight w:val="0"/>
      <w:marTop w:val="0"/>
      <w:marBottom w:val="0"/>
      <w:divBdr>
        <w:top w:val="none" w:sz="0" w:space="0" w:color="auto"/>
        <w:left w:val="none" w:sz="0" w:space="0" w:color="auto"/>
        <w:bottom w:val="none" w:sz="0" w:space="0" w:color="auto"/>
        <w:right w:val="none" w:sz="0" w:space="0" w:color="auto"/>
      </w:divBdr>
    </w:div>
    <w:div w:id="1156533079">
      <w:bodyDiv w:val="1"/>
      <w:marLeft w:val="0"/>
      <w:marRight w:val="0"/>
      <w:marTop w:val="0"/>
      <w:marBottom w:val="0"/>
      <w:divBdr>
        <w:top w:val="none" w:sz="0" w:space="0" w:color="auto"/>
        <w:left w:val="none" w:sz="0" w:space="0" w:color="auto"/>
        <w:bottom w:val="none" w:sz="0" w:space="0" w:color="auto"/>
        <w:right w:val="none" w:sz="0" w:space="0" w:color="auto"/>
      </w:divBdr>
    </w:div>
    <w:div w:id="1176119165">
      <w:bodyDiv w:val="1"/>
      <w:marLeft w:val="0"/>
      <w:marRight w:val="0"/>
      <w:marTop w:val="0"/>
      <w:marBottom w:val="0"/>
      <w:divBdr>
        <w:top w:val="none" w:sz="0" w:space="0" w:color="auto"/>
        <w:left w:val="none" w:sz="0" w:space="0" w:color="auto"/>
        <w:bottom w:val="none" w:sz="0" w:space="0" w:color="auto"/>
        <w:right w:val="none" w:sz="0" w:space="0" w:color="auto"/>
      </w:divBdr>
    </w:div>
    <w:div w:id="1217620930">
      <w:bodyDiv w:val="1"/>
      <w:marLeft w:val="0"/>
      <w:marRight w:val="0"/>
      <w:marTop w:val="0"/>
      <w:marBottom w:val="0"/>
      <w:divBdr>
        <w:top w:val="none" w:sz="0" w:space="0" w:color="auto"/>
        <w:left w:val="none" w:sz="0" w:space="0" w:color="auto"/>
        <w:bottom w:val="none" w:sz="0" w:space="0" w:color="auto"/>
        <w:right w:val="none" w:sz="0" w:space="0" w:color="auto"/>
      </w:divBdr>
    </w:div>
    <w:div w:id="1226604499">
      <w:bodyDiv w:val="1"/>
      <w:marLeft w:val="0"/>
      <w:marRight w:val="0"/>
      <w:marTop w:val="0"/>
      <w:marBottom w:val="0"/>
      <w:divBdr>
        <w:top w:val="none" w:sz="0" w:space="0" w:color="auto"/>
        <w:left w:val="none" w:sz="0" w:space="0" w:color="auto"/>
        <w:bottom w:val="none" w:sz="0" w:space="0" w:color="auto"/>
        <w:right w:val="none" w:sz="0" w:space="0" w:color="auto"/>
      </w:divBdr>
    </w:div>
    <w:div w:id="1232227575">
      <w:bodyDiv w:val="1"/>
      <w:marLeft w:val="0"/>
      <w:marRight w:val="0"/>
      <w:marTop w:val="0"/>
      <w:marBottom w:val="0"/>
      <w:divBdr>
        <w:top w:val="none" w:sz="0" w:space="0" w:color="auto"/>
        <w:left w:val="none" w:sz="0" w:space="0" w:color="auto"/>
        <w:bottom w:val="none" w:sz="0" w:space="0" w:color="auto"/>
        <w:right w:val="none" w:sz="0" w:space="0" w:color="auto"/>
      </w:divBdr>
    </w:div>
    <w:div w:id="1244029085">
      <w:bodyDiv w:val="1"/>
      <w:marLeft w:val="0"/>
      <w:marRight w:val="0"/>
      <w:marTop w:val="0"/>
      <w:marBottom w:val="0"/>
      <w:divBdr>
        <w:top w:val="none" w:sz="0" w:space="0" w:color="auto"/>
        <w:left w:val="none" w:sz="0" w:space="0" w:color="auto"/>
        <w:bottom w:val="none" w:sz="0" w:space="0" w:color="auto"/>
        <w:right w:val="none" w:sz="0" w:space="0" w:color="auto"/>
      </w:divBdr>
    </w:div>
    <w:div w:id="1319266950">
      <w:bodyDiv w:val="1"/>
      <w:marLeft w:val="0"/>
      <w:marRight w:val="0"/>
      <w:marTop w:val="0"/>
      <w:marBottom w:val="0"/>
      <w:divBdr>
        <w:top w:val="none" w:sz="0" w:space="0" w:color="auto"/>
        <w:left w:val="none" w:sz="0" w:space="0" w:color="auto"/>
        <w:bottom w:val="none" w:sz="0" w:space="0" w:color="auto"/>
        <w:right w:val="none" w:sz="0" w:space="0" w:color="auto"/>
      </w:divBdr>
    </w:div>
    <w:div w:id="1330408170">
      <w:bodyDiv w:val="1"/>
      <w:marLeft w:val="0"/>
      <w:marRight w:val="0"/>
      <w:marTop w:val="0"/>
      <w:marBottom w:val="0"/>
      <w:divBdr>
        <w:top w:val="none" w:sz="0" w:space="0" w:color="auto"/>
        <w:left w:val="none" w:sz="0" w:space="0" w:color="auto"/>
        <w:bottom w:val="none" w:sz="0" w:space="0" w:color="auto"/>
        <w:right w:val="none" w:sz="0" w:space="0" w:color="auto"/>
      </w:divBdr>
    </w:div>
    <w:div w:id="1364866755">
      <w:bodyDiv w:val="1"/>
      <w:marLeft w:val="0"/>
      <w:marRight w:val="0"/>
      <w:marTop w:val="0"/>
      <w:marBottom w:val="0"/>
      <w:divBdr>
        <w:top w:val="none" w:sz="0" w:space="0" w:color="auto"/>
        <w:left w:val="none" w:sz="0" w:space="0" w:color="auto"/>
        <w:bottom w:val="none" w:sz="0" w:space="0" w:color="auto"/>
        <w:right w:val="none" w:sz="0" w:space="0" w:color="auto"/>
      </w:divBdr>
    </w:div>
    <w:div w:id="1389573177">
      <w:bodyDiv w:val="1"/>
      <w:marLeft w:val="0"/>
      <w:marRight w:val="0"/>
      <w:marTop w:val="0"/>
      <w:marBottom w:val="0"/>
      <w:divBdr>
        <w:top w:val="none" w:sz="0" w:space="0" w:color="auto"/>
        <w:left w:val="none" w:sz="0" w:space="0" w:color="auto"/>
        <w:bottom w:val="none" w:sz="0" w:space="0" w:color="auto"/>
        <w:right w:val="none" w:sz="0" w:space="0" w:color="auto"/>
      </w:divBdr>
    </w:div>
    <w:div w:id="1447887670">
      <w:bodyDiv w:val="1"/>
      <w:marLeft w:val="0"/>
      <w:marRight w:val="0"/>
      <w:marTop w:val="0"/>
      <w:marBottom w:val="0"/>
      <w:divBdr>
        <w:top w:val="none" w:sz="0" w:space="0" w:color="auto"/>
        <w:left w:val="none" w:sz="0" w:space="0" w:color="auto"/>
        <w:bottom w:val="none" w:sz="0" w:space="0" w:color="auto"/>
        <w:right w:val="none" w:sz="0" w:space="0" w:color="auto"/>
      </w:divBdr>
    </w:div>
    <w:div w:id="1454057508">
      <w:bodyDiv w:val="1"/>
      <w:marLeft w:val="0"/>
      <w:marRight w:val="0"/>
      <w:marTop w:val="0"/>
      <w:marBottom w:val="0"/>
      <w:divBdr>
        <w:top w:val="none" w:sz="0" w:space="0" w:color="auto"/>
        <w:left w:val="none" w:sz="0" w:space="0" w:color="auto"/>
        <w:bottom w:val="none" w:sz="0" w:space="0" w:color="auto"/>
        <w:right w:val="none" w:sz="0" w:space="0" w:color="auto"/>
      </w:divBdr>
    </w:div>
    <w:div w:id="1479110214">
      <w:bodyDiv w:val="1"/>
      <w:marLeft w:val="0"/>
      <w:marRight w:val="0"/>
      <w:marTop w:val="0"/>
      <w:marBottom w:val="0"/>
      <w:divBdr>
        <w:top w:val="none" w:sz="0" w:space="0" w:color="auto"/>
        <w:left w:val="none" w:sz="0" w:space="0" w:color="auto"/>
        <w:bottom w:val="none" w:sz="0" w:space="0" w:color="auto"/>
        <w:right w:val="none" w:sz="0" w:space="0" w:color="auto"/>
      </w:divBdr>
    </w:div>
    <w:div w:id="1503862195">
      <w:bodyDiv w:val="1"/>
      <w:marLeft w:val="0"/>
      <w:marRight w:val="0"/>
      <w:marTop w:val="0"/>
      <w:marBottom w:val="0"/>
      <w:divBdr>
        <w:top w:val="none" w:sz="0" w:space="0" w:color="auto"/>
        <w:left w:val="none" w:sz="0" w:space="0" w:color="auto"/>
        <w:bottom w:val="none" w:sz="0" w:space="0" w:color="auto"/>
        <w:right w:val="none" w:sz="0" w:space="0" w:color="auto"/>
      </w:divBdr>
    </w:div>
    <w:div w:id="1521972932">
      <w:bodyDiv w:val="1"/>
      <w:marLeft w:val="0"/>
      <w:marRight w:val="0"/>
      <w:marTop w:val="0"/>
      <w:marBottom w:val="0"/>
      <w:divBdr>
        <w:top w:val="none" w:sz="0" w:space="0" w:color="auto"/>
        <w:left w:val="none" w:sz="0" w:space="0" w:color="auto"/>
        <w:bottom w:val="none" w:sz="0" w:space="0" w:color="auto"/>
        <w:right w:val="none" w:sz="0" w:space="0" w:color="auto"/>
      </w:divBdr>
    </w:div>
    <w:div w:id="1525679512">
      <w:bodyDiv w:val="1"/>
      <w:marLeft w:val="0"/>
      <w:marRight w:val="0"/>
      <w:marTop w:val="0"/>
      <w:marBottom w:val="0"/>
      <w:divBdr>
        <w:top w:val="none" w:sz="0" w:space="0" w:color="auto"/>
        <w:left w:val="none" w:sz="0" w:space="0" w:color="auto"/>
        <w:bottom w:val="none" w:sz="0" w:space="0" w:color="auto"/>
        <w:right w:val="none" w:sz="0" w:space="0" w:color="auto"/>
      </w:divBdr>
    </w:div>
    <w:div w:id="1569414295">
      <w:bodyDiv w:val="1"/>
      <w:marLeft w:val="0"/>
      <w:marRight w:val="0"/>
      <w:marTop w:val="0"/>
      <w:marBottom w:val="0"/>
      <w:divBdr>
        <w:top w:val="none" w:sz="0" w:space="0" w:color="auto"/>
        <w:left w:val="none" w:sz="0" w:space="0" w:color="auto"/>
        <w:bottom w:val="none" w:sz="0" w:space="0" w:color="auto"/>
        <w:right w:val="none" w:sz="0" w:space="0" w:color="auto"/>
      </w:divBdr>
    </w:div>
    <w:div w:id="1667897684">
      <w:bodyDiv w:val="1"/>
      <w:marLeft w:val="0"/>
      <w:marRight w:val="0"/>
      <w:marTop w:val="0"/>
      <w:marBottom w:val="0"/>
      <w:divBdr>
        <w:top w:val="none" w:sz="0" w:space="0" w:color="auto"/>
        <w:left w:val="none" w:sz="0" w:space="0" w:color="auto"/>
        <w:bottom w:val="none" w:sz="0" w:space="0" w:color="auto"/>
        <w:right w:val="none" w:sz="0" w:space="0" w:color="auto"/>
      </w:divBdr>
    </w:div>
    <w:div w:id="1716151491">
      <w:bodyDiv w:val="1"/>
      <w:marLeft w:val="0"/>
      <w:marRight w:val="0"/>
      <w:marTop w:val="0"/>
      <w:marBottom w:val="0"/>
      <w:divBdr>
        <w:top w:val="none" w:sz="0" w:space="0" w:color="auto"/>
        <w:left w:val="none" w:sz="0" w:space="0" w:color="auto"/>
        <w:bottom w:val="none" w:sz="0" w:space="0" w:color="auto"/>
        <w:right w:val="none" w:sz="0" w:space="0" w:color="auto"/>
      </w:divBdr>
    </w:div>
    <w:div w:id="1734280923">
      <w:bodyDiv w:val="1"/>
      <w:marLeft w:val="0"/>
      <w:marRight w:val="0"/>
      <w:marTop w:val="0"/>
      <w:marBottom w:val="0"/>
      <w:divBdr>
        <w:top w:val="none" w:sz="0" w:space="0" w:color="auto"/>
        <w:left w:val="none" w:sz="0" w:space="0" w:color="auto"/>
        <w:bottom w:val="none" w:sz="0" w:space="0" w:color="auto"/>
        <w:right w:val="none" w:sz="0" w:space="0" w:color="auto"/>
      </w:divBdr>
    </w:div>
    <w:div w:id="1769695455">
      <w:bodyDiv w:val="1"/>
      <w:marLeft w:val="0"/>
      <w:marRight w:val="0"/>
      <w:marTop w:val="0"/>
      <w:marBottom w:val="0"/>
      <w:divBdr>
        <w:top w:val="none" w:sz="0" w:space="0" w:color="auto"/>
        <w:left w:val="none" w:sz="0" w:space="0" w:color="auto"/>
        <w:bottom w:val="none" w:sz="0" w:space="0" w:color="auto"/>
        <w:right w:val="none" w:sz="0" w:space="0" w:color="auto"/>
      </w:divBdr>
    </w:div>
    <w:div w:id="1780876559">
      <w:bodyDiv w:val="1"/>
      <w:marLeft w:val="0"/>
      <w:marRight w:val="0"/>
      <w:marTop w:val="0"/>
      <w:marBottom w:val="0"/>
      <w:divBdr>
        <w:top w:val="none" w:sz="0" w:space="0" w:color="auto"/>
        <w:left w:val="none" w:sz="0" w:space="0" w:color="auto"/>
        <w:bottom w:val="none" w:sz="0" w:space="0" w:color="auto"/>
        <w:right w:val="none" w:sz="0" w:space="0" w:color="auto"/>
      </w:divBdr>
    </w:div>
    <w:div w:id="1790050471">
      <w:bodyDiv w:val="1"/>
      <w:marLeft w:val="0"/>
      <w:marRight w:val="0"/>
      <w:marTop w:val="0"/>
      <w:marBottom w:val="0"/>
      <w:divBdr>
        <w:top w:val="none" w:sz="0" w:space="0" w:color="auto"/>
        <w:left w:val="none" w:sz="0" w:space="0" w:color="auto"/>
        <w:bottom w:val="none" w:sz="0" w:space="0" w:color="auto"/>
        <w:right w:val="none" w:sz="0" w:space="0" w:color="auto"/>
      </w:divBdr>
    </w:div>
    <w:div w:id="1857187333">
      <w:bodyDiv w:val="1"/>
      <w:marLeft w:val="0"/>
      <w:marRight w:val="0"/>
      <w:marTop w:val="0"/>
      <w:marBottom w:val="0"/>
      <w:divBdr>
        <w:top w:val="none" w:sz="0" w:space="0" w:color="auto"/>
        <w:left w:val="none" w:sz="0" w:space="0" w:color="auto"/>
        <w:bottom w:val="none" w:sz="0" w:space="0" w:color="auto"/>
        <w:right w:val="none" w:sz="0" w:space="0" w:color="auto"/>
      </w:divBdr>
    </w:div>
    <w:div w:id="1914124450">
      <w:bodyDiv w:val="1"/>
      <w:marLeft w:val="0"/>
      <w:marRight w:val="0"/>
      <w:marTop w:val="0"/>
      <w:marBottom w:val="0"/>
      <w:divBdr>
        <w:top w:val="none" w:sz="0" w:space="0" w:color="auto"/>
        <w:left w:val="none" w:sz="0" w:space="0" w:color="auto"/>
        <w:bottom w:val="none" w:sz="0" w:space="0" w:color="auto"/>
        <w:right w:val="none" w:sz="0" w:space="0" w:color="auto"/>
      </w:divBdr>
    </w:div>
    <w:div w:id="1969236129">
      <w:bodyDiv w:val="1"/>
      <w:marLeft w:val="0"/>
      <w:marRight w:val="0"/>
      <w:marTop w:val="0"/>
      <w:marBottom w:val="0"/>
      <w:divBdr>
        <w:top w:val="none" w:sz="0" w:space="0" w:color="auto"/>
        <w:left w:val="none" w:sz="0" w:space="0" w:color="auto"/>
        <w:bottom w:val="none" w:sz="0" w:space="0" w:color="auto"/>
        <w:right w:val="none" w:sz="0" w:space="0" w:color="auto"/>
      </w:divBdr>
    </w:div>
    <w:div w:id="2007173116">
      <w:bodyDiv w:val="1"/>
      <w:marLeft w:val="0"/>
      <w:marRight w:val="0"/>
      <w:marTop w:val="0"/>
      <w:marBottom w:val="0"/>
      <w:divBdr>
        <w:top w:val="none" w:sz="0" w:space="0" w:color="auto"/>
        <w:left w:val="none" w:sz="0" w:space="0" w:color="auto"/>
        <w:bottom w:val="none" w:sz="0" w:space="0" w:color="auto"/>
        <w:right w:val="none" w:sz="0" w:space="0" w:color="auto"/>
      </w:divBdr>
    </w:div>
    <w:div w:id="2031449120">
      <w:bodyDiv w:val="1"/>
      <w:marLeft w:val="0"/>
      <w:marRight w:val="0"/>
      <w:marTop w:val="0"/>
      <w:marBottom w:val="0"/>
      <w:divBdr>
        <w:top w:val="none" w:sz="0" w:space="0" w:color="auto"/>
        <w:left w:val="none" w:sz="0" w:space="0" w:color="auto"/>
        <w:bottom w:val="none" w:sz="0" w:space="0" w:color="auto"/>
        <w:right w:val="none" w:sz="0" w:space="0" w:color="auto"/>
      </w:divBdr>
    </w:div>
    <w:div w:id="2031488225">
      <w:bodyDiv w:val="1"/>
      <w:marLeft w:val="0"/>
      <w:marRight w:val="0"/>
      <w:marTop w:val="0"/>
      <w:marBottom w:val="0"/>
      <w:divBdr>
        <w:top w:val="none" w:sz="0" w:space="0" w:color="auto"/>
        <w:left w:val="none" w:sz="0" w:space="0" w:color="auto"/>
        <w:bottom w:val="none" w:sz="0" w:space="0" w:color="auto"/>
        <w:right w:val="none" w:sz="0" w:space="0" w:color="auto"/>
      </w:divBdr>
    </w:div>
    <w:div w:id="2047411445">
      <w:bodyDiv w:val="1"/>
      <w:marLeft w:val="0"/>
      <w:marRight w:val="0"/>
      <w:marTop w:val="0"/>
      <w:marBottom w:val="0"/>
      <w:divBdr>
        <w:top w:val="none" w:sz="0" w:space="0" w:color="auto"/>
        <w:left w:val="none" w:sz="0" w:space="0" w:color="auto"/>
        <w:bottom w:val="none" w:sz="0" w:space="0" w:color="auto"/>
        <w:right w:val="none" w:sz="0" w:space="0" w:color="auto"/>
      </w:divBdr>
    </w:div>
    <w:div w:id="2115712364">
      <w:bodyDiv w:val="1"/>
      <w:marLeft w:val="0"/>
      <w:marRight w:val="0"/>
      <w:marTop w:val="0"/>
      <w:marBottom w:val="0"/>
      <w:divBdr>
        <w:top w:val="none" w:sz="0" w:space="0" w:color="auto"/>
        <w:left w:val="none" w:sz="0" w:space="0" w:color="auto"/>
        <w:bottom w:val="none" w:sz="0" w:space="0" w:color="auto"/>
        <w:right w:val="none" w:sz="0" w:space="0" w:color="auto"/>
      </w:divBdr>
    </w:div>
    <w:div w:id="213891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1044;&#1080;&#1072;&#1075;&#1088;&#1072;&#1084;&#1084;&#1072;%20&#1074;%20Microsoft%20Office%20Word"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4.xml"/></Relationships>
</file>

<file path=word/charts/_rels/chart8.xml.rels><?xml version="1.0" encoding="UTF-8" standalone="yes"?>
<Relationships xmlns="http://schemas.openxmlformats.org/package/2006/relationships"><Relationship Id="rId1" Type="http://schemas.openxmlformats.org/officeDocument/2006/relationships/oleObject" Target="file:///\\server-fin\_money\&#1055;&#1088;&#1086;&#1077;&#1082;&#1090;_2020-2022\&#1054;&#1090;&#1095;&#1077;&#1090;%20&#1079;&#1072;%202020%20&#1075;&#1086;&#1076;\&#1043;&#1056;&#1040;&#1060;&#1048;&#1050;&#1048;-&#1044;&#1048;&#1040;&#1043;&#1056;&#1040;&#1052;&#1052;&#1067;%202020.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server-fin\_money\&#1055;&#1088;&#1086;&#1077;&#1082;&#1090;_2020-2022\&#1054;&#1090;&#1095;&#1077;&#1090;%20&#1079;&#1072;%202020%20&#1075;&#1086;&#1076;\&#1043;&#1056;&#1040;&#1060;&#1048;&#1050;&#1048;-&#1044;&#1048;&#1040;&#1043;&#1056;&#1040;&#1052;&#1052;&#1067;%202020.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server-fin\_money\&#1055;&#1088;&#1086;&#1077;&#1082;&#1090;_2019-2021\&#1054;&#1090;&#1095;&#1077;&#1090;%202019%20&#1075;&#1086;&#1076;\&#1043;&#1056;&#1040;&#1060;&#1048;&#1050;&#1048;-&#1044;&#1048;&#1040;&#1043;&#1056;&#1040;&#1052;&#1052;&#1067;%20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6"/>
    </mc:Choice>
    <mc:Fallback>
      <c:style val="36"/>
    </mc:Fallback>
  </mc:AlternateContent>
  <c:chart>
    <c:autoTitleDeleted val="0"/>
    <c:view3D>
      <c:rotX val="15"/>
      <c:rotY val="20"/>
      <c:rAngAx val="1"/>
    </c:view3D>
    <c:floor>
      <c:thickness val="0"/>
    </c:floor>
    <c:sideWall>
      <c:thickness val="0"/>
      <c:spPr>
        <a:noFill/>
      </c:spPr>
    </c:sideWall>
    <c:backWall>
      <c:thickness val="0"/>
      <c:spPr>
        <a:noFill/>
      </c:spPr>
    </c:backWall>
    <c:plotArea>
      <c:layout>
        <c:manualLayout>
          <c:layoutTarget val="inner"/>
          <c:xMode val="edge"/>
          <c:yMode val="edge"/>
          <c:x val="0.20813687351581053"/>
          <c:y val="2.2255724598976612E-2"/>
          <c:w val="0.79186312648419499"/>
          <c:h val="0.75322283292269065"/>
        </c:manualLayout>
      </c:layout>
      <c:bar3DChart>
        <c:barDir val="col"/>
        <c:grouping val="clustered"/>
        <c:varyColors val="0"/>
        <c:ser>
          <c:idx val="2"/>
          <c:order val="0"/>
          <c:tx>
            <c:strRef>
              <c:f>'общ параметры'!$F$2</c:f>
              <c:strCache>
                <c:ptCount val="1"/>
                <c:pt idx="0">
                  <c:v>2018 год</c:v>
                </c:pt>
              </c:strCache>
            </c:strRef>
          </c:tx>
          <c:spPr>
            <a:solidFill>
              <a:srgbClr val="FFE38B"/>
            </a:solidFill>
            <a:ln>
              <a:solidFill>
                <a:srgbClr val="FFCC00"/>
              </a:solidFill>
            </a:ln>
          </c:spPr>
          <c:invertIfNegative val="0"/>
          <c:dLbls>
            <c:dLbl>
              <c:idx val="0"/>
              <c:layout>
                <c:manualLayout>
                  <c:x val="3.3024009126926871E-4"/>
                  <c:y val="0.34515658843615432"/>
                </c:manualLayout>
              </c:layout>
              <c:spPr/>
              <c:txPr>
                <a:bodyPr rot="-5400000" vert="horz"/>
                <a:lstStyle/>
                <a:p>
                  <a:pPr>
                    <a:defRPr b="1">
                      <a:solidFill>
                        <a:sysClr val="windowText" lastClr="000000"/>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3.3024009126931603E-4"/>
                  <c:y val="0.30929286751777413"/>
                </c:manualLayout>
              </c:layout>
              <c:spPr/>
              <c:txPr>
                <a:bodyPr rot="-5400000" vert="horz"/>
                <a:lstStyle/>
                <a:p>
                  <a:pPr>
                    <a:defRPr b="1">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'общ параметры'!$F$3:$F$4</c:f>
              <c:numCache>
                <c:formatCode>#,##0.00</c:formatCode>
                <c:ptCount val="2"/>
                <c:pt idx="0">
                  <c:v>4250.1200000000044</c:v>
                </c:pt>
                <c:pt idx="1">
                  <c:v>4266.4299999999994</c:v>
                </c:pt>
              </c:numCache>
            </c:numRef>
          </c:val>
        </c:ser>
        <c:ser>
          <c:idx val="3"/>
          <c:order val="1"/>
          <c:tx>
            <c:strRef>
              <c:f>'общ параметры'!$G$2</c:f>
              <c:strCache>
                <c:ptCount val="1"/>
                <c:pt idx="0">
                  <c:v>2019 год</c:v>
                </c:pt>
              </c:strCache>
            </c:strRef>
          </c:tx>
          <c:spPr>
            <a:solidFill>
              <a:srgbClr val="5A702E"/>
            </a:solidFill>
            <a:ln>
              <a:solidFill>
                <a:schemeClr val="accent3">
                  <a:lumMod val="75000"/>
                </a:schemeClr>
              </a:solidFill>
            </a:ln>
          </c:spPr>
          <c:invertIfNegative val="0"/>
          <c:dLbls>
            <c:dLbl>
              <c:idx val="0"/>
              <c:layout>
                <c:manualLayout>
                  <c:x val="-5.8351568198394804E-3"/>
                  <c:y val="0.39215686274509987"/>
                </c:manualLayout>
              </c:layout>
              <c:spPr/>
              <c:txPr>
                <a:bodyPr rot="-5400000" vert="horz"/>
                <a:lstStyle/>
                <a:p>
                  <a:pPr>
                    <a:defRPr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9175784099198742E-3"/>
                  <c:y val="0.37815126050420284"/>
                </c:manualLayout>
              </c:layout>
              <c:spPr/>
              <c:txPr>
                <a:bodyPr rot="-5400000" vert="horz"/>
                <a:lstStyle/>
                <a:p>
                  <a:pPr>
                    <a:defRPr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'общ параметры'!$G$3:$G$4</c:f>
              <c:numCache>
                <c:formatCode>#,##0.00</c:formatCode>
                <c:ptCount val="2"/>
                <c:pt idx="0">
                  <c:v>4536.5</c:v>
                </c:pt>
                <c:pt idx="1">
                  <c:v>4604.2</c:v>
                </c:pt>
              </c:numCache>
            </c:numRef>
          </c:val>
        </c:ser>
        <c:ser>
          <c:idx val="0"/>
          <c:order val="2"/>
          <c:tx>
            <c:strRef>
              <c:f>'общ параметры'!$H$2</c:f>
              <c:strCache>
                <c:ptCount val="1"/>
                <c:pt idx="0">
                  <c:v>2020 год</c:v>
                </c:pt>
              </c:strCache>
            </c:strRef>
          </c:tx>
          <c:spPr>
            <a:solidFill>
              <a:srgbClr val="793905"/>
            </a:solidFill>
          </c:spPr>
          <c:invertIfNegative val="0"/>
          <c:dLbls>
            <c:dLbl>
              <c:idx val="0"/>
              <c:layout>
                <c:manualLayout>
                  <c:x val="-2.9175784099198191E-3"/>
                  <c:y val="0.38865546218487657"/>
                </c:manualLayout>
              </c:layout>
              <c:spPr/>
              <c:txPr>
                <a:bodyPr rot="-5400000" vert="horz"/>
                <a:lstStyle/>
                <a:p>
                  <a:pPr>
                    <a:defRPr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9175784099196595E-3"/>
                  <c:y val="0.38165266106442841"/>
                </c:manualLayout>
              </c:layout>
              <c:spPr/>
              <c:txPr>
                <a:bodyPr rot="-5400000" vert="horz"/>
                <a:lstStyle/>
                <a:p>
                  <a:pPr>
                    <a:defRPr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'общ параметры'!$H$3:$H$4</c:f>
              <c:numCache>
                <c:formatCode>#,##0.00</c:formatCode>
                <c:ptCount val="2"/>
                <c:pt idx="0">
                  <c:v>4679.6500000000024</c:v>
                </c:pt>
                <c:pt idx="1">
                  <c:v>4723.67</c:v>
                </c:pt>
              </c:numCache>
            </c:numRef>
          </c:val>
        </c:ser>
        <c:dLbls>
          <c:showLegendKey val="0"/>
          <c:showVal val="0"/>
          <c:showCatName val="0"/>
          <c:showSerName val="0"/>
          <c:showPercent val="0"/>
          <c:showBubbleSize val="0"/>
        </c:dLbls>
        <c:gapWidth val="150"/>
        <c:shape val="box"/>
        <c:axId val="290524544"/>
        <c:axId val="290524936"/>
        <c:axId val="0"/>
      </c:bar3DChart>
      <c:catAx>
        <c:axId val="290524544"/>
        <c:scaling>
          <c:orientation val="minMax"/>
        </c:scaling>
        <c:delete val="0"/>
        <c:axPos val="b"/>
        <c:majorTickMark val="out"/>
        <c:minorTickMark val="none"/>
        <c:tickLblPos val="nextTo"/>
        <c:txPr>
          <a:bodyPr/>
          <a:lstStyle/>
          <a:p>
            <a:pPr>
              <a:defRPr>
                <a:latin typeface="Times New Roman" pitchFamily="18" charset="0"/>
                <a:cs typeface="Times New Roman" pitchFamily="18" charset="0"/>
              </a:defRPr>
            </a:pPr>
            <a:endParaRPr lang="ru-RU"/>
          </a:p>
        </c:txPr>
        <c:crossAx val="290524936"/>
        <c:crosses val="autoZero"/>
        <c:auto val="1"/>
        <c:lblAlgn val="ctr"/>
        <c:lblOffset val="100"/>
        <c:noMultiLvlLbl val="0"/>
      </c:catAx>
      <c:valAx>
        <c:axId val="290524936"/>
        <c:scaling>
          <c:orientation val="minMax"/>
          <c:max val="4600"/>
          <c:min val="3000"/>
        </c:scaling>
        <c:delete val="0"/>
        <c:axPos val="l"/>
        <c:majorGridlines>
          <c:spPr>
            <a:ln>
              <a:solidFill>
                <a:schemeClr val="bg1">
                  <a:lumMod val="85000"/>
                </a:schemeClr>
              </a:solidFill>
            </a:ln>
          </c:spPr>
        </c:majorGridlines>
        <c:numFmt formatCode="#,##0.00"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290524544"/>
        <c:crosses val="autoZero"/>
        <c:crossBetween val="between"/>
      </c:valAx>
    </c:plotArea>
    <c:legend>
      <c:legendPos val="b"/>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ТО!$K$3</c:f>
              <c:strCache>
                <c:ptCount val="1"/>
                <c:pt idx="0">
                  <c:v>Остатки на 01.01.2018</c:v>
                </c:pt>
              </c:strCache>
            </c:strRef>
          </c:tx>
          <c:invertIfNegative val="0"/>
          <c:cat>
            <c:strRef>
              <c:f>ТО!$D$5:$D$7</c:f>
              <c:strCache>
                <c:ptCount val="3"/>
                <c:pt idx="0">
                  <c:v>Муниципальные образования ТО, всего</c:v>
                </c:pt>
                <c:pt idx="1">
                  <c:v>Городские округа, всего</c:v>
                </c:pt>
                <c:pt idx="2">
                  <c:v>ЗАТО Северск</c:v>
                </c:pt>
              </c:strCache>
            </c:strRef>
          </c:cat>
          <c:val>
            <c:numRef>
              <c:f>ТО!$M$5:$M$7</c:f>
              <c:numCache>
                <c:formatCode>#,##0.00</c:formatCode>
                <c:ptCount val="3"/>
                <c:pt idx="0">
                  <c:v>1028397.1</c:v>
                </c:pt>
                <c:pt idx="1">
                  <c:v>409941.3</c:v>
                </c:pt>
                <c:pt idx="2">
                  <c:v>54587</c:v>
                </c:pt>
              </c:numCache>
            </c:numRef>
          </c:val>
        </c:ser>
        <c:ser>
          <c:idx val="3"/>
          <c:order val="1"/>
          <c:tx>
            <c:strRef>
              <c:f>ТО!$N$3</c:f>
              <c:strCache>
                <c:ptCount val="1"/>
                <c:pt idx="0">
                  <c:v>Остатки на 01.01.2019</c:v>
                </c:pt>
              </c:strCache>
            </c:strRef>
          </c:tx>
          <c:invertIfNegative val="0"/>
          <c:cat>
            <c:strRef>
              <c:f>ТО!$D$5:$D$7</c:f>
              <c:strCache>
                <c:ptCount val="3"/>
                <c:pt idx="0">
                  <c:v>Муниципальные образования ТО, всего</c:v>
                </c:pt>
                <c:pt idx="1">
                  <c:v>Городские округа, всего</c:v>
                </c:pt>
                <c:pt idx="2">
                  <c:v>ЗАТО Северск</c:v>
                </c:pt>
              </c:strCache>
            </c:strRef>
          </c:cat>
          <c:val>
            <c:numRef>
              <c:f>ТО!$P$5:$P$7</c:f>
              <c:numCache>
                <c:formatCode>#,##0.00</c:formatCode>
                <c:ptCount val="3"/>
                <c:pt idx="0">
                  <c:v>1222186.5</c:v>
                </c:pt>
                <c:pt idx="1">
                  <c:v>421003.39999999997</c:v>
                </c:pt>
                <c:pt idx="2">
                  <c:v>74628.399999999994</c:v>
                </c:pt>
              </c:numCache>
            </c:numRef>
          </c:val>
        </c:ser>
        <c:ser>
          <c:idx val="1"/>
          <c:order val="2"/>
          <c:tx>
            <c:strRef>
              <c:f>ТО!$Q$3</c:f>
              <c:strCache>
                <c:ptCount val="1"/>
                <c:pt idx="0">
                  <c:v>Остатки на 01.01.2020</c:v>
                </c:pt>
              </c:strCache>
            </c:strRef>
          </c:tx>
          <c:invertIfNegative val="0"/>
          <c:cat>
            <c:strRef>
              <c:f>ТО!$D$5:$D$7</c:f>
              <c:strCache>
                <c:ptCount val="3"/>
                <c:pt idx="0">
                  <c:v>Муниципальные образования ТО, всего</c:v>
                </c:pt>
                <c:pt idx="1">
                  <c:v>Городские округа, всего</c:v>
                </c:pt>
                <c:pt idx="2">
                  <c:v>ЗАТО Северск</c:v>
                </c:pt>
              </c:strCache>
            </c:strRef>
          </c:cat>
          <c:val>
            <c:numRef>
              <c:f>ТО!$S$5:$S$7</c:f>
              <c:numCache>
                <c:formatCode>#,##0.00</c:formatCode>
                <c:ptCount val="3"/>
                <c:pt idx="0">
                  <c:v>1383889.6</c:v>
                </c:pt>
                <c:pt idx="1">
                  <c:v>427759.69999999995</c:v>
                </c:pt>
                <c:pt idx="2">
                  <c:v>30320.799999999996</c:v>
                </c:pt>
              </c:numCache>
            </c:numRef>
          </c:val>
        </c:ser>
        <c:ser>
          <c:idx val="4"/>
          <c:order val="3"/>
          <c:tx>
            <c:strRef>
              <c:f>ТО!$T$3</c:f>
              <c:strCache>
                <c:ptCount val="1"/>
                <c:pt idx="0">
                  <c:v>Остатки на 01.01.2021</c:v>
                </c:pt>
              </c:strCache>
            </c:strRef>
          </c:tx>
          <c:invertIfNegative val="0"/>
          <c:cat>
            <c:strRef>
              <c:f>ТО!$D$5:$D$7</c:f>
              <c:strCache>
                <c:ptCount val="3"/>
                <c:pt idx="0">
                  <c:v>Муниципальные образования ТО, всего</c:v>
                </c:pt>
                <c:pt idx="1">
                  <c:v>Городские округа, всего</c:v>
                </c:pt>
                <c:pt idx="2">
                  <c:v>ЗАТО Северск</c:v>
                </c:pt>
              </c:strCache>
            </c:strRef>
          </c:cat>
          <c:val>
            <c:numRef>
              <c:f>ТО!$V$5:$V$7</c:f>
              <c:numCache>
                <c:formatCode>#,##0.00</c:formatCode>
                <c:ptCount val="3"/>
                <c:pt idx="0">
                  <c:v>1883334.9</c:v>
                </c:pt>
                <c:pt idx="1">
                  <c:v>655025.1</c:v>
                </c:pt>
                <c:pt idx="2">
                  <c:v>47426.400000000001</c:v>
                </c:pt>
              </c:numCache>
            </c:numRef>
          </c:val>
        </c:ser>
        <c:dLbls>
          <c:showLegendKey val="0"/>
          <c:showVal val="0"/>
          <c:showCatName val="0"/>
          <c:showSerName val="0"/>
          <c:showPercent val="0"/>
          <c:showBubbleSize val="0"/>
        </c:dLbls>
        <c:gapWidth val="150"/>
        <c:shape val="box"/>
        <c:axId val="290525720"/>
        <c:axId val="290526112"/>
        <c:axId val="0"/>
      </c:bar3DChart>
      <c:catAx>
        <c:axId val="290525720"/>
        <c:scaling>
          <c:orientation val="minMax"/>
        </c:scaling>
        <c:delete val="0"/>
        <c:axPos val="b"/>
        <c:numFmt formatCode="General" sourceLinked="0"/>
        <c:majorTickMark val="out"/>
        <c:minorTickMark val="none"/>
        <c:tickLblPos val="nextTo"/>
        <c:txPr>
          <a:bodyPr/>
          <a:lstStyle/>
          <a:p>
            <a:pPr>
              <a:defRPr>
                <a:latin typeface="Times New Roman" pitchFamily="18" charset="0"/>
                <a:cs typeface="Times New Roman" pitchFamily="18" charset="0"/>
              </a:defRPr>
            </a:pPr>
            <a:endParaRPr lang="ru-RU"/>
          </a:p>
        </c:txPr>
        <c:crossAx val="290526112"/>
        <c:crosses val="autoZero"/>
        <c:auto val="1"/>
        <c:lblAlgn val="ctr"/>
        <c:lblOffset val="100"/>
        <c:noMultiLvlLbl val="0"/>
      </c:catAx>
      <c:valAx>
        <c:axId val="290526112"/>
        <c:scaling>
          <c:orientation val="minMax"/>
        </c:scaling>
        <c:delete val="0"/>
        <c:axPos val="l"/>
        <c:majorGridlines>
          <c:spPr>
            <a:ln>
              <a:solidFill>
                <a:sysClr val="window" lastClr="FFFFFF">
                  <a:lumMod val="85000"/>
                </a:sysClr>
              </a:solidFill>
            </a:ln>
          </c:spPr>
        </c:majorGridlines>
        <c:numFmt formatCode="#,##0.00" sourceLinked="1"/>
        <c:majorTickMark val="out"/>
        <c:minorTickMark val="none"/>
        <c:tickLblPos val="nextTo"/>
        <c:txPr>
          <a:bodyPr/>
          <a:lstStyle/>
          <a:p>
            <a:pPr>
              <a:defRPr sz="800">
                <a:latin typeface="Times New Roman" pitchFamily="18" charset="0"/>
                <a:cs typeface="Times New Roman" pitchFamily="18" charset="0"/>
              </a:defRPr>
            </a:pPr>
            <a:endParaRPr lang="ru-RU"/>
          </a:p>
        </c:txPr>
        <c:crossAx val="290525720"/>
        <c:crosses val="autoZero"/>
        <c:crossBetween val="between"/>
      </c:valAx>
    </c:plotArea>
    <c:legend>
      <c:legendPos val="r"/>
      <c:layout>
        <c:manualLayout>
          <c:xMode val="edge"/>
          <c:yMode val="edge"/>
          <c:x val="0.83958201561381862"/>
          <c:y val="0.38608188976378127"/>
          <c:w val="0.16041798320261674"/>
          <c:h val="0.31415135608048994"/>
        </c:manualLayout>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
          <c:y val="2.647148388219514E-3"/>
          <c:w val="0.67435198880526659"/>
          <c:h val="0.98089354852742849"/>
        </c:manualLayout>
      </c:layout>
      <c:pieChart>
        <c:varyColors val="1"/>
        <c:ser>
          <c:idx val="0"/>
          <c:order val="0"/>
          <c:explosion val="2"/>
          <c:dLbls>
            <c:dLbl>
              <c:idx val="0"/>
              <c:layout>
                <c:manualLayout>
                  <c:x val="-0.10648839151607405"/>
                  <c:y val="-0.20217469967340587"/>
                </c:manualLayout>
              </c:layout>
              <c:tx>
                <c:rich>
                  <a:bodyPr/>
                  <a:lstStyle/>
                  <a:p>
                    <a:r>
                      <a:rPr lang="en-US" sz="1400" b="1"/>
                      <a:t>64%</a:t>
                    </a:r>
                  </a:p>
                </c:rich>
              </c:tx>
              <c:showLegendKey val="0"/>
              <c:showVal val="1"/>
              <c:showCatName val="1"/>
              <c:showSerName val="0"/>
              <c:showPercent val="1"/>
              <c:showBubbleSize val="0"/>
              <c:extLst>
                <c:ext xmlns:c15="http://schemas.microsoft.com/office/drawing/2012/chart" uri="{CE6537A1-D6FC-4f65-9D91-7224C49458BB}">
                  <c15:layout>
                    <c:manualLayout>
                      <c:w val="0.10060125060125061"/>
                      <c:h val="0.11860174781523096"/>
                    </c:manualLayout>
                  </c15:layout>
                </c:ext>
              </c:extLst>
            </c:dLbl>
            <c:dLbl>
              <c:idx val="1"/>
              <c:layout>
                <c:manualLayout>
                  <c:x val="0.11063011063011063"/>
                  <c:y val="-5.2359091817644358E-2"/>
                </c:manualLayout>
              </c:layout>
              <c:tx>
                <c:rich>
                  <a:bodyPr/>
                  <a:lstStyle/>
                  <a:p>
                    <a:r>
                      <a:rPr lang="en-US" sz="1400" b="1"/>
                      <a:t>17%</a:t>
                    </a:r>
                  </a:p>
                </c:rich>
              </c:tx>
              <c:showLegendKey val="0"/>
              <c:showVal val="1"/>
              <c:showCatName val="1"/>
              <c:showSerName val="0"/>
              <c:showPercent val="1"/>
              <c:showBubbleSize val="0"/>
              <c:extLst>
                <c:ext xmlns:c15="http://schemas.microsoft.com/office/drawing/2012/chart" uri="{CE6537A1-D6FC-4f65-9D91-7224C49458BB}">
                  <c15:layout/>
                </c:ext>
              </c:extLst>
            </c:dLbl>
            <c:dLbl>
              <c:idx val="2"/>
              <c:layout>
                <c:manualLayout>
                  <c:x val="7.272847381405724E-2"/>
                  <c:y val="0.18466440582633692"/>
                </c:manualLayout>
              </c:layout>
              <c:tx>
                <c:rich>
                  <a:bodyPr/>
                  <a:lstStyle/>
                  <a:p>
                    <a:r>
                      <a:rPr lang="en-US" sz="1400" b="1"/>
                      <a:t>19%</a:t>
                    </a:r>
                  </a:p>
                </c:rich>
              </c:tx>
              <c:showLegendKey val="0"/>
              <c:showVal val="1"/>
              <c:showCatName val="1"/>
              <c:showSerName val="0"/>
              <c:showPercent val="1"/>
              <c:showBubbleSize val="0"/>
              <c:extLst>
                <c:ext xmlns:c15="http://schemas.microsoft.com/office/drawing/2012/chart" uri="{CE6537A1-D6FC-4f65-9D91-7224C49458BB}">
                  <c15:layout/>
                </c:ext>
              </c:extLst>
            </c:dLbl>
            <c:numFmt formatCode="0.0%" sourceLinked="0"/>
            <c:spPr>
              <a:noFill/>
              <a:ln>
                <a:noFill/>
              </a:ln>
              <a:effectLst/>
            </c:spPr>
            <c:showLegendKey val="0"/>
            <c:showVal val="1"/>
            <c:showCatName val="1"/>
            <c:showSerName val="0"/>
            <c:showPercent val="1"/>
            <c:showBubbleSize val="0"/>
            <c:showLeaderLines val="1"/>
            <c:extLst>
              <c:ext xmlns:c15="http://schemas.microsoft.com/office/drawing/2012/chart" uri="{CE6537A1-D6FC-4f65-9D91-7224C49458BB}"/>
            </c:extLst>
          </c:dLbls>
          <c:cat>
            <c:strRef>
              <c:f>'[Диаграмма в Microsoft Office Word]рег проекты'!$B$3:$B$5</c:f>
              <c:strCache>
                <c:ptCount val="3"/>
                <c:pt idx="0">
                  <c:v>Федеральный бюджет</c:v>
                </c:pt>
                <c:pt idx="1">
                  <c:v>Областной бюджет</c:v>
                </c:pt>
                <c:pt idx="2">
                  <c:v>Местный бюджет</c:v>
                </c:pt>
              </c:strCache>
            </c:strRef>
          </c:cat>
          <c:val>
            <c:numRef>
              <c:f>'[Диаграмма в Microsoft Office Word]рег проекты'!$C$3:$C$5</c:f>
              <c:numCache>
                <c:formatCode>General</c:formatCode>
                <c:ptCount val="3"/>
                <c:pt idx="0">
                  <c:v>212.4</c:v>
                </c:pt>
                <c:pt idx="1">
                  <c:v>54.9</c:v>
                </c:pt>
                <c:pt idx="2" formatCode="#,##0.00">
                  <c:v>62</c:v>
                </c:pt>
              </c:numCache>
            </c:numRef>
          </c:val>
        </c:ser>
        <c:dLbls>
          <c:showLegendKey val="0"/>
          <c:showVal val="0"/>
          <c:showCatName val="0"/>
          <c:showSerName val="0"/>
          <c:showPercent val="0"/>
          <c:showBubbleSize val="0"/>
          <c:showLeaderLines val="1"/>
        </c:dLbls>
        <c:firstSliceAng val="0"/>
      </c:pieChart>
    </c:plotArea>
    <c:legend>
      <c:legendPos val="r"/>
      <c:legendEntry>
        <c:idx val="0"/>
        <c:txPr>
          <a:bodyPr/>
          <a:lstStyle/>
          <a:p>
            <a:pPr>
              <a:defRPr sz="1000" baseline="0">
                <a:latin typeface="Times New Roman" panose="02020603050405020304" pitchFamily="18" charset="0"/>
              </a:defRPr>
            </a:pPr>
            <a:endParaRPr lang="ru-RU"/>
          </a:p>
        </c:txPr>
      </c:legendEntry>
      <c:legendEntry>
        <c:idx val="1"/>
        <c:txPr>
          <a:bodyPr/>
          <a:lstStyle/>
          <a:p>
            <a:pPr>
              <a:defRPr sz="1000" baseline="0">
                <a:latin typeface="Times New Roman" panose="02020603050405020304" pitchFamily="18" charset="0"/>
              </a:defRPr>
            </a:pPr>
            <a:endParaRPr lang="ru-RU"/>
          </a:p>
        </c:txPr>
      </c:legendEntry>
      <c:legendEntry>
        <c:idx val="2"/>
        <c:txPr>
          <a:bodyPr/>
          <a:lstStyle/>
          <a:p>
            <a:pPr>
              <a:defRPr sz="1000" baseline="0">
                <a:latin typeface="Times New Roman" panose="02020603050405020304" pitchFamily="18" charset="0"/>
              </a:defRPr>
            </a:pPr>
            <a:endParaRPr lang="ru-RU"/>
          </a:p>
        </c:txPr>
      </c:legendEntry>
      <c:layout>
        <c:manualLayout>
          <c:xMode val="edge"/>
          <c:yMode val="edge"/>
          <c:x val="0.60053025466412335"/>
          <c:y val="0.38457898755166148"/>
          <c:w val="0.26638211224826036"/>
          <c:h val="0.23916462689354837"/>
        </c:manualLayout>
      </c:layout>
      <c:overlay val="0"/>
    </c:legend>
    <c:plotVisOnly val="1"/>
    <c:dispBlanksAs val="zero"/>
    <c:showDLblsOverMax val="0"/>
  </c:chart>
  <c:spPr>
    <a:ln>
      <a:noFill/>
    </a:ln>
  </c:spPr>
  <c:txPr>
    <a:bodyPr/>
    <a:lstStyle/>
    <a:p>
      <a:pPr>
        <a:defRPr>
          <a:ln>
            <a:noFill/>
          </a:ln>
        </a:defRPr>
      </a:pPr>
      <a:endParaRPr lang="ru-RU"/>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manualLayout>
          <c:layoutTarget val="inner"/>
          <c:xMode val="edge"/>
          <c:yMode val="edge"/>
          <c:x val="0"/>
          <c:y val="2.6471483882194871E-3"/>
          <c:w val="0.67435198880526659"/>
          <c:h val="0.98089354852742849"/>
        </c:manualLayout>
      </c:layout>
      <c:pie3DChart>
        <c:varyColors val="1"/>
        <c:ser>
          <c:idx val="0"/>
          <c:order val="0"/>
          <c:explosion val="25"/>
          <c:dLbls>
            <c:dLbl>
              <c:idx val="0"/>
              <c:layout>
                <c:manualLayout>
                  <c:x val="-9.0461823113232781E-2"/>
                  <c:y val="8.2474226804123682E-2"/>
                </c:manualLayout>
              </c:layout>
              <c:tx>
                <c:rich>
                  <a:bodyPr/>
                  <a:lstStyle/>
                  <a:p>
                    <a:r>
                      <a:rPr lang="en-US"/>
                      <a:t>21,5%</a:t>
                    </a:r>
                  </a:p>
                </c:rich>
              </c:tx>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3.4172132513025325E-2"/>
                  <c:y val="-6.0728543950973331E-2"/>
                </c:manualLayout>
              </c:layout>
              <c:tx>
                <c:rich>
                  <a:bodyPr/>
                  <a:lstStyle/>
                  <a:p>
                    <a:r>
                      <a:rPr lang="en-US"/>
                      <a:t>2,5%</a:t>
                    </a:r>
                  </a:p>
                </c:rich>
              </c:tx>
              <c:showLegendKey val="0"/>
              <c:showVal val="0"/>
              <c:showCatName val="0"/>
              <c:showSerName val="0"/>
              <c:showPercent val="1"/>
              <c:showBubbleSize val="0"/>
              <c:extLst>
                <c:ext xmlns:c15="http://schemas.microsoft.com/office/drawing/2012/chart" uri="{CE6537A1-D6FC-4f65-9D91-7224C49458BB}">
                  <c15:layout>
                    <c:manualLayout>
                      <c:w val="8.7874732334047106E-2"/>
                      <c:h val="0.14510779436152571"/>
                    </c:manualLayout>
                  </c15:layout>
                </c:ext>
              </c:extLst>
            </c:dLbl>
            <c:dLbl>
              <c:idx val="2"/>
              <c:layout>
                <c:manualLayout>
                  <c:x val="0.1054378015832136"/>
                  <c:y val="-0.440539545958817"/>
                </c:manualLayout>
              </c:layout>
              <c:showLegendKey val="0"/>
              <c:showVal val="0"/>
              <c:showCatName val="0"/>
              <c:showSerName val="0"/>
              <c:showPercent val="1"/>
              <c:showBubbleSize val="0"/>
              <c:extLst>
                <c:ext xmlns:c15="http://schemas.microsoft.com/office/drawing/2012/chart" uri="{CE6537A1-D6FC-4f65-9D91-7224C49458BB}">
                  <c15:layout/>
                </c:ext>
              </c:extLst>
            </c:dLbl>
            <c:numFmt formatCode="0.0%" sourceLinked="0"/>
            <c:spPr>
              <a:noFill/>
              <a:ln>
                <a:noFill/>
              </a:ln>
              <a:effectLst/>
            </c:spPr>
            <c:txPr>
              <a:bodyPr/>
              <a:lstStyle/>
              <a:p>
                <a:pPr>
                  <a:defRPr>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доходы!$B$3:$B$5</c:f>
              <c:strCache>
                <c:ptCount val="3"/>
                <c:pt idx="0">
                  <c:v>Налоговые доходы </c:v>
                </c:pt>
                <c:pt idx="1">
                  <c:v>Неналоговые доходы </c:v>
                </c:pt>
                <c:pt idx="2">
                  <c:v>Безвозмездные поступления </c:v>
                </c:pt>
              </c:strCache>
            </c:strRef>
          </c:cat>
          <c:val>
            <c:numRef>
              <c:f>доходы!$E$3:$E$5</c:f>
              <c:numCache>
                <c:formatCode>General</c:formatCode>
                <c:ptCount val="3"/>
                <c:pt idx="0">
                  <c:v>1005.09</c:v>
                </c:pt>
                <c:pt idx="1">
                  <c:v>119.9</c:v>
                </c:pt>
                <c:pt idx="2" formatCode="#,##0.00">
                  <c:v>3554.66</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7375946315061996"/>
          <c:y val="0.22048876353142477"/>
          <c:w val="0.30215056362316361"/>
          <c:h val="0.67066700617646824"/>
        </c:manualLayout>
      </c:layout>
      <c:overlay val="0"/>
      <c:txPr>
        <a:bodyPr/>
        <a:lstStyle/>
        <a:p>
          <a:pPr>
            <a:defRPr>
              <a:latin typeface="Times New Roman" pitchFamily="18" charset="0"/>
              <a:cs typeface="Times New Roman" pitchFamily="18" charset="0"/>
            </a:defRPr>
          </a:pPr>
          <a:endParaRPr lang="ru-RU"/>
        </a:p>
      </c:txPr>
    </c:legend>
    <c:plotVisOnly val="1"/>
    <c:dispBlanksAs val="zero"/>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0"/>
    </mc:Choice>
    <mc:Fallback>
      <c:style val="20"/>
    </mc:Fallback>
  </mc:AlternateContent>
  <c:clrMapOvr bg1="lt1" tx1="dk1" bg2="lt2" tx2="dk2" accent1="accent1" accent2="accent2" accent3="accent3" accent4="accent4" accent5="accent5" accent6="accent6" hlink="hlink" folHlink="folHlink"/>
  <c:chart>
    <c:autoTitleDeleted val="0"/>
    <c:view3D>
      <c:rotX val="0"/>
      <c:rotY val="0"/>
      <c:rAngAx val="0"/>
      <c:perspective val="90"/>
    </c:view3D>
    <c:floor>
      <c:thickness val="0"/>
    </c:floor>
    <c:sideWall>
      <c:thickness val="0"/>
    </c:sideWall>
    <c:backWall>
      <c:thickness val="0"/>
    </c:backWall>
    <c:plotArea>
      <c:layout>
        <c:manualLayout>
          <c:layoutTarget val="inner"/>
          <c:xMode val="edge"/>
          <c:yMode val="edge"/>
          <c:x val="0.15777380100214791"/>
          <c:y val="2.6092575714563845E-2"/>
          <c:w val="0.71377066503051734"/>
          <c:h val="0.85818379675975054"/>
        </c:manualLayout>
      </c:layout>
      <c:bar3DChart>
        <c:barDir val="bar"/>
        <c:grouping val="clustered"/>
        <c:varyColors val="0"/>
        <c:ser>
          <c:idx val="0"/>
          <c:order val="0"/>
          <c:tx>
            <c:strRef>
              <c:f>налоговые!$C$2</c:f>
              <c:strCache>
                <c:ptCount val="1"/>
                <c:pt idx="0">
                  <c:v>2019 год,         тыс.руб.</c:v>
                </c:pt>
              </c:strCache>
            </c:strRef>
          </c:tx>
          <c:spPr>
            <a:solidFill>
              <a:srgbClr val="0070C0"/>
            </a:solidFill>
            <a:ln>
              <a:solidFill>
                <a:schemeClr val="tx2">
                  <a:lumMod val="50000"/>
                </a:schemeClr>
              </a:solidFill>
            </a:ln>
          </c:spPr>
          <c:invertIfNegative val="0"/>
          <c:dLbls>
            <c:dLbl>
              <c:idx val="0"/>
              <c:layout>
                <c:manualLayout>
                  <c:x val="2.0582577041630013E-3"/>
                  <c:y val="-6.3251106894370674E-3"/>
                </c:manualLayout>
              </c:layout>
              <c:spPr/>
              <c:txPr>
                <a:bodyPr/>
                <a:lstStyle/>
                <a:p>
                  <a:pPr>
                    <a:defRPr>
                      <a:solidFill>
                        <a:srgbClr val="0070C0"/>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3290043290043302E-2"/>
                  <c:y val="0"/>
                </c:manualLayout>
              </c:layout>
              <c:spPr/>
              <c:txPr>
                <a:bodyPr/>
                <a:lstStyle/>
                <a:p>
                  <a:pPr>
                    <a:defRPr>
                      <a:solidFill>
                        <a:srgbClr val="0070C0"/>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5974025974026042E-2"/>
                  <c:y val="-5.7979511535578935E-17"/>
                </c:manualLayout>
              </c:layout>
              <c:spPr/>
              <c:txPr>
                <a:bodyPr/>
                <a:lstStyle/>
                <a:p>
                  <a:pPr>
                    <a:defRPr>
                      <a:solidFill>
                        <a:srgbClr val="0070C0"/>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3.0303030303030311E-2"/>
                  <c:y val="-3.1625553447185402E-3"/>
                </c:manualLayout>
              </c:layout>
              <c:spPr/>
              <c:txPr>
                <a:bodyPr/>
                <a:lstStyle/>
                <a:p>
                  <a:pPr>
                    <a:defRPr>
                      <a:solidFill>
                        <a:srgbClr val="0070C0"/>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2.3809523809523812E-2"/>
                  <c:y val="0"/>
                </c:manualLayout>
              </c:layout>
              <c:spPr/>
              <c:txPr>
                <a:bodyPr/>
                <a:lstStyle/>
                <a:p>
                  <a:pPr>
                    <a:defRPr>
                      <a:solidFill>
                        <a:srgbClr val="0070C0"/>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5"/>
              <c:layout>
                <c:manualLayout>
                  <c:x val="2.1645021645021651E-2"/>
                  <c:y val="1.8975332068311201E-2"/>
                </c:manualLayout>
              </c:layout>
              <c:spPr/>
              <c:txPr>
                <a:bodyPr/>
                <a:lstStyle/>
                <a:p>
                  <a:pPr>
                    <a:defRPr>
                      <a:solidFill>
                        <a:srgbClr val="0070C0"/>
                      </a:solidFill>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solidFill>
                      <a:schemeClr val="tx2">
                        <a:lumMod val="60000"/>
                        <a:lumOff val="40000"/>
                      </a:schemeClr>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налоговые!$B$4:$B$7</c:f>
              <c:strCache>
                <c:ptCount val="4"/>
                <c:pt idx="0">
                  <c:v>НДФЛ</c:v>
                </c:pt>
                <c:pt idx="1">
                  <c:v>налоги на имущество</c:v>
                </c:pt>
                <c:pt idx="2">
                  <c:v>налоги на совокупный доход</c:v>
                </c:pt>
                <c:pt idx="3">
                  <c:v>госпошлина</c:v>
                </c:pt>
              </c:strCache>
            </c:strRef>
          </c:cat>
          <c:val>
            <c:numRef>
              <c:f>налоговые!$C$4:$C$7</c:f>
              <c:numCache>
                <c:formatCode>#,##0.00</c:formatCode>
                <c:ptCount val="4"/>
                <c:pt idx="0">
                  <c:v>704442.67999999819</c:v>
                </c:pt>
                <c:pt idx="1">
                  <c:v>140889.74000000011</c:v>
                </c:pt>
                <c:pt idx="2">
                  <c:v>102812.29</c:v>
                </c:pt>
                <c:pt idx="3">
                  <c:v>13485.359999999971</c:v>
                </c:pt>
              </c:numCache>
            </c:numRef>
          </c:val>
        </c:ser>
        <c:ser>
          <c:idx val="1"/>
          <c:order val="1"/>
          <c:tx>
            <c:strRef>
              <c:f>налоговые!$D$2</c:f>
              <c:strCache>
                <c:ptCount val="1"/>
                <c:pt idx="0">
                  <c:v>2020 год</c:v>
                </c:pt>
              </c:strCache>
            </c:strRef>
          </c:tx>
          <c:spPr>
            <a:solidFill>
              <a:srgbClr val="FF0000"/>
            </a:solidFill>
            <a:ln>
              <a:solidFill>
                <a:srgbClr val="C00000"/>
              </a:solidFill>
            </a:ln>
          </c:spPr>
          <c:invertIfNegative val="0"/>
          <c:dLbls>
            <c:dLbl>
              <c:idx val="0"/>
              <c:layout>
                <c:manualLayout>
                  <c:x val="-8.4944252540641862E-4"/>
                  <c:y val="-1.581277672359266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3.6796536796536793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5974025974026042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8138528138528133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5151515151515181E-2"/>
                  <c:y val="2.898975576778935E-17"/>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2.1644961273574279E-2"/>
                  <c:y val="3.3521611751111311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solidFill>
                      <a:schemeClr val="accent2">
                        <a:lumMod val="75000"/>
                      </a:schemeClr>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налоговые!$B$4:$B$7</c:f>
              <c:strCache>
                <c:ptCount val="4"/>
                <c:pt idx="0">
                  <c:v>НДФЛ</c:v>
                </c:pt>
                <c:pt idx="1">
                  <c:v>налоги на имущество</c:v>
                </c:pt>
                <c:pt idx="2">
                  <c:v>налоги на совокупный доход</c:v>
                </c:pt>
                <c:pt idx="3">
                  <c:v>госпошлина</c:v>
                </c:pt>
              </c:strCache>
            </c:strRef>
          </c:cat>
          <c:val>
            <c:numRef>
              <c:f>налоговые!$D$4:$D$7</c:f>
              <c:numCache>
                <c:formatCode>#,##0.00</c:formatCode>
                <c:ptCount val="4"/>
                <c:pt idx="0">
                  <c:v>747716.04</c:v>
                </c:pt>
                <c:pt idx="1">
                  <c:v>138430.29</c:v>
                </c:pt>
                <c:pt idx="2">
                  <c:v>96538.39</c:v>
                </c:pt>
                <c:pt idx="3">
                  <c:v>13866.14000000001</c:v>
                </c:pt>
              </c:numCache>
            </c:numRef>
          </c:val>
        </c:ser>
        <c:dLbls>
          <c:showLegendKey val="0"/>
          <c:showVal val="0"/>
          <c:showCatName val="0"/>
          <c:showSerName val="0"/>
          <c:showPercent val="0"/>
          <c:showBubbleSize val="0"/>
        </c:dLbls>
        <c:gapWidth val="150"/>
        <c:shape val="box"/>
        <c:axId val="292385560"/>
        <c:axId val="112804360"/>
        <c:axId val="0"/>
      </c:bar3DChart>
      <c:catAx>
        <c:axId val="292385560"/>
        <c:scaling>
          <c:orientation val="minMax"/>
        </c:scaling>
        <c:delete val="0"/>
        <c:axPos val="l"/>
        <c:majorGridlines>
          <c:spPr>
            <a:ln>
              <a:solidFill>
                <a:schemeClr val="bg1"/>
              </a:solidFill>
            </a:ln>
          </c:spPr>
        </c:majorGridlines>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112804360"/>
        <c:crosses val="autoZero"/>
        <c:auto val="1"/>
        <c:lblAlgn val="ctr"/>
        <c:lblOffset val="100"/>
        <c:noMultiLvlLbl val="0"/>
      </c:catAx>
      <c:valAx>
        <c:axId val="112804360"/>
        <c:scaling>
          <c:orientation val="minMax"/>
        </c:scaling>
        <c:delete val="0"/>
        <c:axPos val="b"/>
        <c:majorGridlines>
          <c:spPr>
            <a:ln>
              <a:solidFill>
                <a:schemeClr val="bg1"/>
              </a:solidFill>
            </a:ln>
          </c:spPr>
        </c:majorGridlines>
        <c:numFmt formatCode="#,##0.00" sourceLinked="1"/>
        <c:majorTickMark val="out"/>
        <c:minorTickMark val="none"/>
        <c:tickLblPos val="nextTo"/>
        <c:txPr>
          <a:bodyPr/>
          <a:lstStyle/>
          <a:p>
            <a:pPr>
              <a:defRPr>
                <a:solidFill>
                  <a:schemeClr val="bg1"/>
                </a:solidFill>
                <a:latin typeface="Times New Roman" pitchFamily="18" charset="0"/>
                <a:cs typeface="Times New Roman" pitchFamily="18" charset="0"/>
              </a:defRPr>
            </a:pPr>
            <a:endParaRPr lang="ru-RU"/>
          </a:p>
        </c:txPr>
        <c:crossAx val="292385560"/>
        <c:crosses val="autoZero"/>
        <c:crossBetween val="between"/>
      </c:valAx>
    </c:plotArea>
    <c:legend>
      <c:legendPos val="b"/>
      <c:layout>
        <c:manualLayout>
          <c:xMode val="edge"/>
          <c:yMode val="edge"/>
          <c:x val="0.26625762688754817"/>
          <c:y val="0.89891153311718464"/>
          <c:w val="0.41944116658442232"/>
          <c:h val="5.2577632816819486E-2"/>
        </c:manualLayout>
      </c:layout>
      <c:overlay val="0"/>
      <c:spPr>
        <a:ln>
          <a:solidFill>
            <a:schemeClr val="bg1"/>
          </a:solidFill>
        </a:ln>
      </c:spPr>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797222222222351"/>
          <c:y val="2.6620370370370832E-2"/>
          <c:w val="0.86813888888889712"/>
          <c:h val="0.74252004957713624"/>
        </c:manualLayout>
      </c:layout>
      <c:lineChart>
        <c:grouping val="standard"/>
        <c:varyColors val="0"/>
        <c:ser>
          <c:idx val="0"/>
          <c:order val="0"/>
          <c:marker>
            <c:spPr>
              <a:solidFill>
                <a:srgbClr val="00B0F0"/>
              </a:solidFill>
            </c:spPr>
          </c:marker>
          <c:cat>
            <c:strRef>
              <c:f>НДФЛ!$C$10:$C$21</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НДФЛ!$D$10:$D$21</c:f>
              <c:numCache>
                <c:formatCode>#,##0.00</c:formatCode>
                <c:ptCount val="12"/>
                <c:pt idx="0">
                  <c:v>39769.99</c:v>
                </c:pt>
                <c:pt idx="1">
                  <c:v>67453.850000000006</c:v>
                </c:pt>
                <c:pt idx="2">
                  <c:v>63154.02</c:v>
                </c:pt>
                <c:pt idx="3">
                  <c:v>49923.9</c:v>
                </c:pt>
                <c:pt idx="4">
                  <c:v>59397.07</c:v>
                </c:pt>
                <c:pt idx="5">
                  <c:v>57884.87</c:v>
                </c:pt>
                <c:pt idx="6">
                  <c:v>66295.820000000007</c:v>
                </c:pt>
                <c:pt idx="7">
                  <c:v>59252.289999999994</c:v>
                </c:pt>
                <c:pt idx="8">
                  <c:v>55810.36</c:v>
                </c:pt>
                <c:pt idx="9">
                  <c:v>60104.28</c:v>
                </c:pt>
                <c:pt idx="10">
                  <c:v>62407.99</c:v>
                </c:pt>
                <c:pt idx="11">
                  <c:v>106261.6</c:v>
                </c:pt>
              </c:numCache>
            </c:numRef>
          </c:val>
          <c:smooth val="0"/>
        </c:ser>
        <c:dLbls>
          <c:showLegendKey val="0"/>
          <c:showVal val="0"/>
          <c:showCatName val="0"/>
          <c:showSerName val="0"/>
          <c:showPercent val="0"/>
          <c:showBubbleSize val="0"/>
        </c:dLbls>
        <c:marker val="1"/>
        <c:smooth val="0"/>
        <c:axId val="112805144"/>
        <c:axId val="112805536"/>
      </c:lineChart>
      <c:catAx>
        <c:axId val="112805144"/>
        <c:scaling>
          <c:orientation val="minMax"/>
        </c:scaling>
        <c:delete val="0"/>
        <c:axPos val="b"/>
        <c:majorGridlines>
          <c:spPr>
            <a:ln>
              <a:solidFill>
                <a:schemeClr val="bg1"/>
              </a:solidFill>
            </a:ln>
          </c:spPr>
        </c:majorGridlines>
        <c:numFmt formatCode="General" sourceLinked="0"/>
        <c:majorTickMark val="out"/>
        <c:minorTickMark val="none"/>
        <c:tickLblPos val="nextTo"/>
        <c:txPr>
          <a:bodyPr/>
          <a:lstStyle/>
          <a:p>
            <a:pPr>
              <a:defRPr baseline="0">
                <a:latin typeface="Times New Roman" pitchFamily="18" charset="0"/>
                <a:cs typeface="Times New Roman" pitchFamily="18" charset="0"/>
              </a:defRPr>
            </a:pPr>
            <a:endParaRPr lang="ru-RU"/>
          </a:p>
        </c:txPr>
        <c:crossAx val="112805536"/>
        <c:crosses val="autoZero"/>
        <c:auto val="1"/>
        <c:lblAlgn val="ctr"/>
        <c:lblOffset val="100"/>
        <c:noMultiLvlLbl val="0"/>
      </c:catAx>
      <c:valAx>
        <c:axId val="112805536"/>
        <c:scaling>
          <c:orientation val="minMax"/>
        </c:scaling>
        <c:delete val="0"/>
        <c:axPos val="l"/>
        <c:majorGridlines>
          <c:spPr>
            <a:ln>
              <a:solidFill>
                <a:schemeClr val="bg1">
                  <a:lumMod val="95000"/>
                </a:schemeClr>
              </a:solidFill>
            </a:ln>
          </c:spPr>
        </c:majorGridlines>
        <c:numFmt formatCode="#,##0" sourceLinked="0"/>
        <c:majorTickMark val="out"/>
        <c:minorTickMark val="none"/>
        <c:tickLblPos val="nextTo"/>
        <c:txPr>
          <a:bodyPr/>
          <a:lstStyle/>
          <a:p>
            <a:pPr>
              <a:defRPr>
                <a:latin typeface="Times New Roman" pitchFamily="18" charset="0"/>
                <a:cs typeface="Times New Roman" pitchFamily="18" charset="0"/>
              </a:defRPr>
            </a:pPr>
            <a:endParaRPr lang="ru-RU"/>
          </a:p>
        </c:txPr>
        <c:crossAx val="112805144"/>
        <c:crosses val="autoZero"/>
        <c:crossBetween val="between"/>
      </c:valAx>
    </c:plotArea>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0"/>
    </mc:Choice>
    <mc:Fallback>
      <c:style val="20"/>
    </mc:Fallback>
  </mc:AlternateContent>
  <c:clrMapOvr bg1="lt1" tx1="dk1" bg2="lt2" tx2="dk2" accent1="accent1" accent2="accent2" accent3="accent3" accent4="accent4" accent5="accent5" accent6="accent6" hlink="hlink" folHlink="folHlink"/>
  <c:chart>
    <c:autoTitleDeleted val="0"/>
    <c:view3D>
      <c:rotX val="0"/>
      <c:rotY val="0"/>
      <c:rAngAx val="0"/>
      <c:perspective val="90"/>
    </c:view3D>
    <c:floor>
      <c:thickness val="0"/>
    </c:floor>
    <c:sideWall>
      <c:thickness val="0"/>
    </c:sideWall>
    <c:backWall>
      <c:thickness val="0"/>
    </c:backWall>
    <c:plotArea>
      <c:layout>
        <c:manualLayout>
          <c:layoutTarget val="inner"/>
          <c:xMode val="edge"/>
          <c:yMode val="edge"/>
          <c:x val="0.18167024576473395"/>
          <c:y val="0"/>
          <c:w val="0.76638170228721414"/>
          <c:h val="0.91028685626625438"/>
        </c:manualLayout>
      </c:layout>
      <c:bar3DChart>
        <c:barDir val="bar"/>
        <c:grouping val="clustered"/>
        <c:varyColors val="0"/>
        <c:ser>
          <c:idx val="1"/>
          <c:order val="0"/>
          <c:tx>
            <c:v>2019 год</c:v>
          </c:tx>
          <c:spPr>
            <a:solidFill>
              <a:srgbClr val="FF0000"/>
            </a:solidFill>
          </c:spPr>
          <c:invertIfNegative val="0"/>
          <c:dLbls>
            <c:dLbl>
              <c:idx val="0"/>
              <c:layout>
                <c:manualLayout>
                  <c:x val="-2.1645021645021723E-3"/>
                  <c:y val="1.141552511415532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0822436483444699E-2"/>
                  <c:y val="-3.517938052220278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2987012987012988E-2"/>
                  <c:y val="1.522070015220702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4935064935065165E-3"/>
                  <c:y val="1.902587519025885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0822510822510827E-2"/>
                  <c:y val="1.902587519025889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6.4935064935065165E-3"/>
                  <c:y val="2.6636225266362282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a:solidFill>
                      <a:srgbClr val="C00000"/>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доходы!$B$15:$B$20</c:f>
              <c:strCache>
                <c:ptCount val="6"/>
                <c:pt idx="0">
                  <c:v>Доходы от использования имущества</c:v>
                </c:pt>
                <c:pt idx="1">
                  <c:v>Платежи при пользовании природными ресурсами</c:v>
                </c:pt>
                <c:pt idx="2">
                  <c:v>Доходы от оказания платных услуг и компенсация затрат государства</c:v>
                </c:pt>
                <c:pt idx="3">
                  <c:v>Доходы от продажи материальных и нематериальных активов</c:v>
                </c:pt>
                <c:pt idx="4">
                  <c:v>Штрафы, санкции,          возмещение ущерба</c:v>
                </c:pt>
                <c:pt idx="5">
                  <c:v>Прочие </c:v>
                </c:pt>
              </c:strCache>
            </c:strRef>
          </c:cat>
          <c:val>
            <c:numRef>
              <c:f>доходы!$E$15:$E$20</c:f>
              <c:numCache>
                <c:formatCode>#,##0.00</c:formatCode>
                <c:ptCount val="6"/>
                <c:pt idx="0">
                  <c:v>90197.79</c:v>
                </c:pt>
                <c:pt idx="1">
                  <c:v>19568.560000000001</c:v>
                </c:pt>
                <c:pt idx="2">
                  <c:v>7956.02</c:v>
                </c:pt>
                <c:pt idx="3">
                  <c:v>20510.460000000021</c:v>
                </c:pt>
                <c:pt idx="4">
                  <c:v>12368.61</c:v>
                </c:pt>
                <c:pt idx="5">
                  <c:v>9954.4599999999737</c:v>
                </c:pt>
              </c:numCache>
            </c:numRef>
          </c:val>
        </c:ser>
        <c:ser>
          <c:idx val="0"/>
          <c:order val="1"/>
          <c:tx>
            <c:v>2020 год</c:v>
          </c:tx>
          <c:spPr>
            <a:solidFill>
              <a:schemeClr val="tx2">
                <a:lumMod val="60000"/>
                <a:lumOff val="40000"/>
              </a:schemeClr>
            </a:solidFill>
          </c:spPr>
          <c:invertIfNegative val="0"/>
          <c:dLbls>
            <c:dLbl>
              <c:idx val="1"/>
              <c:layout>
                <c:manualLayout>
                  <c:x val="4.276245456489176E-3"/>
                  <c:y val="-1.8786398647379323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wrap="square" lIns="38100" tIns="19050" rIns="38100" bIns="19050" anchor="ctr">
                <a:spAutoFit/>
              </a:bodyPr>
              <a:lstStyle/>
              <a:p>
                <a:pPr>
                  <a:defRPr>
                    <a:solidFill>
                      <a:schemeClr val="tx2">
                        <a:lumMod val="5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доходы!$B$15:$B$20</c:f>
              <c:strCache>
                <c:ptCount val="6"/>
                <c:pt idx="0">
                  <c:v>Доходы от использования имущества</c:v>
                </c:pt>
                <c:pt idx="1">
                  <c:v>Платежи при пользовании природными ресурсами</c:v>
                </c:pt>
                <c:pt idx="2">
                  <c:v>Доходы от оказания платных услуг и компенсация затрат государства</c:v>
                </c:pt>
                <c:pt idx="3">
                  <c:v>Доходы от продажи материальных и нематериальных активов</c:v>
                </c:pt>
                <c:pt idx="4">
                  <c:v>Штрафы, санкции,          возмещение ущерба</c:v>
                </c:pt>
                <c:pt idx="5">
                  <c:v>Прочие </c:v>
                </c:pt>
              </c:strCache>
            </c:strRef>
          </c:cat>
          <c:val>
            <c:numRef>
              <c:f>доходы!$F$15:$F$20</c:f>
              <c:numCache>
                <c:formatCode>#,##0.00</c:formatCode>
                <c:ptCount val="6"/>
                <c:pt idx="0">
                  <c:v>90158.32</c:v>
                </c:pt>
                <c:pt idx="1">
                  <c:v>8175.92</c:v>
                </c:pt>
                <c:pt idx="2">
                  <c:v>5434.28</c:v>
                </c:pt>
                <c:pt idx="3">
                  <c:v>9795.7999999999865</c:v>
                </c:pt>
                <c:pt idx="4">
                  <c:v>5688.79</c:v>
                </c:pt>
                <c:pt idx="5">
                  <c:v>649.97</c:v>
                </c:pt>
              </c:numCache>
            </c:numRef>
          </c:val>
        </c:ser>
        <c:dLbls>
          <c:showLegendKey val="0"/>
          <c:showVal val="0"/>
          <c:showCatName val="0"/>
          <c:showSerName val="0"/>
          <c:showPercent val="0"/>
          <c:showBubbleSize val="0"/>
        </c:dLbls>
        <c:gapWidth val="150"/>
        <c:shape val="box"/>
        <c:axId val="49889144"/>
        <c:axId val="49889536"/>
        <c:axId val="0"/>
      </c:bar3DChart>
      <c:catAx>
        <c:axId val="49889144"/>
        <c:scaling>
          <c:orientation val="minMax"/>
        </c:scaling>
        <c:delete val="0"/>
        <c:axPos val="l"/>
        <c:majorGridlines>
          <c:spPr>
            <a:ln>
              <a:solidFill>
                <a:schemeClr val="bg1"/>
              </a:solidFill>
            </a:ln>
          </c:spPr>
        </c:majorGridlines>
        <c:numFmt formatCode="General" sourceLinked="1"/>
        <c:majorTickMark val="out"/>
        <c:minorTickMark val="none"/>
        <c:tickLblPos val="nextTo"/>
        <c:txPr>
          <a:bodyPr/>
          <a:lstStyle/>
          <a:p>
            <a:pPr>
              <a:defRPr sz="750">
                <a:latin typeface="Times New Roman" pitchFamily="18" charset="0"/>
                <a:cs typeface="Times New Roman" pitchFamily="18" charset="0"/>
              </a:defRPr>
            </a:pPr>
            <a:endParaRPr lang="ru-RU"/>
          </a:p>
        </c:txPr>
        <c:crossAx val="49889536"/>
        <c:crosses val="autoZero"/>
        <c:auto val="1"/>
        <c:lblAlgn val="ctr"/>
        <c:lblOffset val="100"/>
        <c:noMultiLvlLbl val="0"/>
      </c:catAx>
      <c:valAx>
        <c:axId val="49889536"/>
        <c:scaling>
          <c:orientation val="minMax"/>
        </c:scaling>
        <c:delete val="0"/>
        <c:axPos val="b"/>
        <c:majorGridlines>
          <c:spPr>
            <a:ln>
              <a:solidFill>
                <a:schemeClr val="bg1"/>
              </a:solidFill>
            </a:ln>
          </c:spPr>
        </c:majorGridlines>
        <c:numFmt formatCode="#,##0.00" sourceLinked="1"/>
        <c:majorTickMark val="out"/>
        <c:minorTickMark val="none"/>
        <c:tickLblPos val="nextTo"/>
        <c:txPr>
          <a:bodyPr/>
          <a:lstStyle/>
          <a:p>
            <a:pPr>
              <a:defRPr sz="800">
                <a:solidFill>
                  <a:schemeClr val="bg1"/>
                </a:solidFill>
                <a:latin typeface="Times New Roman" pitchFamily="18" charset="0"/>
                <a:cs typeface="Times New Roman" pitchFamily="18" charset="0"/>
              </a:defRPr>
            </a:pPr>
            <a:endParaRPr lang="ru-RU"/>
          </a:p>
        </c:txPr>
        <c:crossAx val="49889144"/>
        <c:crosses val="autoZero"/>
        <c:crossBetween val="between"/>
      </c:valAx>
    </c:plotArea>
    <c:legend>
      <c:legendPos val="b"/>
      <c:layout>
        <c:manualLayout>
          <c:xMode val="edge"/>
          <c:yMode val="edge"/>
          <c:x val="0.38530524593517024"/>
          <c:y val="0.91261730126199958"/>
          <c:w val="0.24250687770492571"/>
          <c:h val="6.7122915314872952E-2"/>
        </c:manualLayout>
      </c:layout>
      <c:overlay val="0"/>
    </c:legend>
    <c:plotVisOnly val="1"/>
    <c:dispBlanksAs val="gap"/>
    <c:showDLblsOverMax val="0"/>
  </c:chart>
  <c:spPr>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5.1320660538247194E-2"/>
          <c:w val="0.55398780058204089"/>
          <c:h val="0.80364345351711486"/>
        </c:manualLayout>
      </c:layout>
      <c:doughnutChart>
        <c:varyColors val="1"/>
        <c:ser>
          <c:idx val="0"/>
          <c:order val="0"/>
          <c:tx>
            <c:strRef>
              <c:f>'структура расходов'!$B$2:$B$12</c:f>
              <c:strCache>
                <c:ptCount val="1"/>
                <c:pt idx="0">
                  <c:v>Общегосударственные вопросы  Национальная безопасность  Национальная экономика  ЖКХ  Охрана окружающей среды  Образование Культура Здравоохранение Социальная политика  Физкультура и спорт  Обслуживание муниципального долга </c:v>
                </c:pt>
              </c:strCache>
            </c:strRef>
          </c:tx>
          <c:spPr>
            <a:scene3d>
              <a:camera prst="orthographicFront"/>
              <a:lightRig rig="threePt" dir="t"/>
            </a:scene3d>
            <a:sp3d>
              <a:bevelT w="177800"/>
            </a:sp3d>
          </c:spPr>
          <c:explosion val="33"/>
          <c:dPt>
            <c:idx val="2"/>
            <c:bubble3D val="0"/>
            <c:spPr>
              <a:solidFill>
                <a:srgbClr val="996600"/>
              </a:solidFill>
              <a:scene3d>
                <a:camera prst="orthographicFront"/>
                <a:lightRig rig="threePt" dir="t"/>
              </a:scene3d>
              <a:sp3d>
                <a:bevelT w="177800"/>
              </a:sp3d>
            </c:spPr>
          </c:dPt>
          <c:dPt>
            <c:idx val="5"/>
            <c:bubble3D val="0"/>
            <c:spPr>
              <a:solidFill>
                <a:schemeClr val="accent6">
                  <a:lumMod val="75000"/>
                </a:schemeClr>
              </a:solidFill>
              <a:scene3d>
                <a:camera prst="orthographicFront"/>
                <a:lightRig rig="threePt" dir="t"/>
              </a:scene3d>
              <a:sp3d>
                <a:bevelT w="177800"/>
              </a:sp3d>
            </c:spPr>
          </c:dPt>
          <c:dPt>
            <c:idx val="6"/>
            <c:bubble3D val="0"/>
            <c:spPr>
              <a:solidFill>
                <a:srgbClr val="009900"/>
              </a:solidFill>
              <a:scene3d>
                <a:camera prst="orthographicFront"/>
                <a:lightRig rig="threePt" dir="t"/>
              </a:scene3d>
              <a:sp3d>
                <a:bevelT w="177800"/>
              </a:sp3d>
            </c:spPr>
          </c:dPt>
          <c:dPt>
            <c:idx val="7"/>
            <c:bubble3D val="0"/>
            <c:spPr>
              <a:solidFill>
                <a:srgbClr val="C00000"/>
              </a:solidFill>
              <a:scene3d>
                <a:camera prst="orthographicFront"/>
                <a:lightRig rig="threePt" dir="t"/>
              </a:scene3d>
              <a:sp3d>
                <a:bevelT w="177800"/>
              </a:sp3d>
            </c:spPr>
          </c:dPt>
          <c:dLbls>
            <c:dLbl>
              <c:idx val="0"/>
              <c:layout>
                <c:manualLayout>
                  <c:x val="1.5467904098994586E-2"/>
                  <c:y val="-0.11268463529770061"/>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3.9529088252986164E-2"/>
                  <c:y val="-0.10659357393026017"/>
                </c:manualLayout>
              </c:layout>
              <c:showLegendKey val="0"/>
              <c:showVal val="0"/>
              <c:showCatName val="0"/>
              <c:showSerName val="0"/>
              <c:showPercent val="1"/>
              <c:showBubbleSize val="0"/>
              <c:extLst>
                <c:ext xmlns:c15="http://schemas.microsoft.com/office/drawing/2012/chart" uri="{CE6537A1-D6FC-4f65-9D91-7224C49458BB}"/>
              </c:extLst>
            </c:dLbl>
            <c:dLbl>
              <c:idx val="2"/>
              <c:layout>
                <c:manualLayout>
                  <c:x val="6.0152960384978964E-2"/>
                  <c:y val="-8.2229328460484266E-2"/>
                </c:manualLayout>
              </c:layout>
              <c:showLegendKey val="0"/>
              <c:showVal val="0"/>
              <c:showCatName val="0"/>
              <c:showSerName val="0"/>
              <c:showPercent val="1"/>
              <c:showBubbleSize val="0"/>
              <c:extLst>
                <c:ext xmlns:c15="http://schemas.microsoft.com/office/drawing/2012/chart" uri="{CE6537A1-D6FC-4f65-9D91-7224C49458BB}"/>
              </c:extLst>
            </c:dLbl>
            <c:dLbl>
              <c:idx val="3"/>
              <c:layout>
                <c:manualLayout>
                  <c:x val="6.8746240439975959E-2"/>
                  <c:y val="-1.2182122734886561E-2"/>
                </c:manualLayout>
              </c:layout>
              <c:showLegendKey val="0"/>
              <c:showVal val="0"/>
              <c:showCatName val="0"/>
              <c:showSerName val="0"/>
              <c:showPercent val="1"/>
              <c:showBubbleSize val="0"/>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layout>
                <c:manualLayout>
                  <c:x val="-9.9682048637965107E-2"/>
                  <c:y val="5.7865082990711934E-2"/>
                </c:manualLayout>
              </c:layout>
              <c:showLegendKey val="0"/>
              <c:showVal val="0"/>
              <c:showCatName val="0"/>
              <c:showSerName val="0"/>
              <c:showPercent val="1"/>
              <c:showBubbleSize val="0"/>
              <c:extLst>
                <c:ext xmlns:c15="http://schemas.microsoft.com/office/drawing/2012/chart" uri="{CE6537A1-D6FC-4f65-9D91-7224C49458BB}"/>
              </c:extLst>
            </c:dLbl>
            <c:dLbl>
              <c:idx val="6"/>
              <c:layout>
                <c:manualLayout>
                  <c:x val="-4.9841024318982553E-2"/>
                  <c:y val="-9.7456981879092505E-2"/>
                </c:manualLayout>
              </c:layout>
              <c:showLegendKey val="0"/>
              <c:showVal val="0"/>
              <c:showCatName val="0"/>
              <c:showSerName val="0"/>
              <c:showPercent val="1"/>
              <c:showBubbleSize val="0"/>
              <c:extLst>
                <c:ext xmlns:c15="http://schemas.microsoft.com/office/drawing/2012/chart" uri="{CE6537A1-D6FC-4f65-9D91-7224C49458BB}"/>
              </c:extLst>
            </c:dLbl>
            <c:dLbl>
              <c:idx val="7"/>
              <c:layout>
                <c:manualLayout>
                  <c:x val="-4.3950754774437717E-2"/>
                  <c:y val="-0.11268485625343348"/>
                </c:manualLayout>
              </c:layout>
              <c:showLegendKey val="0"/>
              <c:showVal val="0"/>
              <c:showCatName val="0"/>
              <c:showSerName val="0"/>
              <c:showPercent val="1"/>
              <c:showBubbleSize val="0"/>
              <c:extLst>
                <c:ext xmlns:c15="http://schemas.microsoft.com/office/drawing/2012/chart" uri="{CE6537A1-D6FC-4f65-9D91-7224C49458BB}"/>
              </c:extLst>
            </c:dLbl>
            <c:dLbl>
              <c:idx val="8"/>
              <c:layout>
                <c:manualLayout>
                  <c:x val="-6.1368363530876194E-4"/>
                  <c:y val="-0.13184374202419971"/>
                </c:manualLayout>
              </c:layout>
              <c:showLegendKey val="0"/>
              <c:showVal val="0"/>
              <c:showCatName val="0"/>
              <c:showSerName val="0"/>
              <c:showPercent val="1"/>
              <c:showBubbleSize val="0"/>
              <c:extLst>
                <c:ext xmlns:c15="http://schemas.microsoft.com/office/drawing/2012/chart" uri="{CE6537A1-D6FC-4f65-9D91-7224C49458BB}">
                  <c15:layout>
                    <c:manualLayout>
                      <c:w val="5.5248618784530384E-2"/>
                      <c:h val="6.4186046511627903E-2"/>
                    </c:manualLayout>
                  </c15:layout>
                </c:ext>
              </c:extLst>
            </c:dLbl>
            <c:dLbl>
              <c:idx val="9"/>
              <c:delete val="1"/>
              <c:extLst>
                <c:ext xmlns:c15="http://schemas.microsoft.com/office/drawing/2012/chart" uri="{CE6537A1-D6FC-4f65-9D91-7224C49458BB}"/>
              </c:extLst>
            </c:dLbl>
            <c:dLbl>
              <c:idx val="10"/>
              <c:layout>
                <c:manualLayout>
                  <c:x val="-4.4198895027624339E-3"/>
                  <c:y val="-8.3720930232558208E-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a:lstStyle/>
              <a:p>
                <a:pPr>
                  <a:defRPr sz="12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'структура расходов'!$B$2:$B$12</c:f>
              <c:strCache>
                <c:ptCount val="11"/>
                <c:pt idx="0">
                  <c:v>Общегосударственные вопросы </c:v>
                </c:pt>
                <c:pt idx="1">
                  <c:v>Национальная безопасность </c:v>
                </c:pt>
                <c:pt idx="2">
                  <c:v>Национальная экономика </c:v>
                </c:pt>
                <c:pt idx="3">
                  <c:v>ЖКХ </c:v>
                </c:pt>
                <c:pt idx="4">
                  <c:v>Охрана окружающей среды </c:v>
                </c:pt>
                <c:pt idx="5">
                  <c:v>Образование</c:v>
                </c:pt>
                <c:pt idx="6">
                  <c:v>Культура</c:v>
                </c:pt>
                <c:pt idx="7">
                  <c:v>Здравоохранение</c:v>
                </c:pt>
                <c:pt idx="8">
                  <c:v>Социальная политика </c:v>
                </c:pt>
                <c:pt idx="9">
                  <c:v>Физкультура и спорт </c:v>
                </c:pt>
                <c:pt idx="10">
                  <c:v>Обслуживание муниципального долга </c:v>
                </c:pt>
              </c:strCache>
            </c:strRef>
          </c:cat>
          <c:val>
            <c:numRef>
              <c:f>'структура расходов'!$D$2:$D$12</c:f>
              <c:numCache>
                <c:formatCode>#,##0.00</c:formatCode>
                <c:ptCount val="11"/>
                <c:pt idx="0">
                  <c:v>355.26</c:v>
                </c:pt>
                <c:pt idx="1">
                  <c:v>25.86</c:v>
                </c:pt>
                <c:pt idx="2">
                  <c:v>556.93999999999949</c:v>
                </c:pt>
                <c:pt idx="3">
                  <c:v>322.14000000000038</c:v>
                </c:pt>
                <c:pt idx="4">
                  <c:v>0.2</c:v>
                </c:pt>
                <c:pt idx="5">
                  <c:v>2652.86</c:v>
                </c:pt>
                <c:pt idx="6">
                  <c:v>411.37</c:v>
                </c:pt>
                <c:pt idx="7">
                  <c:v>9.1399999999999988</c:v>
                </c:pt>
                <c:pt idx="8">
                  <c:v>121.33</c:v>
                </c:pt>
                <c:pt idx="9">
                  <c:v>257.18</c:v>
                </c:pt>
                <c:pt idx="10">
                  <c:v>11.350000000000026</c:v>
                </c:pt>
              </c:numCache>
            </c:numRef>
          </c:val>
        </c:ser>
        <c:dLbls>
          <c:showLegendKey val="0"/>
          <c:showVal val="0"/>
          <c:showCatName val="0"/>
          <c:showSerName val="0"/>
          <c:showPercent val="0"/>
          <c:showBubbleSize val="0"/>
          <c:showLeaderLines val="1"/>
        </c:dLbls>
        <c:firstSliceAng val="0"/>
        <c:holeSize val="50"/>
      </c:doughnutChart>
      <c:spPr>
        <a:effectLst>
          <a:outerShdw blurRad="152400" dist="317500" dir="5400000" sx="90000" sy="-19000" rotWithShape="0">
            <a:prstClr val="black">
              <a:alpha val="15000"/>
            </a:prstClr>
          </a:outerShdw>
        </a:effectLst>
      </c:spPr>
    </c:plotArea>
    <c:legend>
      <c:legendPos val="r"/>
      <c:layout>
        <c:manualLayout>
          <c:xMode val="edge"/>
          <c:yMode val="edge"/>
          <c:x val="0.59964747252689499"/>
          <c:y val="2.6737901183517807E-2"/>
          <c:w val="0.37574107218101971"/>
          <c:h val="0.94354962233635264"/>
        </c:manualLayout>
      </c:layout>
      <c:overlay val="0"/>
      <c:txPr>
        <a:bodyPr/>
        <a:lstStyle/>
        <a:p>
          <a:pPr rtl="0">
            <a:defRPr sz="900">
              <a:latin typeface="Times New Roman" pitchFamily="18" charset="0"/>
              <a:cs typeface="Times New Roman" pitchFamily="18" charset="0"/>
            </a:defRPr>
          </a:pPr>
          <a:endParaRPr lang="ru-RU"/>
        </a:p>
      </c:txPr>
    </c:legend>
    <c:plotVisOnly val="1"/>
    <c:dispBlanksAs val="zero"/>
    <c:showDLblsOverMax val="0"/>
  </c:chart>
  <c:spPr>
    <a:noFill/>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'структура расходов'!$E$23</c:f>
              <c:strCache>
                <c:ptCount val="1"/>
                <c:pt idx="0">
                  <c:v>2019 год</c:v>
                </c:pt>
              </c:strCache>
            </c:strRef>
          </c:tx>
          <c:invertIfNegative val="0"/>
          <c:cat>
            <c:strRef>
              <c:f>'структура расходов'!$B$24:$B$32</c:f>
              <c:strCache>
                <c:ptCount val="9"/>
                <c:pt idx="0">
                  <c:v>Культура</c:v>
                </c:pt>
                <c:pt idx="1">
                  <c:v>Нац.экономика </c:v>
                </c:pt>
                <c:pt idx="2">
                  <c:v>Обслуживание мун.долга </c:v>
                </c:pt>
                <c:pt idx="3">
                  <c:v>Соц.политика </c:v>
                </c:pt>
                <c:pt idx="4">
                  <c:v>ЖКХ </c:v>
                </c:pt>
                <c:pt idx="5">
                  <c:v>Образование</c:v>
                </c:pt>
                <c:pt idx="6">
                  <c:v>Общегос.вопросы </c:v>
                </c:pt>
                <c:pt idx="7">
                  <c:v>Нац.безопасность </c:v>
                </c:pt>
                <c:pt idx="8">
                  <c:v>Физкультура и спорт </c:v>
                </c:pt>
              </c:strCache>
            </c:strRef>
          </c:cat>
          <c:val>
            <c:numRef>
              <c:f>'структура расходов'!$E$24:$E$32</c:f>
              <c:numCache>
                <c:formatCode>#,##0.0</c:formatCode>
                <c:ptCount val="9"/>
                <c:pt idx="0">
                  <c:v>455.71</c:v>
                </c:pt>
                <c:pt idx="1">
                  <c:v>546.52</c:v>
                </c:pt>
                <c:pt idx="2">
                  <c:v>10.44</c:v>
                </c:pt>
                <c:pt idx="3">
                  <c:v>124.7</c:v>
                </c:pt>
                <c:pt idx="4">
                  <c:v>372.2</c:v>
                </c:pt>
                <c:pt idx="5">
                  <c:v>2581.7599999999998</c:v>
                </c:pt>
                <c:pt idx="6">
                  <c:v>338.81</c:v>
                </c:pt>
                <c:pt idx="7">
                  <c:v>25.439999999999987</c:v>
                </c:pt>
                <c:pt idx="8">
                  <c:v>148.34</c:v>
                </c:pt>
              </c:numCache>
            </c:numRef>
          </c:val>
        </c:ser>
        <c:ser>
          <c:idx val="1"/>
          <c:order val="1"/>
          <c:tx>
            <c:strRef>
              <c:f>'структура расходов'!$F$23</c:f>
              <c:strCache>
                <c:ptCount val="1"/>
                <c:pt idx="0">
                  <c:v>2020 год</c:v>
                </c:pt>
              </c:strCache>
            </c:strRef>
          </c:tx>
          <c:invertIfNegative val="0"/>
          <c:cat>
            <c:strRef>
              <c:f>'структура расходов'!$B$24:$B$32</c:f>
              <c:strCache>
                <c:ptCount val="9"/>
                <c:pt idx="0">
                  <c:v>Культура</c:v>
                </c:pt>
                <c:pt idx="1">
                  <c:v>Нац.экономика </c:v>
                </c:pt>
                <c:pt idx="2">
                  <c:v>Обслуживание мун.долга </c:v>
                </c:pt>
                <c:pt idx="3">
                  <c:v>Соц.политика </c:v>
                </c:pt>
                <c:pt idx="4">
                  <c:v>ЖКХ </c:v>
                </c:pt>
                <c:pt idx="5">
                  <c:v>Образование</c:v>
                </c:pt>
                <c:pt idx="6">
                  <c:v>Общегос.вопросы </c:v>
                </c:pt>
                <c:pt idx="7">
                  <c:v>Нац.безопасность </c:v>
                </c:pt>
                <c:pt idx="8">
                  <c:v>Физкультура и спорт </c:v>
                </c:pt>
              </c:strCache>
            </c:strRef>
          </c:cat>
          <c:val>
            <c:numRef>
              <c:f>'структура расходов'!$F$24:$F$32</c:f>
              <c:numCache>
                <c:formatCode>#,##0.0</c:formatCode>
                <c:ptCount val="9"/>
                <c:pt idx="0">
                  <c:v>411.37</c:v>
                </c:pt>
                <c:pt idx="1">
                  <c:v>556.93999999999949</c:v>
                </c:pt>
                <c:pt idx="2">
                  <c:v>11.350000000000026</c:v>
                </c:pt>
                <c:pt idx="3">
                  <c:v>121.33</c:v>
                </c:pt>
                <c:pt idx="4">
                  <c:v>322.14000000000038</c:v>
                </c:pt>
                <c:pt idx="5">
                  <c:v>2652.86</c:v>
                </c:pt>
                <c:pt idx="6">
                  <c:v>355.26</c:v>
                </c:pt>
                <c:pt idx="7">
                  <c:v>25.86</c:v>
                </c:pt>
                <c:pt idx="8">
                  <c:v>257.18</c:v>
                </c:pt>
              </c:numCache>
            </c:numRef>
          </c:val>
        </c:ser>
        <c:dLbls>
          <c:showLegendKey val="0"/>
          <c:showVal val="0"/>
          <c:showCatName val="0"/>
          <c:showSerName val="0"/>
          <c:showPercent val="0"/>
          <c:showBubbleSize val="0"/>
        </c:dLbls>
        <c:gapWidth val="150"/>
        <c:shape val="box"/>
        <c:axId val="49890712"/>
        <c:axId val="293230016"/>
        <c:axId val="0"/>
      </c:bar3DChart>
      <c:catAx>
        <c:axId val="49890712"/>
        <c:scaling>
          <c:orientation val="minMax"/>
        </c:scaling>
        <c:delete val="0"/>
        <c:axPos val="b"/>
        <c:numFmt formatCode="General" sourceLinked="0"/>
        <c:majorTickMark val="out"/>
        <c:minorTickMark val="none"/>
        <c:tickLblPos val="nextTo"/>
        <c:txPr>
          <a:bodyPr/>
          <a:lstStyle/>
          <a:p>
            <a:pPr>
              <a:defRPr sz="800">
                <a:latin typeface="Times New Roman" pitchFamily="18" charset="0"/>
                <a:cs typeface="Times New Roman" pitchFamily="18" charset="0"/>
              </a:defRPr>
            </a:pPr>
            <a:endParaRPr lang="ru-RU"/>
          </a:p>
        </c:txPr>
        <c:crossAx val="293230016"/>
        <c:crosses val="autoZero"/>
        <c:auto val="1"/>
        <c:lblAlgn val="ctr"/>
        <c:lblOffset val="100"/>
        <c:noMultiLvlLbl val="0"/>
      </c:catAx>
      <c:valAx>
        <c:axId val="293230016"/>
        <c:scaling>
          <c:orientation val="minMax"/>
        </c:scaling>
        <c:delete val="0"/>
        <c:axPos val="l"/>
        <c:majorGridlines>
          <c:spPr>
            <a:ln>
              <a:solidFill>
                <a:schemeClr val="bg1">
                  <a:lumMod val="85000"/>
                </a:schemeClr>
              </a:solidFill>
            </a:ln>
          </c:spPr>
        </c:majorGridlines>
        <c:numFmt formatCode="#,##0.0" sourceLinked="1"/>
        <c:majorTickMark val="out"/>
        <c:minorTickMark val="none"/>
        <c:tickLblPos val="nextTo"/>
        <c:spPr>
          <a:ln>
            <a:solidFill>
              <a:schemeClr val="bg1">
                <a:lumMod val="85000"/>
              </a:schemeClr>
            </a:solidFill>
          </a:ln>
        </c:spPr>
        <c:txPr>
          <a:bodyPr/>
          <a:lstStyle/>
          <a:p>
            <a:pPr>
              <a:defRPr>
                <a:latin typeface="Times New Roman" pitchFamily="18" charset="0"/>
                <a:cs typeface="Times New Roman" pitchFamily="18" charset="0"/>
              </a:defRPr>
            </a:pPr>
            <a:endParaRPr lang="ru-RU"/>
          </a:p>
        </c:txPr>
        <c:crossAx val="49890712"/>
        <c:crosses val="autoZero"/>
        <c:crossBetween val="between"/>
      </c:valAx>
      <c:spPr>
        <a:ln>
          <a:noFill/>
        </a:ln>
      </c:spPr>
    </c:plotArea>
    <c:legend>
      <c:legendPos val="r"/>
      <c:layout>
        <c:manualLayout>
          <c:xMode val="edge"/>
          <c:yMode val="edge"/>
          <c:x val="0.88320828728645751"/>
          <c:y val="0.30927125283003726"/>
          <c:w val="9.6230775429387128E-2"/>
          <c:h val="0.22700566358550331"/>
        </c:manualLayout>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0.2240859719662702"/>
          <c:y val="1.709626722191638E-3"/>
          <c:w val="0.59835839950820657"/>
          <c:h val="0.86300484607993833"/>
        </c:manualLayout>
      </c:layout>
      <c:pie3DChart>
        <c:varyColors val="1"/>
        <c:ser>
          <c:idx val="0"/>
          <c:order val="0"/>
          <c:spPr>
            <a:scene3d>
              <a:camera prst="orthographicFront"/>
              <a:lightRig rig="threePt" dir="t"/>
            </a:scene3d>
            <a:sp3d>
              <a:bevelT w="101600" prst="riblet"/>
            </a:sp3d>
          </c:spPr>
          <c:explosion val="25"/>
          <c:dPt>
            <c:idx val="2"/>
            <c:bubble3D val="0"/>
            <c:spPr>
              <a:solidFill>
                <a:srgbClr val="92D050"/>
              </a:solidFill>
              <a:scene3d>
                <a:camera prst="orthographicFront"/>
                <a:lightRig rig="threePt" dir="t"/>
              </a:scene3d>
              <a:sp3d>
                <a:bevelT w="101600" prst="riblet"/>
              </a:sp3d>
            </c:spPr>
          </c:dPt>
          <c:dPt>
            <c:idx val="3"/>
            <c:bubble3D val="0"/>
            <c:spPr>
              <a:solidFill>
                <a:srgbClr val="FF0000"/>
              </a:solidFill>
              <a:scene3d>
                <a:camera prst="orthographicFront"/>
                <a:lightRig rig="threePt" dir="t"/>
              </a:scene3d>
              <a:sp3d>
                <a:bevelT w="101600" prst="riblet"/>
              </a:sp3d>
            </c:spPr>
          </c:dPt>
          <c:dPt>
            <c:idx val="6"/>
            <c:bubble3D val="0"/>
            <c:spPr>
              <a:solidFill>
                <a:srgbClr val="FFE38B"/>
              </a:solidFill>
              <a:scene3d>
                <a:camera prst="orthographicFront"/>
                <a:lightRig rig="threePt" dir="t"/>
              </a:scene3d>
              <a:sp3d>
                <a:bevelT w="101600" prst="riblet"/>
              </a:sp3d>
            </c:spPr>
          </c:dPt>
          <c:dLbls>
            <c:dLbl>
              <c:idx val="0"/>
              <c:layout>
                <c:manualLayout>
                  <c:x val="-1.8371237596614482E-2"/>
                  <c:y val="-2.6974380068164168E-2"/>
                </c:manualLayout>
              </c:layout>
              <c:tx>
                <c:rich>
                  <a:bodyPr/>
                  <a:lstStyle/>
                  <a:p>
                    <a:r>
                      <a:rPr lang="en-US"/>
                      <a:t>34,5%</a:t>
                    </a:r>
                  </a:p>
                </c:rich>
              </c:tx>
              <c:showLegendKey val="0"/>
              <c:showVal val="0"/>
              <c:showCatName val="0"/>
              <c:showSerName val="0"/>
              <c:showPercent val="1"/>
              <c:showBubbleSize val="0"/>
              <c:extLst>
                <c:ext xmlns:c15="http://schemas.microsoft.com/office/drawing/2012/chart" uri="{CE6537A1-D6FC-4f65-9D91-7224C49458BB}"/>
              </c:extLst>
            </c:dLbl>
            <c:dLbl>
              <c:idx val="1"/>
              <c:layout>
                <c:manualLayout>
                  <c:x val="0.32421497179875158"/>
                  <c:y val="-8.0743763412552155E-2"/>
                </c:manualLayout>
              </c:layout>
              <c:tx>
                <c:rich>
                  <a:bodyPr/>
                  <a:lstStyle/>
                  <a:p>
                    <a:r>
                      <a:rPr lang="en-US"/>
                      <a:t>32,3%</a:t>
                    </a:r>
                  </a:p>
                </c:rich>
              </c:tx>
              <c:showLegendKey val="0"/>
              <c:showVal val="0"/>
              <c:showCatName val="0"/>
              <c:showSerName val="0"/>
              <c:showPercent val="1"/>
              <c:showBubbleSize val="0"/>
              <c:extLst>
                <c:ext xmlns:c15="http://schemas.microsoft.com/office/drawing/2012/chart" uri="{CE6537A1-D6FC-4f65-9D91-7224C49458BB}"/>
              </c:extLst>
            </c:dLbl>
            <c:dLbl>
              <c:idx val="2"/>
              <c:layout>
                <c:manualLayout>
                  <c:x val="-4.9258669793935334E-3"/>
                  <c:y val="-6.6505516597659256E-2"/>
                </c:manualLayout>
              </c:layout>
              <c:tx>
                <c:rich>
                  <a:bodyPr/>
                  <a:lstStyle/>
                  <a:p>
                    <a:r>
                      <a:rPr lang="en-US"/>
                      <a:t>10,9%</a:t>
                    </a:r>
                  </a:p>
                </c:rich>
              </c:tx>
              <c:showLegendKey val="0"/>
              <c:showVal val="0"/>
              <c:showCatName val="0"/>
              <c:showSerName val="0"/>
              <c:showPercent val="1"/>
              <c:showBubbleSize val="0"/>
              <c:extLst>
                <c:ext xmlns:c15="http://schemas.microsoft.com/office/drawing/2012/chart" uri="{CE6537A1-D6FC-4f65-9D91-7224C49458BB}"/>
              </c:extLst>
            </c:dLbl>
            <c:dLbl>
              <c:idx val="3"/>
              <c:layout>
                <c:manualLayout>
                  <c:x val="-9.8782598983638767E-3"/>
                  <c:y val="-2.2628820333628508E-2"/>
                </c:manualLayout>
              </c:layout>
              <c:tx>
                <c:rich>
                  <a:bodyPr/>
                  <a:lstStyle/>
                  <a:p>
                    <a:r>
                      <a:rPr lang="en-US"/>
                      <a:t>4%</a:t>
                    </a:r>
                  </a:p>
                </c:rich>
              </c:tx>
              <c:showLegendKey val="0"/>
              <c:showVal val="0"/>
              <c:showCatName val="0"/>
              <c:showSerName val="0"/>
              <c:showPercent val="1"/>
              <c:showBubbleSize val="0"/>
              <c:extLst>
                <c:ext xmlns:c15="http://schemas.microsoft.com/office/drawing/2012/chart" uri="{CE6537A1-D6FC-4f65-9D91-7224C49458BB}"/>
              </c:extLst>
            </c:dLbl>
            <c:dLbl>
              <c:idx val="4"/>
              <c:layout>
                <c:manualLayout>
                  <c:x val="2.0606347498285243E-2"/>
                  <c:y val="-1.8835693579347359E-2"/>
                </c:manualLayout>
              </c:layout>
              <c:tx>
                <c:rich>
                  <a:bodyPr/>
                  <a:lstStyle/>
                  <a:p>
                    <a:r>
                      <a:rPr lang="en-US"/>
                      <a:t>8,9%</a:t>
                    </a:r>
                  </a:p>
                </c:rich>
              </c:tx>
              <c:showLegendKey val="0"/>
              <c:showVal val="0"/>
              <c:showCatName val="0"/>
              <c:showSerName val="0"/>
              <c:showPercent val="1"/>
              <c:showBubbleSize val="0"/>
              <c:extLst>
                <c:ext xmlns:c15="http://schemas.microsoft.com/office/drawing/2012/chart" uri="{CE6537A1-D6FC-4f65-9D91-7224C49458BB}"/>
              </c:extLst>
            </c:dLbl>
            <c:dLbl>
              <c:idx val="5"/>
              <c:layout>
                <c:manualLayout>
                  <c:x val="2.1641676439381252E-2"/>
                  <c:y val="-1.4107836263618136E-2"/>
                </c:manualLayout>
              </c:layout>
              <c:showLegendKey val="0"/>
              <c:showVal val="0"/>
              <c:showCatName val="0"/>
              <c:showSerName val="0"/>
              <c:showPercent val="1"/>
              <c:showBubbleSize val="0"/>
              <c:extLst>
                <c:ext xmlns:c15="http://schemas.microsoft.com/office/drawing/2012/chart" uri="{CE6537A1-D6FC-4f65-9D91-7224C49458BB}"/>
              </c:extLst>
            </c:dLbl>
            <c:dLbl>
              <c:idx val="6"/>
              <c:layout>
                <c:manualLayout>
                  <c:x val="3.4416139835345805E-2"/>
                  <c:y val="-3.8292788028362152E-3"/>
                </c:manualLayout>
              </c:layout>
              <c:tx>
                <c:rich>
                  <a:bodyPr/>
                  <a:lstStyle/>
                  <a:p>
                    <a:r>
                      <a:rPr lang="en-US"/>
                      <a:t>1,7%</a:t>
                    </a:r>
                  </a:p>
                </c:rich>
              </c:tx>
              <c:showLegendKey val="0"/>
              <c:showVal val="0"/>
              <c:showCatName val="0"/>
              <c:showSerName val="0"/>
              <c:showPercent val="1"/>
              <c:showBubbleSize val="0"/>
              <c:extLst>
                <c:ext xmlns:c15="http://schemas.microsoft.com/office/drawing/2012/chart" uri="{CE6537A1-D6FC-4f65-9D91-7224C49458BB}"/>
              </c:extLst>
            </c:dLbl>
            <c:dLbl>
              <c:idx val="7"/>
              <c:tx>
                <c:rich>
                  <a:bodyPr/>
                  <a:lstStyle/>
                  <a:p>
                    <a:r>
                      <a:rPr lang="en-US"/>
                      <a:t>1,7%</a:t>
                    </a:r>
                  </a:p>
                </c:rich>
              </c:tx>
              <c:showLegendKey val="0"/>
              <c:showVal val="0"/>
              <c:showCatName val="0"/>
              <c:showSerName val="0"/>
              <c:showPercent val="1"/>
              <c:showBubbleSize val="0"/>
              <c:extLst>
                <c:ext xmlns:c15="http://schemas.microsoft.com/office/drawing/2012/chart" uri="{CE6537A1-D6FC-4f65-9D91-7224C49458BB}"/>
              </c:extLst>
            </c:dLbl>
            <c:numFmt formatCode="0.0%" sourceLinked="0"/>
            <c:spPr>
              <a:noFill/>
              <a:ln>
                <a:noFill/>
              </a:ln>
              <a:effectLst/>
            </c:spPr>
            <c:txPr>
              <a:bodyPr/>
              <a:lstStyle/>
              <a:p>
                <a:pPr>
                  <a:defRPr sz="12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мунзад!$B$4:$B$11</c:f>
              <c:strCache>
                <c:ptCount val="8"/>
                <c:pt idx="0">
                  <c:v>Учреждения дошкольного образования</c:v>
                </c:pt>
                <c:pt idx="1">
                  <c:v>Общеобразовательные учреждения</c:v>
                </c:pt>
                <c:pt idx="2">
                  <c:v>Учреждения доп.образования детей спортивной направленности</c:v>
                </c:pt>
                <c:pt idx="3">
                  <c:v>Учреждения доп.образования детей эстетической и общей направленности</c:v>
                </c:pt>
                <c:pt idx="4">
                  <c:v>Учреждения культуры</c:v>
                </c:pt>
                <c:pt idx="5">
                  <c:v>МБЭУ</c:v>
                </c:pt>
                <c:pt idx="6">
                  <c:v>Оздоровительные лагеря</c:v>
                </c:pt>
                <c:pt idx="7">
                  <c:v>Прочие учреждения</c:v>
                </c:pt>
              </c:strCache>
            </c:strRef>
          </c:cat>
          <c:val>
            <c:numRef>
              <c:f>мунзад!$C$4:$C$11</c:f>
              <c:numCache>
                <c:formatCode>General</c:formatCode>
                <c:ptCount val="8"/>
                <c:pt idx="0">
                  <c:v>905612.75</c:v>
                </c:pt>
                <c:pt idx="1">
                  <c:v>870275.61</c:v>
                </c:pt>
                <c:pt idx="2">
                  <c:v>251503.26</c:v>
                </c:pt>
                <c:pt idx="3">
                  <c:v>89441.709999999992</c:v>
                </c:pt>
                <c:pt idx="4">
                  <c:v>190414.41999999998</c:v>
                </c:pt>
                <c:pt idx="5">
                  <c:v>152849.84999999998</c:v>
                </c:pt>
                <c:pt idx="6">
                  <c:v>61394.71</c:v>
                </c:pt>
                <c:pt idx="7">
                  <c:v>28634.18</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
          <c:y val="0.69783108542512085"/>
          <c:w val="0.88758608314292331"/>
          <c:h val="0.30216891457488726"/>
        </c:manualLayout>
      </c:layout>
      <c:overlay val="0"/>
      <c:txPr>
        <a:bodyPr/>
        <a:lstStyle/>
        <a:p>
          <a:pPr rtl="0">
            <a:defRPr>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0.02392</cdr:y>
    </cdr:from>
    <cdr:to>
      <cdr:x>0.2438</cdr:x>
      <cdr:y>0.19139</cdr:y>
    </cdr:to>
    <cdr:sp macro="" textlink="">
      <cdr:nvSpPr>
        <cdr:cNvPr id="2" name="TextBox 5"/>
        <cdr:cNvSpPr txBox="1"/>
      </cdr:nvSpPr>
      <cdr:spPr>
        <a:xfrm xmlns:a="http://schemas.openxmlformats.org/drawingml/2006/main">
          <a:off x="0" y="41178"/>
          <a:ext cx="1447800" cy="288297"/>
        </a:xfrm>
        <a:prstGeom xmlns:a="http://schemas.openxmlformats.org/drawingml/2006/main" prst="rect">
          <a:avLst/>
        </a:prstGeom>
        <a:solidFill xmlns:a="http://schemas.openxmlformats.org/drawingml/2006/main">
          <a:schemeClr val="lt1"/>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ru-RU" sz="1200">
              <a:latin typeface="Times New Roman" panose="02020603050405020304" pitchFamily="18" charset="0"/>
              <a:cs typeface="Times New Roman" panose="02020603050405020304" pitchFamily="18" charset="0"/>
            </a:rPr>
            <a:t>62 031,0 тыс.руб. </a:t>
          </a:r>
        </a:p>
        <a:p xmlns:a="http://schemas.openxmlformats.org/drawingml/2006/main">
          <a:endParaRPr lang="ru-RU" sz="12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cdr:x>
      <cdr:y>0.80169</cdr:y>
    </cdr:from>
    <cdr:to>
      <cdr:x>0.22803</cdr:x>
      <cdr:y>0.96172</cdr:y>
    </cdr:to>
    <cdr:sp macro="" textlink="">
      <cdr:nvSpPr>
        <cdr:cNvPr id="8" name="TextBox 5"/>
        <cdr:cNvSpPr txBox="1"/>
      </cdr:nvSpPr>
      <cdr:spPr>
        <a:xfrm xmlns:a="http://schemas.openxmlformats.org/drawingml/2006/main" rot="10800000" flipV="1">
          <a:off x="0" y="1593908"/>
          <a:ext cx="1651000" cy="318169"/>
        </a:xfrm>
        <a:prstGeom xmlns:a="http://schemas.openxmlformats.org/drawingml/2006/main" prst="rect">
          <a:avLst/>
        </a:prstGeom>
        <a:solidFill xmlns:a="http://schemas.openxmlformats.org/drawingml/2006/main">
          <a:schemeClr val="lt1"/>
        </a:solidFill>
        <a:ln xmlns:a="http://schemas.openxmlformats.org/drawingml/2006/main" w="9525" cmpd="sng">
          <a:solidFill>
            <a:schemeClr val="lt1">
              <a:shade val="50000"/>
            </a:schemeClr>
          </a:solidFill>
        </a:ln>
        <a:scene3d xmlns:a="http://schemas.openxmlformats.org/drawingml/2006/main">
          <a:camera prst="orthographicFront">
            <a:rot lat="0" lon="1500000" rev="0"/>
          </a:camera>
          <a:lightRig rig="threePt" dir="t"/>
        </a:scene3d>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just"/>
          <a:r>
            <a:rPr lang="ru-RU" sz="1200" baseline="0">
              <a:latin typeface="Times New Roman" panose="02020603050405020304" pitchFamily="18" charset="0"/>
              <a:cs typeface="Times New Roman" panose="02020603050405020304" pitchFamily="18" charset="0"/>
            </a:rPr>
            <a:t>54 926,79 тыс.руб.</a:t>
          </a:r>
        </a:p>
      </cdr:txBody>
    </cdr:sp>
  </cdr:relSizeAnchor>
  <cdr:relSizeAnchor xmlns:cdr="http://schemas.openxmlformats.org/drawingml/2006/chartDrawing">
    <cdr:from>
      <cdr:x>0.51955</cdr:x>
      <cdr:y>0.08531</cdr:y>
    </cdr:from>
    <cdr:to>
      <cdr:x>0.79234</cdr:x>
      <cdr:y>0.2488</cdr:y>
    </cdr:to>
    <cdr:sp macro="" textlink="">
      <cdr:nvSpPr>
        <cdr:cNvPr id="9" name="TextBox 5"/>
        <cdr:cNvSpPr txBox="1"/>
      </cdr:nvSpPr>
      <cdr:spPr>
        <a:xfrm xmlns:a="http://schemas.openxmlformats.org/drawingml/2006/main">
          <a:off x="3085358" y="146860"/>
          <a:ext cx="1619992" cy="281445"/>
        </a:xfrm>
        <a:prstGeom xmlns:a="http://schemas.openxmlformats.org/drawingml/2006/main" prst="rect">
          <a:avLst/>
        </a:prstGeom>
        <a:solidFill xmlns:a="http://schemas.openxmlformats.org/drawingml/2006/main">
          <a:schemeClr val="lt1"/>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ru-RU" sz="1200">
              <a:latin typeface="Times New Roman" panose="02020603050405020304" pitchFamily="18" charset="0"/>
              <a:cs typeface="Times New Roman" panose="02020603050405020304" pitchFamily="18" charset="0"/>
            </a:rPr>
            <a:t>212 358,7 тыс.руб.</a:t>
          </a:r>
        </a:p>
      </cdr:txBody>
    </cdr:sp>
  </cdr:relSizeAnchor>
  <cdr:relSizeAnchor xmlns:cdr="http://schemas.openxmlformats.org/drawingml/2006/chartDrawing">
    <cdr:from>
      <cdr:x>0.16091</cdr:x>
      <cdr:y>0.08134</cdr:y>
    </cdr:from>
    <cdr:to>
      <cdr:x>0.24413</cdr:x>
      <cdr:y>0.2488</cdr:y>
    </cdr:to>
    <cdr:cxnSp macro="">
      <cdr:nvCxnSpPr>
        <cdr:cNvPr id="5" name="Прямая соединительная линия 4"/>
        <cdr:cNvCxnSpPr/>
      </cdr:nvCxnSpPr>
      <cdr:spPr>
        <a:xfrm xmlns:a="http://schemas.openxmlformats.org/drawingml/2006/main" flipH="1" flipV="1">
          <a:off x="955590" y="140045"/>
          <a:ext cx="494269" cy="288323"/>
        </a:xfrm>
        <a:prstGeom xmlns:a="http://schemas.openxmlformats.org/drawingml/2006/main" prst="line">
          <a:avLst/>
        </a:prstGeom>
        <a:noFill xmlns:a="http://schemas.openxmlformats.org/drawingml/2006/main"/>
        <a:ln xmlns:a="http://schemas.openxmlformats.org/drawingml/2006/main" w="9525" cap="flat" cmpd="sng" algn="ctr">
          <a:solidFill>
            <a:sysClr val="windowText" lastClr="000000">
              <a:shade val="95000"/>
              <a:satMod val="105000"/>
            </a:sysClr>
          </a:solidFill>
          <a:prstDash val="solid"/>
        </a:ln>
        <a:effectLst xmlns:a="http://schemas.openxmlformats.org/drawingml/2006/mai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0.42724</cdr:x>
      <cdr:y>0.15311</cdr:y>
    </cdr:from>
    <cdr:to>
      <cdr:x>0.50353</cdr:x>
      <cdr:y>0.41148</cdr:y>
    </cdr:to>
    <cdr:cxnSp macro="">
      <cdr:nvCxnSpPr>
        <cdr:cNvPr id="13" name="Прямая соединительная линия 12"/>
        <cdr:cNvCxnSpPr/>
      </cdr:nvCxnSpPr>
      <cdr:spPr>
        <a:xfrm xmlns:a="http://schemas.openxmlformats.org/drawingml/2006/main" flipV="1">
          <a:off x="2537254" y="263611"/>
          <a:ext cx="453087" cy="444838"/>
        </a:xfrm>
        <a:prstGeom xmlns:a="http://schemas.openxmlformats.org/drawingml/2006/main" prst="line">
          <a:avLst/>
        </a:prstGeom>
        <a:noFill xmlns:a="http://schemas.openxmlformats.org/drawingml/2006/main"/>
        <a:ln xmlns:a="http://schemas.openxmlformats.org/drawingml/2006/main" w="9525" cap="flat" cmpd="sng" algn="ctr">
          <a:solidFill>
            <a:sysClr val="windowText" lastClr="000000">
              <a:shade val="95000"/>
              <a:satMod val="105000"/>
            </a:sysClr>
          </a:solidFill>
          <a:prstDash val="solid"/>
        </a:ln>
        <a:effectLst xmlns:a="http://schemas.openxmlformats.org/drawingml/2006/mai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0.12345</cdr:x>
      <cdr:y>0.49282</cdr:y>
    </cdr:from>
    <cdr:to>
      <cdr:x>0.19975</cdr:x>
      <cdr:y>0.75119</cdr:y>
    </cdr:to>
    <cdr:cxnSp macro="">
      <cdr:nvCxnSpPr>
        <cdr:cNvPr id="14" name="Прямая соединительная линия 13"/>
        <cdr:cNvCxnSpPr/>
      </cdr:nvCxnSpPr>
      <cdr:spPr>
        <a:xfrm xmlns:a="http://schemas.openxmlformats.org/drawingml/2006/main" flipV="1">
          <a:off x="733167" y="848497"/>
          <a:ext cx="453087" cy="444838"/>
        </a:xfrm>
        <a:prstGeom xmlns:a="http://schemas.openxmlformats.org/drawingml/2006/main" prst="line">
          <a:avLst/>
        </a:prstGeom>
        <a:noFill xmlns:a="http://schemas.openxmlformats.org/drawingml/2006/main"/>
        <a:ln xmlns:a="http://schemas.openxmlformats.org/drawingml/2006/main" w="9525" cap="flat" cmpd="sng" algn="ctr">
          <a:solidFill>
            <a:sysClr val="windowText" lastClr="000000">
              <a:shade val="95000"/>
              <a:satMod val="105000"/>
            </a:sysClr>
          </a:solidFill>
          <a:prstDash val="solid"/>
        </a:ln>
        <a:effectLst xmlns:a="http://schemas.openxmlformats.org/drawingml/2006/mai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E75A7-C264-45B3-B880-70B296CFF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3514</TotalTime>
  <Pages>59</Pages>
  <Words>23703</Words>
  <Characters>135112</Characters>
  <Application>Microsoft Office Word</Application>
  <DocSecurity>0</DocSecurity>
  <Lines>1125</Lines>
  <Paragraphs>316</Paragraphs>
  <ScaleCrop>false</ScaleCrop>
  <HeadingPairs>
    <vt:vector size="2" baseType="variant">
      <vt:variant>
        <vt:lpstr>Название</vt:lpstr>
      </vt:variant>
      <vt:variant>
        <vt:i4>1</vt:i4>
      </vt:variant>
    </vt:vector>
  </HeadingPairs>
  <TitlesOfParts>
    <vt:vector size="1" baseType="lpstr">
      <vt:lpstr>Пояснительная записка по исполнению бюджета</vt:lpstr>
    </vt:vector>
  </TitlesOfParts>
  <Company>Организация</Company>
  <LinksUpToDate>false</LinksUpToDate>
  <CharactersWithSpaces>158499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по исполнению бюджета</dc:title>
  <dc:creator>Bulankina</dc:creator>
  <cp:lastModifiedBy>Kirillova</cp:lastModifiedBy>
  <cp:revision>471</cp:revision>
  <cp:lastPrinted>2021-03-02T04:47:00Z</cp:lastPrinted>
  <dcterms:created xsi:type="dcterms:W3CDTF">2021-02-11T07:24:00Z</dcterms:created>
  <dcterms:modified xsi:type="dcterms:W3CDTF">2021-03-03T07:24:00Z</dcterms:modified>
</cp:coreProperties>
</file>