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29" w:type="dxa"/>
        <w:tblInd w:w="93" w:type="dxa"/>
        <w:tblLook w:val="0000"/>
      </w:tblPr>
      <w:tblGrid>
        <w:gridCol w:w="3541"/>
        <w:gridCol w:w="878"/>
        <w:gridCol w:w="2117"/>
        <w:gridCol w:w="1257"/>
        <w:gridCol w:w="1510"/>
      </w:tblGrid>
      <w:tr>
        <w:trPr>
          <w:trHeight w:val="420"/>
        </w:trPr>
        <w:tc>
          <w:tcPr>
            <w:tcW w:w="7788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ПОЯСНИТЕЛЬНАЯ ЗАПИСКА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>
            <w:pPr>
              <w:ind w:right="5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КОДЫ</w:t>
            </w:r>
          </w:p>
        </w:tc>
      </w:tr>
      <w:tr>
        <w:trPr>
          <w:trHeight w:val="420"/>
        </w:trPr>
        <w:tc>
          <w:tcPr>
            <w:tcW w:w="7788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 01 января 20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4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>
            <w:pPr>
              <w:ind w:right="524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0503160</w:t>
            </w:r>
          </w:p>
        </w:tc>
      </w:tr>
      <w:tr>
        <w:trPr>
          <w:trHeight w:val="420"/>
        </w:trPr>
        <w:tc>
          <w:tcPr>
            <w:tcW w:w="4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33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>
        <w:trPr>
          <w:trHeight w:val="1455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распорядитель, распорядитель, получатель бюджетных средств,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главный администратор, администратор доходов бюджета,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главный администратор, администратор источников    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финансирования дефицита бюджета 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Финансовое управление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ОКПО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бюджета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(публично-правового образования)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Бюджет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ОКАТМО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69741000</w:t>
            </w:r>
          </w:p>
        </w:tc>
      </w:tr>
      <w:tr>
        <w:trPr>
          <w:trHeight w:val="420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Периодичность:  квартальная, годовая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>
        <w:trPr>
          <w:trHeight w:val="486"/>
        </w:trPr>
        <w:tc>
          <w:tcPr>
            <w:tcW w:w="35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Единица измерения: руб.</w:t>
            </w:r>
          </w:p>
        </w:tc>
        <w:tc>
          <w:tcPr>
            <w:tcW w:w="29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52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  <w:vAlign w:val="bottom"/>
          </w:tcPr>
          <w:p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</w:t>
            </w:r>
          </w:p>
        </w:tc>
      </w:tr>
    </w:tbl>
    <w:p>
      <w:pPr>
        <w:rPr>
          <w:rFonts w:ascii="Times New Roman" w:hAnsi="Times New Roman"/>
          <w:b/>
          <w:sz w:val="24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 «Организационная структура субъекта бюджетной отчетности».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 Бюджетным кодексом Российской Федерации и Положением                     о бюджетном </w:t>
      </w:r>
      <w:proofErr w:type="gramStart"/>
      <w:r>
        <w:rPr>
          <w:rFonts w:ascii="Times New Roman" w:hAnsi="Times New Roman"/>
          <w:sz w:val="24"/>
          <w:szCs w:val="24"/>
        </w:rPr>
        <w:t>процессе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Финансовое управление Администрации ЗАТО Северск является участником бюджетного процесса в ЗАТО Северск, обладающее бюджетными полномочиями финансового органа, главного распорядителя бюджетных средств, главного администратора доходов, главного администратора источников финансирования дефицита (далее - Управление). Управление, как структурное подразделение 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создано на основании Постановления Главы Администрации г. </w:t>
      </w:r>
      <w:proofErr w:type="spellStart"/>
      <w:r>
        <w:rPr>
          <w:rFonts w:ascii="Times New Roman" w:hAnsi="Times New Roman"/>
          <w:sz w:val="24"/>
          <w:szCs w:val="24"/>
        </w:rPr>
        <w:t>Северска</w:t>
      </w:r>
      <w:proofErr w:type="spellEnd"/>
      <w:r>
        <w:rPr>
          <w:rFonts w:ascii="Times New Roman" w:hAnsi="Times New Roman"/>
          <w:sz w:val="24"/>
          <w:szCs w:val="24"/>
        </w:rPr>
        <w:t xml:space="preserve"> Томской области от 17.08.1998 № 1782, наделено правами юридического лица. Правовая форма Управления - казённое учреждение; от своего имени приобретает и осуществляет имущественные и личные неимущественные права, обладает обособленным имуществом, имеет самостоятельный баланс, лицевые счета в органах казначейства по Томской области, круглую печать со своим наименованием.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своей деятельности Управление руководствуется Конституцией РФ, нормативными актами Президента РФ, законодательными актами Минфина РФ, а также других министерств и ведомств Российской Федерации, решениями </w:t>
      </w:r>
      <w:proofErr w:type="gramStart"/>
      <w:r>
        <w:rPr>
          <w:rFonts w:ascii="Times New Roman" w:hAnsi="Times New Roman"/>
          <w:sz w:val="24"/>
          <w:szCs w:val="24"/>
        </w:rPr>
        <w:t>Думы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постановлениями                   и распоряжениями  Администрации ЗАТО Северск Томской области, положением                           по Управлению и приказами начальника Управления.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Бухгалтерский учёт в Управлении осуществляется отделом по бюджетному учёту                и отчётности в соответствии с Федеральным законом от 06.12.2011 № 402-ФЗ                                 «О бухгалтерском учёте», федеральными стандартами бухгалтерского учета для организаций государственного сектора, утвержденными приказами Минфина России, приказом Минфина России от 01.12.2010 № 157н «Об утверждении Единого плана счетов бухгалтерского учёта для органов государственной власти (государственных органов), органов местного самоуправления, органов управления государственными внебюджетными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 xml:space="preserve">фондами, государственных академий наук, государственных (муниципальных) учреждений                            и Инструкции по его применению», приказом Минфина России от 06.12.2010 № 162н                  «Об утверждении Плана счетов бюджетного учёта и Инструкции по его применению», приказом Минфина России от 30.03.2015 № 52н «Об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</w:t>
      </w:r>
      <w:r>
        <w:rPr>
          <w:rFonts w:ascii="Times New Roman" w:hAnsi="Times New Roman"/>
          <w:sz w:val="24"/>
          <w:szCs w:val="24"/>
        </w:rPr>
        <w:lastRenderedPageBreak/>
        <w:t>управления государственными внебюджетными фондами, государственными</w:t>
      </w:r>
      <w:proofErr w:type="gramEnd"/>
      <w:r>
        <w:rPr>
          <w:rFonts w:ascii="Times New Roman" w:hAnsi="Times New Roman"/>
          <w:sz w:val="24"/>
          <w:szCs w:val="24"/>
        </w:rPr>
        <w:t xml:space="preserve"> (</w:t>
      </w:r>
      <w:proofErr w:type="gramStart"/>
      <w:r>
        <w:rPr>
          <w:rFonts w:ascii="Times New Roman" w:hAnsi="Times New Roman"/>
          <w:sz w:val="24"/>
          <w:szCs w:val="24"/>
        </w:rPr>
        <w:t>муниципальными) учреждениями, и Методических указаний по их применению», приказом Минфина России от 29.11.2017 № 209н «Об утверждении Порядка применения классификации операций сектора государственного управления», приказом Минфина России от 08.06.2018 № 132н «О Порядке формирования и применения кодов бюджетной классификации Российской Федерации, их структуре и принципах назначения», иными законами и нормативными актами, предназначенными для формирования полной                            и достоверной информации о финансовом, имущественном положении</w:t>
      </w:r>
      <w:proofErr w:type="gramEnd"/>
      <w:r>
        <w:rPr>
          <w:rFonts w:ascii="Times New Roman" w:hAnsi="Times New Roman"/>
          <w:sz w:val="24"/>
          <w:szCs w:val="24"/>
        </w:rPr>
        <w:t xml:space="preserve"> и финансовых </w:t>
      </w:r>
      <w:proofErr w:type="gramStart"/>
      <w:r>
        <w:rPr>
          <w:rFonts w:ascii="Times New Roman" w:hAnsi="Times New Roman"/>
          <w:sz w:val="24"/>
          <w:szCs w:val="24"/>
        </w:rPr>
        <w:t>результатах</w:t>
      </w:r>
      <w:proofErr w:type="gramEnd"/>
      <w:r>
        <w:rPr>
          <w:rFonts w:ascii="Times New Roman" w:hAnsi="Times New Roman"/>
          <w:sz w:val="24"/>
          <w:szCs w:val="24"/>
        </w:rPr>
        <w:t xml:space="preserve"> деятельности Управления.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Бухгалтерский учёт ведется автоматизировано с применением типовых конфигураций программ 1С: Предприятие: "Бухгалтерия для бюджетных учреждений", 1С: Предприятие: "Зарплата и кадры государственного учреждения". Бухгалтерский учёт осуществляется по журнально-ордерной форме. Оценка активов и обязательств осуществляется по методу балансовой стоимости. В бухгалтерском учёте Управления по итогам 2020 года реализованы рекомендации Письма Минфина  РФ от 20.05.2016 № 02-07-10/29243. Деятельность Управления финансируется за счёт средств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в соответствии                         с бюджетной росписью и бюджетной сметой.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Раздел 2. «Результаты деятельности учреждения».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Всего на расходы в 2020 году, подведомственные Управлению, предусмотрено                    44 240,73 тыс. руб., кассовые расходы составили  38 770,70 тыс. рублей, в том числе объём средств, выделенный на закупку товаров, работ, услуг составил по плановым назначениям                           19 855,47 тыс. руб., фактически исполнено 14 391,57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 xml:space="preserve">уб. Расходование  средств  осуществлялось  в  пределах выделенных  бюджетных  ассигнований в соответствии с утвержденными назначениями на 2020 год по кодам классификации расходов </w:t>
      </w:r>
      <w:proofErr w:type="gramStart"/>
      <w:r>
        <w:rPr>
          <w:rFonts w:ascii="Times New Roman" w:hAnsi="Times New Roman"/>
          <w:sz w:val="24"/>
          <w:szCs w:val="24"/>
        </w:rPr>
        <w:t>бюджета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 Утверждённые лимиты бюджетных обязательств использованы в объёме                88 %. Экономия по расходам на обслуживание муниципального долга составили                    11 354,18 тыс. руб. </w:t>
      </w:r>
      <w:proofErr w:type="gramStart"/>
      <w:r>
        <w:rPr>
          <w:rFonts w:ascii="Times New Roman" w:hAnsi="Times New Roman"/>
          <w:sz w:val="24"/>
          <w:szCs w:val="24"/>
        </w:rPr>
        <w:t>Предпринятые меры</w:t>
      </w:r>
      <w:proofErr w:type="gramEnd"/>
      <w:r>
        <w:rPr>
          <w:rFonts w:ascii="Times New Roman" w:hAnsi="Times New Roman"/>
          <w:sz w:val="24"/>
          <w:szCs w:val="24"/>
        </w:rPr>
        <w:t xml:space="preserve"> по долгосрочному погашению коммерческого кредита позволили сократить первоначальные расходы по обслуживанию муниципального долга на 5 365,14 тыс. руб.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Балансовая стоимость имущества Управления на 01.01.2021 года составила                         6 299,98 тыс. руб. Техническое состояние и уровень обеспеченности основными фондами удовлетворительное. Материальные запасы на текущие нужды поступают своевременно.    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Штатная численность Управления в 2020 году составила 25 шт. единиц, из них 23 шт. единицы, относимые к должностям муниципальной службы и 2 должности, не отнесенные              к должностям муниципальной службы. Среднесписочная численность Управления по итогам года составила 24 штатные единицы, из них 2 штатные единицы, не отнесенные                               к должностям муниципальной службы. Фонд оплаты труда по заработной плате утверждён                в сумме 18 743,42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исполнен 18 738,90 тыс.руб.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Раздел 3 «Анализ отчета об исполнении бюджета субъектом бюджетной отчетности».</w:t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Принятие бюджетных обязатель</w:t>
      </w:r>
      <w:proofErr w:type="gramStart"/>
      <w:r>
        <w:rPr>
          <w:sz w:val="24"/>
          <w:szCs w:val="24"/>
        </w:rPr>
        <w:t>ств св</w:t>
      </w:r>
      <w:proofErr w:type="gramEnd"/>
      <w:r>
        <w:rPr>
          <w:sz w:val="24"/>
          <w:szCs w:val="24"/>
        </w:rPr>
        <w:t>ерх доведенного объема лимитов бюджетных обязательств в 2020 году не допускалось.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На 01 января 2021 года на балансе Управления числится дебиторская задолженность    в сумме 128,90 тыс. руб., в т.ч.: 5,78 тыс. руб. - авансовые платежи  за услуги связи,                  11,83 тыс. руб. - подотчет (конверты, марки), 111,29 тыс. руб. - авансовые платежи                        за подписку.</w:t>
      </w:r>
      <w:proofErr w:type="gramEnd"/>
      <w:r>
        <w:rPr>
          <w:rFonts w:ascii="Times New Roman" w:hAnsi="Times New Roman"/>
          <w:sz w:val="24"/>
          <w:szCs w:val="24"/>
        </w:rPr>
        <w:t xml:space="preserve"> Кредиторская задолженность в сумме 93,19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уб. - задолженность по страховым взносам на страховую часть пенсии за 2020 год.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Раздел 4 «Анализ показателей финансовой отчетности субъекта финансовой отчетности».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События</w:t>
      </w:r>
      <w:r>
        <w:rPr>
          <w:sz w:val="24"/>
          <w:szCs w:val="24"/>
        </w:rPr>
        <w:t xml:space="preserve"> после отчетной даты до предоставления бюджетной отчетности за 2020 год  </w:t>
      </w:r>
      <w:r>
        <w:rPr>
          <w:rFonts w:ascii="Times New Roman" w:hAnsi="Times New Roman"/>
          <w:sz w:val="24"/>
          <w:szCs w:val="24"/>
        </w:rPr>
        <w:t>у Управления не возникали.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5 «Прочие вопросы деятельности субъекта бюджетной отчетности».</w:t>
      </w:r>
    </w:p>
    <w:p>
      <w:pPr>
        <w:ind w:firstLine="709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Перед составлением годовой бухгалтерской отчетности за 2020 проведена инвентаризация нефинансовых активов и финансовых обязательств в Управлении расхождений</w:t>
      </w:r>
      <w:r>
        <w:rPr>
          <w:sz w:val="24"/>
          <w:szCs w:val="24"/>
        </w:rPr>
        <w:t xml:space="preserve"> по результатам проведения инвентаризаций</w:t>
      </w:r>
      <w:r>
        <w:rPr>
          <w:szCs w:val="24"/>
        </w:rPr>
        <w:t xml:space="preserve"> </w:t>
      </w:r>
      <w:r>
        <w:rPr>
          <w:sz w:val="24"/>
          <w:szCs w:val="24"/>
        </w:rPr>
        <w:t>нет.</w:t>
      </w:r>
    </w:p>
    <w:p>
      <w:pPr>
        <w:pStyle w:val="a9"/>
        <w:ind w:firstLine="720"/>
        <w:rPr>
          <w:szCs w:val="24"/>
        </w:rPr>
      </w:pPr>
      <w:r>
        <w:rPr>
          <w:szCs w:val="24"/>
        </w:rPr>
        <w:t xml:space="preserve">Судебные решения (исполнительные документы) по исполнению денежных обязательств в Управление не поступали, задолженности нет. 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отчетном периоде недостач и хищений имущества в Управлении не выявлено. Задолженность по расчетам по ущербу отсутствует.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связи с отсутствием числовых показателей в составе бюджетной отчетности за 2020 год не представлены: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Отчет об исполнении бюджета по национальным проектам (ф.0503117-НП);</w:t>
      </w:r>
    </w:p>
    <w:p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Отчет о бюджетных обязательствах по национальным проектам (ф.0503128-НП);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Сведения о проведении инвентаризаций (таблица № 6), приложение                                     к Пояснительной записке;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Сведения об исполнении мероприятий в рамках федеральных целевых программ      (ф. 0503166);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Сведения о финансовых вложениях получателя средств бюджета (ф. 0503171);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Сведения об изменении остатков валюты баланса (ф. 0503173);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Сведения о доходах бюджета от перечисления части прибыли (дивидендов) государственных (муниципальных) унитарных предприятий, иных организаций с государственным участием в капитале (ф.0503174);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Справка о суммах консолидируемых поступлений, подлежащих зачислению на счет бюджета (ф. 0503184);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Сведения об объектах незавершенного строительства, вложениях в объекты недвижимого имущества (ф. 0503190);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Разделительный (ликвидационный баланс) (ф.0503230);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>
        <w:rPr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Сведения об исполнении судебных решений по денежным обязательствам                       (ф. 0503296).</w:t>
      </w: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Другие факторы, существенно повлиявшие на текущую деятельность Управления                в отчетном периоде отсутствуют</w:t>
      </w:r>
      <w:proofErr w:type="gramEnd"/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9"/>
        <w:jc w:val="both"/>
        <w:rPr>
          <w:sz w:val="24"/>
          <w:szCs w:val="24"/>
        </w:rPr>
      </w:pPr>
    </w:p>
    <w:p>
      <w:pPr>
        <w:ind w:firstLine="709"/>
        <w:jc w:val="both"/>
        <w:rPr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 Управления                                                                                           Л.И.Овчаренко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Главный бухгалтер                                                                                                  </w:t>
      </w:r>
      <w:proofErr w:type="spellStart"/>
      <w:r>
        <w:rPr>
          <w:sz w:val="24"/>
          <w:szCs w:val="24"/>
        </w:rPr>
        <w:t>И.О.Купцова</w:t>
      </w:r>
      <w:proofErr w:type="spellEnd"/>
    </w:p>
    <w:sectPr>
      <w:headerReference w:type="default" r:id="rId7"/>
      <w:pgSz w:w="11907" w:h="16840" w:code="9"/>
      <w:pgMar w:top="851" w:right="567" w:bottom="851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a5"/>
      <w:jc w:val="center"/>
    </w:pPr>
    <w:fldSimple w:instr="PAGE   \* MERGEFORMAT">
      <w:r>
        <w:rPr>
          <w:noProof/>
        </w:rPr>
        <w:t>3</w:t>
      </w:r>
    </w:fldSimple>
  </w:p>
  <w:p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517C2"/>
    <w:multiLevelType w:val="hybridMultilevel"/>
    <w:tmpl w:val="10C6C86C"/>
    <w:lvl w:ilvl="0" w:tplc="929C156C">
      <w:start w:val="1"/>
      <w:numFmt w:val="decimal"/>
      <w:lvlText w:val="%1)"/>
      <w:lvlJc w:val="left"/>
      <w:pPr>
        <w:ind w:left="1873" w:hanging="11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B42058E"/>
    <w:multiLevelType w:val="hybridMultilevel"/>
    <w:tmpl w:val="86804F64"/>
    <w:lvl w:ilvl="0" w:tplc="AA82C88C">
      <w:start w:val="1"/>
      <w:numFmt w:val="decimal"/>
      <w:lvlText w:val="%1."/>
      <w:lvlJc w:val="left"/>
      <w:pPr>
        <w:tabs>
          <w:tab w:val="num" w:pos="964"/>
        </w:tabs>
        <w:ind w:left="0" w:firstLine="851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D825D57"/>
    <w:multiLevelType w:val="hybridMultilevel"/>
    <w:tmpl w:val="54A6EAF6"/>
    <w:lvl w:ilvl="0" w:tplc="0419000F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">
    <w:nsid w:val="1ED208A1"/>
    <w:multiLevelType w:val="hybridMultilevel"/>
    <w:tmpl w:val="5C7ECD8C"/>
    <w:lvl w:ilvl="0" w:tplc="0419000F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4">
    <w:nsid w:val="487607F8"/>
    <w:multiLevelType w:val="hybridMultilevel"/>
    <w:tmpl w:val="D1625080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D910336"/>
    <w:multiLevelType w:val="hybridMultilevel"/>
    <w:tmpl w:val="AC20F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0FC7DD6"/>
    <w:multiLevelType w:val="hybridMultilevel"/>
    <w:tmpl w:val="B9FEC9B4"/>
    <w:lvl w:ilvl="0" w:tplc="0419000F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outlineLvl w:val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customStyle="1" w:styleId="10">
    <w:name w:val="Обычный1"/>
    <w:pPr>
      <w:widowControl w:val="0"/>
      <w:snapToGrid w:val="0"/>
      <w:spacing w:line="300" w:lineRule="auto"/>
      <w:ind w:left="1080" w:hanging="360"/>
    </w:pPr>
    <w:rPr>
      <w:rFonts w:ascii="Times New Roman" w:hAnsi="Times New Roman"/>
      <w:sz w:val="24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</w:style>
  <w:style w:type="paragraph" w:customStyle="1" w:styleId="Default">
    <w:name w:val="Default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styleId="a9">
    <w:name w:val="Body Text"/>
    <w:basedOn w:val="a"/>
    <w:link w:val="aa"/>
    <w:pPr>
      <w:jc w:val="both"/>
    </w:pPr>
    <w:rPr>
      <w:rFonts w:ascii="Times New Roman" w:hAnsi="Times New Roman"/>
      <w:sz w:val="24"/>
    </w:rPr>
  </w:style>
  <w:style w:type="character" w:customStyle="1" w:styleId="aa">
    <w:name w:val="Основной текст Знак"/>
    <w:basedOn w:val="a0"/>
    <w:link w:val="a9"/>
    <w:rPr>
      <w:rFonts w:ascii="Times New Roman" w:hAnsi="Times New Roman"/>
      <w:sz w:val="24"/>
    </w:rPr>
  </w:style>
  <w:style w:type="paragraph" w:customStyle="1" w:styleId="2">
    <w:name w:val="Знак2 Знак Знак Знак Знак Знак Знак Знак Знак Знак"/>
    <w:basedOn w:val="a"/>
    <w:pPr>
      <w:widowControl w:val="0"/>
      <w:adjustRightInd w:val="0"/>
      <w:spacing w:after="160" w:line="240" w:lineRule="exact"/>
      <w:jc w:val="right"/>
    </w:pPr>
    <w:rPr>
      <w:rFonts w:ascii="Times New Roman" w:hAnsi="Times New Roman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2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7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3;&#1054;_&#1055;&#1088;&#1080;&#1082;&#1072;&#107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ГО_Приказ</Template>
  <TotalTime>67</TotalTime>
  <Pages>3</Pages>
  <Words>1002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 Северска</Company>
  <LinksUpToDate>false</LinksUpToDate>
  <CharactersWithSpaces>9005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Egorova</dc:creator>
  <cp:lastModifiedBy>Купцова И.О.</cp:lastModifiedBy>
  <cp:revision>16</cp:revision>
  <cp:lastPrinted>2021-02-25T03:47:00Z</cp:lastPrinted>
  <dcterms:created xsi:type="dcterms:W3CDTF">2021-02-24T09:42:00Z</dcterms:created>
  <dcterms:modified xsi:type="dcterms:W3CDTF">2021-02-25T03:47:00Z</dcterms:modified>
</cp:coreProperties>
</file>