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before="120" w:after="120"/>
        <w:jc w:val="center"/>
        <w:rPr>
          <w:rFonts w:ascii="Times New Roman" w:hAnsi="Times New Roman"/>
          <w:b/>
          <w:sz w:val="24"/>
          <w:szCs w:val="24"/>
        </w:rPr>
      </w:pPr>
      <w:r>
        <w:rPr>
          <w:rFonts w:ascii="Times New Roman" w:hAnsi="Times New Roman"/>
          <w:b/>
          <w:sz w:val="24"/>
          <w:szCs w:val="24"/>
        </w:rPr>
        <w:softHyphen/>
        <w:t xml:space="preserve"> ПОЯСНИТЕЛЬНАЯ ЗАПИСКА</w:t>
      </w:r>
    </w:p>
    <w:p>
      <w:pPr>
        <w:jc w:val="center"/>
        <w:rPr>
          <w:rFonts w:ascii="Times New Roman" w:hAnsi="Times New Roman"/>
          <w:b/>
          <w:sz w:val="24"/>
          <w:szCs w:val="24"/>
        </w:rPr>
      </w:pPr>
      <w:r>
        <w:rPr>
          <w:rFonts w:ascii="Times New Roman" w:hAnsi="Times New Roman"/>
          <w:b/>
          <w:sz w:val="24"/>
          <w:szCs w:val="24"/>
        </w:rPr>
        <w:t xml:space="preserve">к проекту бюджета ЗАТО Северск на 2021 год </w:t>
      </w:r>
    </w:p>
    <w:p>
      <w:pPr>
        <w:jc w:val="center"/>
        <w:rPr>
          <w:rFonts w:ascii="Times New Roman" w:hAnsi="Times New Roman"/>
          <w:b/>
          <w:sz w:val="24"/>
          <w:szCs w:val="24"/>
        </w:rPr>
      </w:pPr>
      <w:r>
        <w:rPr>
          <w:rFonts w:ascii="Times New Roman" w:hAnsi="Times New Roman"/>
          <w:b/>
          <w:sz w:val="24"/>
          <w:szCs w:val="24"/>
        </w:rPr>
        <w:t>и на плановый период 2022 и 2023 годов</w:t>
      </w:r>
    </w:p>
    <w:p>
      <w:pPr>
        <w:jc w:val="center"/>
        <w:rPr>
          <w:rFonts w:ascii="Times New Roman" w:hAnsi="Times New Roman"/>
          <w:b/>
          <w:sz w:val="16"/>
          <w:szCs w:val="16"/>
        </w:rPr>
      </w:pPr>
    </w:p>
    <w:p>
      <w:pPr>
        <w:ind w:firstLine="709"/>
        <w:jc w:val="both"/>
        <w:rPr>
          <w:rFonts w:ascii="Times New Roman" w:hAnsi="Times New Roman"/>
          <w:sz w:val="24"/>
          <w:szCs w:val="24"/>
        </w:rPr>
      </w:pPr>
      <w:r>
        <w:rPr>
          <w:sz w:val="24"/>
          <w:szCs w:val="24"/>
        </w:rPr>
        <w:t>Проект Решения Думы «О бюджете ЗАТО Северск на 2021 год и на плановый период 2022 и 2023 годов» (далее – проект Решения) подготовлен в соответствии с требованиями Бюджетного кодекса Российской Федерации (далее - Бюджетный кодекс)  и с учетом  Положения о бюджетном процессе в ЗАТО Северск, Прогноза социально-экономического развития ЗАТО Северск на 2021 год и на плановый период 2022 и 2023 годов, исходя из базового сценария развития экономики, динамики поступления налоговых и неналоговых поступлений и</w:t>
      </w:r>
      <w:r>
        <w:rPr>
          <w:rFonts w:ascii="Times New Roman" w:hAnsi="Times New Roman"/>
          <w:sz w:val="24"/>
          <w:szCs w:val="24"/>
        </w:rPr>
        <w:t xml:space="preserve"> с учетом факторов, объективно влияющих на изменение показателей исполнения текущего года и планового периода 2021 - 2023 годов.</w:t>
      </w:r>
    </w:p>
    <w:p>
      <w:pPr>
        <w:ind w:firstLine="709"/>
        <w:jc w:val="both"/>
        <w:rPr>
          <w:sz w:val="24"/>
          <w:szCs w:val="24"/>
        </w:rPr>
      </w:pPr>
      <w:r>
        <w:rPr>
          <w:sz w:val="24"/>
          <w:szCs w:val="24"/>
        </w:rPr>
        <w:t>Формирование бюджета ЗАТО Северск на 2021 год и на плановый период 2022 и 2023 годов осуществлено в соответствии с основными направлениями бюджетной и налоговой политики ЗАТО Северск на соответствующий бюджетный цикл.</w:t>
      </w:r>
    </w:p>
    <w:p>
      <w:pPr>
        <w:tabs>
          <w:tab w:val="left" w:pos="0"/>
          <w:tab w:val="left" w:pos="851"/>
          <w:tab w:val="left" w:pos="993"/>
          <w:tab w:val="left" w:pos="1276"/>
        </w:tabs>
        <w:ind w:firstLine="710"/>
        <w:jc w:val="both"/>
        <w:rPr>
          <w:sz w:val="24"/>
          <w:szCs w:val="24"/>
        </w:rPr>
      </w:pPr>
      <w:r>
        <w:rPr>
          <w:sz w:val="24"/>
          <w:szCs w:val="24"/>
        </w:rPr>
        <w:t xml:space="preserve">Главным фактором, влияющим на формирование проекта бюджета ЗАТО Северск на 2021-2023 годы, является ситуация в экономике страны, сложившаяся из-за пандемии новой коронавирусной инфекции, связанных с ней ограничений и высокой неопределенности введения/снятия карантинных мер.  </w:t>
      </w:r>
    </w:p>
    <w:p>
      <w:pPr>
        <w:autoSpaceDE w:val="0"/>
        <w:autoSpaceDN w:val="0"/>
        <w:adjustRightInd w:val="0"/>
        <w:ind w:firstLine="709"/>
        <w:jc w:val="both"/>
        <w:outlineLvl w:val="0"/>
        <w:rPr>
          <w:sz w:val="24"/>
          <w:szCs w:val="24"/>
        </w:rPr>
      </w:pPr>
      <w:r>
        <w:rPr>
          <w:sz w:val="24"/>
          <w:szCs w:val="24"/>
        </w:rPr>
        <w:t xml:space="preserve">Основные характеристики бюджета: </w:t>
      </w:r>
    </w:p>
    <w:p>
      <w:pPr>
        <w:autoSpaceDE w:val="0"/>
        <w:autoSpaceDN w:val="0"/>
        <w:adjustRightInd w:val="0"/>
        <w:ind w:firstLine="709"/>
        <w:jc w:val="both"/>
        <w:outlineLvl w:val="0"/>
        <w:rPr>
          <w:sz w:val="24"/>
          <w:szCs w:val="24"/>
        </w:rPr>
      </w:pPr>
      <w:r>
        <w:rPr>
          <w:sz w:val="24"/>
          <w:szCs w:val="24"/>
        </w:rPr>
        <w:t>1) общий объем доходов бюджета ЗАТО Северск на 2021 год составит 4 064 917,34 тыс.руб., в том числе налоговые и неналоговые доходы - в сумме 1 111 540,51 тыс.руб., безвозмездные поступления в сумме 2 953 376,83 тыс.руб.;</w:t>
      </w:r>
    </w:p>
    <w:p>
      <w:pPr>
        <w:autoSpaceDE w:val="0"/>
        <w:autoSpaceDN w:val="0"/>
        <w:adjustRightInd w:val="0"/>
        <w:ind w:firstLine="709"/>
        <w:jc w:val="both"/>
        <w:outlineLvl w:val="0"/>
        <w:rPr>
          <w:sz w:val="24"/>
          <w:szCs w:val="24"/>
        </w:rPr>
      </w:pPr>
      <w:r>
        <w:rPr>
          <w:sz w:val="24"/>
          <w:szCs w:val="24"/>
        </w:rPr>
        <w:t xml:space="preserve"> на 2022 год – в сумме 3 587 405,81 тыс.руб., в том числе налоговые и неналоговые доходы в сумме 1 116 485,71 тыс.руб., безвозмездные поступления в сумме 2 470 920,10 тыс.руб.; </w:t>
      </w:r>
    </w:p>
    <w:p>
      <w:pPr>
        <w:autoSpaceDE w:val="0"/>
        <w:autoSpaceDN w:val="0"/>
        <w:adjustRightInd w:val="0"/>
        <w:ind w:firstLine="709"/>
        <w:jc w:val="both"/>
        <w:outlineLvl w:val="0"/>
        <w:rPr>
          <w:sz w:val="24"/>
          <w:szCs w:val="24"/>
        </w:rPr>
      </w:pPr>
      <w:r>
        <w:rPr>
          <w:sz w:val="24"/>
          <w:szCs w:val="24"/>
        </w:rPr>
        <w:t>на 2023 год – в сумме 3 547 135,73 тыс.руб., в том числе налоговые и неналоговые доходы в сумме 1 116 506,63  тыс.руб., безвозмездные поступления в сумме 2 430 629,10 тыс.руб.;</w:t>
      </w:r>
    </w:p>
    <w:p>
      <w:pPr>
        <w:autoSpaceDE w:val="0"/>
        <w:autoSpaceDN w:val="0"/>
        <w:adjustRightInd w:val="0"/>
        <w:ind w:firstLine="709"/>
        <w:jc w:val="both"/>
        <w:outlineLvl w:val="0"/>
        <w:rPr>
          <w:rFonts w:ascii="Times New Roman" w:hAnsi="Times New Roman"/>
          <w:bCs/>
          <w:sz w:val="24"/>
          <w:szCs w:val="24"/>
        </w:rPr>
      </w:pPr>
      <w:r>
        <w:rPr>
          <w:sz w:val="24"/>
          <w:szCs w:val="24"/>
        </w:rPr>
        <w:t>2) общий объем расходов бюджета ЗАТО Северск на 2021 год в сумме 4 152 406,02</w:t>
      </w:r>
      <w:r>
        <w:rPr>
          <w:rFonts w:ascii="Times New Roman" w:hAnsi="Times New Roman"/>
          <w:sz w:val="24"/>
          <w:szCs w:val="24"/>
        </w:rPr>
        <w:t> </w:t>
      </w:r>
      <w:r>
        <w:rPr>
          <w:sz w:val="24"/>
          <w:szCs w:val="24"/>
        </w:rPr>
        <w:t xml:space="preserve">тыс.руб., 2022 год – </w:t>
      </w:r>
      <w:r>
        <w:rPr>
          <w:rFonts w:ascii="Times New Roman" w:hAnsi="Times New Roman"/>
          <w:bCs/>
          <w:sz w:val="24"/>
          <w:szCs w:val="24"/>
        </w:rPr>
        <w:t>3 587 405,81 тыс.руб., 2023 год – 3 547 135,73 тыс.руб.;</w:t>
      </w:r>
    </w:p>
    <w:p>
      <w:pPr>
        <w:autoSpaceDE w:val="0"/>
        <w:autoSpaceDN w:val="0"/>
        <w:adjustRightInd w:val="0"/>
        <w:ind w:firstLine="709"/>
        <w:jc w:val="both"/>
        <w:outlineLvl w:val="0"/>
        <w:rPr>
          <w:sz w:val="24"/>
          <w:szCs w:val="24"/>
          <w:highlight w:val="yellow"/>
        </w:rPr>
      </w:pPr>
      <w:r>
        <w:rPr>
          <w:rFonts w:ascii="Times New Roman" w:hAnsi="Times New Roman"/>
          <w:bCs/>
          <w:sz w:val="24"/>
          <w:szCs w:val="24"/>
        </w:rPr>
        <w:t>3) дефицит бюджета ЗАТО Северск на 2021 год в сумме 87 488,68 тыс.руб.</w:t>
      </w:r>
    </w:p>
    <w:p>
      <w:pPr>
        <w:rPr>
          <w:rFonts w:ascii="Times New Roman" w:hAnsi="Times New Roman"/>
          <w:b/>
          <w:sz w:val="10"/>
          <w:szCs w:val="10"/>
          <w:highlight w:val="yellow"/>
        </w:rPr>
      </w:pPr>
    </w:p>
    <w:p>
      <w:pPr>
        <w:tabs>
          <w:tab w:val="left" w:pos="567"/>
        </w:tabs>
        <w:spacing w:after="120"/>
        <w:ind w:left="11" w:firstLine="698"/>
        <w:rPr>
          <w:rFonts w:ascii="Times New Roman" w:hAnsi="Times New Roman"/>
          <w:sz w:val="24"/>
          <w:szCs w:val="24"/>
        </w:rPr>
      </w:pPr>
      <w:r>
        <w:rPr>
          <w:rFonts w:ascii="Times New Roman" w:hAnsi="Times New Roman"/>
          <w:sz w:val="24"/>
          <w:szCs w:val="24"/>
        </w:rPr>
        <w:t>Таблица 1 - Параметры бюджета ЗАТО Северск на 2021 -2023 годы, тыс.руб.</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7"/>
        <w:gridCol w:w="1276"/>
        <w:gridCol w:w="1276"/>
        <w:gridCol w:w="1276"/>
        <w:gridCol w:w="1270"/>
        <w:gridCol w:w="1257"/>
        <w:gridCol w:w="1266"/>
      </w:tblGrid>
      <w:tr>
        <w:tc>
          <w:tcPr>
            <w:tcW w:w="1797" w:type="dxa"/>
            <w:vMerge w:val="restart"/>
          </w:tcPr>
          <w:p>
            <w:pPr>
              <w:ind w:right="-57"/>
              <w:jc w:val="center"/>
              <w:rPr>
                <w:rFonts w:ascii="Times New Roman" w:hAnsi="Times New Roman"/>
                <w:sz w:val="22"/>
                <w:szCs w:val="22"/>
              </w:rPr>
            </w:pPr>
            <w:r>
              <w:rPr>
                <w:rFonts w:ascii="Times New Roman" w:hAnsi="Times New Roman"/>
                <w:sz w:val="22"/>
                <w:szCs w:val="22"/>
              </w:rPr>
              <w:t>Наименование показателей</w:t>
            </w:r>
          </w:p>
        </w:tc>
        <w:tc>
          <w:tcPr>
            <w:tcW w:w="2552" w:type="dxa"/>
            <w:gridSpan w:val="2"/>
          </w:tcPr>
          <w:p>
            <w:pPr>
              <w:ind w:left="-57" w:right="-57"/>
              <w:jc w:val="center"/>
              <w:rPr>
                <w:rFonts w:ascii="Times New Roman" w:hAnsi="Times New Roman"/>
                <w:sz w:val="22"/>
                <w:szCs w:val="22"/>
              </w:rPr>
            </w:pPr>
            <w:r>
              <w:rPr>
                <w:rFonts w:ascii="Times New Roman" w:hAnsi="Times New Roman"/>
                <w:sz w:val="22"/>
                <w:szCs w:val="22"/>
              </w:rPr>
              <w:t>2020 год</w:t>
            </w:r>
          </w:p>
        </w:tc>
        <w:tc>
          <w:tcPr>
            <w:tcW w:w="1276" w:type="dxa"/>
            <w:vMerge w:val="restart"/>
          </w:tcPr>
          <w:p>
            <w:pPr>
              <w:ind w:left="-57" w:right="-57"/>
              <w:jc w:val="center"/>
              <w:rPr>
                <w:rFonts w:ascii="Times New Roman" w:hAnsi="Times New Roman"/>
                <w:sz w:val="22"/>
                <w:szCs w:val="22"/>
              </w:rPr>
            </w:pPr>
            <w:r>
              <w:rPr>
                <w:rFonts w:ascii="Times New Roman" w:hAnsi="Times New Roman"/>
                <w:sz w:val="22"/>
                <w:szCs w:val="22"/>
              </w:rPr>
              <w:t xml:space="preserve">Прогноз </w:t>
            </w:r>
          </w:p>
          <w:p>
            <w:pPr>
              <w:ind w:left="-57" w:right="-57"/>
              <w:jc w:val="center"/>
              <w:rPr>
                <w:rFonts w:ascii="Times New Roman" w:hAnsi="Times New Roman"/>
                <w:sz w:val="22"/>
                <w:szCs w:val="22"/>
              </w:rPr>
            </w:pPr>
            <w:r>
              <w:rPr>
                <w:rFonts w:ascii="Times New Roman" w:hAnsi="Times New Roman"/>
                <w:sz w:val="22"/>
                <w:szCs w:val="22"/>
              </w:rPr>
              <w:t>2021 года</w:t>
            </w:r>
          </w:p>
        </w:tc>
        <w:tc>
          <w:tcPr>
            <w:tcW w:w="1270" w:type="dxa"/>
            <w:vMerge w:val="restart"/>
          </w:tcPr>
          <w:p>
            <w:pPr>
              <w:ind w:left="-57" w:right="-57"/>
              <w:jc w:val="center"/>
              <w:rPr>
                <w:rFonts w:ascii="Times New Roman" w:hAnsi="Times New Roman"/>
                <w:sz w:val="22"/>
                <w:szCs w:val="22"/>
              </w:rPr>
            </w:pPr>
            <w:r>
              <w:rPr>
                <w:rFonts w:ascii="Times New Roman" w:hAnsi="Times New Roman"/>
                <w:sz w:val="22"/>
                <w:szCs w:val="22"/>
              </w:rPr>
              <w:t>Отклонение от оценки</w:t>
            </w:r>
          </w:p>
        </w:tc>
        <w:tc>
          <w:tcPr>
            <w:tcW w:w="1257" w:type="dxa"/>
            <w:vMerge w:val="restart"/>
          </w:tcPr>
          <w:p>
            <w:pPr>
              <w:ind w:left="-57" w:right="-57"/>
              <w:jc w:val="center"/>
              <w:rPr>
                <w:rFonts w:ascii="Times New Roman" w:hAnsi="Times New Roman"/>
                <w:sz w:val="22"/>
                <w:szCs w:val="22"/>
              </w:rPr>
            </w:pPr>
            <w:r>
              <w:rPr>
                <w:rFonts w:ascii="Times New Roman" w:hAnsi="Times New Roman"/>
                <w:sz w:val="22"/>
                <w:szCs w:val="22"/>
              </w:rPr>
              <w:t xml:space="preserve">Прогноз </w:t>
            </w:r>
          </w:p>
          <w:p>
            <w:pPr>
              <w:ind w:left="-57" w:right="-57"/>
              <w:jc w:val="center"/>
              <w:rPr>
                <w:rFonts w:ascii="Times New Roman" w:hAnsi="Times New Roman"/>
                <w:sz w:val="22"/>
                <w:szCs w:val="22"/>
              </w:rPr>
            </w:pPr>
            <w:r>
              <w:rPr>
                <w:rFonts w:ascii="Times New Roman" w:hAnsi="Times New Roman"/>
                <w:sz w:val="22"/>
                <w:szCs w:val="22"/>
              </w:rPr>
              <w:t>2022 года</w:t>
            </w:r>
          </w:p>
        </w:tc>
        <w:tc>
          <w:tcPr>
            <w:tcW w:w="1266" w:type="dxa"/>
            <w:vMerge w:val="restart"/>
          </w:tcPr>
          <w:p>
            <w:pPr>
              <w:ind w:left="-57" w:right="-57"/>
              <w:jc w:val="center"/>
              <w:rPr>
                <w:rFonts w:ascii="Times New Roman" w:hAnsi="Times New Roman"/>
                <w:sz w:val="22"/>
                <w:szCs w:val="22"/>
              </w:rPr>
            </w:pPr>
            <w:r>
              <w:rPr>
                <w:rFonts w:ascii="Times New Roman" w:hAnsi="Times New Roman"/>
                <w:sz w:val="22"/>
                <w:szCs w:val="22"/>
              </w:rPr>
              <w:t xml:space="preserve">Прогноз </w:t>
            </w:r>
          </w:p>
          <w:p>
            <w:pPr>
              <w:ind w:left="-57" w:right="-57"/>
              <w:jc w:val="center"/>
              <w:rPr>
                <w:rFonts w:ascii="Times New Roman" w:hAnsi="Times New Roman"/>
                <w:sz w:val="22"/>
                <w:szCs w:val="22"/>
              </w:rPr>
            </w:pPr>
            <w:r>
              <w:rPr>
                <w:rFonts w:ascii="Times New Roman" w:hAnsi="Times New Roman"/>
                <w:sz w:val="22"/>
                <w:szCs w:val="22"/>
              </w:rPr>
              <w:t>2023 года</w:t>
            </w:r>
          </w:p>
        </w:tc>
      </w:tr>
      <w:tr>
        <w:tc>
          <w:tcPr>
            <w:tcW w:w="1797" w:type="dxa"/>
            <w:vMerge/>
          </w:tcPr>
          <w:p>
            <w:pPr>
              <w:ind w:right="-57"/>
              <w:jc w:val="center"/>
              <w:rPr>
                <w:rFonts w:ascii="Times New Roman" w:hAnsi="Times New Roman"/>
                <w:sz w:val="22"/>
                <w:szCs w:val="22"/>
              </w:rPr>
            </w:pPr>
          </w:p>
        </w:tc>
        <w:tc>
          <w:tcPr>
            <w:tcW w:w="1276" w:type="dxa"/>
          </w:tcPr>
          <w:p>
            <w:pPr>
              <w:ind w:left="-57" w:right="-57"/>
              <w:jc w:val="center"/>
              <w:rPr>
                <w:rFonts w:ascii="Times New Roman" w:hAnsi="Times New Roman"/>
                <w:sz w:val="22"/>
                <w:szCs w:val="22"/>
              </w:rPr>
            </w:pPr>
            <w:r>
              <w:rPr>
                <w:rFonts w:ascii="Times New Roman" w:hAnsi="Times New Roman"/>
                <w:sz w:val="22"/>
                <w:szCs w:val="22"/>
              </w:rPr>
              <w:t>Первонач. утверждено</w:t>
            </w:r>
          </w:p>
        </w:tc>
        <w:tc>
          <w:tcPr>
            <w:tcW w:w="1276" w:type="dxa"/>
          </w:tcPr>
          <w:p>
            <w:pPr>
              <w:ind w:left="-57" w:right="-57"/>
              <w:jc w:val="center"/>
              <w:rPr>
                <w:rFonts w:ascii="Times New Roman" w:hAnsi="Times New Roman"/>
                <w:sz w:val="22"/>
                <w:szCs w:val="22"/>
              </w:rPr>
            </w:pPr>
            <w:r>
              <w:rPr>
                <w:rFonts w:ascii="Times New Roman" w:hAnsi="Times New Roman"/>
                <w:sz w:val="22"/>
                <w:szCs w:val="22"/>
              </w:rPr>
              <w:t xml:space="preserve">Оценка </w:t>
            </w:r>
          </w:p>
          <w:p>
            <w:pPr>
              <w:ind w:left="-57" w:right="-57"/>
              <w:jc w:val="center"/>
              <w:rPr>
                <w:rFonts w:ascii="Times New Roman" w:hAnsi="Times New Roman"/>
                <w:sz w:val="22"/>
                <w:szCs w:val="22"/>
              </w:rPr>
            </w:pPr>
          </w:p>
        </w:tc>
        <w:tc>
          <w:tcPr>
            <w:tcW w:w="1276" w:type="dxa"/>
            <w:vMerge/>
          </w:tcPr>
          <w:p>
            <w:pPr>
              <w:ind w:left="-57" w:right="-57"/>
              <w:jc w:val="center"/>
              <w:rPr>
                <w:rFonts w:ascii="Times New Roman" w:hAnsi="Times New Roman"/>
                <w:sz w:val="22"/>
                <w:szCs w:val="22"/>
              </w:rPr>
            </w:pPr>
          </w:p>
        </w:tc>
        <w:tc>
          <w:tcPr>
            <w:tcW w:w="1270" w:type="dxa"/>
            <w:vMerge/>
          </w:tcPr>
          <w:p>
            <w:pPr>
              <w:ind w:left="-57" w:right="-57"/>
              <w:jc w:val="center"/>
              <w:rPr>
                <w:rFonts w:ascii="Times New Roman" w:hAnsi="Times New Roman"/>
                <w:sz w:val="22"/>
                <w:szCs w:val="22"/>
              </w:rPr>
            </w:pPr>
          </w:p>
        </w:tc>
        <w:tc>
          <w:tcPr>
            <w:tcW w:w="1257" w:type="dxa"/>
            <w:vMerge/>
          </w:tcPr>
          <w:p>
            <w:pPr>
              <w:ind w:left="-57" w:right="-57"/>
              <w:jc w:val="center"/>
              <w:rPr>
                <w:rFonts w:ascii="Times New Roman" w:hAnsi="Times New Roman"/>
                <w:sz w:val="22"/>
                <w:szCs w:val="22"/>
              </w:rPr>
            </w:pPr>
          </w:p>
        </w:tc>
        <w:tc>
          <w:tcPr>
            <w:tcW w:w="1266" w:type="dxa"/>
            <w:vMerge/>
          </w:tcPr>
          <w:p>
            <w:pPr>
              <w:ind w:left="-57" w:right="-57"/>
              <w:jc w:val="center"/>
              <w:rPr>
                <w:rFonts w:ascii="Times New Roman" w:hAnsi="Times New Roman"/>
                <w:sz w:val="22"/>
                <w:szCs w:val="22"/>
              </w:rPr>
            </w:pPr>
          </w:p>
        </w:tc>
      </w:tr>
      <w:tr>
        <w:trPr>
          <w:trHeight w:val="397"/>
        </w:trPr>
        <w:tc>
          <w:tcPr>
            <w:tcW w:w="1797" w:type="dxa"/>
            <w:vAlign w:val="center"/>
          </w:tcPr>
          <w:p>
            <w:pPr>
              <w:ind w:right="-57"/>
              <w:rPr>
                <w:rFonts w:ascii="Times New Roman" w:hAnsi="Times New Roman"/>
                <w:b/>
                <w:sz w:val="22"/>
                <w:szCs w:val="22"/>
              </w:rPr>
            </w:pPr>
            <w:r>
              <w:rPr>
                <w:rFonts w:ascii="Times New Roman" w:hAnsi="Times New Roman"/>
                <w:b/>
                <w:sz w:val="22"/>
                <w:szCs w:val="22"/>
              </w:rPr>
              <w:t>Доходы, всего</w:t>
            </w:r>
          </w:p>
        </w:tc>
        <w:tc>
          <w:tcPr>
            <w:tcW w:w="1276" w:type="dxa"/>
            <w:vAlign w:val="center"/>
          </w:tcPr>
          <w:p>
            <w:pPr>
              <w:ind w:left="-57" w:right="-57"/>
              <w:jc w:val="right"/>
              <w:rPr>
                <w:rFonts w:ascii="Times New Roman" w:hAnsi="Times New Roman"/>
                <w:b/>
                <w:bCs/>
                <w:sz w:val="22"/>
                <w:szCs w:val="22"/>
              </w:rPr>
            </w:pPr>
            <w:r>
              <w:rPr>
                <w:rFonts w:ascii="Times New Roman" w:hAnsi="Times New Roman"/>
                <w:b/>
                <w:bCs/>
                <w:sz w:val="22"/>
                <w:szCs w:val="22"/>
              </w:rPr>
              <w:t>3 874 608,04</w:t>
            </w:r>
          </w:p>
        </w:tc>
        <w:tc>
          <w:tcPr>
            <w:tcW w:w="1276" w:type="dxa"/>
            <w:vAlign w:val="center"/>
          </w:tcPr>
          <w:p>
            <w:pPr>
              <w:ind w:left="-57" w:right="-57"/>
              <w:jc w:val="right"/>
              <w:rPr>
                <w:rFonts w:ascii="Times New Roman" w:hAnsi="Times New Roman"/>
                <w:b/>
                <w:bCs/>
                <w:sz w:val="22"/>
                <w:szCs w:val="22"/>
              </w:rPr>
            </w:pPr>
            <w:r>
              <w:rPr>
                <w:rFonts w:ascii="Times New Roman" w:hAnsi="Times New Roman"/>
                <w:b/>
                <w:bCs/>
                <w:sz w:val="22"/>
                <w:szCs w:val="22"/>
              </w:rPr>
              <w:t>4 667 138,44</w:t>
            </w:r>
          </w:p>
        </w:tc>
        <w:tc>
          <w:tcPr>
            <w:tcW w:w="1276" w:type="dxa"/>
            <w:vAlign w:val="center"/>
          </w:tcPr>
          <w:p>
            <w:pPr>
              <w:ind w:left="-57" w:right="-57"/>
              <w:jc w:val="right"/>
              <w:rPr>
                <w:rFonts w:ascii="Times New Roman" w:hAnsi="Times New Roman"/>
                <w:b/>
                <w:bCs/>
                <w:sz w:val="22"/>
                <w:szCs w:val="22"/>
              </w:rPr>
            </w:pPr>
            <w:r>
              <w:rPr>
                <w:rFonts w:ascii="Times New Roman" w:hAnsi="Times New Roman"/>
                <w:b/>
                <w:bCs/>
                <w:sz w:val="22"/>
                <w:szCs w:val="22"/>
              </w:rPr>
              <w:t>4 064 917,34</w:t>
            </w:r>
          </w:p>
        </w:tc>
        <w:tc>
          <w:tcPr>
            <w:tcW w:w="1270" w:type="dxa"/>
            <w:vAlign w:val="center"/>
          </w:tcPr>
          <w:p>
            <w:pPr>
              <w:ind w:left="-57" w:right="-57"/>
              <w:jc w:val="right"/>
              <w:rPr>
                <w:rFonts w:ascii="Times New Roman" w:hAnsi="Times New Roman"/>
                <w:b/>
                <w:sz w:val="22"/>
                <w:szCs w:val="22"/>
              </w:rPr>
            </w:pPr>
            <w:r>
              <w:rPr>
                <w:rFonts w:ascii="Times New Roman" w:hAnsi="Times New Roman"/>
                <w:b/>
                <w:sz w:val="22"/>
                <w:szCs w:val="22"/>
              </w:rPr>
              <w:t>-602 221,10</w:t>
            </w:r>
          </w:p>
        </w:tc>
        <w:tc>
          <w:tcPr>
            <w:tcW w:w="1257" w:type="dxa"/>
            <w:vAlign w:val="center"/>
          </w:tcPr>
          <w:p>
            <w:pPr>
              <w:ind w:left="-57" w:right="-57"/>
              <w:jc w:val="right"/>
              <w:rPr>
                <w:rFonts w:ascii="Times New Roman" w:hAnsi="Times New Roman"/>
                <w:b/>
                <w:bCs/>
                <w:sz w:val="22"/>
                <w:szCs w:val="22"/>
              </w:rPr>
            </w:pPr>
            <w:r>
              <w:rPr>
                <w:rFonts w:ascii="Times New Roman" w:hAnsi="Times New Roman"/>
                <w:b/>
                <w:bCs/>
                <w:sz w:val="22"/>
                <w:szCs w:val="22"/>
              </w:rPr>
              <w:t>3 587 405,81</w:t>
            </w:r>
          </w:p>
        </w:tc>
        <w:tc>
          <w:tcPr>
            <w:tcW w:w="1266" w:type="dxa"/>
            <w:vAlign w:val="center"/>
          </w:tcPr>
          <w:p>
            <w:pPr>
              <w:ind w:left="-57" w:right="-57"/>
              <w:jc w:val="right"/>
              <w:rPr>
                <w:rFonts w:ascii="Times New Roman" w:hAnsi="Times New Roman"/>
                <w:b/>
                <w:bCs/>
                <w:sz w:val="22"/>
                <w:szCs w:val="22"/>
              </w:rPr>
            </w:pPr>
            <w:r>
              <w:rPr>
                <w:rFonts w:ascii="Times New Roman" w:hAnsi="Times New Roman"/>
                <w:b/>
                <w:bCs/>
                <w:sz w:val="22"/>
                <w:szCs w:val="22"/>
              </w:rPr>
              <w:t>3 547 135,73</w:t>
            </w:r>
          </w:p>
        </w:tc>
      </w:tr>
      <w:tr>
        <w:tc>
          <w:tcPr>
            <w:tcW w:w="1797" w:type="dxa"/>
          </w:tcPr>
          <w:p>
            <w:pPr>
              <w:ind w:right="-57"/>
              <w:rPr>
                <w:rFonts w:ascii="Times New Roman" w:hAnsi="Times New Roman"/>
                <w:sz w:val="22"/>
                <w:szCs w:val="22"/>
              </w:rPr>
            </w:pPr>
            <w:r>
              <w:rPr>
                <w:rFonts w:ascii="Times New Roman" w:hAnsi="Times New Roman"/>
                <w:sz w:val="22"/>
                <w:szCs w:val="22"/>
              </w:rPr>
              <w:t>Налоговые и неналоговые доходы</w:t>
            </w:r>
          </w:p>
        </w:tc>
        <w:tc>
          <w:tcPr>
            <w:tcW w:w="1276" w:type="dxa"/>
            <w:vAlign w:val="center"/>
          </w:tcPr>
          <w:p>
            <w:pPr>
              <w:ind w:left="-57" w:right="-57"/>
              <w:jc w:val="right"/>
              <w:rPr>
                <w:rFonts w:ascii="Times New Roman" w:hAnsi="Times New Roman"/>
                <w:sz w:val="22"/>
                <w:szCs w:val="22"/>
              </w:rPr>
            </w:pPr>
            <w:r>
              <w:rPr>
                <w:rFonts w:ascii="Times New Roman" w:hAnsi="Times New Roman"/>
                <w:sz w:val="22"/>
                <w:szCs w:val="22"/>
              </w:rPr>
              <w:t>1 139 142,84</w:t>
            </w:r>
          </w:p>
        </w:tc>
        <w:tc>
          <w:tcPr>
            <w:tcW w:w="1276" w:type="dxa"/>
            <w:vAlign w:val="center"/>
          </w:tcPr>
          <w:p>
            <w:pPr>
              <w:ind w:left="-57" w:right="-57"/>
              <w:jc w:val="right"/>
              <w:rPr>
                <w:rFonts w:ascii="Times New Roman" w:hAnsi="Times New Roman"/>
                <w:sz w:val="22"/>
                <w:szCs w:val="22"/>
              </w:rPr>
            </w:pPr>
            <w:r>
              <w:rPr>
                <w:rFonts w:ascii="Times New Roman" w:hAnsi="Times New Roman"/>
                <w:sz w:val="22"/>
                <w:szCs w:val="22"/>
              </w:rPr>
              <w:t>1 089 588,56</w:t>
            </w:r>
          </w:p>
        </w:tc>
        <w:tc>
          <w:tcPr>
            <w:tcW w:w="1276" w:type="dxa"/>
            <w:vAlign w:val="center"/>
          </w:tcPr>
          <w:p>
            <w:pPr>
              <w:ind w:left="-57" w:right="-57"/>
              <w:jc w:val="right"/>
              <w:rPr>
                <w:rFonts w:ascii="Times New Roman" w:hAnsi="Times New Roman"/>
                <w:sz w:val="22"/>
                <w:szCs w:val="22"/>
              </w:rPr>
            </w:pPr>
            <w:r>
              <w:rPr>
                <w:rFonts w:ascii="Times New Roman" w:hAnsi="Times New Roman"/>
                <w:sz w:val="22"/>
                <w:szCs w:val="22"/>
              </w:rPr>
              <w:t>1 111 540,51</w:t>
            </w:r>
          </w:p>
        </w:tc>
        <w:tc>
          <w:tcPr>
            <w:tcW w:w="1270" w:type="dxa"/>
            <w:vAlign w:val="center"/>
          </w:tcPr>
          <w:p>
            <w:pPr>
              <w:ind w:left="-57" w:right="-57"/>
              <w:jc w:val="right"/>
              <w:rPr>
                <w:rFonts w:ascii="Times New Roman" w:hAnsi="Times New Roman"/>
                <w:sz w:val="22"/>
                <w:szCs w:val="22"/>
              </w:rPr>
            </w:pPr>
            <w:r>
              <w:rPr>
                <w:rFonts w:ascii="Times New Roman" w:hAnsi="Times New Roman"/>
                <w:sz w:val="22"/>
                <w:szCs w:val="22"/>
              </w:rPr>
              <w:t>21 951,95</w:t>
            </w:r>
          </w:p>
        </w:tc>
        <w:tc>
          <w:tcPr>
            <w:tcW w:w="1257" w:type="dxa"/>
            <w:vAlign w:val="center"/>
          </w:tcPr>
          <w:p>
            <w:pPr>
              <w:ind w:left="-57" w:right="-57"/>
              <w:jc w:val="right"/>
              <w:rPr>
                <w:rFonts w:ascii="Times New Roman" w:hAnsi="Times New Roman"/>
                <w:sz w:val="22"/>
                <w:szCs w:val="22"/>
              </w:rPr>
            </w:pPr>
            <w:r>
              <w:rPr>
                <w:rFonts w:ascii="Times New Roman" w:hAnsi="Times New Roman"/>
                <w:sz w:val="22"/>
                <w:szCs w:val="22"/>
              </w:rPr>
              <w:t>1 116 485,71</w:t>
            </w:r>
          </w:p>
        </w:tc>
        <w:tc>
          <w:tcPr>
            <w:tcW w:w="1266" w:type="dxa"/>
            <w:vAlign w:val="center"/>
          </w:tcPr>
          <w:p>
            <w:pPr>
              <w:ind w:left="-57" w:right="-57"/>
              <w:jc w:val="right"/>
              <w:rPr>
                <w:rFonts w:ascii="Times New Roman" w:hAnsi="Times New Roman"/>
                <w:sz w:val="22"/>
                <w:szCs w:val="22"/>
              </w:rPr>
            </w:pPr>
            <w:r>
              <w:rPr>
                <w:rFonts w:ascii="Times New Roman" w:hAnsi="Times New Roman"/>
                <w:sz w:val="22"/>
                <w:szCs w:val="22"/>
              </w:rPr>
              <w:t>1 116 506,63</w:t>
            </w:r>
          </w:p>
        </w:tc>
      </w:tr>
      <w:tr>
        <w:tc>
          <w:tcPr>
            <w:tcW w:w="1797" w:type="dxa"/>
          </w:tcPr>
          <w:p>
            <w:pPr>
              <w:ind w:right="-57"/>
              <w:rPr>
                <w:rFonts w:ascii="Times New Roman" w:hAnsi="Times New Roman"/>
                <w:sz w:val="22"/>
                <w:szCs w:val="22"/>
              </w:rPr>
            </w:pPr>
            <w:r>
              <w:rPr>
                <w:rFonts w:ascii="Times New Roman" w:hAnsi="Times New Roman"/>
                <w:sz w:val="22"/>
                <w:szCs w:val="22"/>
              </w:rPr>
              <w:t>Безвозмездные поступления</w:t>
            </w:r>
          </w:p>
        </w:tc>
        <w:tc>
          <w:tcPr>
            <w:tcW w:w="1276" w:type="dxa"/>
            <w:vAlign w:val="center"/>
          </w:tcPr>
          <w:p>
            <w:pPr>
              <w:ind w:left="-57" w:right="-57"/>
              <w:jc w:val="right"/>
              <w:rPr>
                <w:rFonts w:ascii="Times New Roman" w:hAnsi="Times New Roman"/>
                <w:sz w:val="22"/>
                <w:szCs w:val="22"/>
              </w:rPr>
            </w:pPr>
            <w:r>
              <w:rPr>
                <w:rFonts w:ascii="Times New Roman" w:hAnsi="Times New Roman"/>
                <w:sz w:val="22"/>
                <w:szCs w:val="22"/>
              </w:rPr>
              <w:t>2 735 465,20</w:t>
            </w:r>
          </w:p>
        </w:tc>
        <w:tc>
          <w:tcPr>
            <w:tcW w:w="1276" w:type="dxa"/>
            <w:vAlign w:val="center"/>
          </w:tcPr>
          <w:p>
            <w:pPr>
              <w:ind w:left="-57" w:right="-57"/>
              <w:jc w:val="right"/>
              <w:rPr>
                <w:rFonts w:ascii="Times New Roman" w:hAnsi="Times New Roman"/>
                <w:sz w:val="22"/>
                <w:szCs w:val="22"/>
              </w:rPr>
            </w:pPr>
            <w:r>
              <w:rPr>
                <w:rFonts w:ascii="Times New Roman" w:hAnsi="Times New Roman"/>
                <w:sz w:val="22"/>
                <w:szCs w:val="22"/>
              </w:rPr>
              <w:t>3 577 549,88</w:t>
            </w:r>
          </w:p>
        </w:tc>
        <w:tc>
          <w:tcPr>
            <w:tcW w:w="1276" w:type="dxa"/>
            <w:vAlign w:val="center"/>
          </w:tcPr>
          <w:p>
            <w:pPr>
              <w:ind w:left="-57" w:right="-57"/>
              <w:jc w:val="right"/>
              <w:rPr>
                <w:rFonts w:ascii="Times New Roman" w:hAnsi="Times New Roman"/>
                <w:sz w:val="22"/>
                <w:szCs w:val="22"/>
              </w:rPr>
            </w:pPr>
            <w:r>
              <w:rPr>
                <w:rFonts w:ascii="Times New Roman" w:hAnsi="Times New Roman"/>
                <w:sz w:val="22"/>
                <w:szCs w:val="22"/>
              </w:rPr>
              <w:t>2 953 376,83</w:t>
            </w:r>
          </w:p>
        </w:tc>
        <w:tc>
          <w:tcPr>
            <w:tcW w:w="1270" w:type="dxa"/>
            <w:vAlign w:val="center"/>
          </w:tcPr>
          <w:p>
            <w:pPr>
              <w:ind w:left="-57" w:right="-57"/>
              <w:jc w:val="right"/>
              <w:rPr>
                <w:rFonts w:ascii="Times New Roman" w:hAnsi="Times New Roman"/>
                <w:sz w:val="22"/>
                <w:szCs w:val="22"/>
              </w:rPr>
            </w:pPr>
            <w:r>
              <w:rPr>
                <w:rFonts w:ascii="Times New Roman" w:hAnsi="Times New Roman"/>
                <w:sz w:val="22"/>
                <w:szCs w:val="22"/>
              </w:rPr>
              <w:t>-624 173,05</w:t>
            </w:r>
          </w:p>
        </w:tc>
        <w:tc>
          <w:tcPr>
            <w:tcW w:w="1257" w:type="dxa"/>
            <w:vAlign w:val="center"/>
          </w:tcPr>
          <w:p>
            <w:pPr>
              <w:ind w:left="-57" w:right="-57"/>
              <w:jc w:val="right"/>
              <w:rPr>
                <w:rFonts w:ascii="Times New Roman" w:hAnsi="Times New Roman"/>
                <w:sz w:val="22"/>
                <w:szCs w:val="22"/>
              </w:rPr>
            </w:pPr>
            <w:r>
              <w:rPr>
                <w:rFonts w:ascii="Times New Roman" w:hAnsi="Times New Roman"/>
                <w:sz w:val="22"/>
                <w:szCs w:val="22"/>
              </w:rPr>
              <w:t>2 470 920,10</w:t>
            </w:r>
          </w:p>
        </w:tc>
        <w:tc>
          <w:tcPr>
            <w:tcW w:w="1266" w:type="dxa"/>
            <w:vAlign w:val="center"/>
          </w:tcPr>
          <w:p>
            <w:pPr>
              <w:ind w:left="-57" w:right="-57"/>
              <w:jc w:val="right"/>
              <w:rPr>
                <w:rFonts w:ascii="Times New Roman" w:hAnsi="Times New Roman"/>
                <w:sz w:val="22"/>
                <w:szCs w:val="22"/>
              </w:rPr>
            </w:pPr>
            <w:r>
              <w:rPr>
                <w:rFonts w:ascii="Times New Roman" w:hAnsi="Times New Roman"/>
                <w:sz w:val="22"/>
                <w:szCs w:val="22"/>
              </w:rPr>
              <w:t>2 430 629,10</w:t>
            </w:r>
          </w:p>
        </w:tc>
      </w:tr>
      <w:tr>
        <w:tc>
          <w:tcPr>
            <w:tcW w:w="1797" w:type="dxa"/>
          </w:tcPr>
          <w:p>
            <w:pPr>
              <w:ind w:right="-57"/>
              <w:rPr>
                <w:rFonts w:ascii="Times New Roman" w:hAnsi="Times New Roman"/>
                <w:i/>
                <w:sz w:val="22"/>
                <w:szCs w:val="22"/>
              </w:rPr>
            </w:pPr>
            <w:r>
              <w:rPr>
                <w:rFonts w:ascii="Times New Roman" w:hAnsi="Times New Roman"/>
                <w:i/>
                <w:sz w:val="22"/>
                <w:szCs w:val="22"/>
              </w:rPr>
              <w:t>из них дотации</w:t>
            </w:r>
          </w:p>
        </w:tc>
        <w:tc>
          <w:tcPr>
            <w:tcW w:w="1276" w:type="dxa"/>
            <w:vAlign w:val="center"/>
          </w:tcPr>
          <w:p>
            <w:pPr>
              <w:ind w:left="-57" w:right="-57"/>
              <w:jc w:val="right"/>
              <w:rPr>
                <w:rFonts w:ascii="Times New Roman" w:hAnsi="Times New Roman"/>
                <w:i/>
                <w:sz w:val="22"/>
                <w:szCs w:val="22"/>
              </w:rPr>
            </w:pPr>
            <w:r>
              <w:rPr>
                <w:rFonts w:ascii="Times New Roman" w:hAnsi="Times New Roman"/>
                <w:i/>
                <w:sz w:val="22"/>
                <w:szCs w:val="22"/>
              </w:rPr>
              <w:t>1 285 339,40</w:t>
            </w:r>
          </w:p>
        </w:tc>
        <w:tc>
          <w:tcPr>
            <w:tcW w:w="1276" w:type="dxa"/>
            <w:vAlign w:val="center"/>
          </w:tcPr>
          <w:p>
            <w:pPr>
              <w:ind w:left="-57" w:right="-57"/>
              <w:jc w:val="right"/>
              <w:rPr>
                <w:rFonts w:ascii="Times New Roman" w:hAnsi="Times New Roman"/>
                <w:i/>
                <w:sz w:val="22"/>
                <w:szCs w:val="22"/>
              </w:rPr>
            </w:pPr>
            <w:r>
              <w:rPr>
                <w:rFonts w:ascii="Times New Roman" w:hAnsi="Times New Roman"/>
                <w:i/>
                <w:sz w:val="22"/>
                <w:szCs w:val="22"/>
              </w:rPr>
              <w:t>1 389 355,33</w:t>
            </w:r>
          </w:p>
        </w:tc>
        <w:tc>
          <w:tcPr>
            <w:tcW w:w="1276" w:type="dxa"/>
            <w:vAlign w:val="center"/>
          </w:tcPr>
          <w:p>
            <w:pPr>
              <w:ind w:left="-57" w:right="-57"/>
              <w:jc w:val="right"/>
              <w:rPr>
                <w:rFonts w:ascii="Times New Roman" w:hAnsi="Times New Roman"/>
                <w:i/>
                <w:sz w:val="22"/>
                <w:szCs w:val="22"/>
              </w:rPr>
            </w:pPr>
            <w:r>
              <w:rPr>
                <w:rFonts w:ascii="Times New Roman" w:hAnsi="Times New Roman"/>
                <w:i/>
                <w:sz w:val="22"/>
                <w:szCs w:val="22"/>
              </w:rPr>
              <w:t>1 389 355,33</w:t>
            </w:r>
          </w:p>
        </w:tc>
        <w:tc>
          <w:tcPr>
            <w:tcW w:w="1270" w:type="dxa"/>
            <w:vAlign w:val="center"/>
          </w:tcPr>
          <w:p>
            <w:pPr>
              <w:ind w:left="-57" w:right="-57"/>
              <w:jc w:val="right"/>
              <w:rPr>
                <w:rFonts w:ascii="Times New Roman" w:hAnsi="Times New Roman"/>
                <w:i/>
                <w:sz w:val="22"/>
                <w:szCs w:val="22"/>
              </w:rPr>
            </w:pPr>
            <w:r>
              <w:rPr>
                <w:rFonts w:ascii="Times New Roman" w:hAnsi="Times New Roman"/>
                <w:i/>
                <w:sz w:val="22"/>
                <w:szCs w:val="22"/>
              </w:rPr>
              <w:t>0,00</w:t>
            </w:r>
          </w:p>
        </w:tc>
        <w:tc>
          <w:tcPr>
            <w:tcW w:w="1257" w:type="dxa"/>
            <w:vAlign w:val="center"/>
          </w:tcPr>
          <w:p>
            <w:pPr>
              <w:ind w:left="-57" w:right="-57"/>
              <w:jc w:val="right"/>
              <w:rPr>
                <w:rFonts w:ascii="Times New Roman" w:hAnsi="Times New Roman"/>
                <w:i/>
                <w:sz w:val="22"/>
                <w:szCs w:val="22"/>
              </w:rPr>
            </w:pPr>
            <w:r>
              <w:rPr>
                <w:rFonts w:ascii="Times New Roman" w:hAnsi="Times New Roman"/>
                <w:i/>
                <w:sz w:val="22"/>
                <w:szCs w:val="22"/>
              </w:rPr>
              <w:t xml:space="preserve">1 004 000,30 </w:t>
            </w:r>
          </w:p>
        </w:tc>
        <w:tc>
          <w:tcPr>
            <w:tcW w:w="1266" w:type="dxa"/>
            <w:vAlign w:val="center"/>
          </w:tcPr>
          <w:p>
            <w:pPr>
              <w:ind w:left="-57" w:right="-57"/>
              <w:jc w:val="right"/>
              <w:rPr>
                <w:rFonts w:ascii="Times New Roman" w:hAnsi="Times New Roman"/>
                <w:i/>
                <w:sz w:val="22"/>
                <w:szCs w:val="22"/>
              </w:rPr>
            </w:pPr>
            <w:r>
              <w:rPr>
                <w:rFonts w:ascii="Times New Roman" w:hAnsi="Times New Roman"/>
                <w:i/>
                <w:sz w:val="22"/>
                <w:szCs w:val="22"/>
              </w:rPr>
              <w:t>1 011 128,00</w:t>
            </w:r>
          </w:p>
        </w:tc>
      </w:tr>
      <w:tr>
        <w:trPr>
          <w:trHeight w:val="397"/>
        </w:trPr>
        <w:tc>
          <w:tcPr>
            <w:tcW w:w="1797" w:type="dxa"/>
            <w:shd w:val="clear" w:color="auto" w:fill="auto"/>
            <w:vAlign w:val="center"/>
          </w:tcPr>
          <w:p>
            <w:pPr>
              <w:ind w:right="-57"/>
              <w:rPr>
                <w:rFonts w:ascii="Times New Roman" w:hAnsi="Times New Roman"/>
                <w:b/>
                <w:sz w:val="22"/>
                <w:szCs w:val="22"/>
              </w:rPr>
            </w:pPr>
            <w:r>
              <w:rPr>
                <w:rFonts w:ascii="Times New Roman" w:hAnsi="Times New Roman"/>
                <w:b/>
                <w:sz w:val="22"/>
                <w:szCs w:val="22"/>
              </w:rPr>
              <w:t>Расходы, всего</w:t>
            </w:r>
          </w:p>
        </w:tc>
        <w:tc>
          <w:tcPr>
            <w:tcW w:w="1276" w:type="dxa"/>
            <w:shd w:val="clear" w:color="auto" w:fill="auto"/>
            <w:vAlign w:val="center"/>
          </w:tcPr>
          <w:p>
            <w:pPr>
              <w:ind w:left="-57" w:right="-57"/>
              <w:jc w:val="right"/>
              <w:rPr>
                <w:rFonts w:ascii="Times New Roman" w:hAnsi="Times New Roman"/>
                <w:b/>
                <w:sz w:val="22"/>
                <w:szCs w:val="22"/>
              </w:rPr>
            </w:pPr>
            <w:r>
              <w:rPr>
                <w:rFonts w:ascii="Times New Roman" w:hAnsi="Times New Roman"/>
                <w:b/>
                <w:sz w:val="22"/>
                <w:szCs w:val="22"/>
              </w:rPr>
              <w:t>3 915 116,33</w:t>
            </w:r>
          </w:p>
        </w:tc>
        <w:tc>
          <w:tcPr>
            <w:tcW w:w="1276" w:type="dxa"/>
            <w:shd w:val="clear" w:color="auto" w:fill="auto"/>
            <w:vAlign w:val="center"/>
          </w:tcPr>
          <w:p>
            <w:pPr>
              <w:ind w:left="-57" w:right="-57"/>
              <w:jc w:val="right"/>
              <w:rPr>
                <w:rFonts w:ascii="Times New Roman" w:hAnsi="Times New Roman"/>
                <w:b/>
                <w:sz w:val="22"/>
                <w:szCs w:val="22"/>
              </w:rPr>
            </w:pPr>
            <w:r>
              <w:rPr>
                <w:rFonts w:ascii="Times New Roman" w:hAnsi="Times New Roman"/>
                <w:b/>
                <w:sz w:val="22"/>
                <w:szCs w:val="22"/>
              </w:rPr>
              <w:t>4 787 237,56</w:t>
            </w:r>
          </w:p>
        </w:tc>
        <w:tc>
          <w:tcPr>
            <w:tcW w:w="1276" w:type="dxa"/>
            <w:shd w:val="clear" w:color="auto" w:fill="auto"/>
            <w:vAlign w:val="center"/>
          </w:tcPr>
          <w:p>
            <w:pPr>
              <w:ind w:left="-57" w:right="-57"/>
              <w:jc w:val="right"/>
              <w:rPr>
                <w:rFonts w:ascii="Times New Roman" w:hAnsi="Times New Roman"/>
                <w:b/>
                <w:sz w:val="22"/>
                <w:szCs w:val="22"/>
                <w:highlight w:val="yellow"/>
              </w:rPr>
            </w:pPr>
            <w:r>
              <w:rPr>
                <w:rFonts w:ascii="Times New Roman" w:hAnsi="Times New Roman"/>
                <w:b/>
                <w:sz w:val="22"/>
                <w:szCs w:val="22"/>
              </w:rPr>
              <w:t>4 152 406,02</w:t>
            </w:r>
          </w:p>
        </w:tc>
        <w:tc>
          <w:tcPr>
            <w:tcW w:w="1270" w:type="dxa"/>
            <w:shd w:val="clear" w:color="auto" w:fill="auto"/>
            <w:vAlign w:val="center"/>
          </w:tcPr>
          <w:p>
            <w:pPr>
              <w:ind w:left="-57" w:right="-57"/>
              <w:jc w:val="right"/>
              <w:rPr>
                <w:rFonts w:ascii="Times New Roman" w:hAnsi="Times New Roman"/>
                <w:b/>
                <w:sz w:val="22"/>
                <w:szCs w:val="22"/>
                <w:highlight w:val="yellow"/>
              </w:rPr>
            </w:pPr>
            <w:r>
              <w:rPr>
                <w:rFonts w:ascii="Times New Roman" w:hAnsi="Times New Roman"/>
                <w:b/>
                <w:sz w:val="22"/>
                <w:szCs w:val="22"/>
              </w:rPr>
              <w:t>-634 831,54</w:t>
            </w:r>
          </w:p>
        </w:tc>
        <w:tc>
          <w:tcPr>
            <w:tcW w:w="1257" w:type="dxa"/>
            <w:shd w:val="clear" w:color="auto" w:fill="auto"/>
            <w:vAlign w:val="center"/>
          </w:tcPr>
          <w:p>
            <w:pPr>
              <w:ind w:left="-57" w:right="-57"/>
              <w:jc w:val="right"/>
              <w:rPr>
                <w:rFonts w:ascii="Times New Roman" w:hAnsi="Times New Roman"/>
                <w:b/>
                <w:bCs/>
                <w:sz w:val="22"/>
                <w:szCs w:val="22"/>
                <w:highlight w:val="yellow"/>
              </w:rPr>
            </w:pPr>
            <w:r>
              <w:rPr>
                <w:rFonts w:ascii="Times New Roman" w:hAnsi="Times New Roman"/>
                <w:b/>
                <w:bCs/>
                <w:sz w:val="22"/>
                <w:szCs w:val="22"/>
              </w:rPr>
              <w:t>3 587 405,81</w:t>
            </w:r>
          </w:p>
        </w:tc>
        <w:tc>
          <w:tcPr>
            <w:tcW w:w="1266" w:type="dxa"/>
            <w:shd w:val="clear" w:color="auto" w:fill="auto"/>
            <w:vAlign w:val="center"/>
          </w:tcPr>
          <w:p>
            <w:pPr>
              <w:ind w:left="-57" w:right="-57"/>
              <w:jc w:val="right"/>
              <w:rPr>
                <w:rFonts w:ascii="Times New Roman" w:hAnsi="Times New Roman"/>
                <w:b/>
                <w:bCs/>
                <w:sz w:val="22"/>
                <w:szCs w:val="22"/>
              </w:rPr>
            </w:pPr>
            <w:r>
              <w:rPr>
                <w:rFonts w:ascii="Times New Roman" w:hAnsi="Times New Roman"/>
                <w:b/>
                <w:bCs/>
                <w:sz w:val="22"/>
                <w:szCs w:val="22"/>
              </w:rPr>
              <w:t>3 547 135,73</w:t>
            </w:r>
          </w:p>
        </w:tc>
      </w:tr>
      <w:tr>
        <w:trPr>
          <w:trHeight w:val="397"/>
        </w:trPr>
        <w:tc>
          <w:tcPr>
            <w:tcW w:w="1797" w:type="dxa"/>
            <w:shd w:val="clear" w:color="auto" w:fill="auto"/>
            <w:vAlign w:val="center"/>
          </w:tcPr>
          <w:p>
            <w:pPr>
              <w:ind w:right="-57"/>
              <w:rPr>
                <w:rFonts w:ascii="Times New Roman" w:hAnsi="Times New Roman"/>
                <w:b/>
                <w:sz w:val="22"/>
                <w:szCs w:val="22"/>
              </w:rPr>
            </w:pPr>
            <w:r>
              <w:rPr>
                <w:rFonts w:ascii="Times New Roman" w:hAnsi="Times New Roman"/>
                <w:b/>
                <w:sz w:val="22"/>
                <w:szCs w:val="22"/>
              </w:rPr>
              <w:t xml:space="preserve">Дефицит </w:t>
            </w:r>
          </w:p>
        </w:tc>
        <w:tc>
          <w:tcPr>
            <w:tcW w:w="1276" w:type="dxa"/>
            <w:shd w:val="clear" w:color="auto" w:fill="auto"/>
            <w:vAlign w:val="center"/>
          </w:tcPr>
          <w:p>
            <w:pPr>
              <w:ind w:left="-57" w:right="-57"/>
              <w:jc w:val="right"/>
              <w:rPr>
                <w:rFonts w:ascii="Times New Roman" w:hAnsi="Times New Roman"/>
                <w:b/>
                <w:sz w:val="22"/>
                <w:szCs w:val="22"/>
              </w:rPr>
            </w:pPr>
            <w:r>
              <w:rPr>
                <w:rFonts w:ascii="Times New Roman" w:hAnsi="Times New Roman"/>
                <w:b/>
                <w:sz w:val="22"/>
                <w:szCs w:val="22"/>
              </w:rPr>
              <w:t>- 40 508,29</w:t>
            </w:r>
          </w:p>
        </w:tc>
        <w:tc>
          <w:tcPr>
            <w:tcW w:w="1276" w:type="dxa"/>
            <w:shd w:val="clear" w:color="auto" w:fill="auto"/>
            <w:vAlign w:val="center"/>
          </w:tcPr>
          <w:p>
            <w:pPr>
              <w:ind w:left="-57" w:right="-57"/>
              <w:jc w:val="right"/>
              <w:rPr>
                <w:rFonts w:ascii="Times New Roman" w:hAnsi="Times New Roman"/>
                <w:b/>
                <w:sz w:val="22"/>
                <w:szCs w:val="22"/>
              </w:rPr>
            </w:pPr>
            <w:r>
              <w:rPr>
                <w:rFonts w:ascii="Times New Roman" w:hAnsi="Times New Roman"/>
                <w:b/>
                <w:sz w:val="22"/>
                <w:szCs w:val="22"/>
              </w:rPr>
              <w:t>-120 099,12</w:t>
            </w:r>
          </w:p>
        </w:tc>
        <w:tc>
          <w:tcPr>
            <w:tcW w:w="1276" w:type="dxa"/>
            <w:shd w:val="clear" w:color="auto" w:fill="auto"/>
            <w:vAlign w:val="center"/>
          </w:tcPr>
          <w:p>
            <w:pPr>
              <w:ind w:left="-57" w:right="-57"/>
              <w:jc w:val="right"/>
              <w:rPr>
                <w:rFonts w:ascii="Times New Roman" w:hAnsi="Times New Roman"/>
                <w:b/>
                <w:sz w:val="22"/>
                <w:szCs w:val="22"/>
              </w:rPr>
            </w:pPr>
            <w:r>
              <w:rPr>
                <w:rFonts w:ascii="Times New Roman" w:hAnsi="Times New Roman"/>
                <w:b/>
                <w:sz w:val="22"/>
                <w:szCs w:val="22"/>
              </w:rPr>
              <w:t>-87 488,68</w:t>
            </w:r>
          </w:p>
        </w:tc>
        <w:tc>
          <w:tcPr>
            <w:tcW w:w="1270" w:type="dxa"/>
            <w:shd w:val="clear" w:color="auto" w:fill="auto"/>
            <w:vAlign w:val="center"/>
          </w:tcPr>
          <w:p>
            <w:pPr>
              <w:ind w:left="-57" w:right="-57"/>
              <w:jc w:val="right"/>
              <w:rPr>
                <w:rFonts w:ascii="Times New Roman" w:hAnsi="Times New Roman"/>
                <w:b/>
                <w:sz w:val="22"/>
                <w:szCs w:val="22"/>
              </w:rPr>
            </w:pPr>
            <w:r>
              <w:rPr>
                <w:rFonts w:ascii="Times New Roman" w:hAnsi="Times New Roman"/>
                <w:b/>
                <w:sz w:val="22"/>
                <w:szCs w:val="22"/>
              </w:rPr>
              <w:t>-32 610,44</w:t>
            </w:r>
          </w:p>
        </w:tc>
        <w:tc>
          <w:tcPr>
            <w:tcW w:w="1257" w:type="dxa"/>
            <w:shd w:val="clear" w:color="auto" w:fill="auto"/>
            <w:vAlign w:val="center"/>
          </w:tcPr>
          <w:p>
            <w:pPr>
              <w:ind w:left="-57" w:right="-57"/>
              <w:jc w:val="right"/>
              <w:rPr>
                <w:rFonts w:ascii="Times New Roman" w:hAnsi="Times New Roman"/>
                <w:b/>
                <w:sz w:val="22"/>
                <w:szCs w:val="22"/>
              </w:rPr>
            </w:pPr>
            <w:r>
              <w:rPr>
                <w:rFonts w:ascii="Times New Roman" w:hAnsi="Times New Roman"/>
                <w:b/>
                <w:sz w:val="22"/>
                <w:szCs w:val="22"/>
              </w:rPr>
              <w:t>-</w:t>
            </w:r>
          </w:p>
        </w:tc>
        <w:tc>
          <w:tcPr>
            <w:tcW w:w="1266" w:type="dxa"/>
            <w:shd w:val="clear" w:color="auto" w:fill="auto"/>
            <w:vAlign w:val="center"/>
          </w:tcPr>
          <w:p>
            <w:pPr>
              <w:ind w:left="-57" w:right="-57"/>
              <w:jc w:val="right"/>
              <w:rPr>
                <w:rFonts w:ascii="Times New Roman" w:hAnsi="Times New Roman"/>
                <w:b/>
                <w:sz w:val="22"/>
                <w:szCs w:val="22"/>
              </w:rPr>
            </w:pPr>
            <w:r>
              <w:rPr>
                <w:rFonts w:ascii="Times New Roman" w:hAnsi="Times New Roman"/>
                <w:b/>
                <w:sz w:val="22"/>
                <w:szCs w:val="22"/>
              </w:rPr>
              <w:t>-</w:t>
            </w:r>
          </w:p>
        </w:tc>
      </w:tr>
    </w:tbl>
    <w:p>
      <w:pPr>
        <w:rPr>
          <w:rFonts w:ascii="Times New Roman" w:hAnsi="Times New Roman"/>
          <w:b/>
          <w:color w:val="FF0000"/>
          <w:sz w:val="12"/>
          <w:szCs w:val="12"/>
          <w:highlight w:val="yellow"/>
        </w:rPr>
      </w:pPr>
    </w:p>
    <w:p>
      <w:pPr>
        <w:jc w:val="both"/>
        <w:rPr>
          <w:rFonts w:ascii="Times New Roman" w:hAnsi="Times New Roman"/>
          <w:sz w:val="24"/>
          <w:szCs w:val="24"/>
        </w:rPr>
      </w:pPr>
      <w:r>
        <w:rPr>
          <w:rFonts w:ascii="Times New Roman" w:hAnsi="Times New Roman"/>
          <w:sz w:val="24"/>
          <w:szCs w:val="24"/>
        </w:rPr>
        <w:tab/>
        <w:t>Формирование бюджета ЗАТО Северск на 2021 год с предельным размером дефицита обусловлено отсутствием достаточных собственных источников и</w:t>
      </w:r>
      <w:r>
        <w:rPr>
          <w:sz w:val="24"/>
          <w:szCs w:val="24"/>
        </w:rPr>
        <w:t xml:space="preserve"> </w:t>
      </w:r>
      <w:r>
        <w:rPr>
          <w:rFonts w:ascii="Times New Roman" w:hAnsi="Times New Roman"/>
          <w:sz w:val="24"/>
          <w:szCs w:val="24"/>
        </w:rPr>
        <w:t>необходимостью</w:t>
      </w:r>
      <w:r>
        <w:rPr>
          <w:sz w:val="24"/>
          <w:szCs w:val="24"/>
        </w:rPr>
        <w:t xml:space="preserve"> выполнения  </w:t>
      </w:r>
      <w:r>
        <w:rPr>
          <w:rFonts w:ascii="Times New Roman" w:hAnsi="Times New Roman"/>
          <w:sz w:val="24"/>
          <w:szCs w:val="24"/>
        </w:rPr>
        <w:t xml:space="preserve">обязательств территории  по обеспечению софинансирования региональных и национальных проектов, </w:t>
      </w:r>
      <w:r>
        <w:rPr>
          <w:sz w:val="24"/>
          <w:szCs w:val="24"/>
        </w:rPr>
        <w:t>увеличением расходов на обслуживание муниципального долга.</w:t>
      </w:r>
    </w:p>
    <w:p>
      <w:pPr>
        <w:jc w:val="both"/>
        <w:rPr>
          <w:rFonts w:ascii="Times New Roman" w:hAnsi="Times New Roman"/>
          <w:sz w:val="24"/>
          <w:szCs w:val="24"/>
        </w:rPr>
      </w:pPr>
      <w:r>
        <w:rPr>
          <w:noProof/>
        </w:rPr>
        <w:lastRenderedPageBreak/>
        <w:drawing>
          <wp:inline distT="0" distB="0" distL="0" distR="0">
            <wp:extent cx="5940425" cy="2762885"/>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autoSpaceDE w:val="0"/>
        <w:autoSpaceDN w:val="0"/>
        <w:adjustRightInd w:val="0"/>
        <w:ind w:firstLine="709"/>
        <w:jc w:val="both"/>
        <w:outlineLvl w:val="0"/>
        <w:rPr>
          <w:sz w:val="24"/>
          <w:szCs w:val="24"/>
        </w:rPr>
      </w:pPr>
      <w:r>
        <w:rPr>
          <w:sz w:val="24"/>
          <w:szCs w:val="24"/>
        </w:rPr>
        <w:t>Рисунок 1 – Динамика основных параметров бюджета ЗАТО Северск за 2020-2023 годы</w:t>
      </w:r>
    </w:p>
    <w:p>
      <w:pPr>
        <w:autoSpaceDE w:val="0"/>
        <w:autoSpaceDN w:val="0"/>
        <w:adjustRightInd w:val="0"/>
        <w:ind w:firstLine="709"/>
        <w:jc w:val="both"/>
        <w:outlineLvl w:val="0"/>
        <w:rPr>
          <w:sz w:val="16"/>
          <w:szCs w:val="16"/>
        </w:rPr>
      </w:pPr>
    </w:p>
    <w:p>
      <w:pPr>
        <w:autoSpaceDE w:val="0"/>
        <w:autoSpaceDN w:val="0"/>
        <w:adjustRightInd w:val="0"/>
        <w:ind w:firstLine="709"/>
        <w:jc w:val="center"/>
        <w:outlineLvl w:val="0"/>
        <w:rPr>
          <w:b/>
          <w:sz w:val="24"/>
          <w:szCs w:val="24"/>
        </w:rPr>
      </w:pPr>
      <w:r>
        <w:rPr>
          <w:b/>
          <w:sz w:val="24"/>
          <w:szCs w:val="24"/>
        </w:rPr>
        <w:t>I. ДОХОДЫ</w:t>
      </w:r>
    </w:p>
    <w:p>
      <w:pPr>
        <w:autoSpaceDE w:val="0"/>
        <w:autoSpaceDN w:val="0"/>
        <w:adjustRightInd w:val="0"/>
        <w:ind w:firstLine="709"/>
        <w:jc w:val="center"/>
        <w:outlineLvl w:val="0"/>
        <w:rPr>
          <w:b/>
          <w:sz w:val="24"/>
          <w:szCs w:val="24"/>
        </w:rPr>
      </w:pPr>
      <w:r>
        <w:rPr>
          <w:b/>
          <w:sz w:val="24"/>
          <w:szCs w:val="24"/>
        </w:rPr>
        <w:t>1.1. Общие направления формирования доходной части бюджета ЗАТО Северск на 2021 год и плановый период 2022 и 2023 годов</w:t>
      </w:r>
    </w:p>
    <w:p>
      <w:pPr>
        <w:autoSpaceDE w:val="0"/>
        <w:autoSpaceDN w:val="0"/>
        <w:adjustRightInd w:val="0"/>
        <w:ind w:firstLine="709"/>
        <w:jc w:val="both"/>
        <w:outlineLvl w:val="0"/>
        <w:rPr>
          <w:sz w:val="24"/>
          <w:szCs w:val="24"/>
        </w:rPr>
      </w:pPr>
      <w:r>
        <w:rPr>
          <w:sz w:val="24"/>
          <w:szCs w:val="24"/>
        </w:rPr>
        <w:t xml:space="preserve">При формировании доходной части бюджета ЗАТО Северск на 2021 год и плановый период 2022 и 2023 годов расчет объема доходов выполнен на основе установленных и доведенных нормативов отчислений в бюджеты городских округов, методик главных администраторов доходов ЗАТО Северск по прогнозированию доходов бюджета ЗАТО Северск на очередной финансовый год и на плановый период. </w:t>
      </w:r>
    </w:p>
    <w:p>
      <w:pPr>
        <w:autoSpaceDE w:val="0"/>
        <w:autoSpaceDN w:val="0"/>
        <w:adjustRightInd w:val="0"/>
        <w:ind w:firstLine="709"/>
        <w:jc w:val="both"/>
        <w:outlineLvl w:val="0"/>
        <w:rPr>
          <w:sz w:val="24"/>
          <w:szCs w:val="24"/>
        </w:rPr>
      </w:pPr>
      <w:r>
        <w:rPr>
          <w:sz w:val="24"/>
          <w:szCs w:val="24"/>
        </w:rPr>
        <w:t>При прогнозировании налоговых и неналоговых доходов бюджета ЗАТО Северск учтены следующие положения:</w:t>
      </w:r>
    </w:p>
    <w:p>
      <w:pPr>
        <w:numPr>
          <w:ilvl w:val="0"/>
          <w:numId w:val="39"/>
        </w:numPr>
        <w:autoSpaceDE w:val="0"/>
        <w:autoSpaceDN w:val="0"/>
        <w:adjustRightInd w:val="0"/>
        <w:contextualSpacing/>
        <w:jc w:val="both"/>
        <w:outlineLvl w:val="0"/>
        <w:rPr>
          <w:sz w:val="24"/>
          <w:szCs w:val="24"/>
        </w:rPr>
      </w:pPr>
      <w:r>
        <w:rPr>
          <w:sz w:val="24"/>
          <w:szCs w:val="24"/>
        </w:rPr>
        <w:t>Изменения налогового законодательства Российской Федерации:</w:t>
      </w:r>
    </w:p>
    <w:p>
      <w:pPr>
        <w:tabs>
          <w:tab w:val="left" w:pos="993"/>
        </w:tabs>
        <w:autoSpaceDE w:val="0"/>
        <w:autoSpaceDN w:val="0"/>
        <w:adjustRightInd w:val="0"/>
        <w:ind w:firstLine="709"/>
        <w:contextualSpacing/>
        <w:jc w:val="both"/>
        <w:outlineLvl w:val="0"/>
        <w:rPr>
          <w:sz w:val="24"/>
          <w:szCs w:val="24"/>
        </w:rPr>
      </w:pPr>
      <w:r>
        <w:rPr>
          <w:sz w:val="24"/>
          <w:szCs w:val="24"/>
        </w:rPr>
        <w:t xml:space="preserve">1) с 01.01.2021 система налогообложения в виде единого налога на вмененный доход для отдельных видов предпринимательской деятельности прекращает действие согласно Федеральному закону от 29.06.2012 № 97-ФЗ «О внесении изменений в часть первую и часть вторую Налогового кодекса Российской Федерации...»; </w:t>
      </w:r>
    </w:p>
    <w:p>
      <w:pPr>
        <w:tabs>
          <w:tab w:val="left" w:pos="993"/>
        </w:tabs>
        <w:autoSpaceDE w:val="0"/>
        <w:autoSpaceDN w:val="0"/>
        <w:adjustRightInd w:val="0"/>
        <w:ind w:firstLine="709"/>
        <w:contextualSpacing/>
        <w:jc w:val="both"/>
        <w:outlineLvl w:val="0"/>
        <w:rPr>
          <w:sz w:val="24"/>
          <w:szCs w:val="24"/>
        </w:rPr>
      </w:pPr>
      <w:r>
        <w:rPr>
          <w:sz w:val="24"/>
          <w:szCs w:val="24"/>
        </w:rPr>
        <w:t>2) в 2021 году, согласно статье 409 Налогового кодекса Российской Федерации, поступит налог, исчисленный исходя из кадастровой стоимости объектов налогообложения, по ставкам, утвержденным решением Думы ЗАТО Северск от 26.09.2019 № 55/2 (в 2020 году осуществлен переход Томской области на исчисление налога на имущество физических лиц исходя из кадастровой стоимости объектов налогообложения).</w:t>
      </w:r>
    </w:p>
    <w:p>
      <w:pPr>
        <w:tabs>
          <w:tab w:val="left" w:pos="993"/>
        </w:tabs>
        <w:autoSpaceDE w:val="0"/>
        <w:autoSpaceDN w:val="0"/>
        <w:adjustRightInd w:val="0"/>
        <w:spacing w:before="120"/>
        <w:ind w:firstLine="709"/>
        <w:jc w:val="both"/>
        <w:outlineLvl w:val="0"/>
        <w:rPr>
          <w:sz w:val="24"/>
          <w:szCs w:val="24"/>
        </w:rPr>
      </w:pPr>
      <w:r>
        <w:rPr>
          <w:sz w:val="24"/>
          <w:szCs w:val="24"/>
        </w:rPr>
        <w:t>2. Изменения согласно проекту Закона Томской области «Об областном бюджете на 2021 год и на плановый период 2022-2023 годов»:</w:t>
      </w:r>
    </w:p>
    <w:p>
      <w:pPr>
        <w:tabs>
          <w:tab w:val="left" w:pos="993"/>
        </w:tabs>
        <w:autoSpaceDE w:val="0"/>
        <w:autoSpaceDN w:val="0"/>
        <w:adjustRightInd w:val="0"/>
        <w:ind w:firstLine="709"/>
        <w:contextualSpacing/>
        <w:jc w:val="both"/>
        <w:outlineLvl w:val="0"/>
        <w:rPr>
          <w:sz w:val="24"/>
          <w:szCs w:val="24"/>
        </w:rPr>
      </w:pPr>
      <w:r>
        <w:rPr>
          <w:sz w:val="24"/>
          <w:szCs w:val="24"/>
        </w:rPr>
        <w:t xml:space="preserve">1) дополнительный (дифференцированный) норматив отчислений от налога на доходы физических лиц взамен дотации на выравнивание бюджетной обеспеченности муниципальных образований из областного бюджета на 2021 год устанавливается в размере 11,61%,  на 2022 год - 10,11%, на 2023 год - 9,47%; </w:t>
      </w:r>
    </w:p>
    <w:p>
      <w:pPr>
        <w:tabs>
          <w:tab w:val="left" w:pos="993"/>
        </w:tabs>
        <w:autoSpaceDE w:val="0"/>
        <w:autoSpaceDN w:val="0"/>
        <w:adjustRightInd w:val="0"/>
        <w:ind w:firstLine="709"/>
        <w:contextualSpacing/>
        <w:jc w:val="both"/>
        <w:outlineLvl w:val="0"/>
        <w:rPr>
          <w:sz w:val="24"/>
          <w:szCs w:val="24"/>
        </w:rPr>
      </w:pPr>
      <w:r>
        <w:rPr>
          <w:sz w:val="24"/>
          <w:szCs w:val="24"/>
        </w:rPr>
        <w:t>2) дифференцированный норматив отчислений по акцизам на автомобильный и прямогонный бензин, дизельное топливо, моторные масла для дизельных и (или) карбюраторных (инжекторных) двигателей…, исходя из протяженности автомобильных дорог местного значения, находящихся в собственности муниципальных образований, на 2021 – 2023 годы устанавливается по нормативу  0,35689%.</w:t>
      </w:r>
    </w:p>
    <w:p>
      <w:pPr>
        <w:tabs>
          <w:tab w:val="left" w:pos="993"/>
        </w:tabs>
        <w:autoSpaceDE w:val="0"/>
        <w:autoSpaceDN w:val="0"/>
        <w:adjustRightInd w:val="0"/>
        <w:ind w:firstLine="709"/>
        <w:contextualSpacing/>
        <w:jc w:val="both"/>
        <w:outlineLvl w:val="0"/>
        <w:rPr>
          <w:sz w:val="24"/>
          <w:szCs w:val="24"/>
        </w:rPr>
      </w:pPr>
    </w:p>
    <w:p>
      <w:pPr>
        <w:tabs>
          <w:tab w:val="left" w:pos="993"/>
        </w:tabs>
        <w:autoSpaceDE w:val="0"/>
        <w:autoSpaceDN w:val="0"/>
        <w:adjustRightInd w:val="0"/>
        <w:ind w:firstLine="709"/>
        <w:contextualSpacing/>
        <w:jc w:val="both"/>
        <w:outlineLvl w:val="0"/>
        <w:rPr>
          <w:sz w:val="24"/>
          <w:szCs w:val="24"/>
        </w:rPr>
      </w:pPr>
      <w:r>
        <w:rPr>
          <w:sz w:val="24"/>
          <w:szCs w:val="24"/>
        </w:rPr>
        <w:t>3. В соответствии с изменениями федерального и регионального законодательств в 2021 году существуют риски неисполнения прогнозной части «собственных» доходов бюджета ЗАТО Северск в общей сумме 97 997,10 тыс.руб.:</w:t>
      </w:r>
    </w:p>
    <w:p>
      <w:pPr>
        <w:tabs>
          <w:tab w:val="left" w:pos="993"/>
        </w:tabs>
        <w:autoSpaceDE w:val="0"/>
        <w:autoSpaceDN w:val="0"/>
        <w:adjustRightInd w:val="0"/>
        <w:ind w:firstLine="709"/>
        <w:contextualSpacing/>
        <w:jc w:val="both"/>
        <w:outlineLvl w:val="0"/>
        <w:rPr>
          <w:sz w:val="24"/>
          <w:szCs w:val="24"/>
        </w:rPr>
      </w:pPr>
      <w:r>
        <w:rPr>
          <w:sz w:val="24"/>
          <w:szCs w:val="24"/>
        </w:rPr>
        <w:lastRenderedPageBreak/>
        <w:t>1) в соответствии с распоряжением Департамента по управлению государственной собственностью Томской области от 01.07.2019 № 519 «О проведении государственной кадастровой оценки земельных участков, расположенных на территории Томской области» ОГБУ «Томский областной центр инвентаризации и кадастра» формирует новую кадастровую оценку земельных участков, результаты которой должны вступить в действие с 01.01.2021. С учетом применения новой кадастровой оценки выпадающие доходы бюджета ЗАТО Северск прогнозируются в сумме 76 897,10 тыс.руб., в том числе по земельному налогу в сумме 67 193,60 тыс.руб. и по аренде земли в сумме 9 703,50 тыс.руб.;</w:t>
      </w:r>
    </w:p>
    <w:p>
      <w:pPr>
        <w:tabs>
          <w:tab w:val="left" w:pos="993"/>
        </w:tabs>
        <w:autoSpaceDE w:val="0"/>
        <w:autoSpaceDN w:val="0"/>
        <w:adjustRightInd w:val="0"/>
        <w:ind w:firstLine="709"/>
        <w:contextualSpacing/>
        <w:jc w:val="both"/>
        <w:outlineLvl w:val="0"/>
        <w:rPr>
          <w:sz w:val="24"/>
          <w:szCs w:val="24"/>
        </w:rPr>
      </w:pPr>
      <w:r>
        <w:rPr>
          <w:sz w:val="24"/>
          <w:szCs w:val="24"/>
        </w:rPr>
        <w:t xml:space="preserve">2) в связи с возможным переходом меньшего количества налогоплательщиков ЕНВД на упрощенную систему налогообложения бюджет ЗАТО Северск может не дополучить доходы в сумме 21 100,00 тыс.руб. </w:t>
      </w:r>
      <w:r>
        <w:rPr>
          <w:sz w:val="24"/>
          <w:szCs w:val="24"/>
        </w:rPr>
        <w:tab/>
        <w:t>Замещающий источник выпадающих доходов в связи с отменой ЕНВД с 01.01.2021 не определен.</w:t>
      </w:r>
    </w:p>
    <w:p>
      <w:pPr>
        <w:tabs>
          <w:tab w:val="left" w:pos="993"/>
        </w:tabs>
        <w:autoSpaceDE w:val="0"/>
        <w:autoSpaceDN w:val="0"/>
        <w:adjustRightInd w:val="0"/>
        <w:ind w:firstLine="709"/>
        <w:contextualSpacing/>
        <w:jc w:val="both"/>
        <w:outlineLvl w:val="0"/>
        <w:rPr>
          <w:sz w:val="16"/>
          <w:szCs w:val="16"/>
        </w:rPr>
      </w:pPr>
    </w:p>
    <w:p>
      <w:pPr>
        <w:tabs>
          <w:tab w:val="left" w:pos="993"/>
        </w:tabs>
        <w:autoSpaceDE w:val="0"/>
        <w:autoSpaceDN w:val="0"/>
        <w:adjustRightInd w:val="0"/>
        <w:ind w:firstLine="709"/>
        <w:contextualSpacing/>
        <w:jc w:val="center"/>
        <w:outlineLvl w:val="0"/>
        <w:rPr>
          <w:b/>
          <w:sz w:val="24"/>
          <w:szCs w:val="24"/>
        </w:rPr>
      </w:pPr>
      <w:r>
        <w:rPr>
          <w:b/>
          <w:sz w:val="24"/>
          <w:szCs w:val="24"/>
        </w:rPr>
        <w:t>1.2. Основные параметры доходов бюджета ЗАТО Северск на 2021 год и плановый период 2022 и 2023 годов</w:t>
      </w:r>
    </w:p>
    <w:p>
      <w:pPr>
        <w:tabs>
          <w:tab w:val="left" w:pos="993"/>
        </w:tabs>
        <w:autoSpaceDE w:val="0"/>
        <w:autoSpaceDN w:val="0"/>
        <w:adjustRightInd w:val="0"/>
        <w:ind w:firstLine="709"/>
        <w:contextualSpacing/>
        <w:jc w:val="center"/>
        <w:outlineLvl w:val="0"/>
        <w:rPr>
          <w:b/>
          <w:sz w:val="16"/>
          <w:szCs w:val="16"/>
        </w:rPr>
      </w:pPr>
    </w:p>
    <w:p>
      <w:pPr>
        <w:tabs>
          <w:tab w:val="left" w:pos="993"/>
        </w:tabs>
        <w:autoSpaceDE w:val="0"/>
        <w:autoSpaceDN w:val="0"/>
        <w:adjustRightInd w:val="0"/>
        <w:ind w:firstLine="709"/>
        <w:contextualSpacing/>
        <w:jc w:val="both"/>
        <w:outlineLvl w:val="0"/>
        <w:rPr>
          <w:sz w:val="24"/>
          <w:szCs w:val="24"/>
        </w:rPr>
      </w:pPr>
      <w:r>
        <w:rPr>
          <w:sz w:val="24"/>
          <w:szCs w:val="24"/>
        </w:rPr>
        <w:t>В 2021-2023 годы сохраняется тенденция зависимости от безвозмездных поступлений из бюджетов других уровней.</w:t>
      </w:r>
    </w:p>
    <w:p>
      <w:pPr>
        <w:tabs>
          <w:tab w:val="left" w:pos="993"/>
        </w:tabs>
        <w:autoSpaceDE w:val="0"/>
        <w:autoSpaceDN w:val="0"/>
        <w:adjustRightInd w:val="0"/>
        <w:ind w:firstLine="709"/>
        <w:contextualSpacing/>
        <w:jc w:val="both"/>
        <w:outlineLvl w:val="0"/>
        <w:rPr>
          <w:sz w:val="24"/>
          <w:szCs w:val="24"/>
        </w:rPr>
      </w:pPr>
      <w:r>
        <w:rPr>
          <w:sz w:val="24"/>
          <w:szCs w:val="24"/>
        </w:rPr>
        <w:t>В структуре доходов 2021 года доля безвозмездных поступлений составит 72,7%, налоговых и неналоговых – 27,3%. В 2022 и 2023 годах доля безвозмездных поступлений в структуре доходов составит 68,9% и 68,5%, налоговых и неналоговых доходов – 31,1% и 31,5% соответственно.</w:t>
      </w:r>
    </w:p>
    <w:p>
      <w:pPr>
        <w:spacing w:before="120" w:after="120"/>
        <w:ind w:firstLine="567"/>
        <w:jc w:val="both"/>
        <w:rPr>
          <w:sz w:val="24"/>
          <w:szCs w:val="24"/>
        </w:rPr>
      </w:pPr>
      <w:r>
        <w:rPr>
          <w:sz w:val="24"/>
          <w:szCs w:val="24"/>
        </w:rPr>
        <w:t>Таблица 2 - Доходы бюджета ЗАТО Северск</w:t>
      </w:r>
    </w:p>
    <w:tbl>
      <w:tblPr>
        <w:tblW w:w="9361" w:type="dxa"/>
        <w:tblInd w:w="103" w:type="dxa"/>
        <w:tblLook w:val="0000" w:firstRow="0" w:lastRow="0" w:firstColumn="0" w:lastColumn="0" w:noHBand="0" w:noVBand="0"/>
      </w:tblPr>
      <w:tblGrid>
        <w:gridCol w:w="2132"/>
        <w:gridCol w:w="1417"/>
        <w:gridCol w:w="1276"/>
        <w:gridCol w:w="1276"/>
        <w:gridCol w:w="708"/>
        <w:gridCol w:w="1276"/>
        <w:gridCol w:w="1276"/>
      </w:tblGrid>
      <w:tr>
        <w:trPr>
          <w:trHeight w:val="258"/>
        </w:trPr>
        <w:tc>
          <w:tcPr>
            <w:tcW w:w="2132" w:type="dxa"/>
            <w:vMerge w:val="restart"/>
            <w:tcBorders>
              <w:top w:val="single" w:sz="4" w:space="0" w:color="auto"/>
              <w:left w:val="single" w:sz="4" w:space="0" w:color="auto"/>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 xml:space="preserve">Наименование </w:t>
            </w:r>
          </w:p>
        </w:tc>
        <w:tc>
          <w:tcPr>
            <w:tcW w:w="2693" w:type="dxa"/>
            <w:gridSpan w:val="2"/>
            <w:tcBorders>
              <w:top w:val="single" w:sz="4" w:space="0" w:color="auto"/>
              <w:left w:val="nil"/>
              <w:bottom w:val="single" w:sz="4" w:space="0" w:color="auto"/>
              <w:right w:val="single" w:sz="4" w:space="0" w:color="auto"/>
            </w:tcBorders>
            <w:vAlign w:val="center"/>
          </w:tcPr>
          <w:p>
            <w:pPr>
              <w:ind w:left="-57" w:right="-57"/>
              <w:jc w:val="center"/>
            </w:pPr>
            <w:r>
              <w:t>2020 год</w:t>
            </w:r>
          </w:p>
        </w:tc>
        <w:tc>
          <w:tcPr>
            <w:tcW w:w="1984" w:type="dxa"/>
            <w:gridSpan w:val="2"/>
            <w:tcBorders>
              <w:top w:val="single" w:sz="4" w:space="0" w:color="auto"/>
              <w:left w:val="single" w:sz="4" w:space="0" w:color="auto"/>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2021 год</w:t>
            </w:r>
          </w:p>
        </w:tc>
        <w:tc>
          <w:tcPr>
            <w:tcW w:w="1276" w:type="dxa"/>
            <w:vMerge w:val="restart"/>
            <w:tcBorders>
              <w:top w:val="single" w:sz="4" w:space="0" w:color="auto"/>
              <w:left w:val="nil"/>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Прогноз</w:t>
            </w:r>
          </w:p>
          <w:p>
            <w:pPr>
              <w:ind w:left="-57" w:right="-57"/>
              <w:jc w:val="center"/>
              <w:rPr>
                <w:rFonts w:ascii="Times New Roman" w:hAnsi="Times New Roman"/>
              </w:rPr>
            </w:pPr>
            <w:r>
              <w:rPr>
                <w:rFonts w:ascii="Times New Roman" w:hAnsi="Times New Roman"/>
              </w:rPr>
              <w:t>2022 года, тыс.руб.</w:t>
            </w:r>
          </w:p>
        </w:tc>
        <w:tc>
          <w:tcPr>
            <w:tcW w:w="1276" w:type="dxa"/>
            <w:vMerge w:val="restart"/>
            <w:tcBorders>
              <w:top w:val="single" w:sz="4" w:space="0" w:color="auto"/>
              <w:left w:val="nil"/>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Прогноз</w:t>
            </w:r>
          </w:p>
          <w:p>
            <w:pPr>
              <w:ind w:left="-57" w:right="-57"/>
              <w:jc w:val="center"/>
              <w:rPr>
                <w:rFonts w:ascii="Times New Roman" w:hAnsi="Times New Roman"/>
              </w:rPr>
            </w:pPr>
            <w:r>
              <w:rPr>
                <w:rFonts w:ascii="Times New Roman" w:hAnsi="Times New Roman"/>
              </w:rPr>
              <w:t>2023 года, тыс.руб.</w:t>
            </w:r>
          </w:p>
        </w:tc>
      </w:tr>
      <w:tr>
        <w:trPr>
          <w:trHeight w:val="381"/>
        </w:trPr>
        <w:tc>
          <w:tcPr>
            <w:tcW w:w="2132" w:type="dxa"/>
            <w:vMerge/>
            <w:tcBorders>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sz w:val="22"/>
                <w:szCs w:val="22"/>
              </w:rPr>
            </w:pPr>
          </w:p>
        </w:tc>
        <w:tc>
          <w:tcPr>
            <w:tcW w:w="1417" w:type="dxa"/>
            <w:tcBorders>
              <w:top w:val="single" w:sz="4" w:space="0" w:color="auto"/>
              <w:left w:val="nil"/>
              <w:bottom w:val="single" w:sz="4" w:space="0" w:color="auto"/>
              <w:right w:val="single" w:sz="4" w:space="0" w:color="auto"/>
            </w:tcBorders>
            <w:vAlign w:val="center"/>
          </w:tcPr>
          <w:p>
            <w:pPr>
              <w:suppressAutoHyphens/>
              <w:snapToGrid w:val="0"/>
              <w:ind w:left="-57" w:right="-57" w:hanging="92"/>
              <w:jc w:val="center"/>
              <w:rPr>
                <w:rFonts w:ascii="Times New Roman" w:hAnsi="Times New Roman"/>
                <w:lang w:eastAsia="ar-SA"/>
              </w:rPr>
            </w:pPr>
            <w:r>
              <w:rPr>
                <w:rFonts w:ascii="Times New Roman" w:hAnsi="Times New Roman"/>
                <w:lang w:eastAsia="ar-SA"/>
              </w:rPr>
              <w:t>Первонач. утверждено</w:t>
            </w:r>
          </w:p>
          <w:p>
            <w:pPr>
              <w:suppressAutoHyphens/>
              <w:snapToGrid w:val="0"/>
              <w:ind w:left="-57" w:right="-57" w:hanging="92"/>
              <w:jc w:val="center"/>
              <w:rPr>
                <w:rFonts w:ascii="Times New Roman" w:hAnsi="Times New Roman"/>
                <w:lang w:eastAsia="ar-SA"/>
              </w:rPr>
            </w:pPr>
            <w:r>
              <w:rPr>
                <w:rFonts w:ascii="Times New Roman" w:hAnsi="Times New Roman"/>
                <w:lang w:eastAsia="ar-SA"/>
              </w:rPr>
              <w:t>тыс.руб.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Оценка</w:t>
            </w:r>
          </w:p>
          <w:p>
            <w:pPr>
              <w:suppressAutoHyphens/>
              <w:snapToGrid w:val="0"/>
              <w:ind w:left="-57" w:right="-57" w:hanging="92"/>
              <w:jc w:val="center"/>
              <w:rPr>
                <w:rFonts w:ascii="Times New Roman" w:hAnsi="Times New Roman"/>
                <w:lang w:eastAsia="ar-SA"/>
              </w:rPr>
            </w:pPr>
            <w:r>
              <w:rPr>
                <w:rFonts w:ascii="Times New Roman" w:hAnsi="Times New Roman"/>
                <w:lang w:eastAsia="ar-SA"/>
              </w:rPr>
              <w:t>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Прогноз, тыс.руб.</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rPr>
            </w:pPr>
            <w:r>
              <w:rPr>
                <w:rFonts w:ascii="Times New Roman" w:hAnsi="Times New Roman"/>
              </w:rPr>
              <w:t>% к оценке 2020г.</w:t>
            </w:r>
          </w:p>
        </w:tc>
        <w:tc>
          <w:tcPr>
            <w:tcW w:w="1276" w:type="dxa"/>
            <w:vMerge/>
            <w:tcBorders>
              <w:left w:val="single" w:sz="4" w:space="0" w:color="auto"/>
              <w:bottom w:val="single" w:sz="4" w:space="0" w:color="auto"/>
              <w:right w:val="single" w:sz="4" w:space="0" w:color="auto"/>
            </w:tcBorders>
            <w:shd w:val="clear" w:color="auto" w:fill="auto"/>
            <w:vAlign w:val="center"/>
          </w:tcPr>
          <w:p>
            <w:pPr>
              <w:suppressAutoHyphens/>
              <w:snapToGrid w:val="0"/>
              <w:ind w:left="-57" w:right="-57"/>
              <w:jc w:val="center"/>
              <w:rPr>
                <w:rFonts w:ascii="Times New Roman" w:hAnsi="Times New Roman"/>
                <w:sz w:val="22"/>
                <w:szCs w:val="22"/>
                <w:lang w:eastAsia="ar-SA"/>
              </w:rPr>
            </w:pPr>
          </w:p>
        </w:tc>
        <w:tc>
          <w:tcPr>
            <w:tcW w:w="1276" w:type="dxa"/>
            <w:vMerge/>
            <w:tcBorders>
              <w:left w:val="nil"/>
              <w:bottom w:val="single" w:sz="4" w:space="0" w:color="auto"/>
              <w:right w:val="single" w:sz="4" w:space="0" w:color="auto"/>
            </w:tcBorders>
            <w:shd w:val="clear" w:color="auto" w:fill="auto"/>
            <w:vAlign w:val="center"/>
          </w:tcPr>
          <w:p>
            <w:pPr>
              <w:suppressAutoHyphens/>
              <w:snapToGrid w:val="0"/>
              <w:ind w:left="-57" w:right="-57"/>
              <w:jc w:val="center"/>
              <w:rPr>
                <w:rFonts w:ascii="Times New Roman" w:hAnsi="Times New Roman"/>
                <w:sz w:val="22"/>
                <w:szCs w:val="22"/>
                <w:lang w:eastAsia="ar-SA"/>
              </w:rPr>
            </w:pPr>
          </w:p>
        </w:tc>
      </w:tr>
      <w:tr>
        <w:trPr>
          <w:trHeight w:val="637"/>
        </w:trPr>
        <w:tc>
          <w:tcPr>
            <w:tcW w:w="2132" w:type="dxa"/>
            <w:tcBorders>
              <w:top w:val="nil"/>
              <w:left w:val="single" w:sz="4" w:space="0" w:color="auto"/>
              <w:bottom w:val="single" w:sz="4" w:space="0" w:color="auto"/>
              <w:right w:val="single" w:sz="4" w:space="0" w:color="auto"/>
            </w:tcBorders>
            <w:shd w:val="clear" w:color="auto" w:fill="auto"/>
            <w:vAlign w:val="center"/>
          </w:tcPr>
          <w:p>
            <w:pPr>
              <w:ind w:left="-57" w:right="-57"/>
              <w:rPr>
                <w:rFonts w:ascii="Times New Roman" w:hAnsi="Times New Roman"/>
                <w:sz w:val="22"/>
                <w:szCs w:val="22"/>
              </w:rPr>
            </w:pPr>
            <w:r>
              <w:rPr>
                <w:rFonts w:ascii="Times New Roman" w:hAnsi="Times New Roman"/>
                <w:bCs/>
                <w:sz w:val="22"/>
                <w:szCs w:val="22"/>
              </w:rPr>
              <w:t>НАЛОГОВЫЕ И НЕНАЛОГОВЫЕ ДОХОДЫ</w:t>
            </w:r>
          </w:p>
        </w:tc>
        <w:tc>
          <w:tcPr>
            <w:tcW w:w="1417" w:type="dxa"/>
            <w:tcBorders>
              <w:top w:val="single" w:sz="4" w:space="0" w:color="auto"/>
              <w:left w:val="nil"/>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1 139 142,84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1 089 588,56</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1 111 540,51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102,0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1 116 485,71</w:t>
            </w:r>
          </w:p>
        </w:tc>
        <w:tc>
          <w:tcPr>
            <w:tcW w:w="1276" w:type="dxa"/>
            <w:tcBorders>
              <w:top w:val="nil"/>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1 116 506,63</w:t>
            </w:r>
          </w:p>
        </w:tc>
      </w:tr>
      <w:tr>
        <w:trPr>
          <w:trHeight w:val="420"/>
        </w:trPr>
        <w:tc>
          <w:tcPr>
            <w:tcW w:w="2132" w:type="dxa"/>
            <w:tcBorders>
              <w:top w:val="nil"/>
              <w:left w:val="single" w:sz="4" w:space="0" w:color="auto"/>
              <w:bottom w:val="single" w:sz="4" w:space="0" w:color="auto"/>
              <w:right w:val="single" w:sz="4" w:space="0" w:color="auto"/>
            </w:tcBorders>
            <w:shd w:val="clear" w:color="auto" w:fill="auto"/>
            <w:vAlign w:val="center"/>
          </w:tcPr>
          <w:p>
            <w:pPr>
              <w:ind w:left="-57" w:right="-57"/>
              <w:rPr>
                <w:rFonts w:ascii="Times New Roman" w:hAnsi="Times New Roman"/>
                <w:sz w:val="22"/>
                <w:szCs w:val="22"/>
              </w:rPr>
            </w:pPr>
            <w:r>
              <w:rPr>
                <w:rFonts w:ascii="Times New Roman" w:hAnsi="Times New Roman"/>
                <w:sz w:val="22"/>
                <w:szCs w:val="22"/>
              </w:rPr>
              <w:t>Налоговые доходы</w:t>
            </w:r>
          </w:p>
        </w:tc>
        <w:tc>
          <w:tcPr>
            <w:tcW w:w="1417" w:type="dxa"/>
            <w:tcBorders>
              <w:top w:val="single" w:sz="4" w:space="0" w:color="auto"/>
              <w:left w:val="nil"/>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991 541,78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971 624,04</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999 674,57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102,9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1 003 509,94</w:t>
            </w:r>
          </w:p>
        </w:tc>
        <w:tc>
          <w:tcPr>
            <w:tcW w:w="1276" w:type="dxa"/>
            <w:tcBorders>
              <w:top w:val="nil"/>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1 018 521,13</w:t>
            </w:r>
          </w:p>
        </w:tc>
      </w:tr>
      <w:tr>
        <w:trPr>
          <w:trHeight w:val="411"/>
        </w:trPr>
        <w:tc>
          <w:tcPr>
            <w:tcW w:w="2132" w:type="dxa"/>
            <w:tcBorders>
              <w:top w:val="nil"/>
              <w:left w:val="single" w:sz="4" w:space="0" w:color="auto"/>
              <w:bottom w:val="single" w:sz="4" w:space="0" w:color="auto"/>
              <w:right w:val="single" w:sz="4" w:space="0" w:color="auto"/>
            </w:tcBorders>
            <w:shd w:val="clear" w:color="auto" w:fill="auto"/>
            <w:vAlign w:val="center"/>
          </w:tcPr>
          <w:p>
            <w:pPr>
              <w:ind w:left="-57" w:right="-57"/>
              <w:rPr>
                <w:rFonts w:ascii="Times New Roman" w:hAnsi="Times New Roman"/>
                <w:sz w:val="22"/>
                <w:szCs w:val="22"/>
              </w:rPr>
            </w:pPr>
            <w:r>
              <w:rPr>
                <w:rFonts w:ascii="Times New Roman" w:hAnsi="Times New Roman"/>
                <w:sz w:val="22"/>
                <w:szCs w:val="22"/>
              </w:rPr>
              <w:t>Неналоговые доходы</w:t>
            </w:r>
          </w:p>
        </w:tc>
        <w:tc>
          <w:tcPr>
            <w:tcW w:w="1417" w:type="dxa"/>
            <w:tcBorders>
              <w:top w:val="single" w:sz="4" w:space="0" w:color="auto"/>
              <w:left w:val="nil"/>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147 601,06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117 964,52</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111 865,94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94,8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112 975,77</w:t>
            </w:r>
          </w:p>
        </w:tc>
        <w:tc>
          <w:tcPr>
            <w:tcW w:w="1276" w:type="dxa"/>
            <w:tcBorders>
              <w:top w:val="nil"/>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97 985,50</w:t>
            </w:r>
          </w:p>
        </w:tc>
      </w:tr>
      <w:tr>
        <w:trPr>
          <w:trHeight w:val="559"/>
        </w:trPr>
        <w:tc>
          <w:tcPr>
            <w:tcW w:w="2132" w:type="dxa"/>
            <w:tcBorders>
              <w:top w:val="nil"/>
              <w:left w:val="single" w:sz="4" w:space="0" w:color="auto"/>
              <w:bottom w:val="single" w:sz="4" w:space="0" w:color="auto"/>
              <w:right w:val="single" w:sz="4" w:space="0" w:color="auto"/>
            </w:tcBorders>
            <w:shd w:val="clear" w:color="auto" w:fill="auto"/>
            <w:vAlign w:val="center"/>
          </w:tcPr>
          <w:p>
            <w:pPr>
              <w:ind w:left="-57" w:right="-57"/>
              <w:rPr>
                <w:rFonts w:ascii="Times New Roman" w:hAnsi="Times New Roman"/>
                <w:sz w:val="22"/>
                <w:szCs w:val="22"/>
              </w:rPr>
            </w:pPr>
            <w:r>
              <w:rPr>
                <w:rFonts w:ascii="Times New Roman" w:hAnsi="Times New Roman"/>
                <w:sz w:val="22"/>
                <w:szCs w:val="22"/>
              </w:rPr>
              <w:t>БЕЗВОЗМЕЗДНЫЕ ПОСТУПЛЕНИЯ</w:t>
            </w:r>
          </w:p>
        </w:tc>
        <w:tc>
          <w:tcPr>
            <w:tcW w:w="1417" w:type="dxa"/>
            <w:tcBorders>
              <w:top w:val="single" w:sz="4" w:space="0" w:color="auto"/>
              <w:left w:val="nil"/>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2 735 465,20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3 577 549,88</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2 953 376,83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82,6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2 470 920,10</w:t>
            </w:r>
          </w:p>
        </w:tc>
        <w:tc>
          <w:tcPr>
            <w:tcW w:w="1276" w:type="dxa"/>
            <w:tcBorders>
              <w:top w:val="nil"/>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2 430 629,10</w:t>
            </w:r>
          </w:p>
        </w:tc>
      </w:tr>
      <w:tr>
        <w:trPr>
          <w:trHeight w:val="351"/>
        </w:trPr>
        <w:tc>
          <w:tcPr>
            <w:tcW w:w="2132" w:type="dxa"/>
            <w:tcBorders>
              <w:top w:val="nil"/>
              <w:left w:val="single" w:sz="4" w:space="0" w:color="auto"/>
              <w:bottom w:val="single" w:sz="4" w:space="0" w:color="auto"/>
              <w:right w:val="single" w:sz="4" w:space="0" w:color="auto"/>
            </w:tcBorders>
            <w:shd w:val="clear" w:color="auto" w:fill="auto"/>
            <w:vAlign w:val="center"/>
          </w:tcPr>
          <w:p>
            <w:pPr>
              <w:ind w:left="-57" w:right="-57"/>
              <w:rPr>
                <w:rFonts w:ascii="Times New Roman" w:hAnsi="Times New Roman"/>
                <w:sz w:val="22"/>
                <w:szCs w:val="22"/>
              </w:rPr>
            </w:pPr>
            <w:r>
              <w:rPr>
                <w:rFonts w:ascii="Times New Roman" w:hAnsi="Times New Roman"/>
                <w:sz w:val="22"/>
                <w:szCs w:val="22"/>
              </w:rPr>
              <w:t>в т.ч. дотация из ФБ</w:t>
            </w:r>
          </w:p>
        </w:tc>
        <w:tc>
          <w:tcPr>
            <w:tcW w:w="1417" w:type="dxa"/>
            <w:tcBorders>
              <w:top w:val="single" w:sz="4" w:space="0" w:color="auto"/>
              <w:left w:val="nil"/>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785 819,00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785 819,00</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785 819,00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631 086,00</w:t>
            </w:r>
          </w:p>
        </w:tc>
        <w:tc>
          <w:tcPr>
            <w:tcW w:w="1276" w:type="dxa"/>
            <w:tcBorders>
              <w:top w:val="nil"/>
              <w:left w:val="nil"/>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631 086,00</w:t>
            </w:r>
          </w:p>
        </w:tc>
      </w:tr>
      <w:tr>
        <w:trPr>
          <w:trHeight w:val="411"/>
        </w:trPr>
        <w:tc>
          <w:tcPr>
            <w:tcW w:w="2132" w:type="dxa"/>
            <w:tcBorders>
              <w:top w:val="nil"/>
              <w:left w:val="single" w:sz="4" w:space="0" w:color="auto"/>
              <w:bottom w:val="single" w:sz="4" w:space="0" w:color="auto"/>
              <w:right w:val="single" w:sz="4" w:space="0" w:color="auto"/>
            </w:tcBorders>
            <w:shd w:val="clear" w:color="auto" w:fill="auto"/>
            <w:vAlign w:val="center"/>
          </w:tcPr>
          <w:p>
            <w:pPr>
              <w:ind w:left="-57" w:right="-57"/>
              <w:rPr>
                <w:rFonts w:ascii="Times New Roman" w:hAnsi="Times New Roman"/>
                <w:sz w:val="22"/>
                <w:szCs w:val="22"/>
              </w:rPr>
            </w:pPr>
            <w:r>
              <w:rPr>
                <w:rFonts w:ascii="Times New Roman" w:hAnsi="Times New Roman"/>
                <w:sz w:val="22"/>
                <w:szCs w:val="22"/>
              </w:rPr>
              <w:t>ВСЕГО ДОХОДОВ</w:t>
            </w:r>
          </w:p>
        </w:tc>
        <w:tc>
          <w:tcPr>
            <w:tcW w:w="1417" w:type="dxa"/>
            <w:tcBorders>
              <w:top w:val="single" w:sz="4" w:space="0" w:color="auto"/>
              <w:left w:val="nil"/>
              <w:bottom w:val="single" w:sz="4" w:space="0" w:color="auto"/>
              <w:right w:val="single" w:sz="4" w:space="0" w:color="auto"/>
            </w:tcBorders>
            <w:vAlign w:val="center"/>
          </w:tcPr>
          <w:p>
            <w:pPr>
              <w:ind w:left="-57" w:right="-57"/>
              <w:jc w:val="right"/>
              <w:rPr>
                <w:rFonts w:ascii="Times New Roman" w:hAnsi="Times New Roman"/>
                <w:bCs/>
                <w:sz w:val="22"/>
                <w:szCs w:val="22"/>
              </w:rPr>
            </w:pPr>
            <w:r>
              <w:rPr>
                <w:rFonts w:ascii="Times New Roman" w:hAnsi="Times New Roman"/>
                <w:bCs/>
                <w:sz w:val="22"/>
                <w:szCs w:val="22"/>
              </w:rPr>
              <w:t>3 874 608,04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bCs/>
                <w:sz w:val="22"/>
                <w:szCs w:val="22"/>
              </w:rPr>
            </w:pPr>
            <w:r>
              <w:rPr>
                <w:rFonts w:ascii="Times New Roman" w:hAnsi="Times New Roman"/>
                <w:bCs/>
                <w:sz w:val="22"/>
                <w:szCs w:val="22"/>
              </w:rPr>
              <w:t>4 667 138,44</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rFonts w:ascii="Times New Roman" w:hAnsi="Times New Roman"/>
                <w:bCs/>
                <w:sz w:val="22"/>
                <w:szCs w:val="22"/>
              </w:rPr>
            </w:pPr>
            <w:r>
              <w:rPr>
                <w:rFonts w:ascii="Times New Roman" w:hAnsi="Times New Roman"/>
                <w:bCs/>
                <w:sz w:val="22"/>
                <w:szCs w:val="22"/>
              </w:rPr>
              <w:t>4 064 917,34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87,1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bCs/>
                <w:sz w:val="22"/>
                <w:szCs w:val="22"/>
              </w:rPr>
            </w:pPr>
            <w:r>
              <w:rPr>
                <w:rFonts w:ascii="Times New Roman" w:hAnsi="Times New Roman"/>
                <w:bCs/>
                <w:sz w:val="22"/>
                <w:szCs w:val="22"/>
              </w:rPr>
              <w:t>3 587 405,81</w:t>
            </w:r>
          </w:p>
        </w:tc>
        <w:tc>
          <w:tcPr>
            <w:tcW w:w="1276" w:type="dxa"/>
            <w:tcBorders>
              <w:top w:val="nil"/>
              <w:left w:val="nil"/>
              <w:bottom w:val="single" w:sz="4" w:space="0" w:color="auto"/>
              <w:right w:val="single" w:sz="4" w:space="0" w:color="auto"/>
            </w:tcBorders>
            <w:shd w:val="clear" w:color="auto" w:fill="auto"/>
            <w:vAlign w:val="center"/>
          </w:tcPr>
          <w:p>
            <w:pPr>
              <w:ind w:left="-57" w:right="-57"/>
              <w:jc w:val="right"/>
              <w:rPr>
                <w:rFonts w:ascii="Times New Roman" w:hAnsi="Times New Roman"/>
                <w:bCs/>
                <w:sz w:val="22"/>
                <w:szCs w:val="22"/>
              </w:rPr>
            </w:pPr>
            <w:r>
              <w:rPr>
                <w:rFonts w:ascii="Times New Roman" w:hAnsi="Times New Roman"/>
                <w:bCs/>
                <w:sz w:val="22"/>
                <w:szCs w:val="22"/>
              </w:rPr>
              <w:t>3 547 135,73</w:t>
            </w:r>
          </w:p>
        </w:tc>
      </w:tr>
    </w:tbl>
    <w:p>
      <w:pPr>
        <w:tabs>
          <w:tab w:val="left" w:pos="993"/>
        </w:tabs>
        <w:autoSpaceDE w:val="0"/>
        <w:autoSpaceDN w:val="0"/>
        <w:adjustRightInd w:val="0"/>
        <w:ind w:firstLine="709"/>
        <w:contextualSpacing/>
        <w:jc w:val="both"/>
        <w:outlineLvl w:val="0"/>
        <w:rPr>
          <w:sz w:val="24"/>
          <w:szCs w:val="24"/>
        </w:rPr>
      </w:pPr>
    </w:p>
    <w:p>
      <w:pPr>
        <w:tabs>
          <w:tab w:val="left" w:pos="993"/>
        </w:tabs>
        <w:autoSpaceDE w:val="0"/>
        <w:autoSpaceDN w:val="0"/>
        <w:adjustRightInd w:val="0"/>
        <w:ind w:firstLine="709"/>
        <w:contextualSpacing/>
        <w:jc w:val="both"/>
        <w:outlineLvl w:val="0"/>
        <w:rPr>
          <w:sz w:val="24"/>
          <w:szCs w:val="24"/>
        </w:rPr>
      </w:pPr>
      <w:r>
        <w:rPr>
          <w:sz w:val="24"/>
          <w:szCs w:val="24"/>
        </w:rPr>
        <w:t>На 2021 год прогнозируются доходы бюджета ЗАТО Северск на уровне 104,9% к первоначально утвержденным на 2020 год и на уровне 87,1% к ожидаемому поступлению за 2020 год, снижение на 602 221,10 тыс.руб.</w:t>
      </w:r>
    </w:p>
    <w:p>
      <w:pPr>
        <w:tabs>
          <w:tab w:val="left" w:pos="993"/>
        </w:tabs>
        <w:autoSpaceDE w:val="0"/>
        <w:autoSpaceDN w:val="0"/>
        <w:adjustRightInd w:val="0"/>
        <w:ind w:firstLine="709"/>
        <w:contextualSpacing/>
        <w:jc w:val="both"/>
        <w:outlineLvl w:val="0"/>
        <w:rPr>
          <w:sz w:val="24"/>
          <w:szCs w:val="24"/>
        </w:rPr>
      </w:pPr>
      <w:r>
        <w:rPr>
          <w:sz w:val="24"/>
          <w:szCs w:val="24"/>
        </w:rPr>
        <w:t>На 2022 год доходы бюджета ЗАТО Северск запланированы на уровне 88,3% к прогнозу 2021 года, снижение на 477 511,53 тыс.руб.</w:t>
      </w:r>
    </w:p>
    <w:p>
      <w:pPr>
        <w:tabs>
          <w:tab w:val="left" w:pos="993"/>
        </w:tabs>
        <w:autoSpaceDE w:val="0"/>
        <w:autoSpaceDN w:val="0"/>
        <w:adjustRightInd w:val="0"/>
        <w:ind w:firstLine="709"/>
        <w:contextualSpacing/>
        <w:jc w:val="both"/>
        <w:outlineLvl w:val="0"/>
        <w:rPr>
          <w:sz w:val="24"/>
          <w:szCs w:val="24"/>
        </w:rPr>
      </w:pPr>
      <w:r>
        <w:rPr>
          <w:sz w:val="24"/>
          <w:szCs w:val="24"/>
        </w:rPr>
        <w:t xml:space="preserve">На 2023 год доходы бюджета ЗАТО Северск запланированы на уровне 98,9% к прогнозу 2022 года, снижение на 40 270,08 тыс.руб. </w:t>
      </w:r>
    </w:p>
    <w:p>
      <w:pPr>
        <w:tabs>
          <w:tab w:val="left" w:pos="993"/>
        </w:tabs>
        <w:autoSpaceDE w:val="0"/>
        <w:autoSpaceDN w:val="0"/>
        <w:adjustRightInd w:val="0"/>
        <w:spacing w:before="120"/>
        <w:ind w:firstLine="709"/>
        <w:jc w:val="both"/>
        <w:outlineLvl w:val="0"/>
        <w:rPr>
          <w:rFonts w:ascii="Times New Roman" w:hAnsi="Times New Roman"/>
          <w:sz w:val="24"/>
          <w:szCs w:val="24"/>
        </w:rPr>
      </w:pPr>
      <w:r>
        <w:rPr>
          <w:sz w:val="24"/>
          <w:szCs w:val="24"/>
        </w:rPr>
        <w:t>По группе «Налоговые и неналоговые доходы» в целом на 2021 год прогнозируется рост на 2,0% к оценке 2020 года или на 21 951,95 тыс.руб.; на 2022-2023 годы рост на 4 945,20</w:t>
      </w:r>
      <w:r>
        <w:rPr>
          <w:rFonts w:ascii="Times New Roman" w:hAnsi="Times New Roman"/>
          <w:sz w:val="24"/>
          <w:szCs w:val="24"/>
        </w:rPr>
        <w:t xml:space="preserve"> тыс.руб. и на 20,92 тыс.руб. соответственно.</w:t>
      </w:r>
    </w:p>
    <w:p>
      <w:pPr>
        <w:tabs>
          <w:tab w:val="left" w:pos="993"/>
        </w:tabs>
        <w:autoSpaceDE w:val="0"/>
        <w:autoSpaceDN w:val="0"/>
        <w:adjustRightInd w:val="0"/>
        <w:ind w:firstLine="709"/>
        <w:contextualSpacing/>
        <w:jc w:val="both"/>
        <w:outlineLvl w:val="0"/>
        <w:rPr>
          <w:rFonts w:ascii="Times New Roman" w:hAnsi="Times New Roman"/>
          <w:sz w:val="24"/>
          <w:szCs w:val="24"/>
        </w:rPr>
      </w:pPr>
      <w:r>
        <w:rPr>
          <w:rFonts w:ascii="Times New Roman" w:hAnsi="Times New Roman"/>
          <w:sz w:val="24"/>
          <w:szCs w:val="24"/>
        </w:rPr>
        <w:t xml:space="preserve">По налоговым доходам в 2021-2023 годы прирост доходов прогнозируется в основном по налогу, взимаемому в связи с применением упрощенной системы налогообложения, с учетом отмены с 01.01.2021 системы налогообложения в виде единого налога на вмененный доход и возможным переходом части налогоплательщиков ЕНВД на упрощенную систему налогообложения, а также по налогу на имущество физических </w:t>
      </w:r>
      <w:r>
        <w:rPr>
          <w:rFonts w:ascii="Times New Roman" w:hAnsi="Times New Roman"/>
          <w:sz w:val="24"/>
          <w:szCs w:val="24"/>
        </w:rPr>
        <w:lastRenderedPageBreak/>
        <w:t>лиц с учетом применения с 1 января 2020 года нового порядка исчисления налога исходя из кадастровой стоимости объектов налогообложения.</w:t>
      </w:r>
    </w:p>
    <w:p>
      <w:pPr>
        <w:tabs>
          <w:tab w:val="left" w:pos="993"/>
        </w:tabs>
        <w:autoSpaceDE w:val="0"/>
        <w:autoSpaceDN w:val="0"/>
        <w:adjustRightInd w:val="0"/>
        <w:ind w:firstLine="709"/>
        <w:contextualSpacing/>
        <w:jc w:val="both"/>
        <w:outlineLvl w:val="0"/>
        <w:rPr>
          <w:sz w:val="24"/>
          <w:szCs w:val="24"/>
        </w:rPr>
      </w:pPr>
      <w:r>
        <w:rPr>
          <w:rFonts w:ascii="Times New Roman" w:hAnsi="Times New Roman"/>
          <w:sz w:val="24"/>
          <w:szCs w:val="24"/>
        </w:rPr>
        <w:t xml:space="preserve">По неналоговым доходам в 2021 году снижение доходов прогнозируется в основном </w:t>
      </w:r>
      <w:r>
        <w:rPr>
          <w:sz w:val="24"/>
          <w:szCs w:val="24"/>
        </w:rPr>
        <w:t>в связи с прогнозируемым уменьшением доходов по аренде земельных участков и от продажи</w:t>
      </w:r>
      <w:r>
        <w:rPr>
          <w:rFonts w:ascii="Times New Roman" w:hAnsi="Times New Roman"/>
          <w:sz w:val="24"/>
          <w:szCs w:val="24"/>
        </w:rPr>
        <w:t xml:space="preserve"> муниципального имущества</w:t>
      </w:r>
      <w:r>
        <w:rPr>
          <w:sz w:val="24"/>
          <w:szCs w:val="24"/>
        </w:rPr>
        <w:t xml:space="preserve">. </w:t>
      </w:r>
    </w:p>
    <w:p>
      <w:pPr>
        <w:tabs>
          <w:tab w:val="left" w:pos="993"/>
        </w:tabs>
        <w:autoSpaceDE w:val="0"/>
        <w:autoSpaceDN w:val="0"/>
        <w:adjustRightInd w:val="0"/>
        <w:ind w:firstLine="709"/>
        <w:contextualSpacing/>
        <w:jc w:val="both"/>
        <w:outlineLvl w:val="0"/>
        <w:rPr>
          <w:rFonts w:ascii="Times New Roman" w:hAnsi="Times New Roman"/>
          <w:sz w:val="24"/>
          <w:szCs w:val="24"/>
        </w:rPr>
      </w:pPr>
      <w:r>
        <w:rPr>
          <w:sz w:val="24"/>
          <w:szCs w:val="24"/>
        </w:rPr>
        <w:t xml:space="preserve">В 2022 году рост, а в 2023 году снижение </w:t>
      </w:r>
      <w:r>
        <w:rPr>
          <w:rFonts w:ascii="Times New Roman" w:hAnsi="Times New Roman"/>
          <w:sz w:val="24"/>
          <w:szCs w:val="24"/>
        </w:rPr>
        <w:t xml:space="preserve">за счет доходов от использования имущества, находящегося в муниципальной собственности. </w:t>
      </w:r>
    </w:p>
    <w:p>
      <w:pPr>
        <w:tabs>
          <w:tab w:val="left" w:pos="993"/>
        </w:tabs>
        <w:autoSpaceDE w:val="0"/>
        <w:autoSpaceDN w:val="0"/>
        <w:adjustRightInd w:val="0"/>
        <w:spacing w:before="120"/>
        <w:ind w:firstLine="709"/>
        <w:jc w:val="both"/>
        <w:outlineLvl w:val="0"/>
        <w:rPr>
          <w:rFonts w:ascii="Times New Roman" w:hAnsi="Times New Roman"/>
          <w:sz w:val="24"/>
          <w:szCs w:val="24"/>
        </w:rPr>
      </w:pPr>
      <w:r>
        <w:rPr>
          <w:rFonts w:ascii="Times New Roman" w:hAnsi="Times New Roman"/>
          <w:sz w:val="24"/>
          <w:szCs w:val="24"/>
        </w:rPr>
        <w:t xml:space="preserve">По группе «Безвозмездные поступления» в целом прогнозируется снижение: </w:t>
      </w:r>
    </w:p>
    <w:p>
      <w:pPr>
        <w:tabs>
          <w:tab w:val="left" w:pos="993"/>
        </w:tabs>
        <w:autoSpaceDE w:val="0"/>
        <w:autoSpaceDN w:val="0"/>
        <w:adjustRightInd w:val="0"/>
        <w:ind w:firstLine="709"/>
        <w:contextualSpacing/>
        <w:jc w:val="both"/>
        <w:outlineLvl w:val="0"/>
        <w:rPr>
          <w:rFonts w:ascii="Times New Roman" w:hAnsi="Times New Roman"/>
          <w:sz w:val="24"/>
          <w:szCs w:val="24"/>
        </w:rPr>
      </w:pPr>
      <w:r>
        <w:rPr>
          <w:rFonts w:ascii="Times New Roman" w:hAnsi="Times New Roman"/>
          <w:sz w:val="24"/>
          <w:szCs w:val="24"/>
        </w:rPr>
        <w:t xml:space="preserve">- в 2021 году на 17,4% или на 624 173,05 тыс.руб. к оценке 2020 года;  </w:t>
      </w:r>
    </w:p>
    <w:p>
      <w:pPr>
        <w:tabs>
          <w:tab w:val="left" w:pos="993"/>
        </w:tabs>
        <w:autoSpaceDE w:val="0"/>
        <w:autoSpaceDN w:val="0"/>
        <w:adjustRightInd w:val="0"/>
        <w:ind w:firstLine="709"/>
        <w:contextualSpacing/>
        <w:jc w:val="both"/>
        <w:outlineLvl w:val="0"/>
        <w:rPr>
          <w:rFonts w:ascii="Times New Roman" w:hAnsi="Times New Roman"/>
          <w:sz w:val="24"/>
          <w:szCs w:val="24"/>
        </w:rPr>
      </w:pPr>
      <w:r>
        <w:rPr>
          <w:rFonts w:ascii="Times New Roman" w:hAnsi="Times New Roman"/>
          <w:sz w:val="24"/>
          <w:szCs w:val="24"/>
        </w:rPr>
        <w:t xml:space="preserve">- в 2022 году на 16,3% или на 482 456,73 тыс.руб. к прогнозу 2021 года; </w:t>
      </w:r>
    </w:p>
    <w:p>
      <w:pPr>
        <w:tabs>
          <w:tab w:val="left" w:pos="993"/>
        </w:tabs>
        <w:autoSpaceDE w:val="0"/>
        <w:autoSpaceDN w:val="0"/>
        <w:adjustRightInd w:val="0"/>
        <w:ind w:firstLine="709"/>
        <w:contextualSpacing/>
        <w:jc w:val="both"/>
        <w:outlineLvl w:val="0"/>
        <w:rPr>
          <w:rFonts w:ascii="Times New Roman" w:hAnsi="Times New Roman"/>
          <w:sz w:val="24"/>
          <w:szCs w:val="24"/>
        </w:rPr>
      </w:pPr>
      <w:r>
        <w:rPr>
          <w:rFonts w:ascii="Times New Roman" w:hAnsi="Times New Roman"/>
          <w:sz w:val="24"/>
          <w:szCs w:val="24"/>
        </w:rPr>
        <w:t xml:space="preserve">- в 2023 году на 2,6% или на 40 291,00 тыс.руб. к прогнозу 2022 года. </w:t>
      </w:r>
    </w:p>
    <w:p>
      <w:pPr>
        <w:tabs>
          <w:tab w:val="left" w:pos="993"/>
        </w:tabs>
        <w:autoSpaceDE w:val="0"/>
        <w:autoSpaceDN w:val="0"/>
        <w:adjustRightInd w:val="0"/>
        <w:ind w:firstLine="709"/>
        <w:contextualSpacing/>
        <w:jc w:val="both"/>
        <w:outlineLvl w:val="0"/>
        <w:rPr>
          <w:sz w:val="24"/>
          <w:szCs w:val="24"/>
        </w:rPr>
      </w:pPr>
      <w:r>
        <w:rPr>
          <w:rFonts w:ascii="Times New Roman" w:hAnsi="Times New Roman"/>
          <w:sz w:val="24"/>
          <w:szCs w:val="24"/>
        </w:rPr>
        <w:t>Снижение безвозмездных поступлений в бюджет ЗАТО Северск из бюджетов других уровней обусловлено уменьшением объема целевых межбюджетных трансфертов. Как показывает практика предыдущих лет, значительная часть дополнительных целевых межбюджетных трансфертов поступает</w:t>
      </w:r>
      <w:r>
        <w:rPr>
          <w:sz w:val="24"/>
          <w:szCs w:val="24"/>
        </w:rPr>
        <w:t xml:space="preserve"> в течение финансового года.</w:t>
      </w:r>
    </w:p>
    <w:p>
      <w:pPr>
        <w:suppressAutoHyphens/>
        <w:spacing w:before="240" w:after="120"/>
        <w:ind w:left="709" w:hanging="709"/>
        <w:jc w:val="center"/>
        <w:rPr>
          <w:rFonts w:ascii="Times New Roman" w:hAnsi="Times New Roman"/>
          <w:b/>
          <w:sz w:val="24"/>
          <w:lang w:eastAsia="ar-SA"/>
        </w:rPr>
      </w:pPr>
      <w:r>
        <w:rPr>
          <w:rFonts w:ascii="Times New Roman" w:hAnsi="Times New Roman"/>
          <w:b/>
          <w:sz w:val="24"/>
          <w:lang w:eastAsia="ar-SA"/>
        </w:rPr>
        <w:t>1.3. НАЛОГОВЫЕ ДОХОДЫ</w:t>
      </w:r>
    </w:p>
    <w:p>
      <w:pPr>
        <w:suppressAutoHyphens/>
        <w:ind w:firstLine="720"/>
        <w:jc w:val="both"/>
        <w:rPr>
          <w:rFonts w:ascii="Times New Roman" w:hAnsi="Times New Roman"/>
          <w:sz w:val="24"/>
          <w:lang w:eastAsia="ar-SA"/>
        </w:rPr>
      </w:pPr>
      <w:r>
        <w:rPr>
          <w:rFonts w:ascii="Times New Roman" w:hAnsi="Times New Roman"/>
          <w:sz w:val="24"/>
          <w:szCs w:val="24"/>
          <w:lang w:eastAsia="ar-SA"/>
        </w:rPr>
        <w:t xml:space="preserve">Прогноз поступления налоговых </w:t>
      </w:r>
      <w:r>
        <w:rPr>
          <w:rFonts w:ascii="Times New Roman" w:hAnsi="Times New Roman"/>
          <w:sz w:val="24"/>
          <w:lang w:eastAsia="ar-SA"/>
        </w:rPr>
        <w:t>доходов в бюджет ЗАТО Северск составляет:</w:t>
      </w:r>
    </w:p>
    <w:p>
      <w:pPr>
        <w:suppressAutoHyphens/>
        <w:ind w:firstLine="720"/>
        <w:jc w:val="both"/>
        <w:rPr>
          <w:rFonts w:ascii="Times New Roman" w:hAnsi="Times New Roman"/>
          <w:sz w:val="24"/>
          <w:lang w:eastAsia="ar-SA"/>
        </w:rPr>
      </w:pPr>
      <w:r>
        <w:rPr>
          <w:rFonts w:ascii="Times New Roman" w:hAnsi="Times New Roman"/>
          <w:sz w:val="24"/>
          <w:lang w:eastAsia="ar-SA"/>
        </w:rPr>
        <w:t>- на 2021 год в сумме 999 674,57 тыс.руб., что больше оценки 2020 года</w:t>
      </w:r>
      <w:r>
        <w:rPr>
          <w:rFonts w:ascii="Times New Roman" w:hAnsi="Times New Roman"/>
          <w:sz w:val="24"/>
          <w:szCs w:val="24"/>
          <w:lang w:eastAsia="ar-SA"/>
        </w:rPr>
        <w:t xml:space="preserve"> </w:t>
      </w:r>
      <w:r>
        <w:rPr>
          <w:rFonts w:ascii="Times New Roman" w:hAnsi="Times New Roman"/>
          <w:sz w:val="24"/>
          <w:lang w:eastAsia="ar-SA"/>
        </w:rPr>
        <w:t>на 28 050,53</w:t>
      </w:r>
      <w:r>
        <w:rPr>
          <w:rFonts w:ascii="Times New Roman" w:hAnsi="Times New Roman"/>
          <w:sz w:val="24"/>
          <w:lang w:val="en-US" w:eastAsia="ar-SA"/>
        </w:rPr>
        <w:t> </w:t>
      </w:r>
      <w:r>
        <w:rPr>
          <w:rFonts w:ascii="Times New Roman" w:hAnsi="Times New Roman"/>
          <w:sz w:val="24"/>
          <w:lang w:eastAsia="ar-SA"/>
        </w:rPr>
        <w:t xml:space="preserve">тыс.руб. или на 2,9% (к уровню </w:t>
      </w:r>
      <w:r>
        <w:rPr>
          <w:rFonts w:ascii="Times New Roman" w:hAnsi="Times New Roman"/>
          <w:sz w:val="24"/>
          <w:szCs w:val="24"/>
          <w:lang w:eastAsia="ar-SA"/>
        </w:rPr>
        <w:t>первоначально утвержденного прогноза</w:t>
      </w:r>
      <w:r>
        <w:rPr>
          <w:rFonts w:ascii="Times New Roman" w:hAnsi="Times New Roman"/>
          <w:sz w:val="24"/>
          <w:lang w:eastAsia="ar-SA"/>
        </w:rPr>
        <w:t xml:space="preserve"> выше на 8 132,79 тыс.руб. или на 0,8%); </w:t>
      </w:r>
    </w:p>
    <w:p>
      <w:pPr>
        <w:suppressAutoHyphens/>
        <w:ind w:firstLine="720"/>
        <w:jc w:val="both"/>
        <w:rPr>
          <w:rFonts w:ascii="Times New Roman" w:hAnsi="Times New Roman"/>
          <w:sz w:val="24"/>
          <w:lang w:eastAsia="ar-SA"/>
        </w:rPr>
      </w:pPr>
      <w:r>
        <w:rPr>
          <w:rFonts w:ascii="Times New Roman" w:hAnsi="Times New Roman"/>
          <w:sz w:val="24"/>
          <w:lang w:eastAsia="ar-SA"/>
        </w:rPr>
        <w:t xml:space="preserve">- на 2022 год в сумме 1 003 509,94 тыс.руб., что на 3 835,37 тыс.руб. или на 0,4% больше прогноза 2021 года; </w:t>
      </w:r>
    </w:p>
    <w:p>
      <w:pPr>
        <w:suppressAutoHyphens/>
        <w:ind w:firstLine="720"/>
        <w:jc w:val="both"/>
        <w:rPr>
          <w:rFonts w:ascii="Times New Roman" w:hAnsi="Times New Roman"/>
          <w:sz w:val="24"/>
          <w:lang w:eastAsia="ar-SA"/>
        </w:rPr>
      </w:pPr>
      <w:r>
        <w:rPr>
          <w:rFonts w:ascii="Times New Roman" w:hAnsi="Times New Roman"/>
          <w:sz w:val="24"/>
          <w:lang w:eastAsia="ar-SA"/>
        </w:rPr>
        <w:t>- на 2023 год в сумме 1 018 521,13 тыс.руб., что на 15 011,19 тыс.руб. или на 1,5% больше прогноза 2022 года.</w:t>
      </w:r>
    </w:p>
    <w:p>
      <w:pPr>
        <w:suppressAutoHyphens/>
        <w:ind w:firstLine="720"/>
        <w:jc w:val="both"/>
        <w:rPr>
          <w:rFonts w:ascii="Times New Roman" w:hAnsi="Times New Roman"/>
          <w:sz w:val="10"/>
          <w:szCs w:val="10"/>
          <w:lang w:eastAsia="ar-SA"/>
        </w:rPr>
      </w:pPr>
    </w:p>
    <w:p>
      <w:pPr>
        <w:ind w:right="43" w:firstLine="709"/>
        <w:jc w:val="both"/>
        <w:rPr>
          <w:rFonts w:ascii="Times New Roman" w:hAnsi="Times New Roman"/>
          <w:sz w:val="24"/>
        </w:rPr>
      </w:pPr>
      <w:r>
        <w:rPr>
          <w:rFonts w:ascii="Times New Roman" w:hAnsi="Times New Roman"/>
          <w:sz w:val="24"/>
        </w:rPr>
        <w:t xml:space="preserve">Доля налоговых поступлений в 2021 году составит 89,9% в структуре налоговых и неналоговых доходов, в общей сумме доходов бюджета ЗАТО Северск – 24,6%. </w:t>
      </w:r>
    </w:p>
    <w:p>
      <w:pPr>
        <w:ind w:right="43" w:firstLine="709"/>
        <w:jc w:val="both"/>
        <w:rPr>
          <w:rFonts w:ascii="Times New Roman" w:hAnsi="Times New Roman"/>
          <w:sz w:val="24"/>
        </w:rPr>
      </w:pPr>
      <w:r>
        <w:rPr>
          <w:rFonts w:ascii="Times New Roman" w:hAnsi="Times New Roman"/>
          <w:sz w:val="24"/>
        </w:rPr>
        <w:t>В 2022 и 2023 годах доля налоговых поступлений в структуре налоговых и неналоговых доходов составит 89,9% и 91,2% соответственно; в общей сумме доходов 28,0% и 28,7% соответственно.</w:t>
      </w:r>
    </w:p>
    <w:p>
      <w:pPr>
        <w:spacing w:before="120" w:after="120"/>
        <w:ind w:firstLine="709"/>
        <w:jc w:val="both"/>
        <w:rPr>
          <w:sz w:val="24"/>
          <w:szCs w:val="24"/>
        </w:rPr>
      </w:pPr>
      <w:r>
        <w:rPr>
          <w:sz w:val="24"/>
          <w:szCs w:val="24"/>
        </w:rPr>
        <w:t>Таблица 3 - Налоговые доходы бюджета ЗАТО Северск</w:t>
      </w:r>
    </w:p>
    <w:tbl>
      <w:tblPr>
        <w:tblW w:w="9498" w:type="dxa"/>
        <w:tblInd w:w="108" w:type="dxa"/>
        <w:tblLook w:val="0000" w:firstRow="0" w:lastRow="0" w:firstColumn="0" w:lastColumn="0" w:noHBand="0" w:noVBand="0"/>
      </w:tblPr>
      <w:tblGrid>
        <w:gridCol w:w="2977"/>
        <w:gridCol w:w="1242"/>
        <w:gridCol w:w="1134"/>
        <w:gridCol w:w="1150"/>
        <w:gridCol w:w="697"/>
        <w:gridCol w:w="1134"/>
        <w:gridCol w:w="1164"/>
      </w:tblGrid>
      <w:tr>
        <w:trPr>
          <w:trHeight w:val="284"/>
        </w:trPr>
        <w:tc>
          <w:tcPr>
            <w:tcW w:w="2977" w:type="dxa"/>
            <w:vMerge w:val="restart"/>
            <w:tcBorders>
              <w:top w:val="single" w:sz="4" w:space="0" w:color="auto"/>
              <w:left w:val="single" w:sz="4" w:space="0" w:color="auto"/>
              <w:right w:val="single" w:sz="4" w:space="0" w:color="auto"/>
            </w:tcBorders>
            <w:shd w:val="clear" w:color="auto" w:fill="auto"/>
            <w:noWrap/>
            <w:vAlign w:val="center"/>
          </w:tcPr>
          <w:p>
            <w:pPr>
              <w:jc w:val="center"/>
              <w:rPr>
                <w:rFonts w:ascii="Times New Roman" w:hAnsi="Times New Roman"/>
                <w:sz w:val="22"/>
                <w:szCs w:val="22"/>
              </w:rPr>
            </w:pPr>
            <w:r>
              <w:rPr>
                <w:rFonts w:ascii="Times New Roman" w:hAnsi="Times New Roman"/>
                <w:sz w:val="22"/>
                <w:szCs w:val="22"/>
              </w:rPr>
              <w:t>Наименование</w:t>
            </w:r>
          </w:p>
        </w:tc>
        <w:tc>
          <w:tcPr>
            <w:tcW w:w="2376" w:type="dxa"/>
            <w:gridSpan w:val="2"/>
            <w:tcBorders>
              <w:top w:val="single" w:sz="4" w:space="0" w:color="auto"/>
              <w:left w:val="nil"/>
              <w:bottom w:val="single" w:sz="4" w:space="0" w:color="auto"/>
              <w:right w:val="single" w:sz="4" w:space="0" w:color="auto"/>
            </w:tcBorders>
            <w:shd w:val="clear" w:color="auto" w:fill="auto"/>
          </w:tcPr>
          <w:p>
            <w:pPr>
              <w:ind w:left="-108" w:right="-108"/>
              <w:jc w:val="center"/>
              <w:rPr>
                <w:rFonts w:ascii="Times New Roman" w:hAnsi="Times New Roman"/>
              </w:rPr>
            </w:pPr>
            <w:r>
              <w:rPr>
                <w:rFonts w:ascii="Times New Roman" w:hAnsi="Times New Roman"/>
              </w:rPr>
              <w:t>2020 год, тыс.руб.</w:t>
            </w:r>
          </w:p>
        </w:tc>
        <w:tc>
          <w:tcPr>
            <w:tcW w:w="1847" w:type="dxa"/>
            <w:gridSpan w:val="2"/>
            <w:tcBorders>
              <w:top w:val="single" w:sz="4" w:space="0" w:color="auto"/>
              <w:left w:val="nil"/>
              <w:bottom w:val="nil"/>
              <w:right w:val="single" w:sz="4" w:space="0" w:color="auto"/>
            </w:tcBorders>
            <w:shd w:val="clear" w:color="auto" w:fill="auto"/>
            <w:vAlign w:val="center"/>
          </w:tcPr>
          <w:p>
            <w:pPr>
              <w:jc w:val="center"/>
              <w:rPr>
                <w:rFonts w:ascii="Times New Roman" w:hAnsi="Times New Roman"/>
              </w:rPr>
            </w:pPr>
            <w:r>
              <w:rPr>
                <w:rFonts w:ascii="Times New Roman" w:hAnsi="Times New Roman"/>
              </w:rPr>
              <w:t>2021 год</w:t>
            </w:r>
          </w:p>
        </w:tc>
        <w:tc>
          <w:tcPr>
            <w:tcW w:w="1134"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rPr>
                <w:b/>
              </w:rPr>
            </w:pPr>
            <w:r>
              <w:rPr>
                <w:rFonts w:ascii="Times New Roman" w:hAnsi="Times New Roman"/>
              </w:rPr>
              <w:t xml:space="preserve">Прогноз </w:t>
            </w:r>
          </w:p>
          <w:p>
            <w:pPr>
              <w:ind w:left="-108" w:right="-108"/>
              <w:jc w:val="center"/>
              <w:rPr>
                <w:rFonts w:ascii="Times New Roman" w:hAnsi="Times New Roman"/>
              </w:rPr>
            </w:pPr>
            <w:r>
              <w:rPr>
                <w:rFonts w:ascii="Times New Roman" w:hAnsi="Times New Roman"/>
              </w:rPr>
              <w:t>2022 года, тыс.руб.</w:t>
            </w:r>
          </w:p>
        </w:tc>
        <w:tc>
          <w:tcPr>
            <w:tcW w:w="1164" w:type="dxa"/>
            <w:vMerge w:val="restart"/>
            <w:tcBorders>
              <w:top w:val="single" w:sz="4" w:space="0" w:color="auto"/>
              <w:left w:val="nil"/>
              <w:right w:val="single" w:sz="4" w:space="0" w:color="auto"/>
            </w:tcBorders>
            <w:shd w:val="clear" w:color="auto" w:fill="auto"/>
            <w:vAlign w:val="center"/>
          </w:tcPr>
          <w:p>
            <w:pPr>
              <w:ind w:left="-108" w:right="-108"/>
              <w:jc w:val="center"/>
              <w:rPr>
                <w:rFonts w:ascii="Times New Roman" w:hAnsi="Times New Roman"/>
              </w:rPr>
            </w:pPr>
            <w:r>
              <w:rPr>
                <w:rFonts w:ascii="Times New Roman" w:hAnsi="Times New Roman"/>
              </w:rPr>
              <w:t xml:space="preserve">Прогноз </w:t>
            </w:r>
          </w:p>
          <w:p>
            <w:pPr>
              <w:ind w:left="-108" w:right="-108"/>
              <w:jc w:val="center"/>
              <w:rPr>
                <w:rFonts w:ascii="Times New Roman" w:hAnsi="Times New Roman"/>
              </w:rPr>
            </w:pPr>
            <w:r>
              <w:rPr>
                <w:rFonts w:ascii="Times New Roman" w:hAnsi="Times New Roman"/>
              </w:rPr>
              <w:t>2023 года, тыс.руб.</w:t>
            </w:r>
          </w:p>
        </w:tc>
      </w:tr>
      <w:tr>
        <w:trPr>
          <w:trHeight w:val="284"/>
        </w:trPr>
        <w:tc>
          <w:tcPr>
            <w:tcW w:w="2977" w:type="dxa"/>
            <w:vMerge/>
            <w:tcBorders>
              <w:left w:val="single" w:sz="4" w:space="0" w:color="auto"/>
              <w:bottom w:val="single" w:sz="4" w:space="0" w:color="auto"/>
              <w:right w:val="single" w:sz="4" w:space="0" w:color="auto"/>
            </w:tcBorders>
            <w:shd w:val="clear" w:color="auto" w:fill="auto"/>
            <w:noWrap/>
            <w:vAlign w:val="center"/>
          </w:tcPr>
          <w:p>
            <w:pPr>
              <w:jc w:val="center"/>
              <w:rPr>
                <w:rFonts w:ascii="Times New Roman" w:hAnsi="Times New Roman"/>
                <w:sz w:val="22"/>
                <w:szCs w:val="22"/>
              </w:rPr>
            </w:pPr>
          </w:p>
        </w:tc>
        <w:tc>
          <w:tcPr>
            <w:tcW w:w="1242" w:type="dxa"/>
            <w:tcBorders>
              <w:top w:val="single" w:sz="4" w:space="0" w:color="auto"/>
              <w:left w:val="nil"/>
              <w:bottom w:val="single" w:sz="4" w:space="0" w:color="auto"/>
              <w:right w:val="single" w:sz="4" w:space="0" w:color="auto"/>
            </w:tcBorders>
            <w:shd w:val="clear" w:color="auto" w:fill="auto"/>
            <w:vAlign w:val="center"/>
          </w:tcPr>
          <w:p>
            <w:pPr>
              <w:jc w:val="center"/>
              <w:rPr>
                <w:rFonts w:ascii="Times New Roman" w:hAnsi="Times New Roman"/>
                <w:bCs/>
                <w:sz w:val="22"/>
                <w:szCs w:val="22"/>
              </w:rPr>
            </w:pPr>
            <w:r>
              <w:rPr>
                <w:rFonts w:ascii="Times New Roman" w:hAnsi="Times New Roman"/>
              </w:rPr>
              <w:t>Первонач. утвержд.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08" w:right="-108"/>
              <w:jc w:val="center"/>
              <w:rPr>
                <w:rFonts w:ascii="Times New Roman" w:hAnsi="Times New Roman"/>
              </w:rPr>
            </w:pPr>
            <w:r>
              <w:rPr>
                <w:rFonts w:ascii="Times New Roman" w:hAnsi="Times New Roman"/>
              </w:rPr>
              <w:t xml:space="preserve">Оценка </w:t>
            </w:r>
          </w:p>
        </w:tc>
        <w:tc>
          <w:tcPr>
            <w:tcW w:w="1150" w:type="dxa"/>
            <w:tcBorders>
              <w:top w:val="single" w:sz="4" w:space="0" w:color="auto"/>
              <w:left w:val="nil"/>
              <w:bottom w:val="nil"/>
              <w:right w:val="single" w:sz="4" w:space="0" w:color="auto"/>
            </w:tcBorders>
            <w:shd w:val="clear" w:color="auto" w:fill="auto"/>
            <w:vAlign w:val="center"/>
          </w:tcPr>
          <w:p>
            <w:pPr>
              <w:ind w:left="-108" w:right="-108"/>
              <w:jc w:val="center"/>
              <w:rPr>
                <w:rFonts w:ascii="Times New Roman" w:hAnsi="Times New Roman"/>
              </w:rPr>
            </w:pPr>
            <w:r>
              <w:rPr>
                <w:rFonts w:ascii="Times New Roman" w:hAnsi="Times New Roman"/>
              </w:rPr>
              <w:t>Прогноз, тыс.руб.</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rPr>
                <w:rFonts w:ascii="Times New Roman" w:hAnsi="Times New Roman"/>
              </w:rPr>
            </w:pPr>
            <w:r>
              <w:rPr>
                <w:rFonts w:ascii="Times New Roman" w:hAnsi="Times New Roman"/>
              </w:rPr>
              <w:t xml:space="preserve"> % к оценке 2020г.</w:t>
            </w:r>
          </w:p>
        </w:tc>
        <w:tc>
          <w:tcPr>
            <w:tcW w:w="1134" w:type="dxa"/>
            <w:vMerge/>
            <w:tcBorders>
              <w:left w:val="single" w:sz="4" w:space="0" w:color="auto"/>
              <w:bottom w:val="nil"/>
              <w:right w:val="single" w:sz="4" w:space="0" w:color="auto"/>
            </w:tcBorders>
            <w:shd w:val="clear" w:color="auto" w:fill="auto"/>
            <w:vAlign w:val="center"/>
          </w:tcPr>
          <w:p>
            <w:pPr>
              <w:jc w:val="center"/>
              <w:rPr>
                <w:rFonts w:ascii="Times New Roman" w:hAnsi="Times New Roman"/>
                <w:bCs/>
                <w:sz w:val="22"/>
                <w:szCs w:val="22"/>
              </w:rPr>
            </w:pPr>
          </w:p>
        </w:tc>
        <w:tc>
          <w:tcPr>
            <w:tcW w:w="1164" w:type="dxa"/>
            <w:vMerge/>
            <w:tcBorders>
              <w:left w:val="nil"/>
              <w:bottom w:val="nil"/>
              <w:right w:val="single" w:sz="4" w:space="0" w:color="auto"/>
            </w:tcBorders>
            <w:shd w:val="clear" w:color="auto" w:fill="auto"/>
            <w:vAlign w:val="center"/>
          </w:tcPr>
          <w:p>
            <w:pPr>
              <w:jc w:val="center"/>
              <w:rPr>
                <w:rFonts w:ascii="Times New Roman" w:hAnsi="Times New Roman"/>
                <w:bCs/>
                <w:sz w:val="22"/>
                <w:szCs w:val="22"/>
              </w:rPr>
            </w:pPr>
          </w:p>
        </w:tc>
      </w:tr>
      <w:tr>
        <w:trPr>
          <w:trHeight w:val="583"/>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b/>
                <w:bCs/>
                <w:sz w:val="22"/>
                <w:szCs w:val="22"/>
              </w:rPr>
            </w:pPr>
            <w:r>
              <w:rPr>
                <w:rFonts w:ascii="Times New Roman" w:hAnsi="Times New Roman"/>
                <w:b/>
                <w:bCs/>
                <w:sz w:val="22"/>
                <w:szCs w:val="22"/>
              </w:rPr>
              <w:t xml:space="preserve">НАЛОГОВЫЕ ДОХОДЫ, </w:t>
            </w:r>
          </w:p>
          <w:p>
            <w:pPr>
              <w:rPr>
                <w:rFonts w:ascii="Times New Roman" w:hAnsi="Times New Roman"/>
                <w:b/>
                <w:bCs/>
                <w:sz w:val="22"/>
                <w:szCs w:val="22"/>
              </w:rPr>
            </w:pPr>
            <w:r>
              <w:rPr>
                <w:rFonts w:ascii="Times New Roman" w:hAnsi="Times New Roman"/>
                <w:b/>
                <w:bCs/>
                <w:sz w:val="22"/>
                <w:szCs w:val="22"/>
              </w:rPr>
              <w:t>из них:</w:t>
            </w:r>
          </w:p>
        </w:tc>
        <w:tc>
          <w:tcPr>
            <w:tcW w:w="1242"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b/>
                <w:bCs/>
              </w:rPr>
            </w:pPr>
            <w:r>
              <w:rPr>
                <w:b/>
              </w:rPr>
              <w:t>991 541,78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right"/>
              <w:rPr>
                <w:rFonts w:ascii="Times New Roman" w:hAnsi="Times New Roman"/>
                <w:b/>
                <w:bCs/>
              </w:rPr>
            </w:pPr>
            <w:r>
              <w:rPr>
                <w:b/>
                <w:bCs/>
              </w:rPr>
              <w:t>971 624,04</w:t>
            </w:r>
          </w:p>
        </w:tc>
        <w:tc>
          <w:tcPr>
            <w:tcW w:w="1150" w:type="dxa"/>
            <w:tcBorders>
              <w:top w:val="single" w:sz="4" w:space="0" w:color="auto"/>
              <w:left w:val="nil"/>
              <w:bottom w:val="single" w:sz="4" w:space="0" w:color="auto"/>
              <w:right w:val="single" w:sz="4" w:space="0" w:color="auto"/>
            </w:tcBorders>
            <w:shd w:val="clear" w:color="auto" w:fill="auto"/>
            <w:noWrap/>
            <w:vAlign w:val="center"/>
          </w:tcPr>
          <w:p>
            <w:pPr>
              <w:ind w:left="-57" w:right="-57"/>
              <w:jc w:val="right"/>
              <w:rPr>
                <w:b/>
                <w:bCs/>
                <w:highlight w:val="yellow"/>
              </w:rPr>
            </w:pPr>
            <w:r>
              <w:rPr>
                <w:b/>
                <w:bCs/>
              </w:rPr>
              <w:t>999 674,57</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b/>
                <w:bCs/>
              </w:rPr>
            </w:pPr>
            <w:r>
              <w:rPr>
                <w:b/>
                <w:bCs/>
              </w:rPr>
              <w:t>102,9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Mar>
              <w:left w:w="0" w:type="dxa"/>
              <w:right w:w="28" w:type="dxa"/>
            </w:tcMar>
            <w:vAlign w:val="center"/>
          </w:tcPr>
          <w:p>
            <w:pPr>
              <w:jc w:val="right"/>
              <w:rPr>
                <w:b/>
              </w:rPr>
            </w:pPr>
            <w:r>
              <w:rPr>
                <w:b/>
              </w:rPr>
              <w:t>1 003 509,94</w:t>
            </w:r>
          </w:p>
        </w:tc>
        <w:tc>
          <w:tcPr>
            <w:tcW w:w="116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pPr>
              <w:jc w:val="right"/>
              <w:rPr>
                <w:b/>
              </w:rPr>
            </w:pPr>
            <w:r>
              <w:rPr>
                <w:b/>
              </w:rPr>
              <w:t>1 018 521,13</w:t>
            </w:r>
          </w:p>
        </w:tc>
      </w:tr>
      <w:tr>
        <w:trPr>
          <w:trHeight w:val="414"/>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rPr>
            </w:pPr>
            <w:r>
              <w:rPr>
                <w:rFonts w:ascii="Times New Roman" w:hAnsi="Times New Roman"/>
                <w:sz w:val="22"/>
                <w:szCs w:val="22"/>
              </w:rPr>
              <w:t xml:space="preserve">Налог на доходы физических лиц </w:t>
            </w:r>
          </w:p>
        </w:tc>
        <w:tc>
          <w:tcPr>
            <w:tcW w:w="1242" w:type="dxa"/>
            <w:tcBorders>
              <w:top w:val="single" w:sz="4" w:space="0" w:color="auto"/>
              <w:left w:val="nil"/>
              <w:bottom w:val="single" w:sz="4" w:space="0" w:color="auto"/>
              <w:right w:val="single" w:sz="4" w:space="0" w:color="auto"/>
            </w:tcBorders>
            <w:shd w:val="clear" w:color="auto" w:fill="auto"/>
            <w:vAlign w:val="center"/>
          </w:tcPr>
          <w:p>
            <w:pPr>
              <w:jc w:val="right"/>
            </w:pPr>
            <w:r>
              <w:t>724 442,08</w:t>
            </w:r>
          </w:p>
        </w:tc>
        <w:tc>
          <w:tcPr>
            <w:tcW w:w="1134" w:type="dxa"/>
            <w:tcBorders>
              <w:top w:val="nil"/>
              <w:left w:val="single" w:sz="4" w:space="0" w:color="auto"/>
              <w:bottom w:val="single" w:sz="4" w:space="0" w:color="auto"/>
              <w:right w:val="single" w:sz="4" w:space="0" w:color="auto"/>
            </w:tcBorders>
            <w:shd w:val="clear" w:color="auto" w:fill="auto"/>
            <w:noWrap/>
            <w:vAlign w:val="center"/>
          </w:tcPr>
          <w:p>
            <w:pPr>
              <w:jc w:val="right"/>
            </w:pPr>
            <w:r>
              <w:t>731 166,84</w:t>
            </w:r>
          </w:p>
        </w:tc>
        <w:tc>
          <w:tcPr>
            <w:tcW w:w="1150" w:type="dxa"/>
            <w:tcBorders>
              <w:top w:val="nil"/>
              <w:left w:val="nil"/>
              <w:bottom w:val="single" w:sz="4" w:space="0" w:color="auto"/>
              <w:right w:val="single" w:sz="4" w:space="0" w:color="auto"/>
            </w:tcBorders>
            <w:shd w:val="clear" w:color="auto" w:fill="auto"/>
            <w:noWrap/>
            <w:vAlign w:val="center"/>
          </w:tcPr>
          <w:p>
            <w:pPr>
              <w:jc w:val="right"/>
            </w:pPr>
            <w:r>
              <w:t>737 747,17</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100,9</w:t>
            </w:r>
          </w:p>
        </w:tc>
        <w:tc>
          <w:tcPr>
            <w:tcW w:w="1134"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pPr>
              <w:jc w:val="right"/>
            </w:pPr>
            <w:r>
              <w:t>723 857,34</w:t>
            </w:r>
          </w:p>
        </w:tc>
        <w:tc>
          <w:tcPr>
            <w:tcW w:w="1164" w:type="dxa"/>
            <w:tcBorders>
              <w:top w:val="nil"/>
              <w:left w:val="nil"/>
              <w:bottom w:val="single" w:sz="4" w:space="0" w:color="auto"/>
              <w:right w:val="single" w:sz="4" w:space="0" w:color="auto"/>
            </w:tcBorders>
            <w:shd w:val="clear" w:color="auto" w:fill="auto"/>
            <w:noWrap/>
            <w:tcMar>
              <w:left w:w="57" w:type="dxa"/>
              <w:right w:w="57" w:type="dxa"/>
            </w:tcMar>
            <w:vAlign w:val="center"/>
          </w:tcPr>
          <w:p>
            <w:pPr>
              <w:jc w:val="right"/>
            </w:pPr>
            <w:r>
              <w:t>726 545,73</w:t>
            </w:r>
          </w:p>
        </w:tc>
      </w:tr>
      <w:tr>
        <w:trPr>
          <w:trHeight w:val="188"/>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i/>
                <w:iCs/>
                <w:sz w:val="22"/>
                <w:szCs w:val="22"/>
              </w:rPr>
            </w:pPr>
            <w:r>
              <w:rPr>
                <w:rFonts w:ascii="Times New Roman" w:hAnsi="Times New Roman"/>
                <w:i/>
                <w:iCs/>
                <w:sz w:val="22"/>
                <w:szCs w:val="22"/>
              </w:rPr>
              <w:t>по нормативу 25%</w:t>
            </w:r>
          </w:p>
        </w:tc>
        <w:tc>
          <w:tcPr>
            <w:tcW w:w="1242" w:type="dxa"/>
            <w:tcBorders>
              <w:top w:val="single" w:sz="4" w:space="0" w:color="auto"/>
              <w:left w:val="nil"/>
              <w:bottom w:val="single" w:sz="4" w:space="0" w:color="auto"/>
              <w:right w:val="single" w:sz="4" w:space="0" w:color="auto"/>
            </w:tcBorders>
            <w:shd w:val="clear" w:color="auto" w:fill="auto"/>
            <w:vAlign w:val="center"/>
          </w:tcPr>
          <w:p>
            <w:pPr>
              <w:jc w:val="right"/>
            </w:pPr>
            <w:r>
              <w:t>486 072,25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pPr>
              <w:jc w:val="right"/>
            </w:pPr>
            <w:r>
              <w:t>490 584,30</w:t>
            </w:r>
          </w:p>
        </w:tc>
        <w:tc>
          <w:tcPr>
            <w:tcW w:w="1150" w:type="dxa"/>
            <w:tcBorders>
              <w:top w:val="nil"/>
              <w:left w:val="nil"/>
              <w:bottom w:val="single" w:sz="4" w:space="0" w:color="auto"/>
              <w:right w:val="single" w:sz="4" w:space="0" w:color="auto"/>
            </w:tcBorders>
            <w:shd w:val="clear" w:color="auto" w:fill="auto"/>
            <w:noWrap/>
            <w:vAlign w:val="center"/>
          </w:tcPr>
          <w:p>
            <w:pPr>
              <w:jc w:val="right"/>
            </w:pPr>
            <w:r>
              <w:t>503 788,02</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i/>
              </w:rPr>
            </w:pPr>
            <w:r>
              <w:rPr>
                <w:i/>
              </w:rPr>
              <w:t>102,7</w:t>
            </w:r>
          </w:p>
        </w:tc>
        <w:tc>
          <w:tcPr>
            <w:tcW w:w="1134"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pPr>
              <w:jc w:val="right"/>
            </w:pPr>
            <w:r>
              <w:t>515 421,06</w:t>
            </w:r>
          </w:p>
        </w:tc>
        <w:tc>
          <w:tcPr>
            <w:tcW w:w="1164" w:type="dxa"/>
            <w:tcBorders>
              <w:top w:val="nil"/>
              <w:left w:val="nil"/>
              <w:bottom w:val="single" w:sz="4" w:space="0" w:color="auto"/>
              <w:right w:val="single" w:sz="4" w:space="0" w:color="auto"/>
            </w:tcBorders>
            <w:shd w:val="clear" w:color="auto" w:fill="auto"/>
            <w:noWrap/>
            <w:tcMar>
              <w:left w:w="57" w:type="dxa"/>
              <w:right w:w="57" w:type="dxa"/>
            </w:tcMar>
            <w:vAlign w:val="center"/>
          </w:tcPr>
          <w:p>
            <w:pPr>
              <w:jc w:val="right"/>
            </w:pPr>
            <w:r>
              <w:t>526 940,62</w:t>
            </w:r>
          </w:p>
        </w:tc>
      </w:tr>
      <w:tr>
        <w:trPr>
          <w:trHeight w:val="257"/>
        </w:trPr>
        <w:tc>
          <w:tcPr>
            <w:tcW w:w="2977" w:type="dxa"/>
            <w:tcBorders>
              <w:top w:val="nil"/>
              <w:left w:val="single" w:sz="4" w:space="0" w:color="auto"/>
              <w:bottom w:val="single" w:sz="4" w:space="0" w:color="auto"/>
              <w:right w:val="single" w:sz="4" w:space="0" w:color="auto"/>
            </w:tcBorders>
            <w:shd w:val="clear" w:color="auto" w:fill="auto"/>
            <w:vAlign w:val="center"/>
          </w:tcPr>
          <w:p>
            <w:pPr>
              <w:ind w:right="-57"/>
              <w:rPr>
                <w:rFonts w:ascii="Times New Roman" w:hAnsi="Times New Roman"/>
                <w:i/>
                <w:iCs/>
                <w:sz w:val="22"/>
                <w:szCs w:val="22"/>
              </w:rPr>
            </w:pPr>
            <w:r>
              <w:rPr>
                <w:rFonts w:ascii="Times New Roman" w:hAnsi="Times New Roman"/>
                <w:i/>
                <w:iCs/>
                <w:sz w:val="22"/>
                <w:szCs w:val="22"/>
              </w:rPr>
              <w:t xml:space="preserve"> по доп.нормативу</w:t>
            </w:r>
          </w:p>
        </w:tc>
        <w:tc>
          <w:tcPr>
            <w:tcW w:w="1242" w:type="dxa"/>
            <w:tcBorders>
              <w:top w:val="single" w:sz="4" w:space="0" w:color="auto"/>
              <w:left w:val="nil"/>
              <w:bottom w:val="single" w:sz="4" w:space="0" w:color="auto"/>
              <w:right w:val="single" w:sz="4" w:space="0" w:color="auto"/>
            </w:tcBorders>
            <w:shd w:val="clear" w:color="auto" w:fill="auto"/>
            <w:vAlign w:val="center"/>
          </w:tcPr>
          <w:p>
            <w:pPr>
              <w:jc w:val="right"/>
            </w:pPr>
            <w:r>
              <w:t>238 369,83</w:t>
            </w:r>
          </w:p>
        </w:tc>
        <w:tc>
          <w:tcPr>
            <w:tcW w:w="1134" w:type="dxa"/>
            <w:tcBorders>
              <w:top w:val="nil"/>
              <w:left w:val="single" w:sz="4" w:space="0" w:color="auto"/>
              <w:bottom w:val="single" w:sz="4" w:space="0" w:color="auto"/>
              <w:right w:val="single" w:sz="4" w:space="0" w:color="auto"/>
            </w:tcBorders>
            <w:shd w:val="clear" w:color="auto" w:fill="auto"/>
            <w:noWrap/>
            <w:vAlign w:val="center"/>
          </w:tcPr>
          <w:p>
            <w:pPr>
              <w:jc w:val="right"/>
            </w:pPr>
            <w:r>
              <w:t>240 582,54</w:t>
            </w:r>
          </w:p>
        </w:tc>
        <w:tc>
          <w:tcPr>
            <w:tcW w:w="1150" w:type="dxa"/>
            <w:tcBorders>
              <w:top w:val="nil"/>
              <w:left w:val="nil"/>
              <w:bottom w:val="single" w:sz="4" w:space="0" w:color="auto"/>
              <w:right w:val="single" w:sz="4" w:space="0" w:color="auto"/>
            </w:tcBorders>
            <w:shd w:val="clear" w:color="auto" w:fill="auto"/>
            <w:noWrap/>
            <w:vAlign w:val="center"/>
          </w:tcPr>
          <w:p>
            <w:pPr>
              <w:jc w:val="right"/>
            </w:pPr>
            <w:r>
              <w:t>233 959,15</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i/>
              </w:rPr>
            </w:pPr>
            <w:r>
              <w:rPr>
                <w:i/>
              </w:rPr>
              <w:t>97,2</w:t>
            </w:r>
          </w:p>
        </w:tc>
        <w:tc>
          <w:tcPr>
            <w:tcW w:w="1134"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pPr>
              <w:jc w:val="right"/>
            </w:pPr>
            <w:r>
              <w:t>208 436,28</w:t>
            </w:r>
          </w:p>
        </w:tc>
        <w:tc>
          <w:tcPr>
            <w:tcW w:w="1164" w:type="dxa"/>
            <w:tcBorders>
              <w:top w:val="nil"/>
              <w:left w:val="nil"/>
              <w:bottom w:val="single" w:sz="4" w:space="0" w:color="auto"/>
              <w:right w:val="single" w:sz="4" w:space="0" w:color="auto"/>
            </w:tcBorders>
            <w:shd w:val="clear" w:color="auto" w:fill="auto"/>
            <w:noWrap/>
            <w:tcMar>
              <w:left w:w="57" w:type="dxa"/>
              <w:right w:w="57" w:type="dxa"/>
            </w:tcMar>
            <w:vAlign w:val="center"/>
          </w:tcPr>
          <w:p>
            <w:pPr>
              <w:jc w:val="right"/>
            </w:pPr>
            <w:r>
              <w:t>199 605,11</w:t>
            </w:r>
          </w:p>
        </w:tc>
      </w:tr>
      <w:tr>
        <w:trPr>
          <w:trHeight w:val="445"/>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rPr>
                <w:rFonts w:ascii="Times New Roman" w:hAnsi="Times New Roman"/>
                <w:sz w:val="22"/>
                <w:szCs w:val="22"/>
              </w:rPr>
            </w:pPr>
            <w:r>
              <w:rPr>
                <w:rFonts w:ascii="Times New Roman" w:hAnsi="Times New Roman"/>
                <w:sz w:val="22"/>
                <w:szCs w:val="22"/>
              </w:rPr>
              <w:t>Акцизы по подакцизным товарам (продукции)</w:t>
            </w:r>
          </w:p>
        </w:tc>
        <w:tc>
          <w:tcPr>
            <w:tcW w:w="1242" w:type="dxa"/>
            <w:tcBorders>
              <w:top w:val="single" w:sz="4" w:space="0" w:color="auto"/>
              <w:left w:val="nil"/>
              <w:bottom w:val="single" w:sz="4" w:space="0" w:color="auto"/>
              <w:right w:val="single" w:sz="4" w:space="0" w:color="auto"/>
            </w:tcBorders>
            <w:shd w:val="clear" w:color="auto" w:fill="auto"/>
            <w:vAlign w:val="center"/>
          </w:tcPr>
          <w:p>
            <w:pPr>
              <w:jc w:val="right"/>
            </w:pPr>
            <w:r>
              <w:t>9 421,00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right"/>
            </w:pPr>
            <w:r>
              <w:t>8 406,00</w:t>
            </w:r>
          </w:p>
        </w:tc>
        <w:tc>
          <w:tcPr>
            <w:tcW w:w="1150" w:type="dxa"/>
            <w:tcBorders>
              <w:top w:val="single" w:sz="4" w:space="0" w:color="auto"/>
              <w:left w:val="nil"/>
              <w:bottom w:val="single" w:sz="4" w:space="0" w:color="auto"/>
              <w:right w:val="single" w:sz="4" w:space="0" w:color="auto"/>
            </w:tcBorders>
            <w:shd w:val="clear" w:color="auto" w:fill="auto"/>
            <w:noWrap/>
            <w:vAlign w:val="center"/>
          </w:tcPr>
          <w:p>
            <w:pPr>
              <w:jc w:val="right"/>
            </w:pPr>
            <w:r>
              <w:t>9 932,00</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118,2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pPr>
              <w:jc w:val="right"/>
            </w:pPr>
            <w:r>
              <w:t>10 324,00</w:t>
            </w:r>
          </w:p>
        </w:tc>
        <w:tc>
          <w:tcPr>
            <w:tcW w:w="116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pPr>
              <w:jc w:val="right"/>
            </w:pPr>
            <w:r>
              <w:t>11 351,00</w:t>
            </w:r>
          </w:p>
        </w:tc>
      </w:tr>
      <w:tr>
        <w:trPr>
          <w:trHeight w:val="340"/>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rPr>
            </w:pPr>
            <w:r>
              <w:rPr>
                <w:rFonts w:ascii="Times New Roman" w:hAnsi="Times New Roman"/>
                <w:sz w:val="22"/>
                <w:szCs w:val="22"/>
              </w:rPr>
              <w:t>Налоги на совокупный доход</w:t>
            </w:r>
          </w:p>
        </w:tc>
        <w:tc>
          <w:tcPr>
            <w:tcW w:w="1242" w:type="dxa"/>
            <w:tcBorders>
              <w:top w:val="single" w:sz="4" w:space="0" w:color="auto"/>
              <w:left w:val="nil"/>
              <w:bottom w:val="single" w:sz="4" w:space="0" w:color="auto"/>
              <w:right w:val="single" w:sz="4" w:space="0" w:color="auto"/>
            </w:tcBorders>
            <w:shd w:val="clear" w:color="auto" w:fill="auto"/>
            <w:vAlign w:val="center"/>
          </w:tcPr>
          <w:p>
            <w:pPr>
              <w:jc w:val="right"/>
            </w:pPr>
            <w:r>
              <w:t>97 305,90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pPr>
              <w:jc w:val="right"/>
            </w:pPr>
            <w:r>
              <w:t>82 206,00</w:t>
            </w:r>
          </w:p>
        </w:tc>
        <w:tc>
          <w:tcPr>
            <w:tcW w:w="1150" w:type="dxa"/>
            <w:tcBorders>
              <w:top w:val="nil"/>
              <w:left w:val="nil"/>
              <w:bottom w:val="single" w:sz="4" w:space="0" w:color="auto"/>
              <w:right w:val="single" w:sz="4" w:space="0" w:color="auto"/>
            </w:tcBorders>
            <w:shd w:val="clear" w:color="auto" w:fill="auto"/>
            <w:noWrap/>
            <w:vAlign w:val="center"/>
          </w:tcPr>
          <w:p>
            <w:pPr>
              <w:jc w:val="right"/>
            </w:pPr>
            <w:r>
              <w:t>90 591,00</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110,2</w:t>
            </w:r>
          </w:p>
        </w:tc>
        <w:tc>
          <w:tcPr>
            <w:tcW w:w="1134"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pPr>
              <w:jc w:val="right"/>
            </w:pPr>
            <w:r>
              <w:t>98 392,00</w:t>
            </w:r>
          </w:p>
        </w:tc>
        <w:tc>
          <w:tcPr>
            <w:tcW w:w="1164" w:type="dxa"/>
            <w:tcBorders>
              <w:top w:val="nil"/>
              <w:left w:val="nil"/>
              <w:bottom w:val="single" w:sz="4" w:space="0" w:color="auto"/>
              <w:right w:val="single" w:sz="4" w:space="0" w:color="auto"/>
            </w:tcBorders>
            <w:shd w:val="clear" w:color="auto" w:fill="auto"/>
            <w:noWrap/>
            <w:tcMar>
              <w:left w:w="57" w:type="dxa"/>
              <w:right w:w="57" w:type="dxa"/>
            </w:tcMar>
            <w:vAlign w:val="center"/>
          </w:tcPr>
          <w:p>
            <w:pPr>
              <w:jc w:val="right"/>
            </w:pPr>
            <w:r>
              <w:t>102 739,00</w:t>
            </w:r>
          </w:p>
        </w:tc>
      </w:tr>
      <w:tr>
        <w:trPr>
          <w:trHeight w:val="340"/>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rPr>
            </w:pPr>
            <w:r>
              <w:rPr>
                <w:rFonts w:ascii="Times New Roman" w:hAnsi="Times New Roman"/>
                <w:sz w:val="22"/>
                <w:szCs w:val="22"/>
              </w:rPr>
              <w:t xml:space="preserve">Имущественные налоги </w:t>
            </w:r>
          </w:p>
        </w:tc>
        <w:tc>
          <w:tcPr>
            <w:tcW w:w="1242" w:type="dxa"/>
            <w:tcBorders>
              <w:top w:val="single" w:sz="4" w:space="0" w:color="auto"/>
              <w:left w:val="nil"/>
              <w:bottom w:val="single" w:sz="4" w:space="0" w:color="auto"/>
              <w:right w:val="single" w:sz="4" w:space="0" w:color="auto"/>
            </w:tcBorders>
            <w:shd w:val="clear" w:color="auto" w:fill="auto"/>
            <w:vAlign w:val="center"/>
          </w:tcPr>
          <w:p>
            <w:pPr>
              <w:jc w:val="right"/>
            </w:pPr>
            <w:r>
              <w:t>146 376,00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right"/>
            </w:pPr>
            <w:r>
              <w:t>136 526,00</w:t>
            </w:r>
          </w:p>
        </w:tc>
        <w:tc>
          <w:tcPr>
            <w:tcW w:w="1150" w:type="dxa"/>
            <w:tcBorders>
              <w:top w:val="single" w:sz="4" w:space="0" w:color="auto"/>
              <w:left w:val="nil"/>
              <w:bottom w:val="single" w:sz="4" w:space="0" w:color="auto"/>
              <w:right w:val="single" w:sz="4" w:space="0" w:color="auto"/>
            </w:tcBorders>
            <w:shd w:val="clear" w:color="auto" w:fill="auto"/>
            <w:noWrap/>
            <w:vAlign w:val="center"/>
          </w:tcPr>
          <w:p>
            <w:pPr>
              <w:jc w:val="right"/>
            </w:pPr>
            <w:r>
              <w:t>147 397,00</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108,0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pPr>
              <w:jc w:val="right"/>
            </w:pPr>
            <w:r>
              <w:t>156 017,00</w:t>
            </w:r>
          </w:p>
        </w:tc>
        <w:tc>
          <w:tcPr>
            <w:tcW w:w="116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pPr>
              <w:jc w:val="right"/>
            </w:pPr>
            <w:r>
              <w:t>162 370,00</w:t>
            </w:r>
          </w:p>
        </w:tc>
      </w:tr>
      <w:tr>
        <w:trPr>
          <w:trHeight w:val="340"/>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rPr>
            </w:pPr>
            <w:r>
              <w:rPr>
                <w:rFonts w:ascii="Times New Roman" w:hAnsi="Times New Roman"/>
                <w:sz w:val="22"/>
                <w:szCs w:val="22"/>
              </w:rPr>
              <w:t>Государственная пошлина</w:t>
            </w:r>
          </w:p>
        </w:tc>
        <w:tc>
          <w:tcPr>
            <w:tcW w:w="1242"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13 996,80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pPr>
            <w:r>
              <w:t>13 319,20</w:t>
            </w:r>
          </w:p>
        </w:tc>
        <w:tc>
          <w:tcPr>
            <w:tcW w:w="1150" w:type="dxa"/>
            <w:tcBorders>
              <w:top w:val="single" w:sz="4" w:space="0" w:color="auto"/>
              <w:left w:val="nil"/>
              <w:bottom w:val="single" w:sz="4" w:space="0" w:color="auto"/>
              <w:right w:val="single" w:sz="4" w:space="0" w:color="auto"/>
            </w:tcBorders>
            <w:shd w:val="clear" w:color="auto" w:fill="auto"/>
            <w:noWrap/>
            <w:vAlign w:val="center"/>
          </w:tcPr>
          <w:p>
            <w:pPr>
              <w:ind w:left="-57" w:right="-57"/>
              <w:jc w:val="right"/>
            </w:pPr>
            <w:r>
              <w:t>14 007,40</w:t>
            </w:r>
          </w:p>
        </w:tc>
        <w:tc>
          <w:tcPr>
            <w:tcW w:w="697"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105,2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pPr>
              <w:jc w:val="right"/>
            </w:pPr>
            <w:r>
              <w:t>14 919,60</w:t>
            </w:r>
          </w:p>
        </w:tc>
        <w:tc>
          <w:tcPr>
            <w:tcW w:w="116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pPr>
              <w:jc w:val="right"/>
            </w:pPr>
            <w:r>
              <w:t>15 515,40</w:t>
            </w:r>
          </w:p>
        </w:tc>
      </w:tr>
    </w:tbl>
    <w:p>
      <w:pPr>
        <w:ind w:right="43" w:firstLine="709"/>
        <w:jc w:val="both"/>
        <w:rPr>
          <w:rFonts w:ascii="Times New Roman" w:hAnsi="Times New Roman"/>
        </w:rPr>
      </w:pPr>
    </w:p>
    <w:p>
      <w:pPr>
        <w:ind w:right="43" w:firstLine="709"/>
        <w:jc w:val="both"/>
        <w:rPr>
          <w:rFonts w:ascii="Times New Roman" w:hAnsi="Times New Roman"/>
          <w:sz w:val="24"/>
        </w:rPr>
      </w:pPr>
      <w:r>
        <w:rPr>
          <w:rFonts w:ascii="Times New Roman" w:hAnsi="Times New Roman"/>
          <w:sz w:val="24"/>
        </w:rPr>
        <w:t>Основными бюджетоформирующими налоговыми доходами на среднесрочный период остаются налог на доходы физических лиц, налоги на совокупный доход и имущественные налоги.</w:t>
      </w:r>
    </w:p>
    <w:p>
      <w:pPr>
        <w:ind w:right="424"/>
        <w:jc w:val="both"/>
        <w:rPr>
          <w:rFonts w:ascii="Times New Roman" w:hAnsi="Times New Roman"/>
          <w:sz w:val="24"/>
        </w:rPr>
      </w:pPr>
      <w:r>
        <w:rPr>
          <w:rFonts w:ascii="Times New Roman" w:hAnsi="Times New Roman"/>
          <w:noProof/>
          <w:sz w:val="24"/>
        </w:rPr>
        <w:lastRenderedPageBreak/>
        <w:drawing>
          <wp:inline distT="0" distB="0" distL="0" distR="0">
            <wp:extent cx="5940425" cy="2904134"/>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before="120" w:after="120"/>
        <w:ind w:firstLine="709"/>
        <w:jc w:val="both"/>
        <w:rPr>
          <w:sz w:val="24"/>
          <w:szCs w:val="24"/>
        </w:rPr>
      </w:pPr>
      <w:r>
        <w:rPr>
          <w:sz w:val="24"/>
          <w:szCs w:val="24"/>
        </w:rPr>
        <w:t>Рисунок 2 – Динамика налоговых доходов за 2020 - 2023 годы</w:t>
      </w:r>
    </w:p>
    <w:p>
      <w:pPr>
        <w:ind w:firstLine="709"/>
        <w:jc w:val="both"/>
        <w:rPr>
          <w:sz w:val="24"/>
          <w:szCs w:val="24"/>
        </w:rPr>
      </w:pPr>
      <w:r>
        <w:rPr>
          <w:sz w:val="24"/>
          <w:szCs w:val="24"/>
        </w:rPr>
        <w:t xml:space="preserve">Главным администратором налоговых доходов на территории ЗАТО Северск является ИФНС России по ЗАТО Северск. По государственной пошлине главными администраторами являются также УЖКХ ТиС и УИО Администрации ЗАТО Северск, по акцизам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 </w:t>
      </w:r>
      <w:r>
        <w:rPr>
          <w:color w:val="000000"/>
          <w:sz w:val="24"/>
          <w:szCs w:val="24"/>
          <w:shd w:val="clear" w:color="auto" w:fill="FFFFFF"/>
        </w:rPr>
        <w:t>Управление Федерального казначейства по Томской области.</w:t>
      </w:r>
    </w:p>
    <w:p>
      <w:pPr>
        <w:spacing w:before="240" w:after="120"/>
        <w:jc w:val="center"/>
        <w:rPr>
          <w:b/>
          <w:sz w:val="24"/>
          <w:szCs w:val="24"/>
        </w:rPr>
      </w:pPr>
      <w:r>
        <w:rPr>
          <w:b/>
          <w:sz w:val="24"/>
          <w:szCs w:val="24"/>
        </w:rPr>
        <w:t xml:space="preserve">1.3.1. Налог на доходы физических лиц </w:t>
      </w:r>
    </w:p>
    <w:p>
      <w:pPr>
        <w:suppressAutoHyphens/>
        <w:ind w:firstLine="708"/>
        <w:jc w:val="both"/>
        <w:rPr>
          <w:rFonts w:ascii="Times New Roman" w:hAnsi="Times New Roman"/>
          <w:sz w:val="24"/>
          <w:lang w:eastAsia="ar-SA"/>
        </w:rPr>
      </w:pPr>
      <w:r>
        <w:rPr>
          <w:rFonts w:ascii="Times New Roman" w:hAnsi="Times New Roman"/>
          <w:sz w:val="24"/>
          <w:lang w:eastAsia="ar-SA"/>
        </w:rPr>
        <w:t xml:space="preserve">Налог на доходы физических лиц (НДФЛ) – это основная бюджетоформирующая статья доходов бюджета ЗАТО Северск. </w:t>
      </w:r>
    </w:p>
    <w:p>
      <w:pPr>
        <w:suppressAutoHyphens/>
        <w:ind w:firstLine="709"/>
        <w:jc w:val="both"/>
        <w:rPr>
          <w:rFonts w:ascii="Times New Roman" w:hAnsi="Times New Roman"/>
          <w:sz w:val="24"/>
          <w:lang w:eastAsia="ar-SA"/>
        </w:rPr>
      </w:pPr>
      <w:r>
        <w:rPr>
          <w:rFonts w:ascii="Times New Roman" w:hAnsi="Times New Roman"/>
          <w:sz w:val="24"/>
          <w:lang w:eastAsia="ar-SA"/>
        </w:rPr>
        <w:t>Расчет по НДФЛ выполнен в соответствии с главой 23 Налогового кодекса Российской Федерации.</w:t>
      </w:r>
    </w:p>
    <w:p>
      <w:pPr>
        <w:ind w:firstLine="709"/>
        <w:jc w:val="both"/>
        <w:rPr>
          <w:rFonts w:ascii="Times New Roman" w:hAnsi="Times New Roman"/>
          <w:sz w:val="24"/>
          <w:szCs w:val="24"/>
          <w:lang w:eastAsia="ar-SA"/>
        </w:rPr>
      </w:pPr>
      <w:r>
        <w:rPr>
          <w:rFonts w:ascii="Times New Roman" w:hAnsi="Times New Roman"/>
          <w:sz w:val="24"/>
          <w:szCs w:val="24"/>
          <w:lang w:eastAsia="ar-SA"/>
        </w:rPr>
        <w:t xml:space="preserve">Прогноз поступлений по НДФЛ на 2021-2023 годы выполнен по консервативному сценарию с применением индексов-дефляторов роста заработной платы и индексов цен производителей по видам экономической деятельности до 2023 года Основных параметров, на основании проекта прогноза социально-экономического развития ЗАТО Северск на 2021 год и плановый период 2022 и 2023 годов, согласно Методике прогнозирования на основании данных главного администратора доходов - ИФНС России по ЗАТО Северск. </w:t>
      </w:r>
    </w:p>
    <w:p>
      <w:pPr>
        <w:ind w:firstLine="709"/>
        <w:jc w:val="both"/>
        <w:rPr>
          <w:rFonts w:ascii="Times New Roman" w:hAnsi="Times New Roman"/>
          <w:sz w:val="24"/>
          <w:szCs w:val="24"/>
          <w:lang w:eastAsia="ar-SA"/>
        </w:rPr>
      </w:pPr>
      <w:r>
        <w:rPr>
          <w:rFonts w:ascii="Times New Roman" w:hAnsi="Times New Roman"/>
          <w:sz w:val="24"/>
          <w:szCs w:val="24"/>
          <w:lang w:eastAsia="ar-SA"/>
        </w:rPr>
        <w:t xml:space="preserve">В прогнозе учтены данные по поступлению налога, предоставленные АО «СХК» и  организациями ГК «Росатом», </w:t>
      </w:r>
      <w:r>
        <w:rPr>
          <w:sz w:val="24"/>
          <w:szCs w:val="24"/>
        </w:rPr>
        <w:t xml:space="preserve">а также индексация заработной платы государственных служащих с 1 октября 2020 года на 3%, </w:t>
      </w:r>
      <w:r>
        <w:rPr>
          <w:rFonts w:ascii="Times New Roman" w:hAnsi="Times New Roman"/>
          <w:sz w:val="24"/>
          <w:szCs w:val="24"/>
          <w:lang w:eastAsia="ar-SA"/>
        </w:rPr>
        <w:t>динамика численности экономически-активного населения и демографическая ситуация в ЗАТО Северск.</w:t>
      </w:r>
    </w:p>
    <w:p>
      <w:pPr>
        <w:suppressAutoHyphens/>
        <w:ind w:firstLine="708"/>
        <w:jc w:val="both"/>
        <w:rPr>
          <w:rFonts w:ascii="Times New Roman" w:hAnsi="Times New Roman"/>
          <w:sz w:val="24"/>
          <w:lang w:eastAsia="ar-SA"/>
        </w:rPr>
      </w:pPr>
      <w:r>
        <w:rPr>
          <w:rFonts w:ascii="Times New Roman" w:hAnsi="Times New Roman"/>
          <w:sz w:val="24"/>
          <w:lang w:eastAsia="ar-SA"/>
        </w:rPr>
        <w:t>При прогнозе поступлений НДФЛ использованы данные ИФНС России по ЗАТО Северск по отчету о налоговой базе и структуре начислений по налогу на доходы физических лиц, удерживаемому налоговыми агентами, по форме 5-НДФЛ и 7-НДФЛ за 2019 год в части сумм предоставленных имущественных и социальных налоговых вычетов, а также данные о фактическом поступлении налога по организациям в 2019 году и за 9 месяцев 2020 года.</w:t>
      </w:r>
    </w:p>
    <w:p>
      <w:pPr>
        <w:ind w:firstLine="709"/>
        <w:jc w:val="both"/>
        <w:rPr>
          <w:rFonts w:ascii="Times New Roman" w:hAnsi="Times New Roman"/>
          <w:sz w:val="24"/>
          <w:lang w:eastAsia="ar-SA"/>
        </w:rPr>
      </w:pPr>
      <w:r>
        <w:rPr>
          <w:rFonts w:ascii="Times New Roman" w:hAnsi="Times New Roman"/>
          <w:sz w:val="24"/>
          <w:lang w:eastAsia="ar-SA"/>
        </w:rPr>
        <w:t xml:space="preserve">Прогноз поступления налога выполнен исходя из норматива зачисления в бюджет ЗАТО Северск в следующих размерах: </w:t>
      </w:r>
    </w:p>
    <w:p>
      <w:pPr>
        <w:ind w:firstLine="709"/>
        <w:jc w:val="both"/>
        <w:rPr>
          <w:rFonts w:ascii="Times New Roman" w:hAnsi="Times New Roman"/>
          <w:sz w:val="24"/>
          <w:lang w:eastAsia="ar-SA"/>
        </w:rPr>
      </w:pPr>
      <w:r>
        <w:rPr>
          <w:rFonts w:ascii="Times New Roman" w:hAnsi="Times New Roman"/>
          <w:sz w:val="24"/>
          <w:lang w:eastAsia="ar-SA"/>
        </w:rPr>
        <w:t>- на 2021 год в размере 36,61%;</w:t>
      </w:r>
    </w:p>
    <w:p>
      <w:pPr>
        <w:ind w:firstLine="709"/>
        <w:jc w:val="both"/>
        <w:rPr>
          <w:rFonts w:ascii="Times New Roman" w:hAnsi="Times New Roman"/>
          <w:sz w:val="24"/>
          <w:lang w:eastAsia="ar-SA"/>
        </w:rPr>
      </w:pPr>
      <w:r>
        <w:rPr>
          <w:rFonts w:ascii="Times New Roman" w:hAnsi="Times New Roman"/>
          <w:sz w:val="24"/>
          <w:lang w:eastAsia="ar-SA"/>
        </w:rPr>
        <w:t>- на 2022 год в размере 35,11%;</w:t>
      </w:r>
    </w:p>
    <w:p>
      <w:pPr>
        <w:ind w:firstLine="709"/>
        <w:jc w:val="both"/>
        <w:rPr>
          <w:rFonts w:ascii="Times New Roman" w:hAnsi="Times New Roman"/>
          <w:sz w:val="24"/>
          <w:lang w:eastAsia="ar-SA"/>
        </w:rPr>
      </w:pPr>
      <w:r>
        <w:rPr>
          <w:rFonts w:ascii="Times New Roman" w:hAnsi="Times New Roman"/>
          <w:sz w:val="24"/>
          <w:lang w:eastAsia="ar-SA"/>
        </w:rPr>
        <w:t>- на 2023 год в размере 34,47%.</w:t>
      </w:r>
    </w:p>
    <w:p>
      <w:pPr>
        <w:ind w:firstLine="709"/>
        <w:jc w:val="both"/>
        <w:rPr>
          <w:rFonts w:ascii="Times New Roman" w:hAnsi="Times New Roman"/>
          <w:sz w:val="24"/>
          <w:lang w:eastAsia="ar-SA"/>
        </w:rPr>
      </w:pPr>
      <w:r>
        <w:rPr>
          <w:rFonts w:ascii="Times New Roman" w:hAnsi="Times New Roman"/>
          <w:sz w:val="24"/>
          <w:lang w:eastAsia="ar-SA"/>
        </w:rPr>
        <w:lastRenderedPageBreak/>
        <w:t>Снижение суммарного норматива зачисления НДФЛ в бюджет ЗАТО Северск обусловлено ежегодным снижением дополнительного норматива отчислений согласно проекту Закона Томской области «Об областном бюджете на 2021 год и на плановый период 2022 и 2023 годов»: на 2021 год в размере 11,61%, на 2022 год – 10,11%, на 2023 год – 9,47%.</w:t>
      </w:r>
    </w:p>
    <w:p>
      <w:pPr>
        <w:suppressAutoHyphens/>
        <w:ind w:firstLine="709"/>
        <w:jc w:val="both"/>
        <w:rPr>
          <w:rFonts w:ascii="Times New Roman" w:hAnsi="Times New Roman"/>
          <w:sz w:val="24"/>
          <w:lang w:eastAsia="ar-SA"/>
        </w:rPr>
      </w:pPr>
      <w:r>
        <w:rPr>
          <w:rFonts w:ascii="Times New Roman" w:hAnsi="Times New Roman"/>
          <w:sz w:val="24"/>
          <w:lang w:eastAsia="ar-SA"/>
        </w:rPr>
        <w:t>Поступление НДФЛ на 2021 год прогнозируется в сумме 737 747,17 тыс.руб., что на 6 580,33 тыс.руб. (на 0,9%) больше оценки 2020 года, на 2022 год - в сумме 723 857,34 тыс.руб., на 2023 год - в сумме 726 545,73 тыс.руб.</w:t>
      </w:r>
    </w:p>
    <w:p>
      <w:pPr>
        <w:spacing w:before="60" w:after="120"/>
        <w:ind w:firstLine="567"/>
        <w:jc w:val="both"/>
        <w:rPr>
          <w:sz w:val="24"/>
          <w:szCs w:val="24"/>
        </w:rPr>
      </w:pPr>
      <w:r>
        <w:rPr>
          <w:sz w:val="24"/>
          <w:szCs w:val="24"/>
        </w:rPr>
        <w:t xml:space="preserve">Таблица 4 - Расчет налога на доходы физических лиц </w:t>
      </w:r>
    </w:p>
    <w:tbl>
      <w:tblPr>
        <w:tblW w:w="9601" w:type="dxa"/>
        <w:tblInd w:w="113" w:type="dxa"/>
        <w:tblLook w:val="04A0" w:firstRow="1" w:lastRow="0" w:firstColumn="1" w:lastColumn="0" w:noHBand="0" w:noVBand="1"/>
      </w:tblPr>
      <w:tblGrid>
        <w:gridCol w:w="598"/>
        <w:gridCol w:w="2658"/>
        <w:gridCol w:w="1123"/>
        <w:gridCol w:w="1116"/>
        <w:gridCol w:w="1179"/>
        <w:gridCol w:w="681"/>
        <w:gridCol w:w="1123"/>
        <w:gridCol w:w="1123"/>
      </w:tblGrid>
      <w:tr>
        <w:trPr>
          <w:trHeight w:val="203"/>
        </w:trPr>
        <w:tc>
          <w:tcPr>
            <w:tcW w:w="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 п/п</w:t>
            </w:r>
          </w:p>
        </w:tc>
        <w:tc>
          <w:tcPr>
            <w:tcW w:w="2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Наименование</w:t>
            </w:r>
            <w:r>
              <w:rPr>
                <w:rFonts w:ascii="Times New Roman" w:hAnsi="Times New Roman"/>
              </w:rPr>
              <w:br/>
              <w:t>показателя</w:t>
            </w: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2020 год, тыс.руб.</w:t>
            </w:r>
          </w:p>
        </w:tc>
        <w:tc>
          <w:tcPr>
            <w:tcW w:w="1860" w:type="dxa"/>
            <w:gridSpan w:val="2"/>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 xml:space="preserve">2021 год </w:t>
            </w:r>
          </w:p>
        </w:tc>
        <w:tc>
          <w:tcPr>
            <w:tcW w:w="1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Прогноз 2022 года, тыс.руб.</w:t>
            </w:r>
          </w:p>
        </w:tc>
        <w:tc>
          <w:tcPr>
            <w:tcW w:w="1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 xml:space="preserve">Прогноз 2023 года, тыс.руб. </w:t>
            </w:r>
          </w:p>
        </w:tc>
      </w:tr>
      <w:tr>
        <w:trPr>
          <w:trHeight w:val="585"/>
        </w:trPr>
        <w:tc>
          <w:tcPr>
            <w:tcW w:w="59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rPr>
                <w:rFonts w:ascii="Times New Roman" w:hAnsi="Times New Roman"/>
              </w:rPr>
            </w:pPr>
          </w:p>
        </w:tc>
        <w:tc>
          <w:tcPr>
            <w:tcW w:w="26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rPr>
                <w:rFonts w:ascii="Times New Roman" w:hAnsi="Times New Roman"/>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Первонач. утверждено</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Оценка</w:t>
            </w:r>
          </w:p>
        </w:tc>
        <w:tc>
          <w:tcPr>
            <w:tcW w:w="1179"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Прогноз, тыс.руб.</w:t>
            </w:r>
          </w:p>
        </w:tc>
        <w:tc>
          <w:tcPr>
            <w:tcW w:w="681" w:type="dxa"/>
            <w:tcBorders>
              <w:top w:val="nil"/>
              <w:left w:val="nil"/>
              <w:bottom w:val="single" w:sz="4" w:space="0" w:color="auto"/>
              <w:right w:val="single" w:sz="4" w:space="0" w:color="auto"/>
            </w:tcBorders>
            <w:shd w:val="clear" w:color="auto" w:fill="auto"/>
            <w:vAlign w:val="center"/>
            <w:hideMark/>
          </w:tcPr>
          <w:p>
            <w:pPr>
              <w:ind w:left="-108" w:right="-108"/>
              <w:jc w:val="center"/>
              <w:rPr>
                <w:rFonts w:ascii="Times New Roman" w:hAnsi="Times New Roman"/>
              </w:rPr>
            </w:pPr>
            <w:r>
              <w:rPr>
                <w:rFonts w:ascii="Times New Roman" w:hAnsi="Times New Roman"/>
                <w:sz w:val="19"/>
                <w:szCs w:val="19"/>
              </w:rPr>
              <w:t>% к оценке 2020г</w:t>
            </w:r>
            <w:r>
              <w:rPr>
                <w:rFonts w:ascii="Times New Roman" w:hAnsi="Times New Roman"/>
              </w:rPr>
              <w:t>.</w:t>
            </w:r>
          </w:p>
        </w:tc>
        <w:tc>
          <w:tcPr>
            <w:tcW w:w="112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rPr>
            </w:pPr>
          </w:p>
        </w:tc>
        <w:tc>
          <w:tcPr>
            <w:tcW w:w="112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rPr>
            </w:pPr>
          </w:p>
        </w:tc>
      </w:tr>
      <w:tr>
        <w:trPr>
          <w:trHeight w:val="437"/>
        </w:trPr>
        <w:tc>
          <w:tcPr>
            <w:tcW w:w="59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rPr>
                <w:rFonts w:ascii="Times New Roman" w:hAnsi="Times New Roman"/>
              </w:rPr>
            </w:pPr>
          </w:p>
        </w:tc>
        <w:tc>
          <w:tcPr>
            <w:tcW w:w="26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rPr>
                <w:rFonts w:ascii="Times New Roman" w:hAnsi="Times New Roman"/>
              </w:rPr>
            </w:pPr>
          </w:p>
        </w:tc>
        <w:tc>
          <w:tcPr>
            <w:tcW w:w="2239" w:type="dxa"/>
            <w:gridSpan w:val="2"/>
            <w:tcBorders>
              <w:top w:val="single" w:sz="4" w:space="0" w:color="auto"/>
              <w:left w:val="nil"/>
              <w:bottom w:val="single" w:sz="4" w:space="0" w:color="auto"/>
              <w:right w:val="single" w:sz="4" w:space="0" w:color="auto"/>
            </w:tcBorders>
            <w:shd w:val="clear" w:color="auto" w:fill="auto"/>
            <w:vAlign w:val="center"/>
          </w:tcPr>
          <w:p>
            <w:pPr>
              <w:ind w:left="-57" w:right="-57"/>
              <w:jc w:val="center"/>
              <w:rPr>
                <w:rFonts w:ascii="Times New Roman" w:hAnsi="Times New Roman"/>
              </w:rPr>
            </w:pPr>
            <w:r>
              <w:rPr>
                <w:rFonts w:ascii="Times New Roman" w:hAnsi="Times New Roman"/>
              </w:rPr>
              <w:t>Доп.норм. 12,26%</w:t>
            </w:r>
          </w:p>
        </w:tc>
        <w:tc>
          <w:tcPr>
            <w:tcW w:w="1860" w:type="dxa"/>
            <w:gridSpan w:val="2"/>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Доп.норм. 11,61%</w:t>
            </w:r>
          </w:p>
        </w:tc>
        <w:tc>
          <w:tcPr>
            <w:tcW w:w="1123"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Доп.норм. 10,11%</w:t>
            </w:r>
          </w:p>
        </w:tc>
        <w:tc>
          <w:tcPr>
            <w:tcW w:w="1123"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Доп.норм. 9,47%</w:t>
            </w:r>
          </w:p>
        </w:tc>
      </w:tr>
      <w:tr>
        <w:trPr>
          <w:trHeight w:val="460"/>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rPr>
            </w:pPr>
            <w:r>
              <w:rPr>
                <w:rFonts w:ascii="Times New Roman" w:hAnsi="Times New Roman"/>
              </w:rPr>
              <w:t>1</w:t>
            </w:r>
          </w:p>
        </w:tc>
        <w:tc>
          <w:tcPr>
            <w:tcW w:w="2658" w:type="dxa"/>
            <w:tcBorders>
              <w:top w:val="nil"/>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r>
              <w:rPr>
                <w:rFonts w:ascii="Times New Roman" w:hAnsi="Times New Roman"/>
                <w:sz w:val="22"/>
                <w:szCs w:val="22"/>
              </w:rPr>
              <w:t xml:space="preserve">НДФЛ от налоговых агентов… </w:t>
            </w:r>
          </w:p>
        </w:tc>
        <w:tc>
          <w:tcPr>
            <w:tcW w:w="1123"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715 754,91</w:t>
            </w:r>
          </w:p>
        </w:tc>
        <w:tc>
          <w:tcPr>
            <w:tcW w:w="1116" w:type="dxa"/>
            <w:tcBorders>
              <w:top w:val="nil"/>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722 479,67</w:t>
            </w:r>
          </w:p>
        </w:tc>
        <w:tc>
          <w:tcPr>
            <w:tcW w:w="1179"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728 948,74</w:t>
            </w:r>
          </w:p>
        </w:tc>
        <w:tc>
          <w:tcPr>
            <w:tcW w:w="681"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100,9</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715 250,64</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717 918,47</w:t>
            </w:r>
          </w:p>
        </w:tc>
      </w:tr>
      <w:tr>
        <w:trPr>
          <w:trHeight w:val="555"/>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rPr>
            </w:pPr>
            <w:r>
              <w:rPr>
                <w:rFonts w:ascii="Times New Roman" w:hAnsi="Times New Roman"/>
              </w:rPr>
              <w:t>2</w:t>
            </w:r>
          </w:p>
        </w:tc>
        <w:tc>
          <w:tcPr>
            <w:tcW w:w="2658" w:type="dxa"/>
            <w:tcBorders>
              <w:top w:val="nil"/>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r>
              <w:rPr>
                <w:rFonts w:ascii="Times New Roman" w:hAnsi="Times New Roman"/>
                <w:sz w:val="22"/>
                <w:szCs w:val="22"/>
              </w:rPr>
              <w:t>НДФЛ от индивидуальных предпринимателей, нотариусов...</w:t>
            </w:r>
          </w:p>
        </w:tc>
        <w:tc>
          <w:tcPr>
            <w:tcW w:w="1123"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2 621,40</w:t>
            </w:r>
          </w:p>
        </w:tc>
        <w:tc>
          <w:tcPr>
            <w:tcW w:w="111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4 050,00</w:t>
            </w:r>
          </w:p>
        </w:tc>
        <w:tc>
          <w:tcPr>
            <w:tcW w:w="1179"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4 101,87</w:t>
            </w:r>
          </w:p>
        </w:tc>
        <w:tc>
          <w:tcPr>
            <w:tcW w:w="681"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101,3</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4 012,48</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4 022,07</w:t>
            </w:r>
          </w:p>
        </w:tc>
      </w:tr>
      <w:tr>
        <w:trPr>
          <w:trHeight w:val="449"/>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rPr>
            </w:pPr>
            <w:r>
              <w:rPr>
                <w:rFonts w:ascii="Times New Roman" w:hAnsi="Times New Roman"/>
              </w:rPr>
              <w:t>3</w:t>
            </w:r>
          </w:p>
        </w:tc>
        <w:tc>
          <w:tcPr>
            <w:tcW w:w="2658" w:type="dxa"/>
            <w:tcBorders>
              <w:top w:val="nil"/>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r>
              <w:rPr>
                <w:rFonts w:ascii="Times New Roman" w:hAnsi="Times New Roman"/>
                <w:sz w:val="22"/>
                <w:szCs w:val="22"/>
              </w:rPr>
              <w:t>НДФЛ в соответствии со статьей 228 НК РФ</w:t>
            </w:r>
          </w:p>
        </w:tc>
        <w:tc>
          <w:tcPr>
            <w:tcW w:w="1123"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6 065,77</w:t>
            </w:r>
          </w:p>
        </w:tc>
        <w:tc>
          <w:tcPr>
            <w:tcW w:w="111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4 637,17</w:t>
            </w:r>
          </w:p>
        </w:tc>
        <w:tc>
          <w:tcPr>
            <w:tcW w:w="1179"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4 696,56</w:t>
            </w:r>
          </w:p>
        </w:tc>
        <w:tc>
          <w:tcPr>
            <w:tcW w:w="681"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101,3</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4 594,22</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4 605,19</w:t>
            </w:r>
          </w:p>
        </w:tc>
      </w:tr>
      <w:tr>
        <w:trPr>
          <w:trHeight w:val="377"/>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rPr>
            </w:pPr>
            <w:r>
              <w:rPr>
                <w:rFonts w:ascii="Times New Roman" w:hAnsi="Times New Roman"/>
              </w:rPr>
              <w:t>5</w:t>
            </w:r>
          </w:p>
        </w:tc>
        <w:tc>
          <w:tcPr>
            <w:tcW w:w="2658" w:type="dxa"/>
            <w:tcBorders>
              <w:top w:val="nil"/>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r>
              <w:rPr>
                <w:rFonts w:ascii="Times New Roman" w:hAnsi="Times New Roman"/>
                <w:sz w:val="22"/>
                <w:szCs w:val="22"/>
              </w:rPr>
              <w:t>Итого</w:t>
            </w:r>
          </w:p>
        </w:tc>
        <w:tc>
          <w:tcPr>
            <w:tcW w:w="1123"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724 442,08</w:t>
            </w:r>
          </w:p>
        </w:tc>
        <w:tc>
          <w:tcPr>
            <w:tcW w:w="1116" w:type="dxa"/>
            <w:tcBorders>
              <w:top w:val="nil"/>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731 166,84</w:t>
            </w:r>
          </w:p>
        </w:tc>
        <w:tc>
          <w:tcPr>
            <w:tcW w:w="1179"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737 747,17</w:t>
            </w:r>
          </w:p>
        </w:tc>
        <w:tc>
          <w:tcPr>
            <w:tcW w:w="681"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100,9</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723 857,34</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726 545,73</w:t>
            </w:r>
          </w:p>
        </w:tc>
      </w:tr>
      <w:tr>
        <w:trPr>
          <w:trHeight w:val="284"/>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rPr>
            </w:pPr>
            <w:r>
              <w:rPr>
                <w:rFonts w:ascii="Times New Roman" w:hAnsi="Times New Roman"/>
              </w:rPr>
              <w:t>6</w:t>
            </w:r>
          </w:p>
        </w:tc>
        <w:tc>
          <w:tcPr>
            <w:tcW w:w="2658" w:type="dxa"/>
            <w:tcBorders>
              <w:top w:val="nil"/>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r>
              <w:rPr>
                <w:rFonts w:ascii="Times New Roman" w:hAnsi="Times New Roman"/>
                <w:sz w:val="22"/>
                <w:szCs w:val="22"/>
              </w:rPr>
              <w:t>в т.ч. по нормативу 25%</w:t>
            </w:r>
          </w:p>
        </w:tc>
        <w:tc>
          <w:tcPr>
            <w:tcW w:w="1123"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486 072,25</w:t>
            </w:r>
          </w:p>
        </w:tc>
        <w:tc>
          <w:tcPr>
            <w:tcW w:w="1116" w:type="dxa"/>
            <w:tcBorders>
              <w:top w:val="nil"/>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490 584,30</w:t>
            </w:r>
          </w:p>
        </w:tc>
        <w:tc>
          <w:tcPr>
            <w:tcW w:w="1179"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503 788,02</w:t>
            </w:r>
          </w:p>
        </w:tc>
        <w:tc>
          <w:tcPr>
            <w:tcW w:w="681"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102,7</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515 421,06</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highlight w:val="yellow"/>
              </w:rPr>
            </w:pPr>
            <w:r>
              <w:rPr>
                <w:rFonts w:ascii="Times New Roman" w:hAnsi="Times New Roman"/>
              </w:rPr>
              <w:t>526 940,62</w:t>
            </w:r>
          </w:p>
        </w:tc>
      </w:tr>
      <w:tr>
        <w:trPr>
          <w:trHeight w:val="284"/>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rPr>
            </w:pPr>
            <w:r>
              <w:rPr>
                <w:rFonts w:ascii="Times New Roman" w:hAnsi="Times New Roman"/>
              </w:rPr>
              <w:t>7</w:t>
            </w:r>
          </w:p>
        </w:tc>
        <w:tc>
          <w:tcPr>
            <w:tcW w:w="2658" w:type="dxa"/>
            <w:tcBorders>
              <w:top w:val="nil"/>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r>
              <w:rPr>
                <w:rFonts w:ascii="Times New Roman" w:hAnsi="Times New Roman"/>
                <w:sz w:val="22"/>
                <w:szCs w:val="22"/>
              </w:rPr>
              <w:t>по доп.нормативу</w:t>
            </w:r>
          </w:p>
        </w:tc>
        <w:tc>
          <w:tcPr>
            <w:tcW w:w="1123"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238 369,83</w:t>
            </w:r>
          </w:p>
        </w:tc>
        <w:tc>
          <w:tcPr>
            <w:tcW w:w="1116" w:type="dxa"/>
            <w:tcBorders>
              <w:top w:val="nil"/>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240 582,54</w:t>
            </w:r>
          </w:p>
        </w:tc>
        <w:tc>
          <w:tcPr>
            <w:tcW w:w="1179" w:type="dxa"/>
            <w:tcBorders>
              <w:top w:val="nil"/>
              <w:left w:val="nil"/>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233 959,15</w:t>
            </w:r>
          </w:p>
        </w:tc>
        <w:tc>
          <w:tcPr>
            <w:tcW w:w="681"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97,2</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208 436,28</w:t>
            </w:r>
          </w:p>
        </w:tc>
        <w:tc>
          <w:tcPr>
            <w:tcW w:w="1123"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highlight w:val="yellow"/>
              </w:rPr>
            </w:pPr>
            <w:r>
              <w:rPr>
                <w:rFonts w:ascii="Times New Roman" w:hAnsi="Times New Roman"/>
              </w:rPr>
              <w:t>199 605,11</w:t>
            </w:r>
          </w:p>
        </w:tc>
      </w:tr>
    </w:tbl>
    <w:p>
      <w:pPr>
        <w:suppressAutoHyphens/>
        <w:spacing w:before="120"/>
        <w:ind w:firstLine="709"/>
        <w:jc w:val="both"/>
        <w:rPr>
          <w:rFonts w:ascii="Times New Roman" w:hAnsi="Times New Roman"/>
          <w:sz w:val="24"/>
          <w:lang w:eastAsia="ar-SA"/>
        </w:rPr>
      </w:pPr>
      <w:r>
        <w:rPr>
          <w:rFonts w:ascii="Times New Roman" w:hAnsi="Times New Roman"/>
          <w:sz w:val="24"/>
          <w:lang w:eastAsia="ar-SA"/>
        </w:rPr>
        <w:t xml:space="preserve">Доля поступлений НДФЛ в структуре налоговых и неналоговых доходов в 2021 году составит 66,4%, в общей сумме доходов бюджета ЗАТО Северск – 18,1%. </w:t>
      </w:r>
    </w:p>
    <w:p>
      <w:pPr>
        <w:suppressAutoHyphens/>
        <w:ind w:firstLine="708"/>
        <w:jc w:val="both"/>
        <w:rPr>
          <w:rFonts w:ascii="Times New Roman" w:hAnsi="Times New Roman"/>
          <w:sz w:val="24"/>
          <w:lang w:eastAsia="ar-SA"/>
        </w:rPr>
      </w:pPr>
      <w:r>
        <w:rPr>
          <w:rFonts w:ascii="Times New Roman" w:hAnsi="Times New Roman"/>
          <w:sz w:val="24"/>
          <w:lang w:eastAsia="ar-SA"/>
        </w:rPr>
        <w:t>В 2022 и 2023 годах доля НДФЛ в структуре налоговых и неналоговых доходов составит по 64,8% и 65,1% соответственно, в общей сумме доходов – 20,2% и 20,5% соответственно.</w:t>
      </w:r>
    </w:p>
    <w:p>
      <w:pPr>
        <w:suppressAutoHyphens/>
        <w:spacing w:before="240" w:after="120"/>
        <w:jc w:val="center"/>
        <w:rPr>
          <w:rFonts w:ascii="Times New Roman" w:hAnsi="Times New Roman"/>
          <w:b/>
          <w:sz w:val="24"/>
          <w:lang w:eastAsia="ar-SA"/>
        </w:rPr>
      </w:pPr>
      <w:r>
        <w:rPr>
          <w:rFonts w:ascii="Times New Roman" w:hAnsi="Times New Roman"/>
          <w:b/>
          <w:sz w:val="24"/>
          <w:lang w:eastAsia="ar-SA"/>
        </w:rPr>
        <w:t xml:space="preserve">1.3.2. Акцизы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szCs w:val="24"/>
          <w:lang w:eastAsia="ar-SA"/>
        </w:rPr>
        <w:t xml:space="preserve">Прогноз поступлений акцизов </w:t>
      </w:r>
      <w:r>
        <w:rPr>
          <w:rFonts w:ascii="Times New Roman" w:hAnsi="Times New Roman"/>
          <w:sz w:val="24"/>
          <w:lang w:eastAsia="ar-SA"/>
        </w:rPr>
        <w:t>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w:t>
      </w:r>
      <w:r>
        <w:rPr>
          <w:rFonts w:ascii="Times New Roman" w:hAnsi="Times New Roman"/>
          <w:sz w:val="24"/>
          <w:szCs w:val="24"/>
          <w:lang w:eastAsia="ar-SA"/>
        </w:rPr>
        <w:t xml:space="preserve"> </w:t>
      </w:r>
      <w:r>
        <w:rPr>
          <w:rFonts w:ascii="Times New Roman" w:hAnsi="Times New Roman"/>
          <w:sz w:val="24"/>
          <w:lang w:eastAsia="ar-SA"/>
        </w:rPr>
        <w:t xml:space="preserve">(далее – акцизы) </w:t>
      </w:r>
      <w:r>
        <w:rPr>
          <w:rFonts w:ascii="Times New Roman" w:hAnsi="Times New Roman"/>
          <w:sz w:val="24"/>
          <w:szCs w:val="24"/>
          <w:lang w:eastAsia="ar-SA"/>
        </w:rPr>
        <w:t xml:space="preserve">в бюджет ЗАТО Северск составлен </w:t>
      </w:r>
      <w:r>
        <w:rPr>
          <w:rFonts w:ascii="Times New Roman" w:hAnsi="Times New Roman"/>
          <w:sz w:val="24"/>
          <w:lang w:eastAsia="ar-SA"/>
        </w:rPr>
        <w:t>на основании данных Департамента финансов Томской области (от 08.09.2020 № 50-05/24-248):</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lang w:eastAsia="ar-SA"/>
        </w:rPr>
        <w:t>- на 2021 год в сумме 9 932,00 тыс.руб., что на 1 526,00 тыс.руб. больше оценки 2020 года (на 18,2%);</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lang w:eastAsia="ar-SA"/>
        </w:rPr>
        <w:t>- на 2022 год в сумме 10 324,00 тыс.руб.;</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lang w:eastAsia="ar-SA"/>
        </w:rPr>
        <w:t xml:space="preserve">- на 2023 год в сумме 11 351,00 тыс.руб. </w:t>
      </w:r>
    </w:p>
    <w:p>
      <w:pPr>
        <w:shd w:val="clear" w:color="auto" w:fill="FFFFFF" w:themeFill="background1"/>
        <w:ind w:right="43" w:firstLine="709"/>
        <w:jc w:val="both"/>
        <w:rPr>
          <w:rFonts w:ascii="Times New Roman" w:hAnsi="Times New Roman"/>
          <w:sz w:val="24"/>
          <w:szCs w:val="24"/>
        </w:rPr>
      </w:pPr>
      <w:r>
        <w:rPr>
          <w:rFonts w:ascii="Times New Roman" w:hAnsi="Times New Roman"/>
          <w:sz w:val="24"/>
          <w:szCs w:val="24"/>
        </w:rPr>
        <w:t>На прогноз поступления акцизов оказывают влияние нормы федерального и регионального законодательства, а именно:</w:t>
      </w:r>
    </w:p>
    <w:p>
      <w:pPr>
        <w:shd w:val="clear" w:color="auto" w:fill="FFFFFF" w:themeFill="background1"/>
        <w:ind w:right="43" w:firstLine="709"/>
        <w:jc w:val="both"/>
        <w:rPr>
          <w:rFonts w:ascii="Times New Roman" w:hAnsi="Times New Roman"/>
          <w:sz w:val="24"/>
          <w:szCs w:val="24"/>
        </w:rPr>
      </w:pPr>
      <w:r>
        <w:rPr>
          <w:rFonts w:ascii="Times New Roman" w:hAnsi="Times New Roman"/>
          <w:sz w:val="24"/>
          <w:szCs w:val="24"/>
        </w:rPr>
        <w:t>- норматив межбюджетного распределения, составляющий:</w:t>
      </w:r>
    </w:p>
    <w:p>
      <w:pPr>
        <w:numPr>
          <w:ilvl w:val="0"/>
          <w:numId w:val="41"/>
        </w:numPr>
        <w:shd w:val="clear" w:color="auto" w:fill="FFFFFF" w:themeFill="background1"/>
        <w:ind w:left="1134" w:right="43" w:hanging="283"/>
        <w:jc w:val="both"/>
        <w:rPr>
          <w:rFonts w:ascii="Times New Roman" w:hAnsi="Times New Roman"/>
          <w:sz w:val="24"/>
          <w:szCs w:val="24"/>
        </w:rPr>
      </w:pPr>
      <w:r>
        <w:rPr>
          <w:rFonts w:ascii="Times New Roman" w:hAnsi="Times New Roman"/>
          <w:sz w:val="24"/>
          <w:szCs w:val="24"/>
        </w:rPr>
        <w:t>на 2021 год: 74,9% в бюджеты субъектов и 25,1% в федеральный бюджет;</w:t>
      </w:r>
    </w:p>
    <w:p>
      <w:pPr>
        <w:numPr>
          <w:ilvl w:val="0"/>
          <w:numId w:val="41"/>
        </w:numPr>
        <w:shd w:val="clear" w:color="auto" w:fill="FFFFFF" w:themeFill="background1"/>
        <w:ind w:left="1134" w:right="43" w:hanging="283"/>
        <w:jc w:val="both"/>
        <w:rPr>
          <w:rFonts w:ascii="Times New Roman" w:hAnsi="Times New Roman"/>
          <w:sz w:val="24"/>
          <w:szCs w:val="24"/>
        </w:rPr>
      </w:pPr>
      <w:r>
        <w:rPr>
          <w:rFonts w:ascii="Times New Roman" w:hAnsi="Times New Roman"/>
          <w:sz w:val="24"/>
          <w:szCs w:val="24"/>
        </w:rPr>
        <w:t>на 2022 год: 83,3% в бюджеты субъектов и 16,7% в федеральный бюджет;</w:t>
      </w:r>
    </w:p>
    <w:p>
      <w:pPr>
        <w:numPr>
          <w:ilvl w:val="0"/>
          <w:numId w:val="41"/>
        </w:numPr>
        <w:shd w:val="clear" w:color="auto" w:fill="FFFFFF" w:themeFill="background1"/>
        <w:ind w:left="1134" w:right="43" w:hanging="283"/>
        <w:jc w:val="both"/>
        <w:rPr>
          <w:rFonts w:ascii="Times New Roman" w:hAnsi="Times New Roman"/>
          <w:sz w:val="24"/>
          <w:szCs w:val="24"/>
        </w:rPr>
      </w:pPr>
      <w:r>
        <w:rPr>
          <w:rFonts w:ascii="Times New Roman" w:hAnsi="Times New Roman"/>
          <w:sz w:val="24"/>
          <w:szCs w:val="24"/>
        </w:rPr>
        <w:t>на 2023 год: 91,6% в бюджеты субъектов и 8,4% в федеральный бюджет;</w:t>
      </w:r>
    </w:p>
    <w:p>
      <w:pPr>
        <w:shd w:val="clear" w:color="auto" w:fill="FFFFFF" w:themeFill="background1"/>
        <w:ind w:right="43" w:firstLine="709"/>
        <w:jc w:val="both"/>
        <w:rPr>
          <w:rFonts w:ascii="Times New Roman" w:hAnsi="Times New Roman"/>
          <w:sz w:val="24"/>
          <w:szCs w:val="24"/>
        </w:rPr>
      </w:pPr>
      <w:r>
        <w:rPr>
          <w:rFonts w:ascii="Times New Roman" w:hAnsi="Times New Roman"/>
          <w:sz w:val="24"/>
          <w:szCs w:val="24"/>
        </w:rPr>
        <w:t xml:space="preserve">- дифференцированный норматив отчислений в бюджет ЗАТО Северск </w:t>
      </w:r>
      <w:r>
        <w:rPr>
          <w:rFonts w:ascii="Times New Roman" w:hAnsi="Times New Roman"/>
          <w:sz w:val="24"/>
          <w:lang w:eastAsia="ar-SA"/>
        </w:rPr>
        <w:t xml:space="preserve">согласно проекту Закона Томской области «Об областном бюджете на 2021 год и на плановый период 2022 и 2023 годов» на 2021 – 2023 годы </w:t>
      </w:r>
      <w:r>
        <w:rPr>
          <w:rFonts w:ascii="Times New Roman" w:hAnsi="Times New Roman"/>
          <w:sz w:val="24"/>
          <w:szCs w:val="24"/>
        </w:rPr>
        <w:t>в размере 0,35689% ежегодно;</w:t>
      </w:r>
    </w:p>
    <w:p>
      <w:pPr>
        <w:shd w:val="clear" w:color="auto" w:fill="FFFFFF" w:themeFill="background1"/>
        <w:ind w:right="43" w:firstLine="709"/>
        <w:jc w:val="both"/>
        <w:rPr>
          <w:rFonts w:ascii="Times New Roman" w:hAnsi="Times New Roman"/>
          <w:sz w:val="24"/>
          <w:szCs w:val="24"/>
        </w:rPr>
      </w:pPr>
      <w:r>
        <w:rPr>
          <w:rFonts w:ascii="Times New Roman" w:hAnsi="Times New Roman"/>
          <w:sz w:val="24"/>
          <w:szCs w:val="24"/>
        </w:rPr>
        <w:t>- рост ставок акцизов на нефтепродукты в 2021-2023 годах на 4% ежегодно.</w:t>
      </w:r>
    </w:p>
    <w:p>
      <w:pPr>
        <w:ind w:right="43" w:firstLine="709"/>
        <w:jc w:val="both"/>
        <w:rPr>
          <w:rFonts w:ascii="Times New Roman" w:hAnsi="Times New Roman"/>
          <w:sz w:val="24"/>
        </w:rPr>
      </w:pPr>
      <w:r>
        <w:rPr>
          <w:rFonts w:ascii="Times New Roman" w:hAnsi="Times New Roman"/>
          <w:sz w:val="24"/>
          <w:szCs w:val="24"/>
        </w:rPr>
        <w:lastRenderedPageBreak/>
        <w:t>Доля поступлений акцизов в 2021 году в структуре</w:t>
      </w:r>
      <w:r>
        <w:rPr>
          <w:rFonts w:ascii="Times New Roman" w:hAnsi="Times New Roman"/>
          <w:sz w:val="24"/>
        </w:rPr>
        <w:t xml:space="preserve"> налоговых и неналоговых доходов составит 0,9%, в общей сумме доходов бюджета ЗАТО Северск – 0,2%. В 2022 и 2023 годах доля в структуре налоговых и неналоговых доходов составит 0,9% и 1,0% соответственно, в общей сумме доходов по 0,3% ежегодно.</w:t>
      </w:r>
    </w:p>
    <w:p>
      <w:pPr>
        <w:suppressAutoHyphens/>
        <w:jc w:val="center"/>
        <w:rPr>
          <w:rFonts w:ascii="Times New Roman" w:hAnsi="Times New Roman"/>
          <w:b/>
          <w:sz w:val="16"/>
          <w:szCs w:val="16"/>
          <w:lang w:eastAsia="ar-SA"/>
        </w:rPr>
      </w:pPr>
    </w:p>
    <w:p>
      <w:pPr>
        <w:suppressAutoHyphens/>
        <w:jc w:val="center"/>
        <w:rPr>
          <w:rFonts w:ascii="Times New Roman" w:hAnsi="Times New Roman"/>
          <w:b/>
          <w:sz w:val="24"/>
          <w:lang w:eastAsia="ar-SA"/>
        </w:rPr>
      </w:pPr>
      <w:r>
        <w:rPr>
          <w:rFonts w:ascii="Times New Roman" w:hAnsi="Times New Roman"/>
          <w:b/>
          <w:sz w:val="24"/>
          <w:lang w:eastAsia="ar-SA"/>
        </w:rPr>
        <w:t xml:space="preserve">1.3.3. Налог, взимаемый в связи с применением </w:t>
      </w:r>
    </w:p>
    <w:p>
      <w:pPr>
        <w:shd w:val="clear" w:color="auto" w:fill="FFFFFF" w:themeFill="background1"/>
        <w:suppressAutoHyphens/>
        <w:spacing w:after="120"/>
        <w:jc w:val="center"/>
        <w:rPr>
          <w:rFonts w:ascii="Times New Roman" w:hAnsi="Times New Roman"/>
          <w:b/>
          <w:sz w:val="24"/>
          <w:lang w:eastAsia="ar-SA"/>
        </w:rPr>
      </w:pPr>
      <w:r>
        <w:rPr>
          <w:rFonts w:ascii="Times New Roman" w:hAnsi="Times New Roman"/>
          <w:b/>
          <w:sz w:val="24"/>
          <w:lang w:eastAsia="ar-SA"/>
        </w:rPr>
        <w:t>упрощенной системы налогообложения</w:t>
      </w:r>
    </w:p>
    <w:p>
      <w:pPr>
        <w:shd w:val="clear" w:color="auto" w:fill="FFFFFF" w:themeFill="background1"/>
        <w:ind w:firstLine="709"/>
        <w:jc w:val="both"/>
        <w:rPr>
          <w:rFonts w:ascii="Times New Roman" w:hAnsi="Times New Roman"/>
          <w:sz w:val="24"/>
          <w:szCs w:val="24"/>
        </w:rPr>
      </w:pPr>
      <w:r>
        <w:rPr>
          <w:rFonts w:ascii="Times New Roman" w:hAnsi="Times New Roman"/>
          <w:sz w:val="24"/>
          <w:szCs w:val="24"/>
        </w:rPr>
        <w:t xml:space="preserve">Расчет поступления налога в бюджет ЗАТО Северск составлен в соответствии с главой 26.2 Налогового кодекса Российской Федерации, </w:t>
      </w:r>
      <w:r>
        <w:rPr>
          <w:rFonts w:ascii="Times New Roman" w:hAnsi="Times New Roman"/>
          <w:spacing w:val="-5"/>
          <w:sz w:val="24"/>
          <w:szCs w:val="24"/>
        </w:rPr>
        <w:t xml:space="preserve">Законом Томской области </w:t>
      </w:r>
      <w:r>
        <w:rPr>
          <w:rFonts w:ascii="Times New Roman" w:hAnsi="Times New Roman"/>
          <w:sz w:val="24"/>
          <w:szCs w:val="24"/>
        </w:rPr>
        <w:t>от 07.04.2009 № 51-ОЗ «Об установлении на территории Томской области налоговых ставок по налогу, взимаемому в связи с применением упрощенной системы налогообложения», согласно Методике прогнозирования налоговых доходов, на основании отчета ИФНС России по ЗАТО Северск по форме статистической отчетности 5-УСН «Отчет о налоговой базе и структуре начислений по налогу, уплачиваемому в связи с применением упрощенной системы налогообложения».</w:t>
      </w:r>
    </w:p>
    <w:p>
      <w:pPr>
        <w:shd w:val="clear" w:color="auto" w:fill="FFFFFF" w:themeFill="background1"/>
        <w:suppressAutoHyphens/>
        <w:ind w:firstLine="720"/>
        <w:jc w:val="both"/>
        <w:rPr>
          <w:rFonts w:ascii="Times New Roman" w:hAnsi="Times New Roman"/>
          <w:sz w:val="24"/>
          <w:szCs w:val="24"/>
          <w:lang w:eastAsia="ar-SA"/>
        </w:rPr>
      </w:pPr>
      <w:r>
        <w:rPr>
          <w:rFonts w:ascii="Times New Roman" w:hAnsi="Times New Roman"/>
          <w:sz w:val="24"/>
          <w:lang w:eastAsia="ar-SA"/>
        </w:rPr>
        <w:t xml:space="preserve">В соответствии с </w:t>
      </w:r>
      <w:r>
        <w:rPr>
          <w:rFonts w:ascii="Times New Roman" w:hAnsi="Times New Roman"/>
          <w:spacing w:val="-5"/>
          <w:sz w:val="24"/>
          <w:lang w:eastAsia="ar-SA"/>
        </w:rPr>
        <w:t xml:space="preserve">Законом Томской области от 14.11.2012 № 208-ОЗ «Об установлении единых нормативов отчислений в бюджеты муниципальных районов и городских округов Томской области от отдельных федеральных налогов» норматив </w:t>
      </w:r>
      <w:r>
        <w:rPr>
          <w:rFonts w:ascii="Times New Roman" w:hAnsi="Times New Roman"/>
          <w:sz w:val="24"/>
          <w:lang w:eastAsia="ar-SA"/>
        </w:rPr>
        <w:t xml:space="preserve">зачисления налога </w:t>
      </w:r>
      <w:r>
        <w:rPr>
          <w:rFonts w:ascii="Times New Roman" w:hAnsi="Times New Roman"/>
          <w:sz w:val="24"/>
          <w:szCs w:val="24"/>
          <w:lang w:eastAsia="ar-SA"/>
        </w:rPr>
        <w:t>в бюджеты городских округов составляет 30%.</w:t>
      </w:r>
    </w:p>
    <w:p>
      <w:pPr>
        <w:suppressAutoHyphens/>
        <w:ind w:firstLine="720"/>
        <w:jc w:val="both"/>
        <w:rPr>
          <w:rFonts w:ascii="Times New Roman" w:hAnsi="Times New Roman"/>
          <w:sz w:val="24"/>
          <w:szCs w:val="24"/>
          <w:lang w:eastAsia="ar-SA"/>
        </w:rPr>
      </w:pPr>
      <w:r>
        <w:rPr>
          <w:rFonts w:ascii="Times New Roman" w:hAnsi="Times New Roman"/>
          <w:sz w:val="24"/>
          <w:szCs w:val="24"/>
          <w:lang w:eastAsia="ar-SA"/>
        </w:rPr>
        <w:t xml:space="preserve">При прогнозировании поступлений налога, взимаемого в связи с применением упрощенной системы налогообложения, учтена отмена с 01.01.2021 системы налогообложения в виде единого налога на вмененный доход с возможным переходом части налогоплательщиков единого налога на вмененный доход на упрощенную систему налогообложения. </w:t>
      </w:r>
    </w:p>
    <w:p>
      <w:pPr>
        <w:shd w:val="clear" w:color="auto" w:fill="FFFFFF" w:themeFill="background1"/>
        <w:ind w:firstLine="709"/>
        <w:jc w:val="both"/>
        <w:rPr>
          <w:rFonts w:ascii="Times New Roman" w:hAnsi="Times New Roman"/>
          <w:sz w:val="24"/>
          <w:szCs w:val="24"/>
        </w:rPr>
      </w:pPr>
      <w:r>
        <w:rPr>
          <w:rFonts w:ascii="Times New Roman" w:hAnsi="Times New Roman"/>
          <w:sz w:val="24"/>
          <w:szCs w:val="24"/>
          <w:shd w:val="clear" w:color="auto" w:fill="FFFFFF" w:themeFill="background1"/>
        </w:rPr>
        <w:t>На 2021 год доходы по налогу, взимаемому в связи с применением упрощенной системы налогообложения, прогнозируются в сумме 78 755,00 тыс.руб.,</w:t>
      </w:r>
      <w:r>
        <w:rPr>
          <w:rFonts w:ascii="Times New Roman" w:hAnsi="Times New Roman"/>
          <w:sz w:val="24"/>
          <w:szCs w:val="24"/>
        </w:rPr>
        <w:t xml:space="preserve"> что на 31 110,00 тыс.руб. (на 65,3%) больше оценки 2020 года.</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lang w:eastAsia="ar-SA"/>
        </w:rPr>
        <w:t>На 2022 год поступление налога в бюджет ЗАТО Северск прогнозируются в сумме 96 197,00 тыс.руб., на 2023 год в сумме 100</w:t>
      </w:r>
      <w:r>
        <w:rPr>
          <w:rFonts w:ascii="Times New Roman" w:hAnsi="Times New Roman"/>
          <w:sz w:val="24"/>
          <w:lang w:val="en-US" w:eastAsia="ar-SA"/>
        </w:rPr>
        <w:t> </w:t>
      </w:r>
      <w:r>
        <w:rPr>
          <w:rFonts w:ascii="Times New Roman" w:hAnsi="Times New Roman"/>
          <w:sz w:val="24"/>
          <w:lang w:eastAsia="ar-SA"/>
        </w:rPr>
        <w:t>447,00 тыс.руб.</w:t>
      </w:r>
    </w:p>
    <w:p>
      <w:pPr>
        <w:shd w:val="clear" w:color="auto" w:fill="FFFFFF" w:themeFill="background1"/>
        <w:tabs>
          <w:tab w:val="left" w:pos="709"/>
        </w:tabs>
        <w:spacing w:before="120" w:after="60"/>
        <w:ind w:firstLine="709"/>
        <w:jc w:val="both"/>
        <w:rPr>
          <w:rFonts w:ascii="Times New Roman" w:hAnsi="Times New Roman"/>
          <w:sz w:val="24"/>
          <w:szCs w:val="24"/>
        </w:rPr>
      </w:pPr>
      <w:r>
        <w:rPr>
          <w:rFonts w:ascii="Times New Roman" w:hAnsi="Times New Roman"/>
          <w:sz w:val="24"/>
          <w:szCs w:val="24"/>
        </w:rPr>
        <w:t>Таблица 5 -</w:t>
      </w:r>
      <w:r>
        <w:rPr>
          <w:sz w:val="24"/>
          <w:szCs w:val="24"/>
        </w:rPr>
        <w:t xml:space="preserve"> Расчет налога, взимаемого в связи с применением упрощенной системы налогообложения</w:t>
      </w:r>
    </w:p>
    <w:tbl>
      <w:tblPr>
        <w:tblW w:w="9510" w:type="dxa"/>
        <w:tblInd w:w="96" w:type="dxa"/>
        <w:shd w:val="clear" w:color="auto" w:fill="FFFFFF" w:themeFill="background1"/>
        <w:tblLayout w:type="fixed"/>
        <w:tblLook w:val="0000" w:firstRow="0" w:lastRow="0" w:firstColumn="0" w:lastColumn="0" w:noHBand="0" w:noVBand="0"/>
      </w:tblPr>
      <w:tblGrid>
        <w:gridCol w:w="438"/>
        <w:gridCol w:w="3260"/>
        <w:gridCol w:w="1134"/>
        <w:gridCol w:w="992"/>
        <w:gridCol w:w="992"/>
        <w:gridCol w:w="709"/>
        <w:gridCol w:w="992"/>
        <w:gridCol w:w="993"/>
      </w:tblGrid>
      <w:tr>
        <w:trPr>
          <w:trHeight w:val="211"/>
        </w:trPr>
        <w:tc>
          <w:tcPr>
            <w:tcW w:w="43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rPr>
            </w:pPr>
            <w:r>
              <w:t>№ п/п</w:t>
            </w:r>
          </w:p>
        </w:tc>
        <w:tc>
          <w:tcPr>
            <w:tcW w:w="3260" w:type="dxa"/>
            <w:vMerge w:val="restart"/>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Наименование показателя</w:t>
            </w:r>
          </w:p>
        </w:tc>
        <w:tc>
          <w:tcPr>
            <w:tcW w:w="2126" w:type="dxa"/>
            <w:gridSpan w:val="2"/>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2020 год, тыс.руб.</w:t>
            </w:r>
          </w:p>
        </w:tc>
        <w:tc>
          <w:tcPr>
            <w:tcW w:w="1701" w:type="dxa"/>
            <w:gridSpan w:val="2"/>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 xml:space="preserve">2021 год </w:t>
            </w:r>
          </w:p>
        </w:tc>
        <w:tc>
          <w:tcPr>
            <w:tcW w:w="992" w:type="dxa"/>
            <w:vMerge w:val="restar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Прогноз 2022 года</w:t>
            </w:r>
          </w:p>
          <w:p>
            <w:pPr>
              <w:shd w:val="clear" w:color="auto" w:fill="FFFFFF" w:themeFill="background1"/>
              <w:ind w:left="-57" w:right="-57"/>
              <w:rPr>
                <w:rFonts w:ascii="Times New Roman" w:hAnsi="Times New Roman"/>
              </w:rPr>
            </w:pPr>
          </w:p>
        </w:tc>
        <w:tc>
          <w:tcPr>
            <w:tcW w:w="993" w:type="dxa"/>
            <w:vMerge w:val="restart"/>
            <w:tcBorders>
              <w:top w:val="single" w:sz="4" w:space="0" w:color="auto"/>
              <w:left w:val="nil"/>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Прогноз 2023 года</w:t>
            </w:r>
          </w:p>
          <w:p>
            <w:pPr>
              <w:shd w:val="clear" w:color="auto" w:fill="FFFFFF" w:themeFill="background1"/>
              <w:ind w:left="-57" w:right="-57"/>
              <w:jc w:val="center"/>
              <w:rPr>
                <w:rFonts w:ascii="Times New Roman" w:hAnsi="Times New Roman"/>
              </w:rPr>
            </w:pPr>
          </w:p>
        </w:tc>
      </w:tr>
      <w:tr>
        <w:trPr>
          <w:trHeight w:val="303"/>
        </w:trPr>
        <w:tc>
          <w:tcPr>
            <w:tcW w:w="43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rPr>
            </w:pPr>
          </w:p>
        </w:tc>
        <w:tc>
          <w:tcPr>
            <w:tcW w:w="3260" w:type="dxa"/>
            <w:vMerge/>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Первонач. утверждено</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Оценка</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Прогноз</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 к оценке 2020г.</w:t>
            </w:r>
          </w:p>
        </w:tc>
        <w:tc>
          <w:tcPr>
            <w:tcW w:w="992" w:type="dxa"/>
            <w:vMerge/>
            <w:tcBorders>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highlight w:val="yellow"/>
              </w:rPr>
            </w:pPr>
          </w:p>
        </w:tc>
        <w:tc>
          <w:tcPr>
            <w:tcW w:w="993" w:type="dxa"/>
            <w:vMerge/>
            <w:tcBorders>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highlight w:val="yellow"/>
              </w:rPr>
            </w:pPr>
          </w:p>
        </w:tc>
      </w:tr>
      <w:tr>
        <w:trPr>
          <w:trHeight w:val="351"/>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sz w:val="22"/>
                <w:szCs w:val="22"/>
              </w:rPr>
            </w:pPr>
            <w:r>
              <w:rPr>
                <w:rFonts w:ascii="Times New Roman" w:hAnsi="Times New Roman"/>
                <w:sz w:val="22"/>
                <w:szCs w:val="22"/>
              </w:rPr>
              <w:t>1</w:t>
            </w:r>
          </w:p>
        </w:tc>
        <w:tc>
          <w:tcPr>
            <w:tcW w:w="3260"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rPr>
                <w:rFonts w:ascii="Times New Roman" w:hAnsi="Times New Roman"/>
                <w:sz w:val="22"/>
                <w:szCs w:val="22"/>
              </w:rPr>
            </w:pPr>
            <w:r>
              <w:rPr>
                <w:rFonts w:ascii="Times New Roman" w:hAnsi="Times New Roman"/>
                <w:sz w:val="22"/>
                <w:szCs w:val="22"/>
              </w:rPr>
              <w:t>Налоговая база, тыс.руб.</w:t>
            </w:r>
          </w:p>
        </w:tc>
        <w:tc>
          <w:tcPr>
            <w:tcW w:w="1134"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3 874 499</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3 835 262</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5 680 353</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148,1</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6 361 996</w:t>
            </w:r>
          </w:p>
        </w:tc>
        <w:tc>
          <w:tcPr>
            <w:tcW w:w="993"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6 578 304</w:t>
            </w:r>
          </w:p>
        </w:tc>
      </w:tr>
      <w:tr>
        <w:trPr>
          <w:trHeight w:val="341"/>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sz w:val="22"/>
                <w:szCs w:val="22"/>
              </w:rPr>
            </w:pPr>
            <w:r>
              <w:rPr>
                <w:rFonts w:ascii="Times New Roman" w:hAnsi="Times New Roman"/>
                <w:sz w:val="22"/>
                <w:szCs w:val="22"/>
              </w:rPr>
              <w:t>2</w:t>
            </w:r>
          </w:p>
        </w:tc>
        <w:tc>
          <w:tcPr>
            <w:tcW w:w="3260"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rPr>
                <w:rFonts w:ascii="Times New Roman" w:hAnsi="Times New Roman"/>
                <w:sz w:val="22"/>
                <w:szCs w:val="22"/>
              </w:rPr>
            </w:pPr>
            <w:r>
              <w:rPr>
                <w:rFonts w:ascii="Times New Roman" w:hAnsi="Times New Roman"/>
                <w:sz w:val="22"/>
                <w:szCs w:val="22"/>
              </w:rPr>
              <w:t>Ставки налога, %</w:t>
            </w:r>
          </w:p>
        </w:tc>
        <w:tc>
          <w:tcPr>
            <w:tcW w:w="1134"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jc w:val="center"/>
              <w:rPr>
                <w:i/>
              </w:rPr>
            </w:pPr>
            <w:r>
              <w:rPr>
                <w:i/>
              </w:rPr>
              <w:t>6 - 15</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jc w:val="center"/>
              <w:rPr>
                <w:i/>
              </w:rPr>
            </w:pPr>
            <w:r>
              <w:rPr>
                <w:i/>
              </w:rPr>
              <w:t>3 - 15</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jc w:val="center"/>
              <w:rPr>
                <w:i/>
              </w:rPr>
            </w:pPr>
            <w:r>
              <w:rPr>
                <w:i/>
              </w:rPr>
              <w:t>6-15</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bCs/>
                <w:i/>
              </w:rPr>
            </w:pPr>
            <w:r>
              <w:rPr>
                <w:rFonts w:ascii="Times New Roman" w:hAnsi="Times New Roman"/>
                <w:bCs/>
                <w:i/>
              </w:rPr>
              <w:t>-</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i/>
              </w:rPr>
            </w:pPr>
            <w:r>
              <w:rPr>
                <w:i/>
              </w:rPr>
              <w:t>6 - 15</w:t>
            </w:r>
          </w:p>
        </w:tc>
        <w:tc>
          <w:tcPr>
            <w:tcW w:w="993"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jc w:val="center"/>
              <w:rPr>
                <w:i/>
              </w:rPr>
            </w:pPr>
            <w:r>
              <w:rPr>
                <w:i/>
              </w:rPr>
              <w:t>6 - 15</w:t>
            </w:r>
          </w:p>
        </w:tc>
      </w:tr>
      <w:tr>
        <w:trPr>
          <w:trHeight w:val="276"/>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sz w:val="22"/>
                <w:szCs w:val="22"/>
              </w:rPr>
            </w:pPr>
            <w:r>
              <w:rPr>
                <w:rFonts w:ascii="Times New Roman" w:hAnsi="Times New Roman"/>
                <w:sz w:val="22"/>
                <w:szCs w:val="22"/>
              </w:rPr>
              <w:t>3</w:t>
            </w:r>
          </w:p>
        </w:tc>
        <w:tc>
          <w:tcPr>
            <w:tcW w:w="3260"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108"/>
              <w:rPr>
                <w:rFonts w:ascii="Times New Roman" w:hAnsi="Times New Roman"/>
                <w:sz w:val="22"/>
                <w:szCs w:val="22"/>
              </w:rPr>
            </w:pPr>
            <w:r>
              <w:rPr>
                <w:rFonts w:ascii="Times New Roman" w:hAnsi="Times New Roman"/>
                <w:sz w:val="22"/>
                <w:szCs w:val="22"/>
              </w:rPr>
              <w:t>Сумма налога, подлежащая к уплате за налоговый период за вычетом суммы уплаченных страховых взносов, с учетом освобождения в 2020 году плательщиков пострадавших отраслей от уплаты налога за </w:t>
            </w:r>
            <w:r>
              <w:rPr>
                <w:rFonts w:ascii="Times New Roman" w:hAnsi="Times New Roman"/>
                <w:sz w:val="22"/>
                <w:szCs w:val="22"/>
                <w:lang w:val="en-US"/>
              </w:rPr>
              <w:t>II</w:t>
            </w:r>
            <w:r>
              <w:rPr>
                <w:rFonts w:ascii="Times New Roman" w:hAnsi="Times New Roman"/>
                <w:sz w:val="22"/>
                <w:szCs w:val="22"/>
              </w:rPr>
              <w:t> квартал 2020 года, тыс.руб.</w:t>
            </w:r>
          </w:p>
        </w:tc>
        <w:tc>
          <w:tcPr>
            <w:tcW w:w="1134"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200 460</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160 349</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266 168</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bCs/>
              </w:rPr>
            </w:pPr>
            <w:r>
              <w:rPr>
                <w:rFonts w:ascii="Times New Roman" w:hAnsi="Times New Roman"/>
                <w:bCs/>
              </w:rPr>
              <w:t>166,0</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325 492</w:t>
            </w:r>
          </w:p>
        </w:tc>
        <w:tc>
          <w:tcPr>
            <w:tcW w:w="993"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339 949</w:t>
            </w:r>
          </w:p>
        </w:tc>
      </w:tr>
      <w:tr>
        <w:trPr>
          <w:trHeight w:val="492"/>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sz w:val="22"/>
                <w:szCs w:val="22"/>
              </w:rPr>
            </w:pPr>
            <w:r>
              <w:rPr>
                <w:rFonts w:ascii="Times New Roman" w:hAnsi="Times New Roman"/>
                <w:sz w:val="22"/>
                <w:szCs w:val="22"/>
              </w:rPr>
              <w:t>4</w:t>
            </w:r>
          </w:p>
        </w:tc>
        <w:tc>
          <w:tcPr>
            <w:tcW w:w="3260"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108"/>
              <w:rPr>
                <w:rFonts w:ascii="Times New Roman" w:hAnsi="Times New Roman"/>
                <w:sz w:val="22"/>
                <w:szCs w:val="22"/>
              </w:rPr>
            </w:pPr>
            <w:r>
              <w:rPr>
                <w:rFonts w:ascii="Times New Roman" w:hAnsi="Times New Roman"/>
                <w:sz w:val="22"/>
                <w:szCs w:val="22"/>
              </w:rPr>
              <w:t>Сумма налога, подлежащая к зачислению в бюджет ЗАТО Северск по нормативу 30%, тыс.руб.</w:t>
            </w:r>
          </w:p>
        </w:tc>
        <w:tc>
          <w:tcPr>
            <w:tcW w:w="1134"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60 138</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48 105</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79 850</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bCs/>
              </w:rPr>
            </w:pPr>
            <w:r>
              <w:rPr>
                <w:rFonts w:ascii="Times New Roman" w:hAnsi="Times New Roman"/>
                <w:bCs/>
              </w:rPr>
              <w:t>166,0</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97 648</w:t>
            </w:r>
          </w:p>
        </w:tc>
        <w:tc>
          <w:tcPr>
            <w:tcW w:w="993"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101 985</w:t>
            </w:r>
          </w:p>
        </w:tc>
      </w:tr>
      <w:tr>
        <w:trPr>
          <w:trHeight w:val="285"/>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sz w:val="22"/>
                <w:szCs w:val="22"/>
              </w:rPr>
            </w:pPr>
            <w:r>
              <w:rPr>
                <w:rFonts w:ascii="Times New Roman" w:hAnsi="Times New Roman"/>
                <w:sz w:val="22"/>
                <w:szCs w:val="22"/>
              </w:rPr>
              <w:t>5</w:t>
            </w:r>
          </w:p>
        </w:tc>
        <w:tc>
          <w:tcPr>
            <w:tcW w:w="3260"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suppressAutoHyphens/>
              <w:snapToGrid w:val="0"/>
              <w:spacing w:before="20" w:after="20"/>
              <w:ind w:left="-79" w:right="-125"/>
              <w:rPr>
                <w:rFonts w:ascii="Times New Roman" w:hAnsi="Times New Roman"/>
                <w:sz w:val="22"/>
                <w:szCs w:val="22"/>
                <w:lang w:eastAsia="ar-SA"/>
              </w:rPr>
            </w:pPr>
            <w:r>
              <w:rPr>
                <w:rFonts w:ascii="Times New Roman" w:hAnsi="Times New Roman"/>
                <w:sz w:val="22"/>
                <w:szCs w:val="22"/>
                <w:lang w:eastAsia="ar-SA"/>
              </w:rPr>
              <w:t>Уровень собираемости налога, %</w:t>
            </w:r>
          </w:p>
        </w:tc>
        <w:tc>
          <w:tcPr>
            <w:tcW w:w="1134"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98</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98</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98</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98</w:t>
            </w:r>
          </w:p>
        </w:tc>
        <w:tc>
          <w:tcPr>
            <w:tcW w:w="993"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98</w:t>
            </w:r>
          </w:p>
        </w:tc>
      </w:tr>
      <w:tr>
        <w:trPr>
          <w:trHeight w:val="564"/>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sz w:val="22"/>
                <w:szCs w:val="22"/>
              </w:rPr>
            </w:pPr>
            <w:r>
              <w:rPr>
                <w:rFonts w:ascii="Times New Roman" w:hAnsi="Times New Roman"/>
                <w:sz w:val="22"/>
                <w:szCs w:val="22"/>
              </w:rPr>
              <w:t>6</w:t>
            </w:r>
          </w:p>
        </w:tc>
        <w:tc>
          <w:tcPr>
            <w:tcW w:w="3260"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108"/>
              <w:rPr>
                <w:rFonts w:ascii="Times New Roman" w:hAnsi="Times New Roman"/>
                <w:sz w:val="22"/>
                <w:szCs w:val="22"/>
              </w:rPr>
            </w:pPr>
            <w:r>
              <w:rPr>
                <w:rFonts w:ascii="Times New Roman" w:hAnsi="Times New Roman"/>
                <w:sz w:val="22"/>
                <w:szCs w:val="22"/>
              </w:rPr>
              <w:t>Дополнительные поступления за счет сокращения задолженности (30%), тыс.руб.</w:t>
            </w:r>
          </w:p>
        </w:tc>
        <w:tc>
          <w:tcPr>
            <w:tcW w:w="1134"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1 092</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502</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rPr>
            </w:pPr>
            <w:r>
              <w:rPr>
                <w:rFonts w:ascii="Times New Roman" w:hAnsi="Times New Roman"/>
              </w:rPr>
              <w:t>502</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highlight w:val="yellow"/>
              </w:rPr>
            </w:pPr>
            <w:r>
              <w:rPr>
                <w:rFonts w:ascii="Times New Roman" w:hAnsi="Times New Roman"/>
              </w:rPr>
              <w:t>100,0</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highlight w:val="yellow"/>
              </w:rPr>
            </w:pPr>
            <w:r>
              <w:rPr>
                <w:rFonts w:ascii="Times New Roman" w:hAnsi="Times New Roman"/>
              </w:rPr>
              <w:t>502</w:t>
            </w:r>
          </w:p>
        </w:tc>
        <w:tc>
          <w:tcPr>
            <w:tcW w:w="993"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highlight w:val="yellow"/>
              </w:rPr>
            </w:pPr>
            <w:r>
              <w:rPr>
                <w:rFonts w:ascii="Times New Roman" w:hAnsi="Times New Roman"/>
              </w:rPr>
              <w:t>502</w:t>
            </w:r>
          </w:p>
        </w:tc>
      </w:tr>
      <w:tr>
        <w:trPr>
          <w:trHeight w:val="552"/>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96" w:right="-108"/>
              <w:jc w:val="center"/>
              <w:rPr>
                <w:rFonts w:ascii="Times New Roman" w:hAnsi="Times New Roman"/>
                <w:sz w:val="22"/>
                <w:szCs w:val="22"/>
              </w:rPr>
            </w:pPr>
            <w:r>
              <w:rPr>
                <w:rFonts w:ascii="Times New Roman" w:hAnsi="Times New Roman"/>
                <w:sz w:val="22"/>
                <w:szCs w:val="22"/>
              </w:rPr>
              <w:t>7</w:t>
            </w:r>
          </w:p>
        </w:tc>
        <w:tc>
          <w:tcPr>
            <w:tcW w:w="3260"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108"/>
              <w:rPr>
                <w:rFonts w:ascii="Times New Roman" w:hAnsi="Times New Roman"/>
                <w:sz w:val="22"/>
                <w:szCs w:val="22"/>
              </w:rPr>
            </w:pPr>
            <w:r>
              <w:rPr>
                <w:rFonts w:ascii="Times New Roman" w:hAnsi="Times New Roman"/>
                <w:sz w:val="22"/>
                <w:szCs w:val="22"/>
              </w:rPr>
              <w:t>Сумма налога к поступлению  в бюджет ЗАТО Северск, тыс.руб.</w:t>
            </w:r>
          </w:p>
        </w:tc>
        <w:tc>
          <w:tcPr>
            <w:tcW w:w="1134"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60 027</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47 645</w:t>
            </w:r>
          </w:p>
        </w:tc>
        <w:tc>
          <w:tcPr>
            <w:tcW w:w="992"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78 755</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center"/>
              <w:rPr>
                <w:rFonts w:ascii="Times New Roman" w:hAnsi="Times New Roman"/>
                <w:bCs/>
                <w:highlight w:val="yellow"/>
              </w:rPr>
            </w:pPr>
            <w:r>
              <w:rPr>
                <w:rFonts w:ascii="Times New Roman" w:hAnsi="Times New Roman"/>
                <w:bCs/>
              </w:rPr>
              <w:t>165,3</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highlight w:val="yellow"/>
              </w:rPr>
            </w:pPr>
            <w:r>
              <w:rPr>
                <w:rFonts w:ascii="Times New Roman" w:hAnsi="Times New Roman"/>
                <w:bCs/>
              </w:rPr>
              <w:t>96 197</w:t>
            </w:r>
          </w:p>
        </w:tc>
        <w:tc>
          <w:tcPr>
            <w:tcW w:w="993" w:type="dxa"/>
            <w:tcBorders>
              <w:top w:val="nil"/>
              <w:left w:val="nil"/>
              <w:bottom w:val="single" w:sz="4" w:space="0" w:color="auto"/>
              <w:right w:val="single" w:sz="4" w:space="0" w:color="auto"/>
            </w:tcBorders>
            <w:shd w:val="clear" w:color="auto" w:fill="FFFFFF" w:themeFill="background1"/>
            <w:vAlign w:val="center"/>
          </w:tcPr>
          <w:p>
            <w:pPr>
              <w:shd w:val="clear" w:color="auto" w:fill="FFFFFF" w:themeFill="background1"/>
              <w:ind w:left="-57" w:right="-57"/>
              <w:jc w:val="right"/>
              <w:rPr>
                <w:rFonts w:ascii="Times New Roman" w:hAnsi="Times New Roman"/>
                <w:bCs/>
              </w:rPr>
            </w:pPr>
            <w:r>
              <w:rPr>
                <w:rFonts w:ascii="Times New Roman" w:hAnsi="Times New Roman"/>
                <w:bCs/>
              </w:rPr>
              <w:t>100 447</w:t>
            </w:r>
          </w:p>
        </w:tc>
      </w:tr>
    </w:tbl>
    <w:p>
      <w:pPr>
        <w:shd w:val="clear" w:color="auto" w:fill="FFFFFF" w:themeFill="background1"/>
        <w:ind w:firstLine="709"/>
        <w:jc w:val="both"/>
        <w:rPr>
          <w:rFonts w:ascii="Times New Roman" w:hAnsi="Times New Roman"/>
          <w:sz w:val="24"/>
          <w:szCs w:val="24"/>
          <w:highlight w:val="yellow"/>
        </w:rPr>
      </w:pPr>
    </w:p>
    <w:p>
      <w:pPr>
        <w:shd w:val="clear" w:color="auto" w:fill="FFFFFF" w:themeFill="background1"/>
        <w:ind w:right="43" w:firstLine="709"/>
        <w:jc w:val="both"/>
        <w:rPr>
          <w:rFonts w:ascii="Times New Roman" w:hAnsi="Times New Roman"/>
          <w:sz w:val="24"/>
        </w:rPr>
      </w:pPr>
      <w:r>
        <w:rPr>
          <w:rFonts w:ascii="Times New Roman" w:hAnsi="Times New Roman"/>
          <w:sz w:val="24"/>
        </w:rPr>
        <w:t>Доля поступлений налога в 2021 году в структуре налоговых и неналоговых доходов составит 7,1%, в общей сумме доходов бюджета ЗАТО Северск – 1,9%. В 2022 и 2023 годах доля в структуре налоговых и неналоговых доходов составит 8,6% и 9,0% соответственно, в общей сумме доходов - 2,7% и 2,8% соответственно.</w:t>
      </w:r>
    </w:p>
    <w:p>
      <w:pPr>
        <w:suppressAutoHyphens/>
        <w:spacing w:before="240" w:after="120"/>
        <w:jc w:val="center"/>
        <w:rPr>
          <w:rFonts w:ascii="Times New Roman" w:hAnsi="Times New Roman"/>
          <w:b/>
          <w:sz w:val="24"/>
          <w:lang w:eastAsia="ar-SA"/>
        </w:rPr>
      </w:pPr>
      <w:r>
        <w:rPr>
          <w:rFonts w:ascii="Times New Roman" w:hAnsi="Times New Roman"/>
          <w:b/>
          <w:sz w:val="24"/>
          <w:lang w:eastAsia="ar-SA"/>
        </w:rPr>
        <w:t>1.3.4. Единый налог на вмененный доход для отдельных видов деятельности</w:t>
      </w:r>
    </w:p>
    <w:p>
      <w:pPr>
        <w:tabs>
          <w:tab w:val="left" w:pos="6300"/>
        </w:tabs>
        <w:ind w:firstLine="720"/>
        <w:jc w:val="both"/>
        <w:rPr>
          <w:sz w:val="24"/>
          <w:szCs w:val="24"/>
        </w:rPr>
      </w:pPr>
      <w:r>
        <w:rPr>
          <w:sz w:val="24"/>
          <w:szCs w:val="24"/>
        </w:rPr>
        <w:t xml:space="preserve">С 01.01.2021 система налогообложения в виде единого налога на вмененный доход для отдельных видов предпринимательской деятельности прекращает действие согласно Федеральному закону от 29.06.2012 № 97-ФЗ «О внесении изменений в часть первую и часть вторую Налогового кодекса Российской Федерации...». </w:t>
      </w:r>
    </w:p>
    <w:p>
      <w:pPr>
        <w:tabs>
          <w:tab w:val="left" w:pos="6300"/>
        </w:tabs>
        <w:ind w:firstLine="720"/>
        <w:jc w:val="both"/>
        <w:rPr>
          <w:sz w:val="24"/>
          <w:szCs w:val="24"/>
        </w:rPr>
      </w:pPr>
      <w:r>
        <w:rPr>
          <w:sz w:val="24"/>
          <w:szCs w:val="24"/>
        </w:rPr>
        <w:t>Поступление единого налога на вмененный доход в бюджет ЗАТО Северск в 2021 году прогнозируется в сумме 10 112,00 тыс.руб</w:t>
      </w:r>
      <w:r>
        <w:t>. (</w:t>
      </w:r>
      <w:r>
        <w:rPr>
          <w:sz w:val="24"/>
          <w:szCs w:val="24"/>
        </w:rPr>
        <w:t xml:space="preserve">за IV квартал 2020 года). </w:t>
      </w:r>
    </w:p>
    <w:p>
      <w:pPr>
        <w:shd w:val="clear" w:color="auto" w:fill="FFFFFF" w:themeFill="background1"/>
        <w:tabs>
          <w:tab w:val="left" w:pos="709"/>
        </w:tabs>
        <w:spacing w:before="120" w:after="120"/>
        <w:ind w:firstLine="709"/>
        <w:jc w:val="both"/>
        <w:rPr>
          <w:sz w:val="24"/>
          <w:szCs w:val="24"/>
        </w:rPr>
      </w:pPr>
      <w:r>
        <w:rPr>
          <w:rFonts w:ascii="Times New Roman" w:hAnsi="Times New Roman"/>
          <w:sz w:val="24"/>
          <w:szCs w:val="24"/>
        </w:rPr>
        <w:t>Таблица 6 -</w:t>
      </w:r>
      <w:r>
        <w:rPr>
          <w:sz w:val="24"/>
          <w:szCs w:val="24"/>
        </w:rPr>
        <w:t xml:space="preserve"> Расчет единого налога на вмененный доход</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491"/>
        <w:gridCol w:w="5746"/>
        <w:gridCol w:w="1134"/>
        <w:gridCol w:w="993"/>
        <w:gridCol w:w="992"/>
      </w:tblGrid>
      <w:tr>
        <w:trPr>
          <w:trHeight w:val="335"/>
        </w:trPr>
        <w:tc>
          <w:tcPr>
            <w:tcW w:w="491" w:type="dxa"/>
            <w:vMerge w:val="restart"/>
            <w:shd w:val="clear" w:color="auto" w:fill="FFFFFF" w:themeFill="background1"/>
            <w:vAlign w:val="center"/>
          </w:tcPr>
          <w:p>
            <w:pPr>
              <w:jc w:val="center"/>
            </w:pPr>
            <w:r>
              <w:t>№ п/п</w:t>
            </w:r>
          </w:p>
        </w:tc>
        <w:tc>
          <w:tcPr>
            <w:tcW w:w="5746" w:type="dxa"/>
            <w:vMerge w:val="restart"/>
            <w:shd w:val="clear" w:color="auto" w:fill="FFFFFF" w:themeFill="background1"/>
            <w:vAlign w:val="center"/>
          </w:tcPr>
          <w:p>
            <w:pPr>
              <w:jc w:val="center"/>
            </w:pPr>
            <w:r>
              <w:t>Наименование показателя</w:t>
            </w:r>
          </w:p>
        </w:tc>
        <w:tc>
          <w:tcPr>
            <w:tcW w:w="2127" w:type="dxa"/>
            <w:gridSpan w:val="2"/>
            <w:shd w:val="clear" w:color="auto" w:fill="FFFFFF" w:themeFill="background1"/>
            <w:vAlign w:val="center"/>
          </w:tcPr>
          <w:p>
            <w:pPr>
              <w:ind w:left="-57" w:right="-57"/>
              <w:jc w:val="center"/>
              <w:rPr>
                <w:rFonts w:ascii="Times New Roman" w:hAnsi="Times New Roman"/>
              </w:rPr>
            </w:pPr>
            <w:r>
              <w:rPr>
                <w:rFonts w:ascii="Times New Roman" w:hAnsi="Times New Roman"/>
              </w:rPr>
              <w:t>2020 год</w:t>
            </w:r>
          </w:p>
        </w:tc>
        <w:tc>
          <w:tcPr>
            <w:tcW w:w="992" w:type="dxa"/>
            <w:vMerge w:val="restart"/>
            <w:shd w:val="clear" w:color="auto" w:fill="FFFFFF" w:themeFill="background1"/>
            <w:vAlign w:val="center"/>
          </w:tcPr>
          <w:p>
            <w:pPr>
              <w:ind w:left="-57" w:right="-57"/>
              <w:jc w:val="center"/>
              <w:rPr>
                <w:rFonts w:ascii="Times New Roman" w:hAnsi="Times New Roman"/>
              </w:rPr>
            </w:pPr>
            <w:r>
              <w:rPr>
                <w:rFonts w:ascii="Times New Roman" w:hAnsi="Times New Roman"/>
              </w:rPr>
              <w:t>Прогноз</w:t>
            </w:r>
          </w:p>
          <w:p>
            <w:pPr>
              <w:ind w:left="-57" w:right="-57"/>
              <w:jc w:val="center"/>
              <w:rPr>
                <w:rFonts w:ascii="Times New Roman" w:hAnsi="Times New Roman"/>
              </w:rPr>
            </w:pPr>
            <w:r>
              <w:rPr>
                <w:rFonts w:ascii="Times New Roman" w:hAnsi="Times New Roman"/>
              </w:rPr>
              <w:t>2021 года</w:t>
            </w:r>
          </w:p>
        </w:tc>
      </w:tr>
      <w:tr>
        <w:trPr>
          <w:trHeight w:val="335"/>
        </w:trPr>
        <w:tc>
          <w:tcPr>
            <w:tcW w:w="491" w:type="dxa"/>
            <w:vMerge/>
            <w:shd w:val="clear" w:color="auto" w:fill="FFFFFF" w:themeFill="background1"/>
          </w:tcPr>
          <w:p>
            <w:pPr>
              <w:jc w:val="center"/>
              <w:rPr>
                <w:rFonts w:ascii="Times New Roman" w:hAnsi="Times New Roman"/>
              </w:rPr>
            </w:pPr>
          </w:p>
        </w:tc>
        <w:tc>
          <w:tcPr>
            <w:tcW w:w="5746" w:type="dxa"/>
            <w:vMerge/>
            <w:shd w:val="clear" w:color="auto" w:fill="FFFFFF" w:themeFill="background1"/>
            <w:vAlign w:val="center"/>
            <w:hideMark/>
          </w:tcPr>
          <w:p>
            <w:pPr>
              <w:jc w:val="center"/>
              <w:rPr>
                <w:rFonts w:ascii="Times New Roman" w:hAnsi="Times New Roman"/>
              </w:rPr>
            </w:pPr>
          </w:p>
        </w:tc>
        <w:tc>
          <w:tcPr>
            <w:tcW w:w="1134" w:type="dxa"/>
            <w:shd w:val="clear" w:color="auto" w:fill="FFFFFF" w:themeFill="background1"/>
            <w:vAlign w:val="center"/>
          </w:tcPr>
          <w:p>
            <w:pPr>
              <w:ind w:left="-57" w:right="-57"/>
              <w:jc w:val="center"/>
              <w:rPr>
                <w:rFonts w:ascii="Times New Roman" w:hAnsi="Times New Roman"/>
              </w:rPr>
            </w:pPr>
            <w:r>
              <w:rPr>
                <w:rFonts w:ascii="Times New Roman" w:hAnsi="Times New Roman"/>
              </w:rPr>
              <w:t>Первонач. утверждено</w:t>
            </w:r>
          </w:p>
        </w:tc>
        <w:tc>
          <w:tcPr>
            <w:tcW w:w="993" w:type="dxa"/>
            <w:shd w:val="clear" w:color="auto" w:fill="FFFFFF" w:themeFill="background1"/>
            <w:vAlign w:val="center"/>
            <w:hideMark/>
          </w:tcPr>
          <w:p>
            <w:pPr>
              <w:ind w:left="-57" w:right="-57"/>
              <w:jc w:val="center"/>
              <w:rPr>
                <w:rFonts w:ascii="Times New Roman" w:hAnsi="Times New Roman"/>
              </w:rPr>
            </w:pPr>
            <w:r>
              <w:rPr>
                <w:rFonts w:ascii="Times New Roman" w:hAnsi="Times New Roman"/>
              </w:rPr>
              <w:t>Оценка</w:t>
            </w:r>
          </w:p>
        </w:tc>
        <w:tc>
          <w:tcPr>
            <w:tcW w:w="992" w:type="dxa"/>
            <w:vMerge/>
            <w:shd w:val="clear" w:color="auto" w:fill="FFFFFF" w:themeFill="background1"/>
            <w:vAlign w:val="center"/>
            <w:hideMark/>
          </w:tcPr>
          <w:p>
            <w:pPr>
              <w:ind w:left="-57" w:right="-57"/>
              <w:jc w:val="center"/>
              <w:rPr>
                <w:rFonts w:ascii="Times New Roman" w:hAnsi="Times New Roman"/>
              </w:rPr>
            </w:pPr>
          </w:p>
        </w:tc>
      </w:tr>
      <w:tr>
        <w:trPr>
          <w:trHeight w:val="209"/>
        </w:trPr>
        <w:tc>
          <w:tcPr>
            <w:tcW w:w="491" w:type="dxa"/>
            <w:shd w:val="clear" w:color="auto" w:fill="FFFFFF" w:themeFill="background1"/>
            <w:vAlign w:val="center"/>
          </w:tcPr>
          <w:p>
            <w:pPr>
              <w:ind w:left="-170" w:right="-170"/>
              <w:jc w:val="center"/>
              <w:rPr>
                <w:rFonts w:ascii="Times New Roman" w:hAnsi="Times New Roman"/>
              </w:rPr>
            </w:pPr>
            <w:r>
              <w:rPr>
                <w:rFonts w:ascii="Times New Roman" w:hAnsi="Times New Roman"/>
              </w:rPr>
              <w:t>1</w:t>
            </w:r>
          </w:p>
        </w:tc>
        <w:tc>
          <w:tcPr>
            <w:tcW w:w="5746" w:type="dxa"/>
            <w:shd w:val="clear" w:color="auto" w:fill="FFFFFF" w:themeFill="background1"/>
            <w:vAlign w:val="center"/>
            <w:hideMark/>
          </w:tcPr>
          <w:p>
            <w:pPr>
              <w:ind w:right="-70"/>
              <w:jc w:val="center"/>
              <w:rPr>
                <w:rFonts w:ascii="Times New Roman" w:hAnsi="Times New Roman"/>
              </w:rPr>
            </w:pPr>
            <w:r>
              <w:rPr>
                <w:rFonts w:ascii="Times New Roman" w:hAnsi="Times New Roman"/>
              </w:rPr>
              <w:t>2</w:t>
            </w:r>
          </w:p>
        </w:tc>
        <w:tc>
          <w:tcPr>
            <w:tcW w:w="1134" w:type="dxa"/>
            <w:shd w:val="clear" w:color="auto" w:fill="FFFFFF" w:themeFill="background1"/>
            <w:tcMar>
              <w:left w:w="28" w:type="dxa"/>
              <w:right w:w="28" w:type="dxa"/>
            </w:tcMar>
            <w:vAlign w:val="center"/>
          </w:tcPr>
          <w:p>
            <w:pPr>
              <w:jc w:val="center"/>
            </w:pPr>
            <w:r>
              <w:t>3</w:t>
            </w:r>
          </w:p>
        </w:tc>
        <w:tc>
          <w:tcPr>
            <w:tcW w:w="993" w:type="dxa"/>
            <w:shd w:val="clear" w:color="auto" w:fill="FFFFFF" w:themeFill="background1"/>
            <w:vAlign w:val="center"/>
            <w:hideMark/>
          </w:tcPr>
          <w:p>
            <w:pPr>
              <w:jc w:val="center"/>
              <w:rPr>
                <w:rFonts w:ascii="Times New Roman" w:hAnsi="Times New Roman"/>
              </w:rPr>
            </w:pPr>
            <w:r>
              <w:rPr>
                <w:rFonts w:ascii="Times New Roman" w:hAnsi="Times New Roman"/>
              </w:rPr>
              <w:t>4</w:t>
            </w:r>
          </w:p>
        </w:tc>
        <w:tc>
          <w:tcPr>
            <w:tcW w:w="992" w:type="dxa"/>
            <w:shd w:val="clear" w:color="auto" w:fill="FFFFFF" w:themeFill="background1"/>
            <w:vAlign w:val="center"/>
            <w:hideMark/>
          </w:tcPr>
          <w:p>
            <w:pPr>
              <w:jc w:val="center"/>
              <w:rPr>
                <w:rFonts w:ascii="Times New Roman" w:hAnsi="Times New Roman"/>
              </w:rPr>
            </w:pPr>
            <w:r>
              <w:rPr>
                <w:rFonts w:ascii="Times New Roman" w:hAnsi="Times New Roman"/>
              </w:rPr>
              <w:t>5</w:t>
            </w:r>
          </w:p>
        </w:tc>
      </w:tr>
      <w:tr>
        <w:trPr>
          <w:trHeight w:val="411"/>
        </w:trPr>
        <w:tc>
          <w:tcPr>
            <w:tcW w:w="491" w:type="dxa"/>
            <w:shd w:val="clear" w:color="auto" w:fill="FFFFFF" w:themeFill="background1"/>
            <w:vAlign w:val="center"/>
          </w:tcPr>
          <w:p>
            <w:pPr>
              <w:ind w:left="-170" w:right="-170"/>
              <w:jc w:val="center"/>
              <w:rPr>
                <w:rFonts w:ascii="Times New Roman" w:hAnsi="Times New Roman"/>
                <w:sz w:val="22"/>
                <w:szCs w:val="22"/>
              </w:rPr>
            </w:pPr>
            <w:r>
              <w:rPr>
                <w:rFonts w:ascii="Times New Roman" w:hAnsi="Times New Roman"/>
                <w:sz w:val="22"/>
                <w:szCs w:val="22"/>
              </w:rPr>
              <w:t>1</w:t>
            </w:r>
          </w:p>
        </w:tc>
        <w:tc>
          <w:tcPr>
            <w:tcW w:w="5746" w:type="dxa"/>
            <w:shd w:val="clear" w:color="auto" w:fill="FFFFFF" w:themeFill="background1"/>
            <w:vAlign w:val="center"/>
            <w:hideMark/>
          </w:tcPr>
          <w:p>
            <w:pPr>
              <w:ind w:right="-70"/>
              <w:rPr>
                <w:rFonts w:ascii="Times New Roman" w:hAnsi="Times New Roman"/>
                <w:sz w:val="22"/>
                <w:szCs w:val="22"/>
              </w:rPr>
            </w:pPr>
            <w:r>
              <w:rPr>
                <w:rFonts w:ascii="Times New Roman" w:hAnsi="Times New Roman"/>
                <w:sz w:val="22"/>
                <w:szCs w:val="22"/>
              </w:rPr>
              <w:t>Сумма исчисленного вмененного дохода (налоговая база),</w:t>
            </w:r>
            <w:r>
              <w:rPr>
                <w:rFonts w:ascii="Times New Roman" w:hAnsi="Times New Roman"/>
              </w:rPr>
              <w:t xml:space="preserve"> </w:t>
            </w:r>
            <w:r>
              <w:rPr>
                <w:rFonts w:ascii="Times New Roman" w:hAnsi="Times New Roman"/>
                <w:sz w:val="22"/>
                <w:szCs w:val="22"/>
              </w:rPr>
              <w:t>тыс.руб.</w:t>
            </w:r>
          </w:p>
        </w:tc>
        <w:tc>
          <w:tcPr>
            <w:tcW w:w="1134" w:type="dxa"/>
            <w:shd w:val="clear" w:color="auto" w:fill="FFFFFF" w:themeFill="background1"/>
            <w:tcMar>
              <w:left w:w="28" w:type="dxa"/>
              <w:right w:w="28" w:type="dxa"/>
            </w:tcMar>
            <w:vAlign w:val="center"/>
          </w:tcPr>
          <w:p>
            <w:pPr>
              <w:ind w:right="113"/>
              <w:jc w:val="right"/>
            </w:pPr>
            <w:r>
              <w:rPr>
                <w:rFonts w:ascii="Times New Roman" w:hAnsi="Times New Roman"/>
              </w:rPr>
              <w:t>566 227</w:t>
            </w:r>
          </w:p>
        </w:tc>
        <w:tc>
          <w:tcPr>
            <w:tcW w:w="993" w:type="dxa"/>
            <w:shd w:val="clear" w:color="auto" w:fill="FFFFFF" w:themeFill="background1"/>
            <w:vAlign w:val="center"/>
            <w:hideMark/>
          </w:tcPr>
          <w:p>
            <w:pPr>
              <w:jc w:val="right"/>
              <w:rPr>
                <w:rFonts w:ascii="Times New Roman" w:hAnsi="Times New Roman"/>
              </w:rPr>
            </w:pPr>
            <w:r>
              <w:rPr>
                <w:rFonts w:ascii="Times New Roman" w:hAnsi="Times New Roman"/>
              </w:rPr>
              <w:t>575 506</w:t>
            </w:r>
          </w:p>
        </w:tc>
        <w:tc>
          <w:tcPr>
            <w:tcW w:w="992" w:type="dxa"/>
            <w:shd w:val="clear" w:color="auto" w:fill="FFFFFF" w:themeFill="background1"/>
            <w:vAlign w:val="center"/>
            <w:hideMark/>
          </w:tcPr>
          <w:p>
            <w:pPr>
              <w:jc w:val="right"/>
              <w:rPr>
                <w:rFonts w:ascii="Times New Roman" w:hAnsi="Times New Roman"/>
              </w:rPr>
            </w:pPr>
          </w:p>
        </w:tc>
      </w:tr>
      <w:tr>
        <w:trPr>
          <w:trHeight w:val="370"/>
        </w:trPr>
        <w:tc>
          <w:tcPr>
            <w:tcW w:w="491" w:type="dxa"/>
            <w:shd w:val="clear" w:color="auto" w:fill="FFFFFF" w:themeFill="background1"/>
            <w:vAlign w:val="center"/>
          </w:tcPr>
          <w:p>
            <w:pPr>
              <w:ind w:left="-170" w:right="-170"/>
              <w:jc w:val="center"/>
              <w:rPr>
                <w:rFonts w:ascii="Times New Roman" w:hAnsi="Times New Roman"/>
                <w:sz w:val="22"/>
                <w:szCs w:val="22"/>
              </w:rPr>
            </w:pPr>
            <w:r>
              <w:rPr>
                <w:rFonts w:ascii="Times New Roman" w:hAnsi="Times New Roman"/>
                <w:sz w:val="22"/>
                <w:szCs w:val="22"/>
              </w:rPr>
              <w:t>2</w:t>
            </w:r>
          </w:p>
        </w:tc>
        <w:tc>
          <w:tcPr>
            <w:tcW w:w="5746" w:type="dxa"/>
            <w:shd w:val="clear" w:color="auto" w:fill="FFFFFF" w:themeFill="background1"/>
            <w:vAlign w:val="center"/>
            <w:hideMark/>
          </w:tcPr>
          <w:p>
            <w:pPr>
              <w:rPr>
                <w:rFonts w:ascii="Times New Roman" w:hAnsi="Times New Roman"/>
                <w:sz w:val="22"/>
                <w:szCs w:val="22"/>
              </w:rPr>
            </w:pPr>
            <w:r>
              <w:rPr>
                <w:rFonts w:ascii="Times New Roman" w:hAnsi="Times New Roman"/>
                <w:sz w:val="22"/>
                <w:szCs w:val="22"/>
              </w:rPr>
              <w:t>Ставка налога,%</w:t>
            </w:r>
          </w:p>
        </w:tc>
        <w:tc>
          <w:tcPr>
            <w:tcW w:w="1134" w:type="dxa"/>
            <w:shd w:val="clear" w:color="auto" w:fill="FFFFFF" w:themeFill="background1"/>
            <w:tcMar>
              <w:left w:w="28" w:type="dxa"/>
              <w:right w:w="28" w:type="dxa"/>
            </w:tcMar>
            <w:vAlign w:val="center"/>
          </w:tcPr>
          <w:p>
            <w:pPr>
              <w:ind w:right="113"/>
              <w:jc w:val="right"/>
              <w:rPr>
                <w:i/>
              </w:rPr>
            </w:pPr>
            <w:r>
              <w:rPr>
                <w:i/>
              </w:rPr>
              <w:t>15</w:t>
            </w:r>
          </w:p>
        </w:tc>
        <w:tc>
          <w:tcPr>
            <w:tcW w:w="993" w:type="dxa"/>
            <w:shd w:val="clear" w:color="auto" w:fill="FFFFFF" w:themeFill="background1"/>
            <w:vAlign w:val="center"/>
            <w:hideMark/>
          </w:tcPr>
          <w:p>
            <w:pPr>
              <w:jc w:val="right"/>
              <w:rPr>
                <w:rFonts w:ascii="Times New Roman" w:hAnsi="Times New Roman"/>
                <w:i/>
              </w:rPr>
            </w:pPr>
            <w:r>
              <w:rPr>
                <w:rFonts w:ascii="Times New Roman" w:hAnsi="Times New Roman"/>
                <w:i/>
              </w:rPr>
              <w:t>7,5 -15</w:t>
            </w:r>
          </w:p>
        </w:tc>
        <w:tc>
          <w:tcPr>
            <w:tcW w:w="992" w:type="dxa"/>
            <w:shd w:val="clear" w:color="auto" w:fill="FFFFFF" w:themeFill="background1"/>
            <w:vAlign w:val="center"/>
            <w:hideMark/>
          </w:tcPr>
          <w:p>
            <w:pPr>
              <w:jc w:val="center"/>
              <w:rPr>
                <w:rFonts w:ascii="Times New Roman" w:hAnsi="Times New Roman"/>
                <w:i/>
              </w:rPr>
            </w:pPr>
          </w:p>
        </w:tc>
      </w:tr>
      <w:tr>
        <w:trPr>
          <w:trHeight w:val="386"/>
        </w:trPr>
        <w:tc>
          <w:tcPr>
            <w:tcW w:w="491" w:type="dxa"/>
            <w:shd w:val="clear" w:color="auto" w:fill="FFFFFF" w:themeFill="background1"/>
            <w:vAlign w:val="center"/>
          </w:tcPr>
          <w:p>
            <w:pPr>
              <w:ind w:left="-170" w:right="-170"/>
              <w:jc w:val="center"/>
              <w:rPr>
                <w:rFonts w:ascii="Times New Roman" w:hAnsi="Times New Roman"/>
                <w:sz w:val="22"/>
                <w:szCs w:val="22"/>
              </w:rPr>
            </w:pPr>
            <w:r>
              <w:rPr>
                <w:rFonts w:ascii="Times New Roman" w:hAnsi="Times New Roman"/>
                <w:sz w:val="22"/>
                <w:szCs w:val="22"/>
              </w:rPr>
              <w:t>3</w:t>
            </w:r>
          </w:p>
        </w:tc>
        <w:tc>
          <w:tcPr>
            <w:tcW w:w="5746" w:type="dxa"/>
            <w:shd w:val="clear" w:color="auto" w:fill="FFFFFF" w:themeFill="background1"/>
            <w:vAlign w:val="center"/>
            <w:hideMark/>
          </w:tcPr>
          <w:p>
            <w:pPr>
              <w:rPr>
                <w:rFonts w:ascii="Times New Roman" w:hAnsi="Times New Roman"/>
                <w:sz w:val="22"/>
                <w:szCs w:val="22"/>
              </w:rPr>
            </w:pPr>
            <w:r>
              <w:rPr>
                <w:rFonts w:ascii="Times New Roman" w:hAnsi="Times New Roman"/>
                <w:sz w:val="22"/>
                <w:szCs w:val="22"/>
              </w:rPr>
              <w:t>Сумма исчисленного ЕНВД, тыс.руб.</w:t>
            </w:r>
          </w:p>
        </w:tc>
        <w:tc>
          <w:tcPr>
            <w:tcW w:w="1134" w:type="dxa"/>
            <w:shd w:val="clear" w:color="auto" w:fill="FFFFFF" w:themeFill="background1"/>
            <w:tcMar>
              <w:left w:w="28" w:type="dxa"/>
              <w:right w:w="28" w:type="dxa"/>
            </w:tcMar>
            <w:vAlign w:val="center"/>
          </w:tcPr>
          <w:p>
            <w:pPr>
              <w:ind w:right="113"/>
              <w:jc w:val="right"/>
            </w:pPr>
            <w:r>
              <w:rPr>
                <w:rFonts w:ascii="Times New Roman" w:hAnsi="Times New Roman"/>
              </w:rPr>
              <w:t>84 934</w:t>
            </w:r>
          </w:p>
        </w:tc>
        <w:tc>
          <w:tcPr>
            <w:tcW w:w="993" w:type="dxa"/>
            <w:shd w:val="clear" w:color="auto" w:fill="FFFFFF" w:themeFill="background1"/>
            <w:vAlign w:val="center"/>
            <w:hideMark/>
          </w:tcPr>
          <w:p>
            <w:pPr>
              <w:jc w:val="right"/>
              <w:rPr>
                <w:rFonts w:ascii="Times New Roman" w:hAnsi="Times New Roman"/>
              </w:rPr>
            </w:pPr>
            <w:r>
              <w:rPr>
                <w:rFonts w:ascii="Times New Roman" w:hAnsi="Times New Roman"/>
              </w:rPr>
              <w:t>82 615</w:t>
            </w:r>
          </w:p>
        </w:tc>
        <w:tc>
          <w:tcPr>
            <w:tcW w:w="992" w:type="dxa"/>
            <w:shd w:val="clear" w:color="auto" w:fill="FFFFFF" w:themeFill="background1"/>
            <w:vAlign w:val="center"/>
            <w:hideMark/>
          </w:tcPr>
          <w:p>
            <w:pPr>
              <w:jc w:val="right"/>
              <w:rPr>
                <w:rFonts w:ascii="Times New Roman" w:hAnsi="Times New Roman"/>
              </w:rPr>
            </w:pPr>
          </w:p>
        </w:tc>
      </w:tr>
      <w:tr>
        <w:trPr>
          <w:trHeight w:val="1042"/>
        </w:trPr>
        <w:tc>
          <w:tcPr>
            <w:tcW w:w="491" w:type="dxa"/>
            <w:shd w:val="clear" w:color="auto" w:fill="FFFFFF" w:themeFill="background1"/>
            <w:vAlign w:val="center"/>
          </w:tcPr>
          <w:p>
            <w:pPr>
              <w:shd w:val="clear" w:color="auto" w:fill="FFFFFF" w:themeFill="background1"/>
              <w:ind w:left="-170" w:right="-170"/>
              <w:jc w:val="center"/>
              <w:rPr>
                <w:rFonts w:ascii="Times New Roman" w:hAnsi="Times New Roman"/>
                <w:sz w:val="22"/>
                <w:szCs w:val="22"/>
              </w:rPr>
            </w:pPr>
            <w:r>
              <w:rPr>
                <w:rFonts w:ascii="Times New Roman" w:hAnsi="Times New Roman"/>
                <w:sz w:val="22"/>
                <w:szCs w:val="22"/>
              </w:rPr>
              <w:t>4</w:t>
            </w:r>
          </w:p>
        </w:tc>
        <w:tc>
          <w:tcPr>
            <w:tcW w:w="5746" w:type="dxa"/>
            <w:shd w:val="clear" w:color="auto" w:fill="FFFFFF" w:themeFill="background1"/>
            <w:vAlign w:val="center"/>
            <w:hideMark/>
          </w:tcPr>
          <w:p>
            <w:pPr>
              <w:shd w:val="clear" w:color="auto" w:fill="FFFFFF" w:themeFill="background1"/>
              <w:ind w:right="-70"/>
              <w:rPr>
                <w:rFonts w:ascii="Times New Roman" w:hAnsi="Times New Roman"/>
                <w:sz w:val="22"/>
                <w:szCs w:val="22"/>
              </w:rPr>
            </w:pPr>
            <w:r>
              <w:rPr>
                <w:rFonts w:ascii="Times New Roman" w:hAnsi="Times New Roman"/>
                <w:sz w:val="22"/>
                <w:szCs w:val="22"/>
              </w:rPr>
              <w:t>Сумма ЕНВД за вычетом обязательных страховых взносов и пособий по временной нетрудоспособности, с учетом освобождения в 2020 году плательщиков пострадавших отраслей от уплаты налога за </w:t>
            </w:r>
            <w:r>
              <w:rPr>
                <w:rFonts w:ascii="Times New Roman" w:hAnsi="Times New Roman"/>
                <w:sz w:val="22"/>
                <w:szCs w:val="22"/>
                <w:lang w:val="en-US"/>
              </w:rPr>
              <w:t>II</w:t>
            </w:r>
            <w:r>
              <w:rPr>
                <w:rFonts w:ascii="Times New Roman" w:hAnsi="Times New Roman"/>
                <w:sz w:val="22"/>
                <w:szCs w:val="22"/>
              </w:rPr>
              <w:t> квартал 2020 года, тыс.руб.</w:t>
            </w:r>
          </w:p>
        </w:tc>
        <w:tc>
          <w:tcPr>
            <w:tcW w:w="1134" w:type="dxa"/>
            <w:shd w:val="clear" w:color="auto" w:fill="FFFFFF" w:themeFill="background1"/>
            <w:tcMar>
              <w:left w:w="28" w:type="dxa"/>
              <w:right w:w="28" w:type="dxa"/>
            </w:tcMar>
            <w:vAlign w:val="center"/>
          </w:tcPr>
          <w:p>
            <w:pPr>
              <w:shd w:val="clear" w:color="auto" w:fill="FFFFFF" w:themeFill="background1"/>
              <w:ind w:right="113"/>
              <w:jc w:val="right"/>
              <w:rPr>
                <w:lang w:val="en-US"/>
              </w:rPr>
            </w:pPr>
            <w:r>
              <w:rPr>
                <w:lang w:val="en-US"/>
              </w:rPr>
              <w:t>36 182</w:t>
            </w:r>
          </w:p>
        </w:tc>
        <w:tc>
          <w:tcPr>
            <w:tcW w:w="993" w:type="dxa"/>
            <w:shd w:val="clear" w:color="auto" w:fill="FFFFFF" w:themeFill="background1"/>
            <w:vAlign w:val="center"/>
            <w:hideMark/>
          </w:tcPr>
          <w:p>
            <w:pPr>
              <w:shd w:val="clear" w:color="auto" w:fill="FFFFFF" w:themeFill="background1"/>
              <w:jc w:val="right"/>
              <w:rPr>
                <w:rFonts w:ascii="Times New Roman" w:hAnsi="Times New Roman"/>
                <w:lang w:val="en-US"/>
              </w:rPr>
            </w:pPr>
            <w:r>
              <w:rPr>
                <w:rFonts w:ascii="Times New Roman" w:hAnsi="Times New Roman"/>
                <w:lang w:val="en-US"/>
              </w:rPr>
              <w:t>3</w:t>
            </w:r>
            <w:r>
              <w:rPr>
                <w:rFonts w:ascii="Times New Roman" w:hAnsi="Times New Roman"/>
              </w:rPr>
              <w:t>4 169</w:t>
            </w:r>
          </w:p>
        </w:tc>
        <w:tc>
          <w:tcPr>
            <w:tcW w:w="992" w:type="dxa"/>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9 873</w:t>
            </w:r>
          </w:p>
        </w:tc>
      </w:tr>
      <w:tr>
        <w:trPr>
          <w:trHeight w:val="275"/>
        </w:trPr>
        <w:tc>
          <w:tcPr>
            <w:tcW w:w="491" w:type="dxa"/>
            <w:shd w:val="clear" w:color="auto" w:fill="auto"/>
            <w:vAlign w:val="center"/>
          </w:tcPr>
          <w:p>
            <w:pPr>
              <w:shd w:val="clear" w:color="auto" w:fill="FFFFFF" w:themeFill="background1"/>
              <w:ind w:left="-170" w:right="-170"/>
              <w:jc w:val="center"/>
              <w:rPr>
                <w:rFonts w:ascii="Times New Roman" w:hAnsi="Times New Roman"/>
                <w:sz w:val="22"/>
                <w:szCs w:val="22"/>
              </w:rPr>
            </w:pPr>
            <w:r>
              <w:rPr>
                <w:rFonts w:ascii="Times New Roman" w:hAnsi="Times New Roman"/>
                <w:sz w:val="22"/>
                <w:szCs w:val="22"/>
              </w:rPr>
              <w:t>5</w:t>
            </w:r>
          </w:p>
        </w:tc>
        <w:tc>
          <w:tcPr>
            <w:tcW w:w="5746" w:type="dxa"/>
            <w:shd w:val="clear" w:color="auto" w:fill="auto"/>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Уровень собираемости, %</w:t>
            </w:r>
          </w:p>
        </w:tc>
        <w:tc>
          <w:tcPr>
            <w:tcW w:w="1134" w:type="dxa"/>
            <w:shd w:val="clear" w:color="auto" w:fill="auto"/>
            <w:tcMar>
              <w:left w:w="28" w:type="dxa"/>
              <w:right w:w="28" w:type="dxa"/>
            </w:tcMar>
            <w:vAlign w:val="center"/>
          </w:tcPr>
          <w:p>
            <w:pPr>
              <w:shd w:val="clear" w:color="auto" w:fill="FFFFFF" w:themeFill="background1"/>
              <w:ind w:right="113"/>
              <w:jc w:val="right"/>
            </w:pPr>
            <w:r>
              <w:t>98</w:t>
            </w:r>
          </w:p>
        </w:tc>
        <w:tc>
          <w:tcPr>
            <w:tcW w:w="993" w:type="dxa"/>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98</w:t>
            </w:r>
          </w:p>
        </w:tc>
        <w:tc>
          <w:tcPr>
            <w:tcW w:w="992" w:type="dxa"/>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100</w:t>
            </w:r>
          </w:p>
        </w:tc>
      </w:tr>
      <w:tr>
        <w:trPr>
          <w:trHeight w:val="275"/>
        </w:trPr>
        <w:tc>
          <w:tcPr>
            <w:tcW w:w="491" w:type="dxa"/>
            <w:shd w:val="clear" w:color="auto" w:fill="auto"/>
            <w:vAlign w:val="center"/>
          </w:tcPr>
          <w:p>
            <w:pPr>
              <w:shd w:val="clear" w:color="auto" w:fill="FFFFFF" w:themeFill="background1"/>
              <w:ind w:left="-170" w:right="-170"/>
              <w:jc w:val="center"/>
              <w:rPr>
                <w:rFonts w:ascii="Times New Roman" w:hAnsi="Times New Roman"/>
                <w:sz w:val="22"/>
                <w:szCs w:val="22"/>
              </w:rPr>
            </w:pPr>
            <w:r>
              <w:rPr>
                <w:rFonts w:ascii="Times New Roman" w:hAnsi="Times New Roman"/>
                <w:sz w:val="22"/>
                <w:szCs w:val="22"/>
              </w:rPr>
              <w:t>6</w:t>
            </w:r>
          </w:p>
        </w:tc>
        <w:tc>
          <w:tcPr>
            <w:tcW w:w="5746" w:type="dxa"/>
            <w:shd w:val="clear" w:color="auto" w:fill="auto"/>
            <w:vAlign w:val="center"/>
            <w:hideMark/>
          </w:tcPr>
          <w:p>
            <w:pPr>
              <w:shd w:val="clear" w:color="auto" w:fill="FFFFFF" w:themeFill="background1"/>
              <w:ind w:right="-108"/>
              <w:rPr>
                <w:rFonts w:ascii="Times New Roman" w:hAnsi="Times New Roman"/>
                <w:sz w:val="22"/>
                <w:szCs w:val="22"/>
              </w:rPr>
            </w:pPr>
            <w:r>
              <w:rPr>
                <w:rFonts w:ascii="Times New Roman" w:hAnsi="Times New Roman"/>
                <w:sz w:val="22"/>
                <w:szCs w:val="22"/>
              </w:rPr>
              <w:t>Дополнительные поступления за счет сокращения задолженности (30%), тыс.руб.</w:t>
            </w:r>
          </w:p>
        </w:tc>
        <w:tc>
          <w:tcPr>
            <w:tcW w:w="1134" w:type="dxa"/>
            <w:shd w:val="clear" w:color="auto" w:fill="auto"/>
            <w:tcMar>
              <w:left w:w="28" w:type="dxa"/>
              <w:right w:w="28" w:type="dxa"/>
            </w:tcMar>
            <w:vAlign w:val="center"/>
          </w:tcPr>
          <w:p>
            <w:pPr>
              <w:shd w:val="clear" w:color="auto" w:fill="FFFFFF" w:themeFill="background1"/>
              <w:ind w:right="113"/>
              <w:jc w:val="right"/>
              <w:rPr>
                <w:lang w:val="en-US"/>
              </w:rPr>
            </w:pPr>
            <w:r>
              <w:t xml:space="preserve">1 </w:t>
            </w:r>
            <w:r>
              <w:rPr>
                <w:lang w:val="en-US"/>
              </w:rPr>
              <w:t>197</w:t>
            </w:r>
          </w:p>
        </w:tc>
        <w:tc>
          <w:tcPr>
            <w:tcW w:w="993" w:type="dxa"/>
            <w:shd w:val="clear" w:color="auto" w:fill="auto"/>
            <w:vAlign w:val="center"/>
            <w:hideMark/>
          </w:tcPr>
          <w:p>
            <w:pPr>
              <w:shd w:val="clear" w:color="auto" w:fill="FFFFFF" w:themeFill="background1"/>
              <w:jc w:val="right"/>
              <w:rPr>
                <w:rFonts w:ascii="Times New Roman" w:hAnsi="Times New Roman"/>
                <w:lang w:val="en-US"/>
              </w:rPr>
            </w:pPr>
            <w:r>
              <w:rPr>
                <w:rFonts w:ascii="Times New Roman" w:hAnsi="Times New Roman"/>
              </w:rPr>
              <w:t>1 </w:t>
            </w:r>
            <w:r>
              <w:rPr>
                <w:rFonts w:ascii="Times New Roman" w:hAnsi="Times New Roman"/>
                <w:lang w:val="en-US"/>
              </w:rPr>
              <w:t>208</w:t>
            </w:r>
          </w:p>
        </w:tc>
        <w:tc>
          <w:tcPr>
            <w:tcW w:w="992" w:type="dxa"/>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1 812</w:t>
            </w:r>
          </w:p>
        </w:tc>
      </w:tr>
      <w:tr>
        <w:trPr>
          <w:trHeight w:val="413"/>
        </w:trPr>
        <w:tc>
          <w:tcPr>
            <w:tcW w:w="491" w:type="dxa"/>
            <w:shd w:val="clear" w:color="auto" w:fill="auto"/>
            <w:vAlign w:val="center"/>
          </w:tcPr>
          <w:p>
            <w:pPr>
              <w:shd w:val="clear" w:color="auto" w:fill="FFFFFF" w:themeFill="background1"/>
              <w:ind w:left="-170" w:right="-170"/>
              <w:jc w:val="center"/>
              <w:rPr>
                <w:rFonts w:ascii="Times New Roman" w:hAnsi="Times New Roman"/>
                <w:sz w:val="22"/>
                <w:szCs w:val="22"/>
              </w:rPr>
            </w:pPr>
            <w:r>
              <w:rPr>
                <w:rFonts w:ascii="Times New Roman" w:hAnsi="Times New Roman"/>
                <w:sz w:val="22"/>
                <w:szCs w:val="22"/>
              </w:rPr>
              <w:t>7</w:t>
            </w:r>
          </w:p>
        </w:tc>
        <w:tc>
          <w:tcPr>
            <w:tcW w:w="5746" w:type="dxa"/>
            <w:shd w:val="clear" w:color="auto" w:fill="auto"/>
            <w:vAlign w:val="center"/>
            <w:hideMark/>
          </w:tcPr>
          <w:p>
            <w:pPr>
              <w:shd w:val="clear" w:color="auto" w:fill="FFFFFF" w:themeFill="background1"/>
              <w:ind w:right="-70"/>
              <w:rPr>
                <w:rFonts w:ascii="Times New Roman" w:hAnsi="Times New Roman"/>
                <w:sz w:val="22"/>
                <w:szCs w:val="22"/>
              </w:rPr>
            </w:pPr>
            <w:r>
              <w:rPr>
                <w:rFonts w:ascii="Times New Roman" w:hAnsi="Times New Roman"/>
                <w:sz w:val="22"/>
                <w:szCs w:val="22"/>
              </w:rPr>
              <w:t>Сумма зачета переплаты по налогу, тыс.руб.</w:t>
            </w:r>
          </w:p>
        </w:tc>
        <w:tc>
          <w:tcPr>
            <w:tcW w:w="1134" w:type="dxa"/>
            <w:shd w:val="clear" w:color="auto" w:fill="auto"/>
            <w:tcMar>
              <w:left w:w="28" w:type="dxa"/>
              <w:right w:w="28" w:type="dxa"/>
            </w:tcMar>
            <w:vAlign w:val="center"/>
          </w:tcPr>
          <w:p>
            <w:pPr>
              <w:shd w:val="clear" w:color="auto" w:fill="FFFFFF" w:themeFill="background1"/>
              <w:ind w:right="113"/>
              <w:jc w:val="right"/>
            </w:pPr>
            <w:r>
              <w:t>839</w:t>
            </w:r>
          </w:p>
        </w:tc>
        <w:tc>
          <w:tcPr>
            <w:tcW w:w="993" w:type="dxa"/>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1 573</w:t>
            </w:r>
          </w:p>
        </w:tc>
        <w:tc>
          <w:tcPr>
            <w:tcW w:w="992" w:type="dxa"/>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1 573</w:t>
            </w:r>
          </w:p>
        </w:tc>
      </w:tr>
      <w:tr>
        <w:trPr>
          <w:trHeight w:val="533"/>
        </w:trPr>
        <w:tc>
          <w:tcPr>
            <w:tcW w:w="491" w:type="dxa"/>
            <w:shd w:val="clear" w:color="auto" w:fill="auto"/>
            <w:vAlign w:val="center"/>
          </w:tcPr>
          <w:p>
            <w:pPr>
              <w:shd w:val="clear" w:color="auto" w:fill="FFFFFF" w:themeFill="background1"/>
              <w:ind w:left="-170" w:right="-170"/>
              <w:jc w:val="center"/>
              <w:rPr>
                <w:rFonts w:ascii="Times New Roman" w:hAnsi="Times New Roman"/>
                <w:sz w:val="22"/>
                <w:szCs w:val="22"/>
              </w:rPr>
            </w:pPr>
            <w:r>
              <w:rPr>
                <w:rFonts w:ascii="Times New Roman" w:hAnsi="Times New Roman"/>
                <w:sz w:val="22"/>
                <w:szCs w:val="22"/>
              </w:rPr>
              <w:t>8</w:t>
            </w:r>
          </w:p>
        </w:tc>
        <w:tc>
          <w:tcPr>
            <w:tcW w:w="5746" w:type="dxa"/>
            <w:shd w:val="clear" w:color="auto" w:fill="auto"/>
            <w:vAlign w:val="center"/>
            <w:hideMark/>
          </w:tcPr>
          <w:p>
            <w:pPr>
              <w:shd w:val="clear" w:color="auto" w:fill="FFFFFF" w:themeFill="background1"/>
              <w:ind w:right="-70"/>
              <w:rPr>
                <w:rFonts w:ascii="Times New Roman" w:hAnsi="Times New Roman"/>
                <w:sz w:val="22"/>
                <w:szCs w:val="22"/>
              </w:rPr>
            </w:pPr>
            <w:r>
              <w:rPr>
                <w:rFonts w:ascii="Times New Roman" w:hAnsi="Times New Roman"/>
                <w:sz w:val="22"/>
                <w:szCs w:val="22"/>
              </w:rPr>
              <w:t>Сумма налога к поступлению в бюджет ЗАТО Северск, тыс.руб.</w:t>
            </w:r>
          </w:p>
        </w:tc>
        <w:tc>
          <w:tcPr>
            <w:tcW w:w="1134" w:type="dxa"/>
            <w:shd w:val="clear" w:color="auto" w:fill="auto"/>
            <w:tcMar>
              <w:left w:w="28" w:type="dxa"/>
              <w:right w:w="28" w:type="dxa"/>
            </w:tcMar>
            <w:vAlign w:val="center"/>
          </w:tcPr>
          <w:p>
            <w:pPr>
              <w:shd w:val="clear" w:color="auto" w:fill="FFFFFF" w:themeFill="background1"/>
              <w:ind w:right="113"/>
              <w:jc w:val="right"/>
            </w:pPr>
            <w:r>
              <w:rPr>
                <w:rFonts w:ascii="Times New Roman" w:hAnsi="Times New Roman"/>
              </w:rPr>
              <w:t>35 816</w:t>
            </w:r>
          </w:p>
        </w:tc>
        <w:tc>
          <w:tcPr>
            <w:tcW w:w="993" w:type="dxa"/>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33 121</w:t>
            </w:r>
          </w:p>
        </w:tc>
        <w:tc>
          <w:tcPr>
            <w:tcW w:w="992" w:type="dxa"/>
            <w:shd w:val="clear" w:color="auto" w:fill="auto"/>
            <w:tcMar>
              <w:left w:w="28" w:type="dxa"/>
              <w:right w:w="28" w:type="dxa"/>
            </w:tcMar>
            <w:vAlign w:val="center"/>
            <w:hideMark/>
          </w:tcPr>
          <w:p>
            <w:pPr>
              <w:shd w:val="clear" w:color="auto" w:fill="FFFFFF" w:themeFill="background1"/>
              <w:jc w:val="right"/>
              <w:rPr>
                <w:rFonts w:ascii="Times New Roman" w:hAnsi="Times New Roman"/>
              </w:rPr>
            </w:pPr>
            <w:r>
              <w:rPr>
                <w:rFonts w:ascii="Times New Roman" w:hAnsi="Times New Roman"/>
              </w:rPr>
              <w:t>10 112</w:t>
            </w:r>
          </w:p>
        </w:tc>
      </w:tr>
    </w:tbl>
    <w:p>
      <w:pPr>
        <w:shd w:val="clear" w:color="auto" w:fill="FFFFFF" w:themeFill="background1"/>
        <w:ind w:right="43" w:firstLine="709"/>
        <w:jc w:val="both"/>
        <w:rPr>
          <w:rFonts w:ascii="Times New Roman" w:hAnsi="Times New Roman"/>
          <w:sz w:val="24"/>
        </w:rPr>
      </w:pPr>
    </w:p>
    <w:p>
      <w:pPr>
        <w:shd w:val="clear" w:color="auto" w:fill="FFFFFF" w:themeFill="background1"/>
        <w:ind w:right="43" w:firstLine="709"/>
        <w:jc w:val="both"/>
        <w:rPr>
          <w:rFonts w:ascii="Times New Roman" w:hAnsi="Times New Roman"/>
          <w:sz w:val="24"/>
        </w:rPr>
      </w:pPr>
      <w:r>
        <w:rPr>
          <w:rFonts w:ascii="Times New Roman" w:hAnsi="Times New Roman"/>
          <w:sz w:val="24"/>
        </w:rPr>
        <w:t>Доля поступлений налога в 2021 году в структуре налоговых и неналоговых доходов составит 0,9%, в общей сумме доходов бюджета ЗАТО Северск – 0,2%.</w:t>
      </w:r>
    </w:p>
    <w:p>
      <w:pPr>
        <w:shd w:val="clear" w:color="auto" w:fill="FFFFFF" w:themeFill="background1"/>
        <w:spacing w:before="240" w:after="120"/>
        <w:jc w:val="center"/>
        <w:rPr>
          <w:b/>
          <w:sz w:val="24"/>
          <w:szCs w:val="24"/>
        </w:rPr>
      </w:pPr>
      <w:r>
        <w:rPr>
          <w:b/>
          <w:sz w:val="24"/>
          <w:szCs w:val="24"/>
        </w:rPr>
        <w:t>1.3.5. Единый сельскохозяйственный налог</w:t>
      </w:r>
    </w:p>
    <w:p>
      <w:pPr>
        <w:shd w:val="clear" w:color="auto" w:fill="FFFFFF" w:themeFill="background1"/>
        <w:ind w:right="43" w:firstLine="709"/>
        <w:jc w:val="both"/>
        <w:rPr>
          <w:rFonts w:ascii="Times New Roman" w:hAnsi="Times New Roman"/>
          <w:sz w:val="24"/>
          <w:szCs w:val="24"/>
        </w:rPr>
      </w:pPr>
      <w:r>
        <w:rPr>
          <w:rFonts w:ascii="Times New Roman" w:hAnsi="Times New Roman"/>
          <w:sz w:val="24"/>
        </w:rPr>
        <w:t xml:space="preserve">Расчет поступления налога в бюджет ЗАТО Северск выполнен в соответствии с главой 26.1 Налогового кодекса Российской Федерации, </w:t>
      </w:r>
      <w:r>
        <w:rPr>
          <w:rFonts w:ascii="Times New Roman" w:hAnsi="Times New Roman"/>
          <w:sz w:val="24"/>
          <w:szCs w:val="24"/>
        </w:rPr>
        <w:t>с использованием статистической отчетности ИФНС России по ЗАТО Северск по форме 5-ЕСХН «Отчет о налоговой базе и структуре начислений по единому сельскохозяйственному налогу»,</w:t>
      </w:r>
      <w:r>
        <w:rPr>
          <w:rFonts w:ascii="Times New Roman" w:hAnsi="Times New Roman"/>
          <w:sz w:val="24"/>
        </w:rPr>
        <w:t xml:space="preserve"> </w:t>
      </w:r>
      <w:r>
        <w:rPr>
          <w:rFonts w:ascii="Times New Roman" w:hAnsi="Times New Roman"/>
          <w:sz w:val="24"/>
          <w:szCs w:val="24"/>
        </w:rPr>
        <w:t xml:space="preserve">на основании прогнозных данных, представленных главным администратором доходов – ИНФС России по ЗАТО Северск. </w:t>
      </w:r>
    </w:p>
    <w:p>
      <w:pPr>
        <w:shd w:val="clear" w:color="auto" w:fill="FFFFFF" w:themeFill="background1"/>
        <w:ind w:right="45" w:firstLine="709"/>
        <w:jc w:val="both"/>
        <w:rPr>
          <w:rFonts w:ascii="Times New Roman" w:hAnsi="Times New Roman"/>
          <w:sz w:val="24"/>
        </w:rPr>
      </w:pPr>
      <w:r>
        <w:rPr>
          <w:rFonts w:ascii="Times New Roman" w:hAnsi="Times New Roman"/>
          <w:sz w:val="24"/>
          <w:szCs w:val="24"/>
        </w:rPr>
        <w:t>В соответствии со статьей 61.2 Бюджетного кодекса Российской Федерации норматив отчислений в бюджеты городских округов составляет 100%.</w:t>
      </w:r>
      <w:r>
        <w:rPr>
          <w:rFonts w:ascii="Times New Roman" w:hAnsi="Times New Roman"/>
          <w:sz w:val="24"/>
        </w:rPr>
        <w:t xml:space="preserve"> </w:t>
      </w:r>
    </w:p>
    <w:p>
      <w:pPr>
        <w:shd w:val="clear" w:color="auto" w:fill="FFFFFF" w:themeFill="background1"/>
        <w:ind w:right="45" w:firstLine="709"/>
        <w:jc w:val="both"/>
        <w:rPr>
          <w:rFonts w:ascii="Times New Roman" w:hAnsi="Times New Roman"/>
          <w:sz w:val="24"/>
        </w:rPr>
      </w:pPr>
      <w:r>
        <w:rPr>
          <w:rFonts w:ascii="Times New Roman" w:hAnsi="Times New Roman"/>
          <w:sz w:val="24"/>
        </w:rPr>
        <w:t>Доходы по единому сельскохозяйственному налогу на 2021 год прогнозируются в сумме 463,00 тыс.руб., что на 17,00 тыс.руб. (на 3,8%) больше оценки 2020 года.</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lang w:eastAsia="ar-SA"/>
        </w:rPr>
        <w:t xml:space="preserve">На 2022 год поступления налога в бюджет ЗАТО Северск прогнозируются в сумме 488,00 тыс.руб., на 2023 год в сумме 517,00 тыс.руб. </w:t>
      </w:r>
    </w:p>
    <w:p>
      <w:pPr>
        <w:shd w:val="clear" w:color="auto" w:fill="FFFFFF" w:themeFill="background1"/>
        <w:suppressAutoHyphens/>
        <w:ind w:firstLine="720"/>
        <w:jc w:val="both"/>
        <w:rPr>
          <w:rFonts w:ascii="Times New Roman" w:hAnsi="Times New Roman"/>
          <w:sz w:val="24"/>
          <w:lang w:eastAsia="ar-SA"/>
        </w:rPr>
      </w:pPr>
    </w:p>
    <w:p>
      <w:pPr>
        <w:shd w:val="clear" w:color="auto" w:fill="FFFFFF" w:themeFill="background1"/>
        <w:suppressAutoHyphens/>
        <w:ind w:firstLine="720"/>
        <w:jc w:val="both"/>
        <w:rPr>
          <w:rFonts w:ascii="Times New Roman" w:hAnsi="Times New Roman"/>
          <w:sz w:val="24"/>
          <w:lang w:eastAsia="ar-SA"/>
        </w:rPr>
      </w:pPr>
    </w:p>
    <w:p>
      <w:pPr>
        <w:shd w:val="clear" w:color="auto" w:fill="FFFFFF" w:themeFill="background1"/>
        <w:suppressAutoHyphens/>
        <w:ind w:firstLine="720"/>
        <w:jc w:val="both"/>
        <w:rPr>
          <w:rFonts w:ascii="Times New Roman" w:hAnsi="Times New Roman"/>
          <w:sz w:val="24"/>
          <w:lang w:eastAsia="ar-SA"/>
        </w:rPr>
      </w:pPr>
    </w:p>
    <w:p>
      <w:pPr>
        <w:shd w:val="clear" w:color="auto" w:fill="FFFFFF" w:themeFill="background1"/>
        <w:spacing w:before="60" w:after="120"/>
        <w:ind w:right="45" w:firstLine="709"/>
        <w:jc w:val="both"/>
        <w:rPr>
          <w:rFonts w:ascii="Times New Roman" w:hAnsi="Times New Roman"/>
          <w:sz w:val="24"/>
        </w:rPr>
      </w:pPr>
      <w:r>
        <w:rPr>
          <w:rFonts w:ascii="Times New Roman" w:hAnsi="Times New Roman"/>
          <w:sz w:val="24"/>
        </w:rPr>
        <w:lastRenderedPageBreak/>
        <w:t>Таблица 7 -</w:t>
      </w:r>
      <w:r>
        <w:rPr>
          <w:rFonts w:ascii="Times New Roman" w:hAnsi="Times New Roman"/>
          <w:sz w:val="24"/>
          <w:szCs w:val="24"/>
        </w:rPr>
        <w:t xml:space="preserve"> Расчет </w:t>
      </w:r>
      <w:r>
        <w:rPr>
          <w:rFonts w:ascii="Times New Roman" w:hAnsi="Times New Roman"/>
          <w:sz w:val="24"/>
        </w:rPr>
        <w:t>единого сельскохозяйственного налога</w:t>
      </w:r>
    </w:p>
    <w:tbl>
      <w:tblPr>
        <w:tblW w:w="9387" w:type="dxa"/>
        <w:tblInd w:w="103" w:type="dxa"/>
        <w:tblLook w:val="0000" w:firstRow="0" w:lastRow="0" w:firstColumn="0" w:lastColumn="0" w:noHBand="0" w:noVBand="0"/>
      </w:tblPr>
      <w:tblGrid>
        <w:gridCol w:w="486"/>
        <w:gridCol w:w="3030"/>
        <w:gridCol w:w="1109"/>
        <w:gridCol w:w="992"/>
        <w:gridCol w:w="992"/>
        <w:gridCol w:w="711"/>
        <w:gridCol w:w="1074"/>
        <w:gridCol w:w="993"/>
      </w:tblGrid>
      <w:tr>
        <w:trPr>
          <w:trHeight w:val="193"/>
        </w:trPr>
        <w:tc>
          <w:tcPr>
            <w:tcW w:w="486" w:type="dxa"/>
            <w:vMerge w:val="restar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t>№ п/п</w:t>
            </w:r>
          </w:p>
        </w:tc>
        <w:tc>
          <w:tcPr>
            <w:tcW w:w="3030" w:type="dxa"/>
            <w:vMerge w:val="restar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Наименование показателя</w:t>
            </w:r>
          </w:p>
        </w:tc>
        <w:tc>
          <w:tcPr>
            <w:tcW w:w="2101" w:type="dxa"/>
            <w:gridSpan w:val="2"/>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2020 год</w:t>
            </w:r>
          </w:p>
        </w:tc>
        <w:tc>
          <w:tcPr>
            <w:tcW w:w="1703" w:type="dxa"/>
            <w:gridSpan w:val="2"/>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2021 год</w:t>
            </w:r>
          </w:p>
        </w:tc>
        <w:tc>
          <w:tcPr>
            <w:tcW w:w="1074" w:type="dxa"/>
            <w:vMerge w:val="restart"/>
            <w:tcBorders>
              <w:top w:val="single" w:sz="4" w:space="0" w:color="auto"/>
              <w:left w:val="nil"/>
              <w:bottom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 xml:space="preserve">Прогноз </w:t>
            </w:r>
          </w:p>
          <w:p>
            <w:pPr>
              <w:shd w:val="clear" w:color="auto" w:fill="FFFFFF" w:themeFill="background1"/>
              <w:ind w:left="-108" w:right="-108"/>
              <w:jc w:val="center"/>
              <w:rPr>
                <w:rFonts w:ascii="Times New Roman" w:hAnsi="Times New Roman"/>
              </w:rPr>
            </w:pPr>
            <w:r>
              <w:rPr>
                <w:rFonts w:ascii="Times New Roman" w:hAnsi="Times New Roman"/>
              </w:rPr>
              <w:t>2022 года</w:t>
            </w:r>
          </w:p>
        </w:tc>
        <w:tc>
          <w:tcPr>
            <w:tcW w:w="993" w:type="dxa"/>
            <w:vMerge w:val="restart"/>
            <w:tcBorders>
              <w:top w:val="single" w:sz="4" w:space="0" w:color="auto"/>
              <w:left w:val="nil"/>
              <w:right w:val="single" w:sz="4" w:space="0" w:color="auto"/>
            </w:tcBorders>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 xml:space="preserve">Прогноз </w:t>
            </w:r>
          </w:p>
          <w:p>
            <w:pPr>
              <w:shd w:val="clear" w:color="auto" w:fill="FFFFFF" w:themeFill="background1"/>
              <w:ind w:left="-108" w:right="-108"/>
              <w:jc w:val="center"/>
              <w:rPr>
                <w:rFonts w:ascii="Times New Roman" w:hAnsi="Times New Roman"/>
              </w:rPr>
            </w:pPr>
            <w:r>
              <w:rPr>
                <w:rFonts w:ascii="Times New Roman" w:hAnsi="Times New Roman"/>
              </w:rPr>
              <w:t>2023 года</w:t>
            </w:r>
          </w:p>
        </w:tc>
      </w:tr>
      <w:tr>
        <w:trPr>
          <w:trHeight w:val="351"/>
        </w:trPr>
        <w:tc>
          <w:tcPr>
            <w:tcW w:w="486" w:type="dxa"/>
            <w:vMerge/>
            <w:tcBorders>
              <w:left w:val="single" w:sz="4" w:space="0" w:color="auto"/>
              <w:bottom w:val="single" w:sz="4" w:space="0" w:color="auto"/>
              <w:right w:val="single" w:sz="4" w:space="0" w:color="auto"/>
            </w:tcBorders>
          </w:tcPr>
          <w:p>
            <w:pPr>
              <w:shd w:val="clear" w:color="auto" w:fill="FFFFFF" w:themeFill="background1"/>
              <w:jc w:val="center"/>
              <w:rPr>
                <w:rFonts w:ascii="Times New Roman" w:hAnsi="Times New Roman"/>
                <w:sz w:val="22"/>
                <w:szCs w:val="22"/>
              </w:rPr>
            </w:pPr>
          </w:p>
        </w:tc>
        <w:tc>
          <w:tcPr>
            <w:tcW w:w="3030" w:type="dxa"/>
            <w:vMerge/>
            <w:tcBorders>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p>
        </w:tc>
        <w:tc>
          <w:tcPr>
            <w:tcW w:w="1109" w:type="dxa"/>
            <w:tcBorders>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Первонач. утверждено</w:t>
            </w:r>
          </w:p>
        </w:tc>
        <w:tc>
          <w:tcPr>
            <w:tcW w:w="99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Оценка</w:t>
            </w:r>
          </w:p>
        </w:tc>
        <w:tc>
          <w:tcPr>
            <w:tcW w:w="99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Прогноз</w:t>
            </w:r>
          </w:p>
        </w:tc>
        <w:tc>
          <w:tcPr>
            <w:tcW w:w="711" w:type="dxa"/>
            <w:tcBorders>
              <w:top w:val="single" w:sz="4" w:space="0" w:color="auto"/>
              <w:left w:val="single" w:sz="4" w:space="0" w:color="auto"/>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rPr>
            </w:pPr>
            <w:r>
              <w:rPr>
                <w:rFonts w:ascii="Times New Roman" w:hAnsi="Times New Roman"/>
              </w:rPr>
              <w:t>% к оценке 2020г.</w:t>
            </w:r>
          </w:p>
        </w:tc>
        <w:tc>
          <w:tcPr>
            <w:tcW w:w="1074" w:type="dxa"/>
            <w:vMerge/>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suppressAutoHyphens/>
              <w:snapToGrid w:val="0"/>
              <w:jc w:val="center"/>
              <w:rPr>
                <w:rFonts w:ascii="Times New Roman" w:hAnsi="Times New Roman"/>
                <w:sz w:val="22"/>
                <w:szCs w:val="22"/>
                <w:lang w:eastAsia="ar-SA"/>
              </w:rPr>
            </w:pPr>
          </w:p>
        </w:tc>
        <w:tc>
          <w:tcPr>
            <w:tcW w:w="993" w:type="dxa"/>
            <w:vMerge/>
            <w:tcBorders>
              <w:left w:val="nil"/>
              <w:bottom w:val="single" w:sz="4" w:space="0" w:color="auto"/>
              <w:right w:val="single" w:sz="4" w:space="0" w:color="auto"/>
            </w:tcBorders>
            <w:shd w:val="clear" w:color="auto" w:fill="auto"/>
            <w:vAlign w:val="center"/>
          </w:tcPr>
          <w:p>
            <w:pPr>
              <w:shd w:val="clear" w:color="auto" w:fill="FFFFFF" w:themeFill="background1"/>
              <w:suppressAutoHyphens/>
              <w:snapToGrid w:val="0"/>
              <w:jc w:val="center"/>
              <w:rPr>
                <w:rFonts w:ascii="Times New Roman" w:hAnsi="Times New Roman"/>
                <w:sz w:val="22"/>
                <w:szCs w:val="22"/>
                <w:lang w:eastAsia="ar-SA"/>
              </w:rPr>
            </w:pPr>
          </w:p>
        </w:tc>
      </w:tr>
      <w:tr>
        <w:trPr>
          <w:trHeight w:val="386"/>
        </w:trPr>
        <w:tc>
          <w:tcPr>
            <w:tcW w:w="486" w:type="dxa"/>
            <w:tcBorders>
              <w:top w:val="single" w:sz="4" w:space="0" w:color="auto"/>
              <w:left w:val="single" w:sz="4" w:space="0" w:color="auto"/>
              <w:bottom w:val="single" w:sz="4" w:space="0" w:color="auto"/>
              <w:right w:val="single" w:sz="4" w:space="0" w:color="auto"/>
            </w:tcBorders>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1</w:t>
            </w:r>
          </w:p>
        </w:tc>
        <w:tc>
          <w:tcPr>
            <w:tcW w:w="3030"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rPr>
                <w:rFonts w:ascii="Times New Roman" w:hAnsi="Times New Roman"/>
                <w:sz w:val="22"/>
                <w:szCs w:val="22"/>
              </w:rPr>
            </w:pPr>
            <w:r>
              <w:rPr>
                <w:rFonts w:ascii="Times New Roman" w:hAnsi="Times New Roman"/>
                <w:sz w:val="22"/>
                <w:szCs w:val="22"/>
              </w:rPr>
              <w:t>Налоговая база, тыс. руб.</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5 344,00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7 441,00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7 709</w:t>
            </w:r>
          </w:p>
        </w:tc>
        <w:tc>
          <w:tcPr>
            <w:tcW w:w="711" w:type="dxa"/>
            <w:tcBorders>
              <w:top w:val="single" w:sz="4" w:space="0" w:color="auto"/>
              <w:left w:val="single" w:sz="4" w:space="0" w:color="auto"/>
              <w:bottom w:val="single" w:sz="4" w:space="0" w:color="auto"/>
              <w:right w:val="single" w:sz="4" w:space="0" w:color="auto"/>
            </w:tcBorders>
            <w:vAlign w:val="center"/>
          </w:tcPr>
          <w:p>
            <w:pPr>
              <w:shd w:val="clear" w:color="auto" w:fill="FFFFFF" w:themeFill="background1"/>
              <w:jc w:val="center"/>
              <w:rPr>
                <w:rFonts w:ascii="Times New Roman" w:hAnsi="Times New Roman"/>
              </w:rPr>
            </w:pPr>
            <w:r>
              <w:rPr>
                <w:rFonts w:ascii="Times New Roman" w:hAnsi="Times New Roman"/>
              </w:rPr>
              <w:t>103,6</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8 125,00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8 610,00</w:t>
            </w:r>
          </w:p>
        </w:tc>
      </w:tr>
      <w:tr>
        <w:trPr>
          <w:trHeight w:val="274"/>
        </w:trPr>
        <w:tc>
          <w:tcPr>
            <w:tcW w:w="486" w:type="dxa"/>
            <w:tcBorders>
              <w:top w:val="single" w:sz="4" w:space="0" w:color="auto"/>
              <w:left w:val="single" w:sz="4" w:space="0" w:color="auto"/>
              <w:bottom w:val="single" w:sz="4" w:space="0" w:color="auto"/>
              <w:right w:val="single" w:sz="4" w:space="0" w:color="auto"/>
            </w:tcBorders>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2</w:t>
            </w:r>
          </w:p>
        </w:tc>
        <w:tc>
          <w:tcPr>
            <w:tcW w:w="3030"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rPr>
                <w:rFonts w:ascii="Times New Roman" w:hAnsi="Times New Roman"/>
                <w:sz w:val="22"/>
                <w:szCs w:val="22"/>
              </w:rPr>
            </w:pPr>
            <w:r>
              <w:rPr>
                <w:rFonts w:ascii="Times New Roman" w:hAnsi="Times New Roman"/>
                <w:sz w:val="22"/>
                <w:szCs w:val="22"/>
              </w:rPr>
              <w:t>Ставка налога,</w:t>
            </w:r>
            <w:r>
              <w:rPr>
                <w:rFonts w:ascii="Times New Roman" w:hAnsi="Times New Roman"/>
                <w:i/>
                <w:sz w:val="22"/>
                <w:szCs w:val="22"/>
              </w:rPr>
              <w:t>%</w:t>
            </w:r>
          </w:p>
        </w:tc>
        <w:tc>
          <w:tcPr>
            <w:tcW w:w="1109"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i/>
              </w:rPr>
            </w:pPr>
            <w:r>
              <w:rPr>
                <w:rFonts w:ascii="Times New Roman" w:hAnsi="Times New Roman"/>
                <w:i/>
              </w:rPr>
              <w:t>6</w:t>
            </w:r>
          </w:p>
        </w:tc>
        <w:tc>
          <w:tcPr>
            <w:tcW w:w="99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i/>
              </w:rPr>
            </w:pPr>
            <w:r>
              <w:rPr>
                <w:rFonts w:ascii="Times New Roman" w:hAnsi="Times New Roman"/>
                <w:i/>
              </w:rPr>
              <w:t>6</w:t>
            </w:r>
          </w:p>
        </w:tc>
        <w:tc>
          <w:tcPr>
            <w:tcW w:w="99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i/>
              </w:rPr>
            </w:pPr>
            <w:r>
              <w:rPr>
                <w:rFonts w:ascii="Times New Roman" w:hAnsi="Times New Roman"/>
                <w:i/>
              </w:rPr>
              <w:t>6</w:t>
            </w:r>
          </w:p>
        </w:tc>
        <w:tc>
          <w:tcPr>
            <w:tcW w:w="711" w:type="dxa"/>
            <w:tcBorders>
              <w:top w:val="single" w:sz="4" w:space="0" w:color="auto"/>
              <w:left w:val="single" w:sz="4" w:space="0" w:color="auto"/>
              <w:bottom w:val="single" w:sz="4" w:space="0" w:color="auto"/>
              <w:right w:val="single" w:sz="4" w:space="0" w:color="auto"/>
            </w:tcBorders>
            <w:vAlign w:val="center"/>
          </w:tcPr>
          <w:p>
            <w:pPr>
              <w:shd w:val="clear" w:color="auto" w:fill="FFFFFF" w:themeFill="background1"/>
              <w:jc w:val="center"/>
              <w:rPr>
                <w:rFonts w:ascii="Times New Roman" w:hAnsi="Times New Roman"/>
                <w:i/>
              </w:rPr>
            </w:pPr>
            <w:r>
              <w:rPr>
                <w:rFonts w:ascii="Times New Roman" w:hAnsi="Times New Roman"/>
                <w:i/>
              </w:rPr>
              <w:t>-</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i/>
              </w:rPr>
            </w:pPr>
            <w:r>
              <w:rPr>
                <w:rFonts w:ascii="Times New Roman" w:hAnsi="Times New Roman"/>
                <w:i/>
              </w:rPr>
              <w:t>6</w:t>
            </w:r>
          </w:p>
        </w:tc>
        <w:tc>
          <w:tcPr>
            <w:tcW w:w="993"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i/>
              </w:rPr>
            </w:pPr>
            <w:r>
              <w:rPr>
                <w:rFonts w:ascii="Times New Roman" w:hAnsi="Times New Roman"/>
                <w:i/>
              </w:rPr>
              <w:t>6</w:t>
            </w:r>
          </w:p>
        </w:tc>
      </w:tr>
      <w:tr>
        <w:trPr>
          <w:trHeight w:val="565"/>
        </w:trPr>
        <w:tc>
          <w:tcPr>
            <w:tcW w:w="486" w:type="dxa"/>
            <w:tcBorders>
              <w:top w:val="nil"/>
              <w:left w:val="single" w:sz="4" w:space="0" w:color="auto"/>
              <w:bottom w:val="single" w:sz="4" w:space="0" w:color="auto"/>
              <w:right w:val="single" w:sz="4" w:space="0" w:color="auto"/>
            </w:tcBorders>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3</w:t>
            </w:r>
          </w:p>
        </w:tc>
        <w:tc>
          <w:tcPr>
            <w:tcW w:w="3030"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rPr>
                <w:rFonts w:ascii="Times New Roman" w:hAnsi="Times New Roman"/>
                <w:sz w:val="22"/>
                <w:szCs w:val="22"/>
              </w:rPr>
            </w:pPr>
            <w:r>
              <w:rPr>
                <w:rFonts w:ascii="Times New Roman" w:hAnsi="Times New Roman"/>
                <w:sz w:val="22"/>
                <w:szCs w:val="22"/>
              </w:rPr>
              <w:t xml:space="preserve">Сумма налога к поступлению в бюджет ЗАТО Северск, </w:t>
            </w:r>
          </w:p>
          <w:p>
            <w:pPr>
              <w:shd w:val="clear" w:color="auto" w:fill="FFFFFF" w:themeFill="background1"/>
              <w:rPr>
                <w:rFonts w:ascii="Times New Roman" w:hAnsi="Times New Roman"/>
                <w:sz w:val="22"/>
                <w:szCs w:val="22"/>
              </w:rPr>
            </w:pPr>
            <w:r>
              <w:rPr>
                <w:rFonts w:ascii="Times New Roman" w:hAnsi="Times New Roman"/>
                <w:sz w:val="22"/>
                <w:szCs w:val="22"/>
              </w:rPr>
              <w:t>тыс. руб.</w:t>
            </w:r>
          </w:p>
        </w:tc>
        <w:tc>
          <w:tcPr>
            <w:tcW w:w="1109" w:type="dxa"/>
            <w:tcBorders>
              <w:top w:val="nil"/>
              <w:left w:val="nil"/>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320,60</w:t>
            </w:r>
          </w:p>
        </w:tc>
        <w:tc>
          <w:tcPr>
            <w:tcW w:w="992" w:type="dxa"/>
            <w:tcBorders>
              <w:top w:val="nil"/>
              <w:left w:val="nil"/>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446,00</w:t>
            </w:r>
          </w:p>
        </w:tc>
        <w:tc>
          <w:tcPr>
            <w:tcW w:w="99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463,00</w:t>
            </w:r>
          </w:p>
        </w:tc>
        <w:tc>
          <w:tcPr>
            <w:tcW w:w="711" w:type="dxa"/>
            <w:tcBorders>
              <w:top w:val="single" w:sz="4" w:space="0" w:color="auto"/>
              <w:left w:val="single" w:sz="4" w:space="0" w:color="auto"/>
              <w:bottom w:val="single" w:sz="4" w:space="0" w:color="auto"/>
              <w:right w:val="single" w:sz="4" w:space="0" w:color="auto"/>
            </w:tcBorders>
            <w:vAlign w:val="center"/>
          </w:tcPr>
          <w:p>
            <w:pPr>
              <w:shd w:val="clear" w:color="auto" w:fill="FFFFFF" w:themeFill="background1"/>
              <w:jc w:val="center"/>
              <w:rPr>
                <w:rFonts w:ascii="Times New Roman" w:hAnsi="Times New Roman"/>
              </w:rPr>
            </w:pPr>
            <w:r>
              <w:rPr>
                <w:rFonts w:ascii="Times New Roman" w:hAnsi="Times New Roman"/>
              </w:rPr>
              <w:t>103,8</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488,00</w:t>
            </w:r>
          </w:p>
        </w:tc>
        <w:tc>
          <w:tcPr>
            <w:tcW w:w="993" w:type="dxa"/>
            <w:tcBorders>
              <w:top w:val="nil"/>
              <w:left w:val="nil"/>
              <w:bottom w:val="single" w:sz="4" w:space="0" w:color="auto"/>
              <w:right w:val="single" w:sz="4" w:space="0" w:color="auto"/>
            </w:tcBorders>
            <w:shd w:val="clear" w:color="auto" w:fill="auto"/>
            <w:vAlign w:val="center"/>
          </w:tcPr>
          <w:p>
            <w:pPr>
              <w:shd w:val="clear" w:color="auto" w:fill="FFFFFF" w:themeFill="background1"/>
              <w:jc w:val="right"/>
              <w:rPr>
                <w:rFonts w:ascii="Times New Roman" w:hAnsi="Times New Roman"/>
              </w:rPr>
            </w:pPr>
            <w:r>
              <w:rPr>
                <w:rFonts w:ascii="Times New Roman" w:hAnsi="Times New Roman"/>
              </w:rPr>
              <w:t>517,00</w:t>
            </w:r>
          </w:p>
        </w:tc>
      </w:tr>
    </w:tbl>
    <w:p>
      <w:pPr>
        <w:shd w:val="clear" w:color="auto" w:fill="FFFFFF" w:themeFill="background1"/>
        <w:spacing w:before="120"/>
        <w:ind w:right="45" w:firstLine="709"/>
        <w:jc w:val="both"/>
        <w:rPr>
          <w:rFonts w:ascii="Times New Roman" w:hAnsi="Times New Roman"/>
          <w:b/>
          <w:bCs/>
          <w:iCs/>
          <w:color w:val="000000"/>
          <w:sz w:val="24"/>
          <w:szCs w:val="24"/>
        </w:rPr>
      </w:pPr>
      <w:r>
        <w:rPr>
          <w:rFonts w:ascii="Times New Roman" w:hAnsi="Times New Roman"/>
          <w:sz w:val="24"/>
        </w:rPr>
        <w:t>Доля поступлений налога в 2021 году в структуре налоговых и неналоговых доходов составит 0,04%. В 2022 и 2023 годах доля в структуре налоговых и неналоговых доходов составит 0,04% и 0,05% соответственно</w:t>
      </w:r>
      <w:r>
        <w:rPr>
          <w:rFonts w:ascii="Times New Roman" w:hAnsi="Times New Roman"/>
          <w:bCs/>
          <w:iCs/>
          <w:color w:val="000000"/>
          <w:sz w:val="24"/>
          <w:szCs w:val="24"/>
        </w:rPr>
        <w:t>.</w:t>
      </w:r>
    </w:p>
    <w:p>
      <w:pPr>
        <w:shd w:val="clear" w:color="auto" w:fill="FFFFFF" w:themeFill="background1"/>
        <w:spacing w:before="240"/>
        <w:ind w:right="45"/>
        <w:jc w:val="center"/>
        <w:rPr>
          <w:rFonts w:ascii="Times New Roman" w:hAnsi="Times New Roman"/>
          <w:b/>
          <w:bCs/>
          <w:iCs/>
          <w:color w:val="000000"/>
          <w:sz w:val="24"/>
          <w:szCs w:val="24"/>
        </w:rPr>
      </w:pPr>
      <w:r>
        <w:rPr>
          <w:rFonts w:ascii="Times New Roman" w:hAnsi="Times New Roman"/>
          <w:b/>
          <w:bCs/>
          <w:iCs/>
          <w:color w:val="000000"/>
          <w:sz w:val="24"/>
          <w:szCs w:val="24"/>
        </w:rPr>
        <w:t>1.3.6. Налог, взимаемый в связи с применением</w:t>
      </w:r>
    </w:p>
    <w:p>
      <w:pPr>
        <w:shd w:val="clear" w:color="auto" w:fill="FFFFFF" w:themeFill="background1"/>
        <w:spacing w:after="120"/>
        <w:jc w:val="center"/>
        <w:rPr>
          <w:b/>
          <w:bCs/>
          <w:iCs/>
          <w:color w:val="000000"/>
          <w:sz w:val="24"/>
          <w:szCs w:val="24"/>
        </w:rPr>
      </w:pPr>
      <w:r>
        <w:rPr>
          <w:b/>
          <w:bCs/>
          <w:iCs/>
          <w:color w:val="000000"/>
          <w:sz w:val="24"/>
          <w:szCs w:val="24"/>
        </w:rPr>
        <w:t>патентной системы налогообложения</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lang w:eastAsia="ar-SA"/>
        </w:rPr>
        <w:t xml:space="preserve">Прогноз поступления доходов от применения патента в бюджет ЗАТО Северск выполнен в соответствии с главой 26.5 Налогового кодекса Российской Федерации, согласно Методике прогнозирования налоговых доходов, </w:t>
      </w:r>
      <w:r>
        <w:rPr>
          <w:rFonts w:ascii="Times New Roman" w:hAnsi="Times New Roman"/>
          <w:sz w:val="24"/>
          <w:szCs w:val="24"/>
          <w:lang w:eastAsia="ar-SA"/>
        </w:rPr>
        <w:t xml:space="preserve">на основании отчета ИФНС России по ЗАТО Северск по форме </w:t>
      </w:r>
      <w:r>
        <w:rPr>
          <w:rFonts w:ascii="Times New Roman" w:hAnsi="Times New Roman"/>
          <w:sz w:val="24"/>
          <w:lang w:eastAsia="ar-SA"/>
        </w:rPr>
        <w:t xml:space="preserve">статистической отчетности </w:t>
      </w:r>
      <w:r>
        <w:rPr>
          <w:rFonts w:ascii="Times New Roman" w:hAnsi="Times New Roman"/>
          <w:sz w:val="24"/>
          <w:szCs w:val="24"/>
          <w:lang w:eastAsia="ar-SA"/>
        </w:rPr>
        <w:t>1-Патент «Отчет о количестве индивидуальных предпринимателей, применяющих патентную систему налогообложения…», с учетом фактически приобретенных патентов в 2020 году.</w:t>
      </w:r>
    </w:p>
    <w:p>
      <w:pPr>
        <w:shd w:val="clear" w:color="auto" w:fill="FFFFFF" w:themeFill="background1"/>
        <w:suppressAutoHyphens/>
        <w:ind w:firstLine="720"/>
        <w:jc w:val="both"/>
        <w:rPr>
          <w:rFonts w:ascii="Times New Roman" w:hAnsi="Times New Roman"/>
          <w:sz w:val="24"/>
          <w:szCs w:val="24"/>
          <w:lang w:eastAsia="ar-SA"/>
        </w:rPr>
      </w:pPr>
      <w:r>
        <w:rPr>
          <w:rFonts w:ascii="Times New Roman" w:hAnsi="Times New Roman"/>
          <w:sz w:val="24"/>
          <w:szCs w:val="24"/>
          <w:lang w:eastAsia="ar-SA"/>
        </w:rPr>
        <w:t>В соответствии со статьей 61.2 Бюджетного кодекса Российской Федерации норматив отчислений налога в бюджеты городских округов составляет 100%.</w:t>
      </w:r>
    </w:p>
    <w:p>
      <w:pPr>
        <w:ind w:right="45" w:firstLine="720"/>
        <w:jc w:val="both"/>
        <w:rPr>
          <w:rFonts w:ascii="Times New Roman" w:hAnsi="Times New Roman"/>
          <w:sz w:val="24"/>
          <w:szCs w:val="24"/>
          <w:lang w:eastAsia="ar-SA"/>
        </w:rPr>
      </w:pPr>
      <w:r>
        <w:rPr>
          <w:rFonts w:ascii="Times New Roman" w:hAnsi="Times New Roman"/>
          <w:sz w:val="24"/>
          <w:szCs w:val="24"/>
        </w:rPr>
        <w:t>При прогнозировании поступлений налога учитывалась отмена с 01.01.2021 системы налогообложения в виде единого налога на вмененный доход с возможным переходом части налогоплательщиков единого налога на вмененный доход на патентную систему налогообложения, а также сложившаяся переплата по состоянию на 01.07.2020 в связи с реализацией антикризисных мер поддержки в 2020 году.</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lang w:eastAsia="ar-SA"/>
        </w:rPr>
        <w:t>Доходы по налогу, взимаемому в связи с применением патентной системы налогообложения, на 2021 год прогнозируются в сумме 1 261,00 тыс.руб., что на 267,00 тыс.руб. (на 26,9%) больше оценки 2020 года.</w:t>
      </w:r>
    </w:p>
    <w:p>
      <w:pPr>
        <w:shd w:val="clear" w:color="auto" w:fill="FFFFFF" w:themeFill="background1"/>
        <w:suppressAutoHyphens/>
        <w:ind w:firstLine="720"/>
        <w:jc w:val="both"/>
        <w:rPr>
          <w:rFonts w:ascii="Times New Roman" w:hAnsi="Times New Roman"/>
          <w:sz w:val="24"/>
          <w:lang w:eastAsia="ar-SA"/>
        </w:rPr>
      </w:pPr>
      <w:r>
        <w:rPr>
          <w:rFonts w:ascii="Times New Roman" w:hAnsi="Times New Roman"/>
          <w:sz w:val="24"/>
          <w:lang w:eastAsia="ar-SA"/>
        </w:rPr>
        <w:t>Поступления налога на 2022 год прогнозируются в сумме 1 707,00 тыс.руб., на 2023 год в сумме 1 775,00 тыс.руб.</w:t>
      </w:r>
    </w:p>
    <w:p>
      <w:pPr>
        <w:shd w:val="clear" w:color="auto" w:fill="FFFFFF" w:themeFill="background1"/>
        <w:spacing w:before="120" w:after="60"/>
        <w:ind w:right="45" w:firstLine="709"/>
        <w:jc w:val="both"/>
        <w:rPr>
          <w:rFonts w:ascii="Times New Roman" w:hAnsi="Times New Roman"/>
          <w:sz w:val="24"/>
        </w:rPr>
      </w:pPr>
      <w:r>
        <w:rPr>
          <w:rFonts w:ascii="Times New Roman" w:hAnsi="Times New Roman"/>
          <w:sz w:val="24"/>
        </w:rPr>
        <w:t>Таблица 8 -</w:t>
      </w:r>
      <w:r>
        <w:rPr>
          <w:rFonts w:ascii="Times New Roman" w:hAnsi="Times New Roman"/>
          <w:sz w:val="24"/>
          <w:szCs w:val="24"/>
        </w:rPr>
        <w:t xml:space="preserve"> Расчет </w:t>
      </w:r>
      <w:r>
        <w:rPr>
          <w:rFonts w:ascii="Times New Roman" w:hAnsi="Times New Roman"/>
          <w:sz w:val="24"/>
        </w:rPr>
        <w:t>налога, взимаемого в связи с применением патентной системы налогообложения</w:t>
      </w:r>
    </w:p>
    <w:tbl>
      <w:tblPr>
        <w:tblW w:w="9468" w:type="dxa"/>
        <w:tblInd w:w="103" w:type="dxa"/>
        <w:tblLook w:val="0000" w:firstRow="0" w:lastRow="0" w:firstColumn="0" w:lastColumn="0" w:noHBand="0" w:noVBand="0"/>
      </w:tblPr>
      <w:tblGrid>
        <w:gridCol w:w="429"/>
        <w:gridCol w:w="3262"/>
        <w:gridCol w:w="1134"/>
        <w:gridCol w:w="982"/>
        <w:gridCol w:w="982"/>
        <w:gridCol w:w="697"/>
        <w:gridCol w:w="991"/>
        <w:gridCol w:w="991"/>
      </w:tblGrid>
      <w:tr>
        <w:trPr>
          <w:trHeight w:val="193"/>
        </w:trPr>
        <w:tc>
          <w:tcPr>
            <w:tcW w:w="429" w:type="dxa"/>
            <w:vMerge w:val="restart"/>
            <w:tcBorders>
              <w:top w:val="single" w:sz="4" w:space="0" w:color="auto"/>
              <w:left w:val="single" w:sz="4" w:space="0" w:color="auto"/>
              <w:right w:val="single" w:sz="4" w:space="0" w:color="auto"/>
            </w:tcBorders>
            <w:shd w:val="clear" w:color="auto" w:fill="auto"/>
            <w:noWrap/>
            <w:vAlign w:val="center"/>
          </w:tcPr>
          <w:p>
            <w:pPr>
              <w:shd w:val="clear" w:color="auto" w:fill="FFFFFF" w:themeFill="background1"/>
              <w:ind w:left="-96" w:right="-108"/>
              <w:jc w:val="center"/>
              <w:rPr>
                <w:rFonts w:ascii="Times New Roman" w:hAnsi="Times New Roman"/>
              </w:rPr>
            </w:pPr>
            <w:r>
              <w:t>№ п/п</w:t>
            </w:r>
          </w:p>
        </w:tc>
        <w:tc>
          <w:tcPr>
            <w:tcW w:w="3262" w:type="dxa"/>
            <w:vMerge w:val="restart"/>
            <w:tcBorders>
              <w:top w:val="single" w:sz="4" w:space="0" w:color="auto"/>
              <w:left w:val="nil"/>
              <w:right w:val="single" w:sz="4" w:space="0" w:color="auto"/>
            </w:tcBorders>
            <w:shd w:val="clear" w:color="auto" w:fill="auto"/>
            <w:vAlign w:val="center"/>
          </w:tcPr>
          <w:p>
            <w:pPr>
              <w:shd w:val="clear" w:color="auto" w:fill="FFFFFF" w:themeFill="background1"/>
              <w:jc w:val="center"/>
              <w:rPr>
                <w:rFonts w:ascii="Times New Roman" w:hAnsi="Times New Roman"/>
              </w:rPr>
            </w:pPr>
            <w:r>
              <w:rPr>
                <w:rFonts w:ascii="Times New Roman" w:hAnsi="Times New Roman"/>
              </w:rPr>
              <w:t>Наименование показателя</w:t>
            </w:r>
          </w:p>
        </w:tc>
        <w:tc>
          <w:tcPr>
            <w:tcW w:w="2116" w:type="dxa"/>
            <w:gridSpan w:val="2"/>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108" w:right="-108"/>
              <w:jc w:val="center"/>
              <w:rPr>
                <w:rFonts w:ascii="Times New Roman" w:hAnsi="Times New Roman"/>
              </w:rPr>
            </w:pPr>
            <w:r>
              <w:rPr>
                <w:rFonts w:ascii="Times New Roman" w:hAnsi="Times New Roman"/>
              </w:rPr>
              <w:t>2020 год</w:t>
            </w:r>
          </w:p>
        </w:tc>
        <w:tc>
          <w:tcPr>
            <w:tcW w:w="1679" w:type="dxa"/>
            <w:gridSpan w:val="2"/>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rPr>
            </w:pPr>
            <w:r>
              <w:rPr>
                <w:rFonts w:ascii="Times New Roman" w:hAnsi="Times New Roman"/>
              </w:rPr>
              <w:t>2021 год</w:t>
            </w:r>
          </w:p>
        </w:tc>
        <w:tc>
          <w:tcPr>
            <w:tcW w:w="991" w:type="dxa"/>
            <w:vMerge w:val="restart"/>
            <w:tcBorders>
              <w:top w:val="single" w:sz="4" w:space="0" w:color="auto"/>
              <w:left w:val="single" w:sz="4" w:space="0" w:color="auto"/>
              <w:right w:val="single" w:sz="4" w:space="0" w:color="auto"/>
            </w:tcBorders>
            <w:shd w:val="clear" w:color="auto" w:fill="auto"/>
            <w:vAlign w:val="center"/>
          </w:tcPr>
          <w:p>
            <w:pPr>
              <w:shd w:val="clear" w:color="auto" w:fill="FFFFFF" w:themeFill="background1"/>
              <w:ind w:left="-108" w:right="-108"/>
              <w:jc w:val="center"/>
              <w:rPr>
                <w:rFonts w:ascii="Times New Roman" w:hAnsi="Times New Roman"/>
              </w:rPr>
            </w:pPr>
            <w:r>
              <w:rPr>
                <w:rFonts w:ascii="Times New Roman" w:hAnsi="Times New Roman"/>
              </w:rPr>
              <w:t>Прогноз 2022 года</w:t>
            </w:r>
          </w:p>
        </w:tc>
        <w:tc>
          <w:tcPr>
            <w:tcW w:w="991" w:type="dxa"/>
            <w:vMerge w:val="restart"/>
            <w:tcBorders>
              <w:top w:val="single" w:sz="4" w:space="0" w:color="auto"/>
              <w:left w:val="nil"/>
              <w:right w:val="single" w:sz="4" w:space="0" w:color="auto"/>
            </w:tcBorders>
            <w:shd w:val="clear" w:color="auto" w:fill="auto"/>
            <w:vAlign w:val="center"/>
          </w:tcPr>
          <w:p>
            <w:pPr>
              <w:shd w:val="clear" w:color="auto" w:fill="FFFFFF" w:themeFill="background1"/>
              <w:ind w:left="-108" w:right="-108"/>
              <w:jc w:val="center"/>
              <w:rPr>
                <w:rFonts w:ascii="Times New Roman" w:hAnsi="Times New Roman"/>
              </w:rPr>
            </w:pPr>
            <w:r>
              <w:rPr>
                <w:rFonts w:ascii="Times New Roman" w:hAnsi="Times New Roman"/>
              </w:rPr>
              <w:t>Прогноз 2023 года</w:t>
            </w:r>
          </w:p>
        </w:tc>
      </w:tr>
      <w:tr>
        <w:trPr>
          <w:trHeight w:val="253"/>
        </w:trPr>
        <w:tc>
          <w:tcPr>
            <w:tcW w:w="429" w:type="dxa"/>
            <w:vMerge/>
            <w:tcBorders>
              <w:left w:val="single" w:sz="4" w:space="0" w:color="auto"/>
              <w:bottom w:val="nil"/>
              <w:right w:val="single" w:sz="4" w:space="0" w:color="auto"/>
            </w:tcBorders>
            <w:shd w:val="clear" w:color="auto" w:fill="auto"/>
            <w:noWrap/>
            <w:vAlign w:val="center"/>
          </w:tcPr>
          <w:p>
            <w:pPr>
              <w:shd w:val="clear" w:color="auto" w:fill="FFFFFF" w:themeFill="background1"/>
              <w:jc w:val="center"/>
              <w:rPr>
                <w:rFonts w:ascii="Times New Roman" w:hAnsi="Times New Roman"/>
                <w:sz w:val="22"/>
                <w:szCs w:val="22"/>
              </w:rPr>
            </w:pPr>
          </w:p>
        </w:tc>
        <w:tc>
          <w:tcPr>
            <w:tcW w:w="3262" w:type="dxa"/>
            <w:vMerge/>
            <w:tcBorders>
              <w:left w:val="nil"/>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p>
        </w:tc>
        <w:tc>
          <w:tcPr>
            <w:tcW w:w="1134" w:type="dxa"/>
            <w:tcBorders>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Первонач. утверждено</w:t>
            </w:r>
          </w:p>
        </w:tc>
        <w:tc>
          <w:tcPr>
            <w:tcW w:w="98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Оценка</w:t>
            </w:r>
          </w:p>
        </w:tc>
        <w:tc>
          <w:tcPr>
            <w:tcW w:w="98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Прогноз</w:t>
            </w:r>
          </w:p>
        </w:tc>
        <w:tc>
          <w:tcPr>
            <w:tcW w:w="697" w:type="dxa"/>
            <w:tcBorders>
              <w:top w:val="single" w:sz="4" w:space="0" w:color="auto"/>
              <w:left w:val="nil"/>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rPr>
            </w:pPr>
            <w:r>
              <w:rPr>
                <w:rFonts w:ascii="Times New Roman" w:hAnsi="Times New Roman"/>
              </w:rPr>
              <w:t>% к оценке 2020г.</w:t>
            </w:r>
          </w:p>
        </w:tc>
        <w:tc>
          <w:tcPr>
            <w:tcW w:w="991" w:type="dxa"/>
            <w:vMerge/>
            <w:tcBorders>
              <w:left w:val="single" w:sz="4" w:space="0" w:color="auto"/>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sz w:val="22"/>
                <w:szCs w:val="22"/>
                <w:highlight w:val="yellow"/>
              </w:rPr>
            </w:pPr>
          </w:p>
        </w:tc>
        <w:tc>
          <w:tcPr>
            <w:tcW w:w="991" w:type="dxa"/>
            <w:vMerge/>
            <w:tcBorders>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sz w:val="22"/>
                <w:szCs w:val="22"/>
                <w:highlight w:val="yellow"/>
              </w:rPr>
            </w:pPr>
          </w:p>
        </w:tc>
      </w:tr>
      <w:tr>
        <w:trPr>
          <w:trHeight w:val="758"/>
        </w:trPr>
        <w:tc>
          <w:tcPr>
            <w:tcW w:w="429"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1</w:t>
            </w:r>
          </w:p>
        </w:tc>
        <w:tc>
          <w:tcPr>
            <w:tcW w:w="326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right="-115"/>
              <w:rPr>
                <w:rFonts w:ascii="Times New Roman" w:hAnsi="Times New Roman"/>
                <w:sz w:val="22"/>
                <w:szCs w:val="22"/>
              </w:rPr>
            </w:pPr>
            <w:r>
              <w:rPr>
                <w:rFonts w:ascii="Times New Roman" w:hAnsi="Times New Roman"/>
                <w:sz w:val="22"/>
                <w:szCs w:val="22"/>
              </w:rPr>
              <w:t>Налоговая база (размер потен-циально возможного получения ИП годового дохода), тыс. руб.</w:t>
            </w:r>
          </w:p>
        </w:tc>
        <w:tc>
          <w:tcPr>
            <w:tcW w:w="1134"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19 066,00</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24 915,00</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26 599,30</w:t>
            </w:r>
          </w:p>
        </w:tc>
        <w:tc>
          <w:tcPr>
            <w:tcW w:w="697" w:type="dxa"/>
            <w:tcBorders>
              <w:top w:val="single" w:sz="4" w:space="0" w:color="auto"/>
              <w:left w:val="nil"/>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rPr>
            </w:pPr>
            <w:r>
              <w:rPr>
                <w:rFonts w:ascii="Times New Roman" w:hAnsi="Times New Roman"/>
              </w:rPr>
              <w:t>106,8</w:t>
            </w:r>
          </w:p>
        </w:tc>
        <w:tc>
          <w:tcPr>
            <w:tcW w:w="991"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28 501,1</w:t>
            </w:r>
          </w:p>
        </w:tc>
        <w:tc>
          <w:tcPr>
            <w:tcW w:w="991"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29 646,80</w:t>
            </w:r>
          </w:p>
        </w:tc>
      </w:tr>
      <w:tr>
        <w:trPr>
          <w:trHeight w:val="259"/>
        </w:trPr>
        <w:tc>
          <w:tcPr>
            <w:tcW w:w="429"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2</w:t>
            </w:r>
          </w:p>
        </w:tc>
        <w:tc>
          <w:tcPr>
            <w:tcW w:w="326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right="-115"/>
              <w:rPr>
                <w:rFonts w:ascii="Times New Roman" w:hAnsi="Times New Roman"/>
                <w:sz w:val="22"/>
                <w:szCs w:val="22"/>
              </w:rPr>
            </w:pPr>
            <w:r>
              <w:rPr>
                <w:rFonts w:ascii="Times New Roman" w:hAnsi="Times New Roman"/>
                <w:sz w:val="22"/>
                <w:szCs w:val="22"/>
              </w:rPr>
              <w:t>Ставка налога,</w:t>
            </w:r>
            <w:r>
              <w:rPr>
                <w:rFonts w:ascii="Times New Roman" w:hAnsi="Times New Roman"/>
                <w:i/>
                <w:sz w:val="22"/>
                <w:szCs w:val="22"/>
              </w:rPr>
              <w:t xml:space="preserve"> %</w:t>
            </w:r>
          </w:p>
        </w:tc>
        <w:tc>
          <w:tcPr>
            <w:tcW w:w="1134"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i/>
              </w:rPr>
            </w:pPr>
            <w:r>
              <w:rPr>
                <w:rFonts w:ascii="Times New Roman" w:hAnsi="Times New Roman"/>
                <w:i/>
              </w:rPr>
              <w:t>6</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i/>
              </w:rPr>
            </w:pPr>
            <w:r>
              <w:rPr>
                <w:rFonts w:ascii="Times New Roman" w:hAnsi="Times New Roman"/>
                <w:i/>
              </w:rPr>
              <w:t>6</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i/>
              </w:rPr>
            </w:pPr>
            <w:r>
              <w:rPr>
                <w:rFonts w:ascii="Times New Roman" w:hAnsi="Times New Roman"/>
                <w:i/>
              </w:rPr>
              <w:t>6</w:t>
            </w:r>
          </w:p>
        </w:tc>
        <w:tc>
          <w:tcPr>
            <w:tcW w:w="697" w:type="dxa"/>
            <w:tcBorders>
              <w:top w:val="single" w:sz="4" w:space="0" w:color="auto"/>
              <w:left w:val="nil"/>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i/>
              </w:rPr>
            </w:pPr>
            <w:r>
              <w:rPr>
                <w:rFonts w:ascii="Times New Roman" w:hAnsi="Times New Roman"/>
                <w:i/>
              </w:rPr>
              <w:t>-</w:t>
            </w:r>
          </w:p>
        </w:tc>
        <w:tc>
          <w:tcPr>
            <w:tcW w:w="991"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i/>
              </w:rPr>
            </w:pPr>
            <w:r>
              <w:rPr>
                <w:rFonts w:ascii="Times New Roman" w:hAnsi="Times New Roman"/>
                <w:i/>
              </w:rPr>
              <w:t>6</w:t>
            </w:r>
          </w:p>
        </w:tc>
        <w:tc>
          <w:tcPr>
            <w:tcW w:w="991"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i/>
              </w:rPr>
            </w:pPr>
            <w:r>
              <w:rPr>
                <w:rFonts w:ascii="Times New Roman" w:hAnsi="Times New Roman"/>
                <w:i/>
              </w:rPr>
              <w:t>6</w:t>
            </w:r>
          </w:p>
        </w:tc>
      </w:tr>
      <w:tr>
        <w:trPr>
          <w:trHeight w:val="333"/>
        </w:trPr>
        <w:tc>
          <w:tcPr>
            <w:tcW w:w="429"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3</w:t>
            </w:r>
          </w:p>
        </w:tc>
        <w:tc>
          <w:tcPr>
            <w:tcW w:w="326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right="-115"/>
              <w:rPr>
                <w:rFonts w:ascii="Times New Roman" w:hAnsi="Times New Roman"/>
                <w:sz w:val="22"/>
                <w:szCs w:val="22"/>
              </w:rPr>
            </w:pPr>
            <w:r>
              <w:rPr>
                <w:rFonts w:ascii="Times New Roman" w:hAnsi="Times New Roman"/>
                <w:sz w:val="22"/>
                <w:szCs w:val="22"/>
              </w:rPr>
              <w:t>Расчетная сумма патента на год, тыс. руб.</w:t>
            </w:r>
          </w:p>
        </w:tc>
        <w:tc>
          <w:tcPr>
            <w:tcW w:w="1134"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1 144,00</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1 494,90</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1 596,00</w:t>
            </w:r>
          </w:p>
        </w:tc>
        <w:tc>
          <w:tcPr>
            <w:tcW w:w="697" w:type="dxa"/>
            <w:tcBorders>
              <w:top w:val="single" w:sz="4" w:space="0" w:color="auto"/>
              <w:left w:val="nil"/>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rPr>
            </w:pPr>
            <w:r>
              <w:rPr>
                <w:rFonts w:ascii="Times New Roman" w:hAnsi="Times New Roman"/>
              </w:rPr>
              <w:t>106,8</w:t>
            </w:r>
          </w:p>
        </w:tc>
        <w:tc>
          <w:tcPr>
            <w:tcW w:w="991"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1 710,10</w:t>
            </w:r>
          </w:p>
        </w:tc>
        <w:tc>
          <w:tcPr>
            <w:tcW w:w="991"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1 778,80</w:t>
            </w:r>
          </w:p>
        </w:tc>
      </w:tr>
      <w:tr>
        <w:trPr>
          <w:trHeight w:val="387"/>
        </w:trPr>
        <w:tc>
          <w:tcPr>
            <w:tcW w:w="429"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4</w:t>
            </w:r>
          </w:p>
        </w:tc>
        <w:tc>
          <w:tcPr>
            <w:tcW w:w="326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right="-115"/>
              <w:rPr>
                <w:sz w:val="22"/>
                <w:szCs w:val="22"/>
              </w:rPr>
            </w:pPr>
            <w:r>
              <w:rPr>
                <w:sz w:val="22"/>
                <w:szCs w:val="22"/>
              </w:rPr>
              <w:t>Уровень собираемости, %</w:t>
            </w:r>
          </w:p>
        </w:tc>
        <w:tc>
          <w:tcPr>
            <w:tcW w:w="1134"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99</w:t>
            </w:r>
          </w:p>
        </w:tc>
        <w:tc>
          <w:tcPr>
            <w:tcW w:w="98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99</w:t>
            </w:r>
          </w:p>
        </w:tc>
        <w:tc>
          <w:tcPr>
            <w:tcW w:w="98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99</w:t>
            </w:r>
          </w:p>
        </w:tc>
        <w:tc>
          <w:tcPr>
            <w:tcW w:w="697" w:type="dxa"/>
            <w:tcBorders>
              <w:top w:val="single" w:sz="4" w:space="0" w:color="auto"/>
              <w:left w:val="nil"/>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rPr>
            </w:pPr>
            <w:r>
              <w:rPr>
                <w:rFonts w:ascii="Times New Roman" w:hAnsi="Times New Roman"/>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99</w:t>
            </w:r>
          </w:p>
        </w:tc>
        <w:tc>
          <w:tcPr>
            <w:tcW w:w="991"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99</w:t>
            </w:r>
          </w:p>
        </w:tc>
      </w:tr>
      <w:tr>
        <w:trPr>
          <w:trHeight w:val="387"/>
        </w:trPr>
        <w:tc>
          <w:tcPr>
            <w:tcW w:w="429"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5</w:t>
            </w:r>
          </w:p>
        </w:tc>
        <w:tc>
          <w:tcPr>
            <w:tcW w:w="326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right="-115"/>
              <w:rPr>
                <w:rFonts w:ascii="Times New Roman" w:hAnsi="Times New Roman"/>
                <w:sz w:val="22"/>
                <w:szCs w:val="22"/>
              </w:rPr>
            </w:pPr>
            <w:r>
              <w:rPr>
                <w:sz w:val="22"/>
                <w:szCs w:val="22"/>
              </w:rPr>
              <w:t>Дополнительные поступления в бюджет ЗАТО Северск за счет сокращения задолженности (30%),</w:t>
            </w:r>
            <w:r>
              <w:rPr>
                <w:rFonts w:ascii="Times New Roman" w:hAnsi="Times New Roman"/>
                <w:sz w:val="22"/>
                <w:szCs w:val="22"/>
              </w:rPr>
              <w:t xml:space="preserve"> тыс. 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9,80</w:t>
            </w:r>
          </w:p>
        </w:tc>
        <w:tc>
          <w:tcPr>
            <w:tcW w:w="98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14,00</w:t>
            </w:r>
          </w:p>
        </w:tc>
        <w:tc>
          <w:tcPr>
            <w:tcW w:w="982"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14,00</w:t>
            </w:r>
          </w:p>
        </w:tc>
        <w:tc>
          <w:tcPr>
            <w:tcW w:w="697" w:type="dxa"/>
            <w:tcBorders>
              <w:top w:val="single" w:sz="4" w:space="0" w:color="auto"/>
              <w:left w:val="nil"/>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rPr>
            </w:pPr>
            <w:r>
              <w:rPr>
                <w:rFonts w:ascii="Times New Roman" w:hAnsi="Times New Roman"/>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14,00</w:t>
            </w:r>
          </w:p>
        </w:tc>
        <w:tc>
          <w:tcPr>
            <w:tcW w:w="991" w:type="dxa"/>
            <w:tcBorders>
              <w:top w:val="single" w:sz="4" w:space="0" w:color="auto"/>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14,00</w:t>
            </w:r>
          </w:p>
        </w:tc>
      </w:tr>
      <w:tr>
        <w:trPr>
          <w:trHeight w:val="314"/>
        </w:trPr>
        <w:tc>
          <w:tcPr>
            <w:tcW w:w="429"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6</w:t>
            </w:r>
          </w:p>
        </w:tc>
        <w:tc>
          <w:tcPr>
            <w:tcW w:w="326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right="-115"/>
              <w:rPr>
                <w:rFonts w:ascii="Times New Roman" w:hAnsi="Times New Roman"/>
                <w:sz w:val="22"/>
                <w:szCs w:val="22"/>
              </w:rPr>
            </w:pPr>
            <w:r>
              <w:rPr>
                <w:rFonts w:ascii="Times New Roman" w:hAnsi="Times New Roman"/>
                <w:sz w:val="22"/>
                <w:szCs w:val="22"/>
              </w:rPr>
              <w:t>Учет переплаты, тыс.руб.</w:t>
            </w:r>
          </w:p>
        </w:tc>
        <w:tc>
          <w:tcPr>
            <w:tcW w:w="1134"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0,0</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500,00</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333,00</w:t>
            </w:r>
          </w:p>
        </w:tc>
        <w:tc>
          <w:tcPr>
            <w:tcW w:w="697" w:type="dxa"/>
            <w:tcBorders>
              <w:top w:val="single" w:sz="4" w:space="0" w:color="auto"/>
              <w:left w:val="nil"/>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rPr>
            </w:pPr>
          </w:p>
        </w:tc>
        <w:tc>
          <w:tcPr>
            <w:tcW w:w="991"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p>
        </w:tc>
        <w:tc>
          <w:tcPr>
            <w:tcW w:w="991"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p>
        </w:tc>
      </w:tr>
      <w:tr>
        <w:trPr>
          <w:trHeight w:val="505"/>
        </w:trPr>
        <w:tc>
          <w:tcPr>
            <w:tcW w:w="429"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jc w:val="center"/>
              <w:rPr>
                <w:rFonts w:ascii="Times New Roman" w:hAnsi="Times New Roman"/>
                <w:sz w:val="22"/>
                <w:szCs w:val="22"/>
              </w:rPr>
            </w:pPr>
            <w:r>
              <w:rPr>
                <w:rFonts w:ascii="Times New Roman" w:hAnsi="Times New Roman"/>
                <w:sz w:val="22"/>
                <w:szCs w:val="22"/>
              </w:rPr>
              <w:t>7</w:t>
            </w:r>
          </w:p>
        </w:tc>
        <w:tc>
          <w:tcPr>
            <w:tcW w:w="326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right="-115"/>
              <w:rPr>
                <w:rFonts w:ascii="Times New Roman" w:hAnsi="Times New Roman"/>
                <w:sz w:val="22"/>
                <w:szCs w:val="22"/>
              </w:rPr>
            </w:pPr>
            <w:r>
              <w:rPr>
                <w:rFonts w:ascii="Times New Roman" w:hAnsi="Times New Roman"/>
                <w:sz w:val="22"/>
                <w:szCs w:val="22"/>
              </w:rPr>
              <w:t>Сумма налога к поступлению в бюджет ЗАТО Северск, тыс. руб.</w:t>
            </w:r>
          </w:p>
        </w:tc>
        <w:tc>
          <w:tcPr>
            <w:tcW w:w="1134"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1 142,30</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994,00</w:t>
            </w:r>
          </w:p>
        </w:tc>
        <w:tc>
          <w:tcPr>
            <w:tcW w:w="982"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1 261,00</w:t>
            </w:r>
          </w:p>
        </w:tc>
        <w:tc>
          <w:tcPr>
            <w:tcW w:w="697" w:type="dxa"/>
            <w:tcBorders>
              <w:top w:val="single" w:sz="4" w:space="0" w:color="auto"/>
              <w:left w:val="nil"/>
              <w:bottom w:val="single" w:sz="4" w:space="0" w:color="auto"/>
              <w:right w:val="single" w:sz="4" w:space="0" w:color="auto"/>
            </w:tcBorders>
            <w:vAlign w:val="center"/>
          </w:tcPr>
          <w:p>
            <w:pPr>
              <w:shd w:val="clear" w:color="auto" w:fill="FFFFFF" w:themeFill="background1"/>
              <w:ind w:left="-57" w:right="-57"/>
              <w:jc w:val="center"/>
              <w:rPr>
                <w:rFonts w:ascii="Times New Roman" w:hAnsi="Times New Roman"/>
              </w:rPr>
            </w:pPr>
            <w:r>
              <w:rPr>
                <w:rFonts w:ascii="Times New Roman" w:hAnsi="Times New Roman"/>
              </w:rPr>
              <w:t>126,9</w:t>
            </w:r>
          </w:p>
        </w:tc>
        <w:tc>
          <w:tcPr>
            <w:tcW w:w="991" w:type="dxa"/>
            <w:tcBorders>
              <w:top w:val="nil"/>
              <w:left w:val="single" w:sz="4" w:space="0" w:color="auto"/>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1 707,00</w:t>
            </w:r>
          </w:p>
        </w:tc>
        <w:tc>
          <w:tcPr>
            <w:tcW w:w="991" w:type="dxa"/>
            <w:tcBorders>
              <w:top w:val="nil"/>
              <w:left w:val="nil"/>
              <w:bottom w:val="single" w:sz="4" w:space="0" w:color="auto"/>
              <w:right w:val="single" w:sz="4" w:space="0" w:color="auto"/>
            </w:tcBorders>
            <w:shd w:val="clear" w:color="auto" w:fill="auto"/>
            <w:vAlign w:val="center"/>
          </w:tcPr>
          <w:p>
            <w:pPr>
              <w:shd w:val="clear" w:color="auto" w:fill="FFFFFF" w:themeFill="background1"/>
              <w:ind w:left="-57" w:right="-57"/>
              <w:jc w:val="center"/>
              <w:rPr>
                <w:rFonts w:ascii="Times New Roman" w:hAnsi="Times New Roman"/>
              </w:rPr>
            </w:pPr>
            <w:r>
              <w:rPr>
                <w:rFonts w:ascii="Times New Roman" w:hAnsi="Times New Roman"/>
              </w:rPr>
              <w:t>1 775,00</w:t>
            </w:r>
          </w:p>
        </w:tc>
      </w:tr>
    </w:tbl>
    <w:p>
      <w:pPr>
        <w:spacing w:before="120"/>
        <w:ind w:right="45" w:firstLine="709"/>
        <w:jc w:val="both"/>
        <w:rPr>
          <w:rFonts w:ascii="Times New Roman" w:hAnsi="Times New Roman"/>
          <w:sz w:val="24"/>
        </w:rPr>
      </w:pPr>
      <w:r>
        <w:rPr>
          <w:rFonts w:ascii="Times New Roman" w:hAnsi="Times New Roman"/>
          <w:sz w:val="24"/>
        </w:rPr>
        <w:lastRenderedPageBreak/>
        <w:t xml:space="preserve">Доля поступлений налога в 2021 году в структуре налоговых и неналоговых доходов составит 0,1%, в общей сумме доходов бюджета ЗАТО Северск – 0,03%. </w:t>
      </w:r>
    </w:p>
    <w:p>
      <w:pPr>
        <w:ind w:right="45" w:firstLine="709"/>
        <w:jc w:val="both"/>
        <w:rPr>
          <w:rFonts w:ascii="Times New Roman" w:hAnsi="Times New Roman"/>
          <w:sz w:val="24"/>
        </w:rPr>
      </w:pPr>
      <w:r>
        <w:rPr>
          <w:rFonts w:ascii="Times New Roman" w:hAnsi="Times New Roman"/>
          <w:sz w:val="24"/>
        </w:rPr>
        <w:t>В 2022 и 2023 годах доля в структуре налоговых и неналоговых доходов составит по 0,2%</w:t>
      </w:r>
      <w:r>
        <w:rPr>
          <w:rFonts w:ascii="Times New Roman" w:hAnsi="Times New Roman"/>
          <w:bCs/>
          <w:iCs/>
          <w:color w:val="000000"/>
          <w:sz w:val="24"/>
          <w:szCs w:val="24"/>
        </w:rPr>
        <w:t>;</w:t>
      </w:r>
      <w:r>
        <w:rPr>
          <w:rFonts w:ascii="Times New Roman" w:hAnsi="Times New Roman"/>
          <w:sz w:val="24"/>
        </w:rPr>
        <w:t xml:space="preserve"> в общей сумме доходов бюджета ЗАТО Северск – 0,05% и 0,1% соответственно. </w:t>
      </w:r>
    </w:p>
    <w:p>
      <w:pPr>
        <w:spacing w:before="240"/>
        <w:ind w:right="45"/>
        <w:jc w:val="center"/>
        <w:rPr>
          <w:rFonts w:ascii="Times New Roman" w:hAnsi="Times New Roman"/>
          <w:b/>
          <w:bCs/>
          <w:iCs/>
          <w:sz w:val="24"/>
          <w:szCs w:val="24"/>
        </w:rPr>
      </w:pPr>
      <w:r>
        <w:rPr>
          <w:rFonts w:ascii="Times New Roman" w:hAnsi="Times New Roman"/>
          <w:b/>
          <w:bCs/>
          <w:iCs/>
          <w:sz w:val="24"/>
          <w:szCs w:val="24"/>
        </w:rPr>
        <w:t>1.3.7. Налог на имущество физических лиц</w:t>
      </w:r>
    </w:p>
    <w:p>
      <w:pPr>
        <w:shd w:val="clear" w:color="auto" w:fill="FFFFFF" w:themeFill="background1"/>
        <w:ind w:right="43" w:firstLine="709"/>
        <w:jc w:val="center"/>
        <w:rPr>
          <w:rFonts w:ascii="Times New Roman" w:hAnsi="Times New Roman"/>
          <w:b/>
          <w:bCs/>
          <w:iCs/>
          <w:sz w:val="12"/>
          <w:szCs w:val="12"/>
        </w:rPr>
      </w:pPr>
    </w:p>
    <w:p>
      <w:pPr>
        <w:shd w:val="clear" w:color="auto" w:fill="FFFFFF" w:themeFill="background1"/>
        <w:ind w:firstLine="709"/>
        <w:jc w:val="both"/>
        <w:rPr>
          <w:rFonts w:ascii="Times New Roman" w:hAnsi="Times New Roman"/>
          <w:sz w:val="24"/>
          <w:szCs w:val="24"/>
        </w:rPr>
      </w:pPr>
      <w:r>
        <w:rPr>
          <w:rFonts w:ascii="Times New Roman" w:hAnsi="Times New Roman"/>
          <w:sz w:val="24"/>
          <w:szCs w:val="24"/>
        </w:rPr>
        <w:t xml:space="preserve">Прогноз поступления налога выполнен в соответствии с главой 32 Налогового кодекса Российской Федерации, </w:t>
      </w:r>
      <w:r>
        <w:rPr>
          <w:sz w:val="24"/>
          <w:szCs w:val="24"/>
        </w:rPr>
        <w:t>согласно</w:t>
      </w:r>
      <w:r>
        <w:rPr>
          <w:rFonts w:ascii="Times New Roman" w:hAnsi="Times New Roman"/>
          <w:sz w:val="24"/>
          <w:szCs w:val="24"/>
        </w:rPr>
        <w:t xml:space="preserve"> Методике прогнозирования </w:t>
      </w:r>
      <w:r>
        <w:rPr>
          <w:sz w:val="24"/>
          <w:szCs w:val="24"/>
        </w:rPr>
        <w:t xml:space="preserve">налоговых доходов, исходя из сумм начисленного налога за 2019 год на основании </w:t>
      </w:r>
      <w:r>
        <w:rPr>
          <w:rFonts w:ascii="Times New Roman" w:hAnsi="Times New Roman"/>
          <w:sz w:val="24"/>
          <w:szCs w:val="24"/>
        </w:rPr>
        <w:t xml:space="preserve">данных отчета ИФНС России по ЗАТО Северск по форме статистической отчетности 5-МН </w:t>
      </w:r>
      <w:bookmarkStart w:id="0" w:name="OLE_LINK1"/>
      <w:r>
        <w:rPr>
          <w:rFonts w:ascii="Times New Roman" w:hAnsi="Times New Roman"/>
          <w:sz w:val="24"/>
          <w:szCs w:val="24"/>
        </w:rPr>
        <w:t>«Отчет о налоговой базе и структуре начислений по местным налогам»</w:t>
      </w:r>
      <w:bookmarkEnd w:id="0"/>
      <w:r>
        <w:rPr>
          <w:rFonts w:ascii="Times New Roman" w:hAnsi="Times New Roman"/>
          <w:sz w:val="24"/>
          <w:szCs w:val="24"/>
        </w:rPr>
        <w:t>.</w:t>
      </w:r>
    </w:p>
    <w:p>
      <w:pPr>
        <w:shd w:val="clear" w:color="auto" w:fill="FFFFFF" w:themeFill="background1"/>
        <w:suppressAutoHyphens/>
        <w:ind w:firstLine="720"/>
        <w:jc w:val="both"/>
        <w:rPr>
          <w:rFonts w:ascii="Times New Roman" w:hAnsi="Times New Roman"/>
          <w:sz w:val="24"/>
          <w:szCs w:val="24"/>
          <w:lang w:eastAsia="ar-SA"/>
        </w:rPr>
      </w:pPr>
      <w:r>
        <w:rPr>
          <w:rFonts w:ascii="Times New Roman" w:hAnsi="Times New Roman"/>
          <w:sz w:val="24"/>
          <w:szCs w:val="24"/>
          <w:lang w:eastAsia="ar-SA"/>
        </w:rPr>
        <w:t>В соответствии со статьей 61.2 Бюджетного кодекса Российской Федерации норматив отчислений налога в бюджеты городских округов составляет 100%.</w:t>
      </w:r>
    </w:p>
    <w:p>
      <w:pPr>
        <w:ind w:firstLine="709"/>
        <w:jc w:val="both"/>
        <w:rPr>
          <w:rFonts w:ascii="Times New Roman" w:hAnsi="Times New Roman"/>
          <w:sz w:val="24"/>
          <w:szCs w:val="24"/>
        </w:rPr>
      </w:pPr>
      <w:r>
        <w:rPr>
          <w:rFonts w:ascii="Times New Roman" w:hAnsi="Times New Roman"/>
          <w:sz w:val="24"/>
          <w:szCs w:val="24"/>
        </w:rPr>
        <w:t>Прогноз поступлений налога на 2021 – 2023 годы выполнен с учетом:</w:t>
      </w:r>
    </w:p>
    <w:p>
      <w:pPr>
        <w:ind w:firstLine="709"/>
        <w:jc w:val="both"/>
        <w:rPr>
          <w:rFonts w:ascii="Times New Roman" w:hAnsi="Times New Roman"/>
          <w:sz w:val="24"/>
          <w:szCs w:val="24"/>
        </w:rPr>
      </w:pPr>
      <w:r>
        <w:rPr>
          <w:rFonts w:ascii="Times New Roman" w:hAnsi="Times New Roman"/>
          <w:sz w:val="24"/>
          <w:szCs w:val="24"/>
        </w:rPr>
        <w:t>- нового порядка исчисления налога исходя из кадастровой стоимости с 1 января 2020 года объектов налогообложения по налоговым ставкам, установленным решением Думы ЗАТО Северск от 26.09.2019 № 55/2 «О налоге на имущество физических лиц на территории ЗАТО Северск»;</w:t>
      </w:r>
    </w:p>
    <w:p>
      <w:pPr>
        <w:ind w:firstLine="709"/>
        <w:jc w:val="both"/>
        <w:rPr>
          <w:rFonts w:ascii="Times New Roman" w:hAnsi="Times New Roman"/>
          <w:sz w:val="24"/>
          <w:szCs w:val="24"/>
        </w:rPr>
      </w:pPr>
      <w:r>
        <w:rPr>
          <w:rFonts w:ascii="Times New Roman" w:hAnsi="Times New Roman"/>
          <w:sz w:val="24"/>
          <w:szCs w:val="24"/>
        </w:rPr>
        <w:t xml:space="preserve">- применения налоговых вычетов, предусмотренных статьей 403 Налогового кодекса Российской Федерации, </w:t>
      </w:r>
      <w:r>
        <w:rPr>
          <w:sz w:val="24"/>
          <w:szCs w:val="24"/>
        </w:rPr>
        <w:t>у</w:t>
      </w:r>
      <w:r>
        <w:rPr>
          <w:rFonts w:ascii="Times New Roman" w:hAnsi="Times New Roman"/>
          <w:sz w:val="24"/>
          <w:szCs w:val="24"/>
        </w:rPr>
        <w:t>меньшающих налоговую базу на величину кадастровой стоимости 50 кв.м. по жилым домам; 20 кв.м. по квартирам; 10 кв.м. по комнатам;</w:t>
      </w:r>
    </w:p>
    <w:p>
      <w:pPr>
        <w:ind w:firstLine="709"/>
        <w:jc w:val="both"/>
        <w:rPr>
          <w:rFonts w:ascii="Times New Roman" w:hAnsi="Times New Roman"/>
          <w:sz w:val="24"/>
          <w:szCs w:val="24"/>
        </w:rPr>
      </w:pPr>
      <w:r>
        <w:rPr>
          <w:rFonts w:ascii="Times New Roman" w:hAnsi="Times New Roman"/>
          <w:sz w:val="24"/>
          <w:szCs w:val="24"/>
        </w:rPr>
        <w:t>- применения понижающих коэффициентов к сумме исчисленного налога в случае, если сумма налога, исчисленного исходя из кадастровой стоимости, превышает сумму налога, исчисленного исходя из инвентаризационной стоимости согласно пункту 8 статьи 408 Налогового кодекса Российской Федерации (за 2020 год - коэффициент 0,2; за 2021 год - коэффициент 0,4; за 2022 год – коэффициент 0,6).</w:t>
      </w:r>
    </w:p>
    <w:p>
      <w:pPr>
        <w:shd w:val="clear" w:color="auto" w:fill="FFFFFF" w:themeFill="background1"/>
        <w:ind w:firstLine="709"/>
        <w:jc w:val="both"/>
        <w:rPr>
          <w:sz w:val="24"/>
          <w:szCs w:val="24"/>
        </w:rPr>
      </w:pPr>
      <w:r>
        <w:rPr>
          <w:sz w:val="24"/>
          <w:szCs w:val="24"/>
        </w:rPr>
        <w:t>Поступление налога на имущество физических лиц на 2021 год прогнозируется в сумме 37 841,00 тыс.руб., что на 10 713,00 тыс.руб. (</w:t>
      </w:r>
      <w:r>
        <w:rPr>
          <w:bCs/>
          <w:iCs/>
          <w:sz w:val="24"/>
          <w:szCs w:val="24"/>
        </w:rPr>
        <w:t xml:space="preserve">на 39,5%) </w:t>
      </w:r>
      <w:r>
        <w:rPr>
          <w:sz w:val="24"/>
          <w:szCs w:val="24"/>
        </w:rPr>
        <w:t xml:space="preserve">больше оценки 2020 года. </w:t>
      </w:r>
    </w:p>
    <w:p>
      <w:pPr>
        <w:ind w:right="43" w:firstLine="709"/>
        <w:jc w:val="both"/>
        <w:rPr>
          <w:rFonts w:ascii="Times New Roman" w:hAnsi="Times New Roman"/>
          <w:sz w:val="24"/>
        </w:rPr>
      </w:pPr>
      <w:r>
        <w:rPr>
          <w:rFonts w:ascii="Times New Roman" w:hAnsi="Times New Roman"/>
          <w:sz w:val="24"/>
        </w:rPr>
        <w:t xml:space="preserve">Поступления налога на 2022 год прогнозируются в сумме 45 883,00 тыс.руб., на 2023 год в сумме 51 957,00 тыс.руб. </w:t>
      </w:r>
    </w:p>
    <w:p>
      <w:pPr>
        <w:spacing w:before="120" w:after="60"/>
        <w:ind w:right="45" w:firstLine="709"/>
        <w:jc w:val="both"/>
        <w:rPr>
          <w:rFonts w:ascii="Times New Roman" w:hAnsi="Times New Roman"/>
          <w:sz w:val="24"/>
        </w:rPr>
      </w:pPr>
      <w:r>
        <w:rPr>
          <w:rFonts w:ascii="Times New Roman" w:hAnsi="Times New Roman"/>
          <w:sz w:val="24"/>
          <w:szCs w:val="24"/>
        </w:rPr>
        <w:t xml:space="preserve">Таблица 9 - Расчет </w:t>
      </w:r>
      <w:r>
        <w:rPr>
          <w:rFonts w:ascii="Times New Roman" w:hAnsi="Times New Roman"/>
          <w:sz w:val="24"/>
        </w:rPr>
        <w:t>налога на имущество физических лиц</w:t>
      </w:r>
    </w:p>
    <w:tbl>
      <w:tblPr>
        <w:tblW w:w="964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7"/>
        <w:gridCol w:w="1134"/>
        <w:gridCol w:w="993"/>
        <w:gridCol w:w="1134"/>
        <w:gridCol w:w="850"/>
        <w:gridCol w:w="1053"/>
        <w:gridCol w:w="1073"/>
      </w:tblGrid>
      <w:tr>
        <w:trPr>
          <w:trHeight w:val="330"/>
        </w:trPr>
        <w:tc>
          <w:tcPr>
            <w:tcW w:w="3407" w:type="dxa"/>
            <w:vMerge w:val="restart"/>
            <w:shd w:val="clear" w:color="auto" w:fill="auto"/>
            <w:noWrap/>
            <w:vAlign w:val="center"/>
            <w:hideMark/>
          </w:tcPr>
          <w:p>
            <w:pPr>
              <w:jc w:val="center"/>
              <w:rPr>
                <w:rFonts w:ascii="Times New Roman" w:hAnsi="Times New Roman"/>
              </w:rPr>
            </w:pPr>
            <w:r>
              <w:rPr>
                <w:rFonts w:ascii="Times New Roman" w:hAnsi="Times New Roman"/>
              </w:rPr>
              <w:t>Наименование показателя</w:t>
            </w:r>
          </w:p>
        </w:tc>
        <w:tc>
          <w:tcPr>
            <w:tcW w:w="2127" w:type="dxa"/>
            <w:gridSpan w:val="2"/>
            <w:shd w:val="clear" w:color="auto" w:fill="auto"/>
            <w:tcMar>
              <w:left w:w="28" w:type="dxa"/>
              <w:right w:w="28" w:type="dxa"/>
            </w:tcMar>
            <w:vAlign w:val="center"/>
            <w:hideMark/>
          </w:tcPr>
          <w:p>
            <w:pPr>
              <w:jc w:val="center"/>
              <w:rPr>
                <w:rFonts w:ascii="Times New Roman" w:hAnsi="Times New Roman"/>
              </w:rPr>
            </w:pPr>
            <w:r>
              <w:rPr>
                <w:rFonts w:ascii="Times New Roman" w:hAnsi="Times New Roman"/>
              </w:rPr>
              <w:t>2020 год</w:t>
            </w:r>
          </w:p>
        </w:tc>
        <w:tc>
          <w:tcPr>
            <w:tcW w:w="1984" w:type="dxa"/>
            <w:gridSpan w:val="2"/>
            <w:shd w:val="clear" w:color="auto" w:fill="auto"/>
            <w:vAlign w:val="center"/>
            <w:hideMark/>
          </w:tcPr>
          <w:p>
            <w:pPr>
              <w:jc w:val="center"/>
              <w:rPr>
                <w:rFonts w:ascii="Times New Roman" w:hAnsi="Times New Roman"/>
              </w:rPr>
            </w:pPr>
            <w:r>
              <w:rPr>
                <w:rFonts w:ascii="Times New Roman" w:hAnsi="Times New Roman"/>
              </w:rPr>
              <w:t>2021 год</w:t>
            </w:r>
          </w:p>
        </w:tc>
        <w:tc>
          <w:tcPr>
            <w:tcW w:w="1053" w:type="dxa"/>
            <w:vMerge w:val="restart"/>
            <w:shd w:val="clear" w:color="auto" w:fill="auto"/>
            <w:vAlign w:val="center"/>
            <w:hideMark/>
          </w:tcPr>
          <w:p>
            <w:pPr>
              <w:jc w:val="center"/>
              <w:rPr>
                <w:rFonts w:ascii="Times New Roman" w:hAnsi="Times New Roman"/>
              </w:rPr>
            </w:pPr>
            <w:r>
              <w:rPr>
                <w:rFonts w:ascii="Times New Roman" w:hAnsi="Times New Roman"/>
              </w:rPr>
              <w:t>Прогноз 2022</w:t>
            </w:r>
          </w:p>
        </w:tc>
        <w:tc>
          <w:tcPr>
            <w:tcW w:w="1073" w:type="dxa"/>
            <w:vMerge w:val="restart"/>
            <w:shd w:val="clear" w:color="auto" w:fill="auto"/>
            <w:vAlign w:val="center"/>
            <w:hideMark/>
          </w:tcPr>
          <w:p>
            <w:pPr>
              <w:jc w:val="center"/>
              <w:rPr>
                <w:rFonts w:ascii="Times New Roman" w:hAnsi="Times New Roman"/>
              </w:rPr>
            </w:pPr>
            <w:r>
              <w:rPr>
                <w:rFonts w:ascii="Times New Roman" w:hAnsi="Times New Roman"/>
              </w:rPr>
              <w:t>Прогноз 2023</w:t>
            </w:r>
          </w:p>
        </w:tc>
      </w:tr>
      <w:tr>
        <w:trPr>
          <w:trHeight w:val="266"/>
        </w:trPr>
        <w:tc>
          <w:tcPr>
            <w:tcW w:w="3407" w:type="dxa"/>
            <w:vMerge/>
            <w:shd w:val="clear" w:color="auto" w:fill="auto"/>
            <w:vAlign w:val="center"/>
            <w:hideMark/>
          </w:tcPr>
          <w:p>
            <w:pPr>
              <w:shd w:val="clear" w:color="auto" w:fill="FFFFFF" w:themeFill="background1"/>
              <w:rPr>
                <w:rFonts w:ascii="Times New Roman" w:hAnsi="Times New Roman"/>
              </w:rPr>
            </w:pPr>
          </w:p>
        </w:tc>
        <w:tc>
          <w:tcPr>
            <w:tcW w:w="1134" w:type="dxa"/>
            <w:shd w:val="clear" w:color="auto" w:fill="auto"/>
            <w:tcMar>
              <w:left w:w="28" w:type="dxa"/>
              <w:right w:w="28" w:type="dxa"/>
            </w:tcMar>
            <w:vAlign w:val="center"/>
            <w:hideMark/>
          </w:tcPr>
          <w:p>
            <w:pPr>
              <w:shd w:val="clear" w:color="auto" w:fill="FFFFFF" w:themeFill="background1"/>
              <w:ind w:left="-57" w:right="-57"/>
              <w:jc w:val="center"/>
              <w:rPr>
                <w:rFonts w:ascii="Times New Roman" w:hAnsi="Times New Roman"/>
              </w:rPr>
            </w:pPr>
            <w:r>
              <w:rPr>
                <w:rFonts w:ascii="Times New Roman" w:hAnsi="Times New Roman"/>
              </w:rPr>
              <w:t>Первонач. утверждено</w:t>
            </w:r>
          </w:p>
        </w:tc>
        <w:tc>
          <w:tcPr>
            <w:tcW w:w="993" w:type="dxa"/>
            <w:shd w:val="clear" w:color="auto" w:fill="auto"/>
            <w:tcMar>
              <w:left w:w="28" w:type="dxa"/>
              <w:right w:w="28" w:type="dxa"/>
            </w:tcMar>
            <w:vAlign w:val="center"/>
            <w:hideMark/>
          </w:tcPr>
          <w:p>
            <w:pPr>
              <w:shd w:val="clear" w:color="auto" w:fill="FFFFFF" w:themeFill="background1"/>
              <w:ind w:left="-57" w:right="-57"/>
              <w:jc w:val="center"/>
              <w:rPr>
                <w:rFonts w:ascii="Times New Roman" w:hAnsi="Times New Roman"/>
              </w:rPr>
            </w:pPr>
            <w:r>
              <w:rPr>
                <w:rFonts w:ascii="Times New Roman" w:hAnsi="Times New Roman"/>
              </w:rPr>
              <w:t>Оценка</w:t>
            </w:r>
          </w:p>
        </w:tc>
        <w:tc>
          <w:tcPr>
            <w:tcW w:w="1134" w:type="dxa"/>
            <w:shd w:val="clear" w:color="auto" w:fill="auto"/>
            <w:tcMar>
              <w:left w:w="28" w:type="dxa"/>
              <w:right w:w="28" w:type="dxa"/>
            </w:tcMar>
            <w:vAlign w:val="center"/>
            <w:hideMark/>
          </w:tcPr>
          <w:p>
            <w:pPr>
              <w:shd w:val="clear" w:color="auto" w:fill="FFFFFF" w:themeFill="background1"/>
              <w:ind w:left="-57" w:right="-57"/>
              <w:jc w:val="center"/>
              <w:rPr>
                <w:rFonts w:ascii="Times New Roman" w:hAnsi="Times New Roman"/>
              </w:rPr>
            </w:pPr>
            <w:r>
              <w:rPr>
                <w:rFonts w:ascii="Times New Roman" w:hAnsi="Times New Roman"/>
              </w:rPr>
              <w:t>Прогноз</w:t>
            </w:r>
          </w:p>
        </w:tc>
        <w:tc>
          <w:tcPr>
            <w:tcW w:w="850" w:type="dxa"/>
            <w:shd w:val="clear" w:color="auto" w:fill="auto"/>
            <w:tcMar>
              <w:left w:w="28" w:type="dxa"/>
              <w:right w:w="28" w:type="dxa"/>
            </w:tcMar>
            <w:vAlign w:val="center"/>
            <w:hideMark/>
          </w:tcPr>
          <w:p>
            <w:pPr>
              <w:shd w:val="clear" w:color="auto" w:fill="FFFFFF" w:themeFill="background1"/>
              <w:ind w:left="-57" w:right="-57"/>
              <w:jc w:val="center"/>
              <w:rPr>
                <w:rFonts w:ascii="Times New Roman" w:hAnsi="Times New Roman"/>
              </w:rPr>
            </w:pPr>
            <w:r>
              <w:rPr>
                <w:rFonts w:ascii="Times New Roman" w:hAnsi="Times New Roman"/>
              </w:rPr>
              <w:t>% к оценке 2020г.</w:t>
            </w:r>
          </w:p>
        </w:tc>
        <w:tc>
          <w:tcPr>
            <w:tcW w:w="1053" w:type="dxa"/>
            <w:vMerge/>
            <w:shd w:val="clear" w:color="auto" w:fill="auto"/>
            <w:tcMar>
              <w:left w:w="28" w:type="dxa"/>
              <w:right w:w="28" w:type="dxa"/>
            </w:tcMar>
            <w:vAlign w:val="center"/>
            <w:hideMark/>
          </w:tcPr>
          <w:p>
            <w:pPr>
              <w:shd w:val="clear" w:color="auto" w:fill="FFFFFF" w:themeFill="background1"/>
              <w:jc w:val="right"/>
              <w:rPr>
                <w:rFonts w:ascii="Times New Roman" w:hAnsi="Times New Roman"/>
                <w:sz w:val="22"/>
                <w:szCs w:val="22"/>
              </w:rPr>
            </w:pPr>
          </w:p>
        </w:tc>
        <w:tc>
          <w:tcPr>
            <w:tcW w:w="1073" w:type="dxa"/>
            <w:vMerge/>
            <w:shd w:val="clear" w:color="auto" w:fill="auto"/>
            <w:noWrap/>
            <w:tcMar>
              <w:left w:w="28" w:type="dxa"/>
              <w:right w:w="28" w:type="dxa"/>
            </w:tcMar>
            <w:vAlign w:val="center"/>
            <w:hideMark/>
          </w:tcPr>
          <w:p>
            <w:pPr>
              <w:shd w:val="clear" w:color="auto" w:fill="FFFFFF" w:themeFill="background1"/>
              <w:jc w:val="right"/>
              <w:rPr>
                <w:rFonts w:ascii="Times New Roman" w:hAnsi="Times New Roman"/>
                <w:sz w:val="22"/>
                <w:szCs w:val="22"/>
              </w:rPr>
            </w:pPr>
          </w:p>
        </w:tc>
      </w:tr>
      <w:tr>
        <w:trPr>
          <w:trHeight w:val="140"/>
        </w:trPr>
        <w:tc>
          <w:tcPr>
            <w:tcW w:w="3407" w:type="dxa"/>
            <w:shd w:val="clear" w:color="auto" w:fill="auto"/>
            <w:vAlign w:val="center"/>
            <w:hideMark/>
          </w:tcPr>
          <w:p>
            <w:pPr>
              <w:shd w:val="clear" w:color="auto" w:fill="FFFFFF" w:themeFill="background1"/>
              <w:jc w:val="center"/>
              <w:rPr>
                <w:rFonts w:ascii="Times New Roman" w:hAnsi="Times New Roman"/>
              </w:rPr>
            </w:pPr>
            <w:r>
              <w:rPr>
                <w:rFonts w:ascii="Times New Roman" w:hAnsi="Times New Roman"/>
              </w:rPr>
              <w:t>1</w:t>
            </w:r>
          </w:p>
        </w:tc>
        <w:tc>
          <w:tcPr>
            <w:tcW w:w="1134" w:type="dxa"/>
            <w:shd w:val="clear" w:color="auto" w:fill="auto"/>
            <w:tcMar>
              <w:left w:w="57" w:type="dxa"/>
              <w:right w:w="57" w:type="dxa"/>
            </w:tcMar>
            <w:vAlign w:val="center"/>
            <w:hideMark/>
          </w:tcPr>
          <w:p>
            <w:pPr>
              <w:shd w:val="clear" w:color="auto" w:fill="FFFFFF" w:themeFill="background1"/>
              <w:jc w:val="center"/>
              <w:rPr>
                <w:rFonts w:ascii="Times New Roman" w:hAnsi="Times New Roman"/>
              </w:rPr>
            </w:pPr>
            <w:r>
              <w:rPr>
                <w:rFonts w:ascii="Times New Roman" w:hAnsi="Times New Roman"/>
              </w:rPr>
              <w:t>2</w:t>
            </w:r>
          </w:p>
        </w:tc>
        <w:tc>
          <w:tcPr>
            <w:tcW w:w="993" w:type="dxa"/>
            <w:shd w:val="clear" w:color="auto" w:fill="auto"/>
            <w:tcMar>
              <w:left w:w="28" w:type="dxa"/>
              <w:right w:w="28" w:type="dxa"/>
            </w:tcMar>
            <w:vAlign w:val="center"/>
            <w:hideMark/>
          </w:tcPr>
          <w:p>
            <w:pPr>
              <w:shd w:val="clear" w:color="auto" w:fill="FFFFFF" w:themeFill="background1"/>
              <w:jc w:val="center"/>
              <w:rPr>
                <w:rFonts w:ascii="Times New Roman" w:hAnsi="Times New Roman"/>
              </w:rPr>
            </w:pPr>
            <w:r>
              <w:rPr>
                <w:rFonts w:ascii="Times New Roman" w:hAnsi="Times New Roman"/>
              </w:rPr>
              <w:t>3</w:t>
            </w:r>
          </w:p>
        </w:tc>
        <w:tc>
          <w:tcPr>
            <w:tcW w:w="1134" w:type="dxa"/>
            <w:shd w:val="clear" w:color="auto" w:fill="auto"/>
            <w:tcMar>
              <w:left w:w="57" w:type="dxa"/>
              <w:right w:w="57" w:type="dxa"/>
            </w:tcMar>
            <w:vAlign w:val="center"/>
          </w:tcPr>
          <w:p>
            <w:pPr>
              <w:shd w:val="clear" w:color="auto" w:fill="FFFFFF" w:themeFill="background1"/>
              <w:jc w:val="center"/>
              <w:rPr>
                <w:rFonts w:ascii="Times New Roman" w:hAnsi="Times New Roman"/>
              </w:rPr>
            </w:pPr>
            <w:r>
              <w:rPr>
                <w:rFonts w:ascii="Times New Roman" w:hAnsi="Times New Roman"/>
              </w:rPr>
              <w:t>4</w:t>
            </w:r>
          </w:p>
        </w:tc>
        <w:tc>
          <w:tcPr>
            <w:tcW w:w="850" w:type="dxa"/>
            <w:shd w:val="clear" w:color="auto" w:fill="auto"/>
            <w:tcMar>
              <w:left w:w="57" w:type="dxa"/>
              <w:right w:w="57" w:type="dxa"/>
            </w:tcMar>
            <w:vAlign w:val="center"/>
          </w:tcPr>
          <w:p>
            <w:pPr>
              <w:shd w:val="clear" w:color="auto" w:fill="FFFFFF" w:themeFill="background1"/>
              <w:jc w:val="center"/>
              <w:rPr>
                <w:rFonts w:ascii="Times New Roman" w:hAnsi="Times New Roman"/>
              </w:rPr>
            </w:pPr>
            <w:r>
              <w:rPr>
                <w:rFonts w:ascii="Times New Roman" w:hAnsi="Times New Roman"/>
              </w:rPr>
              <w:t>5</w:t>
            </w:r>
          </w:p>
        </w:tc>
        <w:tc>
          <w:tcPr>
            <w:tcW w:w="1053" w:type="dxa"/>
            <w:shd w:val="clear" w:color="auto" w:fill="auto"/>
            <w:tcMar>
              <w:left w:w="57" w:type="dxa"/>
              <w:right w:w="57" w:type="dxa"/>
            </w:tcMar>
            <w:vAlign w:val="center"/>
          </w:tcPr>
          <w:p>
            <w:pPr>
              <w:shd w:val="clear" w:color="auto" w:fill="FFFFFF" w:themeFill="background1"/>
              <w:jc w:val="center"/>
              <w:rPr>
                <w:rFonts w:ascii="Times New Roman" w:hAnsi="Times New Roman"/>
              </w:rPr>
            </w:pPr>
            <w:r>
              <w:rPr>
                <w:rFonts w:ascii="Times New Roman" w:hAnsi="Times New Roman"/>
              </w:rPr>
              <w:t>6</w:t>
            </w:r>
          </w:p>
        </w:tc>
        <w:tc>
          <w:tcPr>
            <w:tcW w:w="1073" w:type="dxa"/>
            <w:shd w:val="clear" w:color="auto" w:fill="auto"/>
            <w:noWrap/>
            <w:tcMar>
              <w:left w:w="0" w:type="dxa"/>
              <w:right w:w="0" w:type="dxa"/>
            </w:tcMar>
            <w:vAlign w:val="center"/>
          </w:tcPr>
          <w:p>
            <w:pPr>
              <w:shd w:val="clear" w:color="auto" w:fill="FFFFFF" w:themeFill="background1"/>
              <w:jc w:val="center"/>
              <w:rPr>
                <w:rFonts w:ascii="Times New Roman" w:hAnsi="Times New Roman"/>
              </w:rPr>
            </w:pPr>
            <w:r>
              <w:rPr>
                <w:rFonts w:ascii="Times New Roman" w:hAnsi="Times New Roman"/>
              </w:rPr>
              <w:t>7</w:t>
            </w:r>
          </w:p>
        </w:tc>
      </w:tr>
      <w:tr>
        <w:trPr>
          <w:trHeight w:val="1076"/>
        </w:trPr>
        <w:tc>
          <w:tcPr>
            <w:tcW w:w="3407" w:type="dxa"/>
            <w:shd w:val="clear" w:color="auto" w:fill="auto"/>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Налогооблагаемая кадастровая стоимость (с учетом налоговых вычетов по статье 403 НК РФ), тыс. руб.</w:t>
            </w:r>
          </w:p>
        </w:tc>
        <w:tc>
          <w:tcPr>
            <w:tcW w:w="1134"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62 700 969</w:t>
            </w:r>
          </w:p>
        </w:tc>
        <w:tc>
          <w:tcPr>
            <w:tcW w:w="993" w:type="dxa"/>
            <w:shd w:val="clear" w:color="auto" w:fill="auto"/>
            <w:tcMar>
              <w:left w:w="28" w:type="dxa"/>
              <w:right w:w="28" w:type="dxa"/>
            </w:tcMar>
            <w:vAlign w:val="center"/>
          </w:tcPr>
          <w:p>
            <w:pPr>
              <w:shd w:val="clear" w:color="auto" w:fill="FFFFFF" w:themeFill="background1"/>
              <w:jc w:val="right"/>
              <w:rPr>
                <w:rFonts w:ascii="Times New Roman" w:hAnsi="Times New Roman"/>
              </w:rPr>
            </w:pPr>
            <w:r>
              <w:rPr>
                <w:rFonts w:ascii="Times New Roman" w:hAnsi="Times New Roman"/>
              </w:rPr>
              <w:t>53 679 088</w:t>
            </w:r>
          </w:p>
        </w:tc>
        <w:tc>
          <w:tcPr>
            <w:tcW w:w="1134" w:type="dxa"/>
            <w:shd w:val="clear" w:color="auto" w:fill="auto"/>
            <w:tcMar>
              <w:left w:w="57" w:type="dxa"/>
              <w:right w:w="57" w:type="dxa"/>
            </w:tcMar>
            <w:vAlign w:val="center"/>
          </w:tcPr>
          <w:p>
            <w:pPr>
              <w:shd w:val="clear" w:color="auto" w:fill="FFFFFF" w:themeFill="background1"/>
              <w:jc w:val="right"/>
              <w:rPr>
                <w:rFonts w:ascii="Times New Roman" w:hAnsi="Times New Roman"/>
              </w:rPr>
            </w:pPr>
            <w:r>
              <w:rPr>
                <w:rFonts w:ascii="Times New Roman" w:hAnsi="Times New Roman"/>
              </w:rPr>
              <w:t>53 679 088</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100,0</w:t>
            </w:r>
          </w:p>
        </w:tc>
        <w:tc>
          <w:tcPr>
            <w:tcW w:w="1053" w:type="dxa"/>
            <w:shd w:val="clear" w:color="auto" w:fill="auto"/>
            <w:tcMar>
              <w:left w:w="57" w:type="dxa"/>
              <w:right w:w="57" w:type="dxa"/>
            </w:tcMar>
            <w:vAlign w:val="center"/>
            <w:hideMark/>
          </w:tcPr>
          <w:p>
            <w:pPr>
              <w:shd w:val="clear" w:color="auto" w:fill="FFFFFF" w:themeFill="background1"/>
              <w:jc w:val="right"/>
              <w:rPr>
                <w:rFonts w:ascii="Times New Roman" w:hAnsi="Times New Roman"/>
                <w:highlight w:val="yellow"/>
              </w:rPr>
            </w:pPr>
            <w:r>
              <w:rPr>
                <w:rFonts w:ascii="Times New Roman" w:hAnsi="Times New Roman"/>
              </w:rPr>
              <w:t>53 679 088</w:t>
            </w:r>
          </w:p>
        </w:tc>
        <w:tc>
          <w:tcPr>
            <w:tcW w:w="1073" w:type="dxa"/>
            <w:shd w:val="clear" w:color="auto" w:fill="auto"/>
            <w:tcMar>
              <w:left w:w="57" w:type="dxa"/>
              <w:right w:w="57" w:type="dxa"/>
            </w:tcMar>
            <w:vAlign w:val="center"/>
            <w:hideMark/>
          </w:tcPr>
          <w:p>
            <w:pPr>
              <w:shd w:val="clear" w:color="auto" w:fill="FFFFFF" w:themeFill="background1"/>
              <w:jc w:val="right"/>
              <w:rPr>
                <w:rFonts w:ascii="Times New Roman" w:hAnsi="Times New Roman"/>
                <w:highlight w:val="yellow"/>
              </w:rPr>
            </w:pPr>
            <w:r>
              <w:rPr>
                <w:rFonts w:ascii="Times New Roman" w:hAnsi="Times New Roman"/>
              </w:rPr>
              <w:t>53 679 088</w:t>
            </w:r>
          </w:p>
        </w:tc>
      </w:tr>
      <w:tr>
        <w:trPr>
          <w:trHeight w:val="1120"/>
        </w:trPr>
        <w:tc>
          <w:tcPr>
            <w:tcW w:w="3407" w:type="dxa"/>
            <w:shd w:val="clear" w:color="auto" w:fill="auto"/>
            <w:vAlign w:val="center"/>
            <w:hideMark/>
          </w:tcPr>
          <w:p>
            <w:pPr>
              <w:shd w:val="clear" w:color="auto" w:fill="FFFFFF" w:themeFill="background1"/>
              <w:rPr>
                <w:rFonts w:ascii="Times New Roman" w:hAnsi="Times New Roman"/>
                <w:bCs/>
                <w:sz w:val="22"/>
                <w:szCs w:val="22"/>
              </w:rPr>
            </w:pPr>
            <w:r>
              <w:rPr>
                <w:rFonts w:ascii="Times New Roman" w:hAnsi="Times New Roman"/>
                <w:bCs/>
                <w:sz w:val="22"/>
                <w:szCs w:val="22"/>
              </w:rPr>
              <w:t>Сумма начисленного налога</w:t>
            </w:r>
            <w:r>
              <w:rPr>
                <w:rFonts w:ascii="Times New Roman" w:hAnsi="Times New Roman"/>
                <w:sz w:val="22"/>
                <w:szCs w:val="22"/>
              </w:rPr>
              <w:t xml:space="preserve"> от кадастровой стоимости (с учетом понижающих коэффициентов)</w:t>
            </w:r>
            <w:r>
              <w:rPr>
                <w:rFonts w:ascii="Times New Roman" w:hAnsi="Times New Roman"/>
                <w:bCs/>
                <w:sz w:val="22"/>
                <w:szCs w:val="22"/>
              </w:rPr>
              <w:t>, тыс. руб.</w:t>
            </w:r>
          </w:p>
        </w:tc>
        <w:tc>
          <w:tcPr>
            <w:tcW w:w="1134" w:type="dxa"/>
            <w:shd w:val="clear" w:color="000000" w:fill="FFFFFF"/>
            <w:tcMar>
              <w:left w:w="57" w:type="dxa"/>
              <w:right w:w="57" w:type="dxa"/>
            </w:tcMar>
            <w:vAlign w:val="center"/>
            <w:hideMark/>
          </w:tcPr>
          <w:p>
            <w:pPr>
              <w:shd w:val="clear" w:color="auto" w:fill="FFFFFF" w:themeFill="background1"/>
              <w:jc w:val="right"/>
              <w:rPr>
                <w:rFonts w:ascii="Times New Roman" w:hAnsi="Times New Roman"/>
                <w:bCs/>
              </w:rPr>
            </w:pPr>
            <w:r>
              <w:rPr>
                <w:rFonts w:ascii="Times New Roman" w:hAnsi="Times New Roman"/>
                <w:bCs/>
              </w:rPr>
              <w:t>52 086</w:t>
            </w:r>
          </w:p>
        </w:tc>
        <w:tc>
          <w:tcPr>
            <w:tcW w:w="993" w:type="dxa"/>
            <w:shd w:val="clear" w:color="000000" w:fill="FFFFFF"/>
            <w:tcMar>
              <w:left w:w="28" w:type="dxa"/>
              <w:right w:w="28" w:type="dxa"/>
            </w:tcMar>
            <w:vAlign w:val="center"/>
          </w:tcPr>
          <w:p>
            <w:pPr>
              <w:shd w:val="clear" w:color="auto" w:fill="FFFFFF" w:themeFill="background1"/>
              <w:jc w:val="right"/>
              <w:rPr>
                <w:rFonts w:ascii="Times New Roman" w:hAnsi="Times New Roman"/>
                <w:bCs/>
              </w:rPr>
            </w:pPr>
            <w:r>
              <w:rPr>
                <w:rFonts w:ascii="Times New Roman" w:hAnsi="Times New Roman"/>
                <w:bCs/>
              </w:rPr>
              <w:t>48 076</w:t>
            </w:r>
          </w:p>
        </w:tc>
        <w:tc>
          <w:tcPr>
            <w:tcW w:w="1134" w:type="dxa"/>
            <w:shd w:val="clear" w:color="000000" w:fill="FFFFFF"/>
            <w:tcMar>
              <w:left w:w="57" w:type="dxa"/>
              <w:right w:w="57" w:type="dxa"/>
            </w:tcMar>
            <w:vAlign w:val="center"/>
          </w:tcPr>
          <w:p>
            <w:pPr>
              <w:shd w:val="clear" w:color="auto" w:fill="FFFFFF" w:themeFill="background1"/>
              <w:jc w:val="right"/>
              <w:rPr>
                <w:rFonts w:ascii="Times New Roman" w:hAnsi="Times New Roman"/>
                <w:bCs/>
              </w:rPr>
            </w:pPr>
            <w:r>
              <w:rPr>
                <w:rFonts w:ascii="Times New Roman" w:hAnsi="Times New Roman"/>
                <w:bCs/>
              </w:rPr>
              <w:t>58 129</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120,9</w:t>
            </w:r>
          </w:p>
        </w:tc>
        <w:tc>
          <w:tcPr>
            <w:tcW w:w="1053" w:type="dxa"/>
            <w:shd w:val="clear" w:color="000000" w:fill="FFFFFF"/>
            <w:tcMar>
              <w:left w:w="57" w:type="dxa"/>
              <w:right w:w="57" w:type="dxa"/>
            </w:tcMar>
            <w:vAlign w:val="center"/>
            <w:hideMark/>
          </w:tcPr>
          <w:p>
            <w:pPr>
              <w:shd w:val="clear" w:color="auto" w:fill="FFFFFF" w:themeFill="background1"/>
              <w:jc w:val="right"/>
              <w:rPr>
                <w:rFonts w:ascii="Times New Roman" w:hAnsi="Times New Roman"/>
                <w:bCs/>
              </w:rPr>
            </w:pPr>
            <w:r>
              <w:rPr>
                <w:rFonts w:ascii="Times New Roman" w:hAnsi="Times New Roman"/>
                <w:bCs/>
              </w:rPr>
              <w:t>65 721</w:t>
            </w:r>
          </w:p>
        </w:tc>
        <w:tc>
          <w:tcPr>
            <w:tcW w:w="1073" w:type="dxa"/>
            <w:shd w:val="clear" w:color="000000" w:fill="FFFFFF"/>
            <w:tcMar>
              <w:left w:w="57" w:type="dxa"/>
              <w:right w:w="57" w:type="dxa"/>
            </w:tcMar>
            <w:vAlign w:val="center"/>
            <w:hideMark/>
          </w:tcPr>
          <w:p>
            <w:pPr>
              <w:shd w:val="clear" w:color="auto" w:fill="FFFFFF" w:themeFill="background1"/>
              <w:jc w:val="right"/>
              <w:rPr>
                <w:rFonts w:ascii="Times New Roman" w:hAnsi="Times New Roman"/>
                <w:bCs/>
              </w:rPr>
            </w:pPr>
            <w:r>
              <w:rPr>
                <w:rFonts w:ascii="Times New Roman" w:hAnsi="Times New Roman"/>
                <w:bCs/>
              </w:rPr>
              <w:t>80 906</w:t>
            </w:r>
          </w:p>
        </w:tc>
      </w:tr>
      <w:tr>
        <w:trPr>
          <w:trHeight w:val="480"/>
        </w:trPr>
        <w:tc>
          <w:tcPr>
            <w:tcW w:w="3407" w:type="dxa"/>
            <w:shd w:val="clear" w:color="auto" w:fill="auto"/>
            <w:vAlign w:val="center"/>
            <w:hideMark/>
          </w:tcPr>
          <w:p>
            <w:pPr>
              <w:shd w:val="clear" w:color="auto" w:fill="FFFFFF" w:themeFill="background1"/>
              <w:rPr>
                <w:rFonts w:ascii="Times New Roman" w:hAnsi="Times New Roman"/>
                <w:i/>
                <w:iCs/>
                <w:sz w:val="22"/>
                <w:szCs w:val="22"/>
              </w:rPr>
            </w:pPr>
            <w:r>
              <w:rPr>
                <w:rFonts w:ascii="Times New Roman" w:hAnsi="Times New Roman"/>
                <w:i/>
                <w:iCs/>
                <w:sz w:val="22"/>
                <w:szCs w:val="22"/>
              </w:rPr>
              <w:t>ставка НИФЛ от кадастровой стоимости, %</w:t>
            </w:r>
          </w:p>
        </w:tc>
        <w:tc>
          <w:tcPr>
            <w:tcW w:w="1134" w:type="dxa"/>
            <w:shd w:val="clear" w:color="auto" w:fill="auto"/>
            <w:tcMar>
              <w:left w:w="57" w:type="dxa"/>
              <w:right w:w="57" w:type="dxa"/>
            </w:tcMar>
            <w:vAlign w:val="center"/>
            <w:hideMark/>
          </w:tcPr>
          <w:p>
            <w:pPr>
              <w:shd w:val="clear" w:color="auto" w:fill="FFFFFF" w:themeFill="background1"/>
              <w:jc w:val="center"/>
              <w:rPr>
                <w:rFonts w:ascii="Times New Roman" w:hAnsi="Times New Roman"/>
                <w:i/>
                <w:iCs/>
              </w:rPr>
            </w:pPr>
            <w:r>
              <w:rPr>
                <w:rFonts w:ascii="Times New Roman" w:hAnsi="Times New Roman"/>
                <w:i/>
                <w:iCs/>
              </w:rPr>
              <w:t>0,1- 2</w:t>
            </w:r>
          </w:p>
        </w:tc>
        <w:tc>
          <w:tcPr>
            <w:tcW w:w="993" w:type="dxa"/>
            <w:shd w:val="clear" w:color="auto" w:fill="auto"/>
            <w:tcMar>
              <w:left w:w="28" w:type="dxa"/>
              <w:right w:w="28" w:type="dxa"/>
            </w:tcMar>
            <w:vAlign w:val="center"/>
          </w:tcPr>
          <w:p>
            <w:pPr>
              <w:shd w:val="clear" w:color="auto" w:fill="FFFFFF" w:themeFill="background1"/>
              <w:jc w:val="center"/>
              <w:rPr>
                <w:rFonts w:ascii="Times New Roman" w:hAnsi="Times New Roman"/>
                <w:i/>
                <w:iCs/>
              </w:rPr>
            </w:pPr>
            <w:r>
              <w:rPr>
                <w:rFonts w:ascii="Times New Roman" w:hAnsi="Times New Roman"/>
                <w:i/>
                <w:iCs/>
              </w:rPr>
              <w:t>0,1- 2</w:t>
            </w:r>
          </w:p>
        </w:tc>
        <w:tc>
          <w:tcPr>
            <w:tcW w:w="1134" w:type="dxa"/>
            <w:shd w:val="clear" w:color="auto" w:fill="auto"/>
            <w:tcMar>
              <w:left w:w="57" w:type="dxa"/>
              <w:right w:w="57" w:type="dxa"/>
            </w:tcMar>
            <w:vAlign w:val="center"/>
          </w:tcPr>
          <w:p>
            <w:pPr>
              <w:shd w:val="clear" w:color="auto" w:fill="FFFFFF" w:themeFill="background1"/>
              <w:jc w:val="center"/>
              <w:rPr>
                <w:rFonts w:ascii="Times New Roman" w:hAnsi="Times New Roman"/>
                <w:i/>
                <w:iCs/>
              </w:rPr>
            </w:pPr>
            <w:r>
              <w:rPr>
                <w:rFonts w:ascii="Times New Roman" w:hAnsi="Times New Roman"/>
                <w:i/>
                <w:iCs/>
              </w:rPr>
              <w:t>0,1- 2</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 </w:t>
            </w:r>
          </w:p>
        </w:tc>
        <w:tc>
          <w:tcPr>
            <w:tcW w:w="1053" w:type="dxa"/>
            <w:shd w:val="clear" w:color="auto" w:fill="auto"/>
            <w:tcMar>
              <w:left w:w="57" w:type="dxa"/>
              <w:right w:w="57" w:type="dxa"/>
            </w:tcMar>
            <w:vAlign w:val="center"/>
            <w:hideMark/>
          </w:tcPr>
          <w:p>
            <w:pPr>
              <w:shd w:val="clear" w:color="auto" w:fill="FFFFFF" w:themeFill="background1"/>
              <w:jc w:val="center"/>
              <w:rPr>
                <w:rFonts w:ascii="Times New Roman" w:hAnsi="Times New Roman"/>
                <w:i/>
                <w:iCs/>
              </w:rPr>
            </w:pPr>
            <w:r>
              <w:rPr>
                <w:rFonts w:ascii="Times New Roman" w:hAnsi="Times New Roman"/>
                <w:i/>
                <w:iCs/>
              </w:rPr>
              <w:t>0,1 - 2</w:t>
            </w:r>
          </w:p>
        </w:tc>
        <w:tc>
          <w:tcPr>
            <w:tcW w:w="1073" w:type="dxa"/>
            <w:shd w:val="clear" w:color="auto" w:fill="auto"/>
            <w:tcMar>
              <w:left w:w="57" w:type="dxa"/>
              <w:right w:w="57" w:type="dxa"/>
            </w:tcMar>
            <w:vAlign w:val="center"/>
            <w:hideMark/>
          </w:tcPr>
          <w:p>
            <w:pPr>
              <w:shd w:val="clear" w:color="auto" w:fill="FFFFFF" w:themeFill="background1"/>
              <w:jc w:val="center"/>
              <w:rPr>
                <w:rFonts w:ascii="Times New Roman" w:hAnsi="Times New Roman"/>
                <w:i/>
                <w:iCs/>
              </w:rPr>
            </w:pPr>
            <w:r>
              <w:rPr>
                <w:rFonts w:ascii="Times New Roman" w:hAnsi="Times New Roman"/>
                <w:i/>
                <w:iCs/>
              </w:rPr>
              <w:t>0,1 - 2</w:t>
            </w:r>
          </w:p>
        </w:tc>
      </w:tr>
      <w:tr>
        <w:trPr>
          <w:trHeight w:val="479"/>
        </w:trPr>
        <w:tc>
          <w:tcPr>
            <w:tcW w:w="3407" w:type="dxa"/>
            <w:shd w:val="clear" w:color="auto" w:fill="auto"/>
            <w:tcMar>
              <w:right w:w="28" w:type="dxa"/>
            </w:tcMar>
            <w:vAlign w:val="center"/>
            <w:hideMark/>
          </w:tcPr>
          <w:p>
            <w:pPr>
              <w:shd w:val="clear" w:color="auto" w:fill="FFFFFF" w:themeFill="background1"/>
              <w:rPr>
                <w:rFonts w:ascii="Times New Roman" w:hAnsi="Times New Roman"/>
                <w:bCs/>
                <w:sz w:val="22"/>
                <w:szCs w:val="22"/>
              </w:rPr>
            </w:pPr>
            <w:r>
              <w:rPr>
                <w:rFonts w:ascii="Times New Roman" w:hAnsi="Times New Roman"/>
                <w:bCs/>
                <w:sz w:val="22"/>
                <w:szCs w:val="22"/>
              </w:rPr>
              <w:t xml:space="preserve">Сумма налога, подлежащего уплате в текущем периоде, </w:t>
            </w:r>
          </w:p>
          <w:p>
            <w:pPr>
              <w:shd w:val="clear" w:color="auto" w:fill="FFFFFF" w:themeFill="background1"/>
              <w:rPr>
                <w:rFonts w:ascii="Times New Roman" w:hAnsi="Times New Roman"/>
                <w:bCs/>
                <w:sz w:val="22"/>
                <w:szCs w:val="22"/>
              </w:rPr>
            </w:pPr>
            <w:r>
              <w:rPr>
                <w:rFonts w:ascii="Times New Roman" w:hAnsi="Times New Roman"/>
                <w:bCs/>
                <w:sz w:val="22"/>
                <w:szCs w:val="22"/>
              </w:rPr>
              <w:t>тыс. руб.</w:t>
            </w:r>
          </w:p>
        </w:tc>
        <w:tc>
          <w:tcPr>
            <w:tcW w:w="1134" w:type="dxa"/>
            <w:shd w:val="clear" w:color="000000" w:fill="FFFFFF"/>
            <w:tcMar>
              <w:left w:w="57" w:type="dxa"/>
              <w:right w:w="57" w:type="dxa"/>
            </w:tcMar>
            <w:vAlign w:val="center"/>
            <w:hideMark/>
          </w:tcPr>
          <w:p>
            <w:pPr>
              <w:shd w:val="clear" w:color="auto" w:fill="FFFFFF" w:themeFill="background1"/>
              <w:jc w:val="right"/>
              <w:rPr>
                <w:rFonts w:ascii="Times New Roman" w:hAnsi="Times New Roman"/>
                <w:bCs/>
              </w:rPr>
            </w:pPr>
            <w:r>
              <w:rPr>
                <w:rFonts w:ascii="Times New Roman" w:hAnsi="Times New Roman"/>
                <w:bCs/>
              </w:rPr>
              <w:t>43 431</w:t>
            </w:r>
          </w:p>
        </w:tc>
        <w:tc>
          <w:tcPr>
            <w:tcW w:w="993" w:type="dxa"/>
            <w:shd w:val="clear" w:color="000000" w:fill="FFFFFF"/>
            <w:tcMar>
              <w:left w:w="28" w:type="dxa"/>
              <w:right w:w="28" w:type="dxa"/>
            </w:tcMar>
            <w:vAlign w:val="center"/>
          </w:tcPr>
          <w:p>
            <w:pPr>
              <w:shd w:val="clear" w:color="auto" w:fill="FFFFFF" w:themeFill="background1"/>
              <w:jc w:val="right"/>
              <w:rPr>
                <w:rFonts w:ascii="Times New Roman" w:hAnsi="Times New Roman"/>
                <w:bCs/>
              </w:rPr>
            </w:pPr>
            <w:r>
              <w:rPr>
                <w:rFonts w:ascii="Times New Roman" w:hAnsi="Times New Roman"/>
                <w:bCs/>
              </w:rPr>
              <w:t>36 997</w:t>
            </w:r>
          </w:p>
        </w:tc>
        <w:tc>
          <w:tcPr>
            <w:tcW w:w="1134" w:type="dxa"/>
            <w:shd w:val="clear" w:color="000000" w:fill="FFFFFF"/>
            <w:tcMar>
              <w:left w:w="57" w:type="dxa"/>
              <w:right w:w="57" w:type="dxa"/>
            </w:tcMar>
            <w:vAlign w:val="center"/>
          </w:tcPr>
          <w:p>
            <w:pPr>
              <w:shd w:val="clear" w:color="auto" w:fill="FFFFFF" w:themeFill="background1"/>
              <w:jc w:val="right"/>
              <w:rPr>
                <w:rFonts w:ascii="Times New Roman" w:hAnsi="Times New Roman"/>
                <w:bCs/>
              </w:rPr>
            </w:pPr>
            <w:r>
              <w:rPr>
                <w:rFonts w:ascii="Times New Roman" w:hAnsi="Times New Roman"/>
                <w:bCs/>
              </w:rPr>
              <w:t>48 076</w:t>
            </w:r>
          </w:p>
        </w:tc>
        <w:tc>
          <w:tcPr>
            <w:tcW w:w="850" w:type="dxa"/>
            <w:shd w:val="clear" w:color="auto" w:fill="auto"/>
            <w:tcMar>
              <w:right w:w="28" w:type="dxa"/>
            </w:tcMar>
            <w:vAlign w:val="center"/>
            <w:hideMark/>
          </w:tcPr>
          <w:p>
            <w:pPr>
              <w:shd w:val="clear" w:color="auto" w:fill="FFFFFF" w:themeFill="background1"/>
              <w:jc w:val="right"/>
              <w:rPr>
                <w:rFonts w:ascii="Times New Roman" w:hAnsi="Times New Roman"/>
              </w:rPr>
            </w:pPr>
            <w:r>
              <w:rPr>
                <w:rFonts w:ascii="Times New Roman" w:hAnsi="Times New Roman"/>
              </w:rPr>
              <w:t>129,9</w:t>
            </w:r>
          </w:p>
        </w:tc>
        <w:tc>
          <w:tcPr>
            <w:tcW w:w="1053" w:type="dxa"/>
            <w:shd w:val="clear" w:color="auto" w:fill="auto"/>
            <w:tcMar>
              <w:right w:w="28" w:type="dxa"/>
            </w:tcMar>
            <w:vAlign w:val="center"/>
            <w:hideMark/>
          </w:tcPr>
          <w:p>
            <w:pPr>
              <w:shd w:val="clear" w:color="auto" w:fill="FFFFFF" w:themeFill="background1"/>
              <w:jc w:val="right"/>
              <w:rPr>
                <w:rFonts w:ascii="Times New Roman" w:hAnsi="Times New Roman"/>
              </w:rPr>
            </w:pPr>
            <w:r>
              <w:rPr>
                <w:rFonts w:ascii="Times New Roman" w:hAnsi="Times New Roman"/>
              </w:rPr>
              <w:t>58 129</w:t>
            </w:r>
          </w:p>
        </w:tc>
        <w:tc>
          <w:tcPr>
            <w:tcW w:w="1073" w:type="dxa"/>
            <w:shd w:val="clear" w:color="auto" w:fill="auto"/>
            <w:tcMar>
              <w:right w:w="28" w:type="dxa"/>
            </w:tcMar>
            <w:vAlign w:val="center"/>
            <w:hideMark/>
          </w:tcPr>
          <w:p>
            <w:pPr>
              <w:shd w:val="clear" w:color="auto" w:fill="FFFFFF" w:themeFill="background1"/>
              <w:jc w:val="right"/>
              <w:rPr>
                <w:rFonts w:ascii="Times New Roman" w:hAnsi="Times New Roman"/>
              </w:rPr>
            </w:pPr>
            <w:r>
              <w:rPr>
                <w:rFonts w:ascii="Times New Roman" w:hAnsi="Times New Roman"/>
              </w:rPr>
              <w:t>65 721</w:t>
            </w:r>
          </w:p>
        </w:tc>
      </w:tr>
      <w:tr>
        <w:trPr>
          <w:trHeight w:val="274"/>
        </w:trPr>
        <w:tc>
          <w:tcPr>
            <w:tcW w:w="3407" w:type="dxa"/>
            <w:shd w:val="clear" w:color="auto" w:fill="auto"/>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 xml:space="preserve">   от инвентаризационной стоимости, тыс. руб.</w:t>
            </w:r>
          </w:p>
        </w:tc>
        <w:tc>
          <w:tcPr>
            <w:tcW w:w="1134"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37 171</w:t>
            </w:r>
          </w:p>
        </w:tc>
        <w:tc>
          <w:tcPr>
            <w:tcW w:w="993" w:type="dxa"/>
            <w:shd w:val="clear" w:color="auto" w:fill="auto"/>
            <w:tcMar>
              <w:left w:w="28" w:type="dxa"/>
              <w:right w:w="28" w:type="dxa"/>
            </w:tcMar>
            <w:vAlign w:val="center"/>
          </w:tcPr>
          <w:p>
            <w:pPr>
              <w:shd w:val="clear" w:color="auto" w:fill="FFFFFF" w:themeFill="background1"/>
              <w:jc w:val="right"/>
              <w:rPr>
                <w:rFonts w:ascii="Times New Roman" w:hAnsi="Times New Roman"/>
              </w:rPr>
            </w:pPr>
            <w:r>
              <w:rPr>
                <w:rFonts w:ascii="Times New Roman" w:hAnsi="Times New Roman"/>
              </w:rPr>
              <w:t>28 612</w:t>
            </w:r>
          </w:p>
        </w:tc>
        <w:tc>
          <w:tcPr>
            <w:tcW w:w="1134" w:type="dxa"/>
            <w:shd w:val="clear" w:color="auto" w:fill="auto"/>
            <w:tcMar>
              <w:left w:w="57" w:type="dxa"/>
              <w:right w:w="57" w:type="dxa"/>
            </w:tcMar>
            <w:vAlign w:val="center"/>
          </w:tcPr>
          <w:p>
            <w:pPr>
              <w:shd w:val="clear" w:color="auto" w:fill="FFFFFF" w:themeFill="background1"/>
              <w:jc w:val="right"/>
              <w:rPr>
                <w:rFonts w:ascii="Times New Roman" w:hAnsi="Times New Roman"/>
              </w:rPr>
            </w:pPr>
            <w:r>
              <w:rPr>
                <w:rFonts w:ascii="Times New Roman" w:hAnsi="Times New Roman"/>
              </w:rPr>
              <w:t>-</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w:t>
            </w:r>
          </w:p>
        </w:tc>
        <w:tc>
          <w:tcPr>
            <w:tcW w:w="1053" w:type="dxa"/>
            <w:shd w:val="clear" w:color="auto" w:fill="auto"/>
            <w:tcMar>
              <w:left w:w="57" w:type="dxa"/>
              <w:right w:w="57" w:type="dxa"/>
            </w:tcMar>
            <w:vAlign w:val="center"/>
          </w:tcPr>
          <w:p>
            <w:pPr>
              <w:shd w:val="clear" w:color="auto" w:fill="FFFFFF" w:themeFill="background1"/>
              <w:jc w:val="right"/>
              <w:rPr>
                <w:rFonts w:ascii="Times New Roman" w:hAnsi="Times New Roman"/>
              </w:rPr>
            </w:pPr>
            <w:r>
              <w:rPr>
                <w:rFonts w:ascii="Times New Roman" w:hAnsi="Times New Roman"/>
              </w:rPr>
              <w:t>-</w:t>
            </w:r>
          </w:p>
        </w:tc>
        <w:tc>
          <w:tcPr>
            <w:tcW w:w="1073" w:type="dxa"/>
            <w:shd w:val="clear" w:color="auto" w:fill="auto"/>
            <w:tcMar>
              <w:left w:w="57" w:type="dxa"/>
              <w:right w:w="57" w:type="dxa"/>
            </w:tcMar>
            <w:vAlign w:val="center"/>
          </w:tcPr>
          <w:p>
            <w:pPr>
              <w:shd w:val="clear" w:color="auto" w:fill="FFFFFF" w:themeFill="background1"/>
              <w:jc w:val="right"/>
              <w:rPr>
                <w:rFonts w:ascii="Times New Roman" w:hAnsi="Times New Roman"/>
              </w:rPr>
            </w:pPr>
            <w:r>
              <w:rPr>
                <w:rFonts w:ascii="Times New Roman" w:hAnsi="Times New Roman"/>
              </w:rPr>
              <w:t>-</w:t>
            </w:r>
          </w:p>
        </w:tc>
      </w:tr>
      <w:tr>
        <w:trPr>
          <w:trHeight w:val="279"/>
        </w:trPr>
        <w:tc>
          <w:tcPr>
            <w:tcW w:w="3407" w:type="dxa"/>
            <w:shd w:val="clear" w:color="auto" w:fill="auto"/>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 xml:space="preserve">   от кадастровой стоимости,</w:t>
            </w:r>
          </w:p>
          <w:p>
            <w:pPr>
              <w:shd w:val="clear" w:color="auto" w:fill="FFFFFF" w:themeFill="background1"/>
              <w:rPr>
                <w:rFonts w:ascii="Times New Roman" w:hAnsi="Times New Roman"/>
                <w:sz w:val="22"/>
                <w:szCs w:val="22"/>
              </w:rPr>
            </w:pPr>
            <w:r>
              <w:rPr>
                <w:rFonts w:ascii="Times New Roman" w:hAnsi="Times New Roman"/>
                <w:sz w:val="22"/>
                <w:szCs w:val="22"/>
              </w:rPr>
              <w:t xml:space="preserve"> тыс. руб.</w:t>
            </w:r>
          </w:p>
        </w:tc>
        <w:tc>
          <w:tcPr>
            <w:tcW w:w="1134"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6 260</w:t>
            </w:r>
          </w:p>
        </w:tc>
        <w:tc>
          <w:tcPr>
            <w:tcW w:w="993" w:type="dxa"/>
            <w:shd w:val="clear" w:color="auto" w:fill="auto"/>
            <w:tcMar>
              <w:left w:w="28" w:type="dxa"/>
              <w:right w:w="28" w:type="dxa"/>
            </w:tcMar>
            <w:vAlign w:val="center"/>
          </w:tcPr>
          <w:p>
            <w:pPr>
              <w:shd w:val="clear" w:color="auto" w:fill="FFFFFF" w:themeFill="background1"/>
              <w:jc w:val="right"/>
              <w:rPr>
                <w:rFonts w:ascii="Times New Roman" w:hAnsi="Times New Roman"/>
              </w:rPr>
            </w:pPr>
            <w:r>
              <w:rPr>
                <w:rFonts w:ascii="Times New Roman" w:hAnsi="Times New Roman"/>
              </w:rPr>
              <w:t>8 385</w:t>
            </w:r>
          </w:p>
        </w:tc>
        <w:tc>
          <w:tcPr>
            <w:tcW w:w="1134" w:type="dxa"/>
            <w:shd w:val="clear" w:color="auto" w:fill="auto"/>
            <w:tcMar>
              <w:left w:w="57" w:type="dxa"/>
              <w:right w:w="57" w:type="dxa"/>
            </w:tcMar>
            <w:vAlign w:val="center"/>
          </w:tcPr>
          <w:p>
            <w:pPr>
              <w:shd w:val="clear" w:color="auto" w:fill="FFFFFF" w:themeFill="background1"/>
              <w:jc w:val="right"/>
              <w:rPr>
                <w:rFonts w:ascii="Times New Roman" w:hAnsi="Times New Roman"/>
              </w:rPr>
            </w:pPr>
            <w:r>
              <w:rPr>
                <w:rFonts w:ascii="Times New Roman" w:hAnsi="Times New Roman"/>
              </w:rPr>
              <w:t>48 076</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highlight w:val="yellow"/>
              </w:rPr>
            </w:pPr>
            <w:r>
              <w:rPr>
                <w:rFonts w:ascii="Times New Roman" w:hAnsi="Times New Roman"/>
              </w:rPr>
              <w:t>573,4</w:t>
            </w:r>
          </w:p>
        </w:tc>
        <w:tc>
          <w:tcPr>
            <w:tcW w:w="1053"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58 129</w:t>
            </w:r>
          </w:p>
        </w:tc>
        <w:tc>
          <w:tcPr>
            <w:tcW w:w="1073"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65 721</w:t>
            </w:r>
          </w:p>
        </w:tc>
      </w:tr>
      <w:tr>
        <w:trPr>
          <w:trHeight w:val="387"/>
        </w:trPr>
        <w:tc>
          <w:tcPr>
            <w:tcW w:w="3407" w:type="dxa"/>
            <w:shd w:val="clear" w:color="auto" w:fill="auto"/>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Уровень собираемости, %</w:t>
            </w:r>
          </w:p>
        </w:tc>
        <w:tc>
          <w:tcPr>
            <w:tcW w:w="1134"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80</w:t>
            </w:r>
          </w:p>
        </w:tc>
        <w:tc>
          <w:tcPr>
            <w:tcW w:w="993" w:type="dxa"/>
            <w:shd w:val="clear" w:color="auto" w:fill="auto"/>
            <w:tcMar>
              <w:left w:w="28" w:type="dxa"/>
              <w:right w:w="28" w:type="dxa"/>
            </w:tcMar>
            <w:vAlign w:val="center"/>
          </w:tcPr>
          <w:p>
            <w:pPr>
              <w:shd w:val="clear" w:color="auto" w:fill="FFFFFF" w:themeFill="background1"/>
              <w:jc w:val="right"/>
              <w:rPr>
                <w:rFonts w:ascii="Times New Roman" w:hAnsi="Times New Roman"/>
              </w:rPr>
            </w:pPr>
            <w:r>
              <w:rPr>
                <w:rFonts w:ascii="Times New Roman" w:hAnsi="Times New Roman"/>
              </w:rPr>
              <w:t>75</w:t>
            </w:r>
          </w:p>
        </w:tc>
        <w:tc>
          <w:tcPr>
            <w:tcW w:w="1134" w:type="dxa"/>
            <w:shd w:val="clear" w:color="auto" w:fill="auto"/>
            <w:tcMar>
              <w:left w:w="57" w:type="dxa"/>
              <w:right w:w="57" w:type="dxa"/>
            </w:tcMar>
            <w:vAlign w:val="center"/>
          </w:tcPr>
          <w:p>
            <w:pPr>
              <w:shd w:val="clear" w:color="auto" w:fill="FFFFFF" w:themeFill="background1"/>
              <w:jc w:val="right"/>
              <w:rPr>
                <w:rFonts w:ascii="Times New Roman" w:hAnsi="Times New Roman"/>
              </w:rPr>
            </w:pPr>
            <w:r>
              <w:rPr>
                <w:rFonts w:ascii="Times New Roman" w:hAnsi="Times New Roman"/>
              </w:rPr>
              <w:t>80</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w:t>
            </w:r>
          </w:p>
        </w:tc>
        <w:tc>
          <w:tcPr>
            <w:tcW w:w="1053"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80</w:t>
            </w:r>
          </w:p>
        </w:tc>
        <w:tc>
          <w:tcPr>
            <w:tcW w:w="1073"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80</w:t>
            </w:r>
          </w:p>
        </w:tc>
      </w:tr>
      <w:tr>
        <w:trPr>
          <w:trHeight w:val="280"/>
        </w:trPr>
        <w:tc>
          <w:tcPr>
            <w:tcW w:w="3407" w:type="dxa"/>
            <w:shd w:val="clear" w:color="auto" w:fill="auto"/>
            <w:vAlign w:val="center"/>
          </w:tcPr>
          <w:p>
            <w:pPr>
              <w:shd w:val="clear" w:color="auto" w:fill="FFFFFF" w:themeFill="background1"/>
              <w:jc w:val="center"/>
              <w:rPr>
                <w:rFonts w:ascii="Times New Roman" w:hAnsi="Times New Roman"/>
              </w:rPr>
            </w:pPr>
            <w:r>
              <w:rPr>
                <w:rFonts w:ascii="Times New Roman" w:hAnsi="Times New Roman"/>
              </w:rPr>
              <w:lastRenderedPageBreak/>
              <w:t>1</w:t>
            </w:r>
          </w:p>
        </w:tc>
        <w:tc>
          <w:tcPr>
            <w:tcW w:w="1134" w:type="dxa"/>
            <w:shd w:val="clear" w:color="auto" w:fill="auto"/>
            <w:tcMar>
              <w:left w:w="57" w:type="dxa"/>
              <w:right w:w="57" w:type="dxa"/>
            </w:tcMar>
            <w:vAlign w:val="center"/>
          </w:tcPr>
          <w:p>
            <w:pPr>
              <w:shd w:val="clear" w:color="auto" w:fill="FFFFFF" w:themeFill="background1"/>
              <w:jc w:val="center"/>
              <w:rPr>
                <w:rFonts w:ascii="Times New Roman" w:hAnsi="Times New Roman"/>
              </w:rPr>
            </w:pPr>
            <w:r>
              <w:rPr>
                <w:rFonts w:ascii="Times New Roman" w:hAnsi="Times New Roman"/>
              </w:rPr>
              <w:t>2</w:t>
            </w:r>
          </w:p>
        </w:tc>
        <w:tc>
          <w:tcPr>
            <w:tcW w:w="993" w:type="dxa"/>
            <w:shd w:val="clear" w:color="auto" w:fill="auto"/>
            <w:tcMar>
              <w:left w:w="28" w:type="dxa"/>
              <w:right w:w="28" w:type="dxa"/>
            </w:tcMar>
            <w:vAlign w:val="center"/>
          </w:tcPr>
          <w:p>
            <w:pPr>
              <w:shd w:val="clear" w:color="auto" w:fill="FFFFFF" w:themeFill="background1"/>
              <w:jc w:val="center"/>
              <w:rPr>
                <w:rFonts w:ascii="Times New Roman" w:hAnsi="Times New Roman"/>
              </w:rPr>
            </w:pPr>
            <w:r>
              <w:rPr>
                <w:rFonts w:ascii="Times New Roman" w:hAnsi="Times New Roman"/>
              </w:rPr>
              <w:t>3</w:t>
            </w:r>
          </w:p>
        </w:tc>
        <w:tc>
          <w:tcPr>
            <w:tcW w:w="1134" w:type="dxa"/>
            <w:shd w:val="clear" w:color="auto" w:fill="auto"/>
            <w:tcMar>
              <w:left w:w="57" w:type="dxa"/>
              <w:right w:w="57" w:type="dxa"/>
            </w:tcMar>
            <w:vAlign w:val="center"/>
          </w:tcPr>
          <w:p>
            <w:pPr>
              <w:shd w:val="clear" w:color="auto" w:fill="FFFFFF" w:themeFill="background1"/>
              <w:jc w:val="center"/>
              <w:rPr>
                <w:rFonts w:ascii="Times New Roman" w:hAnsi="Times New Roman"/>
              </w:rPr>
            </w:pPr>
            <w:r>
              <w:rPr>
                <w:rFonts w:ascii="Times New Roman" w:hAnsi="Times New Roman"/>
              </w:rPr>
              <w:t>4</w:t>
            </w:r>
          </w:p>
        </w:tc>
        <w:tc>
          <w:tcPr>
            <w:tcW w:w="850" w:type="dxa"/>
            <w:shd w:val="clear" w:color="auto" w:fill="auto"/>
            <w:tcMar>
              <w:left w:w="57" w:type="dxa"/>
              <w:right w:w="57" w:type="dxa"/>
            </w:tcMar>
            <w:vAlign w:val="center"/>
          </w:tcPr>
          <w:p>
            <w:pPr>
              <w:shd w:val="clear" w:color="auto" w:fill="FFFFFF" w:themeFill="background1"/>
              <w:jc w:val="center"/>
              <w:rPr>
                <w:rFonts w:ascii="Times New Roman" w:hAnsi="Times New Roman"/>
              </w:rPr>
            </w:pPr>
            <w:r>
              <w:rPr>
                <w:rFonts w:ascii="Times New Roman" w:hAnsi="Times New Roman"/>
              </w:rPr>
              <w:t>5</w:t>
            </w:r>
          </w:p>
        </w:tc>
        <w:tc>
          <w:tcPr>
            <w:tcW w:w="1053" w:type="dxa"/>
            <w:shd w:val="clear" w:color="auto" w:fill="auto"/>
            <w:tcMar>
              <w:left w:w="57" w:type="dxa"/>
              <w:right w:w="57" w:type="dxa"/>
            </w:tcMar>
            <w:vAlign w:val="center"/>
          </w:tcPr>
          <w:p>
            <w:pPr>
              <w:shd w:val="clear" w:color="auto" w:fill="FFFFFF" w:themeFill="background1"/>
              <w:jc w:val="center"/>
              <w:rPr>
                <w:rFonts w:ascii="Times New Roman" w:hAnsi="Times New Roman"/>
              </w:rPr>
            </w:pPr>
            <w:r>
              <w:rPr>
                <w:rFonts w:ascii="Times New Roman" w:hAnsi="Times New Roman"/>
              </w:rPr>
              <w:t>6</w:t>
            </w:r>
          </w:p>
        </w:tc>
        <w:tc>
          <w:tcPr>
            <w:tcW w:w="1073" w:type="dxa"/>
            <w:shd w:val="clear" w:color="auto" w:fill="auto"/>
            <w:tcMar>
              <w:left w:w="57" w:type="dxa"/>
              <w:right w:w="57" w:type="dxa"/>
            </w:tcMar>
            <w:vAlign w:val="center"/>
          </w:tcPr>
          <w:p>
            <w:pPr>
              <w:shd w:val="clear" w:color="auto" w:fill="FFFFFF" w:themeFill="background1"/>
              <w:jc w:val="center"/>
              <w:rPr>
                <w:rFonts w:ascii="Times New Roman" w:hAnsi="Times New Roman"/>
              </w:rPr>
            </w:pPr>
            <w:r>
              <w:rPr>
                <w:rFonts w:ascii="Times New Roman" w:hAnsi="Times New Roman"/>
              </w:rPr>
              <w:t>7</w:t>
            </w:r>
          </w:p>
        </w:tc>
      </w:tr>
      <w:tr>
        <w:trPr>
          <w:trHeight w:val="563"/>
        </w:trPr>
        <w:tc>
          <w:tcPr>
            <w:tcW w:w="3407" w:type="dxa"/>
            <w:shd w:val="clear" w:color="auto" w:fill="auto"/>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Дополнительные поступления за счет сокращения задолженности (30%), тыс. руб.</w:t>
            </w:r>
          </w:p>
        </w:tc>
        <w:tc>
          <w:tcPr>
            <w:tcW w:w="1134"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4 182</w:t>
            </w:r>
          </w:p>
        </w:tc>
        <w:tc>
          <w:tcPr>
            <w:tcW w:w="993" w:type="dxa"/>
            <w:shd w:val="clear" w:color="auto" w:fill="auto"/>
            <w:tcMar>
              <w:left w:w="28" w:type="dxa"/>
              <w:right w:w="28" w:type="dxa"/>
            </w:tcMar>
            <w:vAlign w:val="center"/>
          </w:tcPr>
          <w:p>
            <w:pPr>
              <w:shd w:val="clear" w:color="auto" w:fill="FFFFFF" w:themeFill="background1"/>
              <w:jc w:val="right"/>
              <w:rPr>
                <w:rFonts w:ascii="Times New Roman" w:hAnsi="Times New Roman"/>
              </w:rPr>
            </w:pPr>
            <w:r>
              <w:rPr>
                <w:rFonts w:ascii="Times New Roman" w:hAnsi="Times New Roman"/>
              </w:rPr>
              <w:t>3 753</w:t>
            </w:r>
          </w:p>
        </w:tc>
        <w:tc>
          <w:tcPr>
            <w:tcW w:w="1134" w:type="dxa"/>
            <w:shd w:val="clear" w:color="auto" w:fill="auto"/>
            <w:tcMar>
              <w:left w:w="57" w:type="dxa"/>
              <w:right w:w="57" w:type="dxa"/>
            </w:tcMar>
            <w:vAlign w:val="center"/>
          </w:tcPr>
          <w:p>
            <w:pPr>
              <w:shd w:val="clear" w:color="auto" w:fill="FFFFFF" w:themeFill="background1"/>
              <w:jc w:val="right"/>
              <w:rPr>
                <w:rFonts w:ascii="Times New Roman" w:hAnsi="Times New Roman"/>
              </w:rPr>
            </w:pPr>
            <w:r>
              <w:rPr>
                <w:rFonts w:ascii="Times New Roman" w:hAnsi="Times New Roman"/>
              </w:rPr>
              <w:t>3 753</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100,0</w:t>
            </w:r>
          </w:p>
        </w:tc>
        <w:tc>
          <w:tcPr>
            <w:tcW w:w="1053"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3 753</w:t>
            </w:r>
          </w:p>
        </w:tc>
        <w:tc>
          <w:tcPr>
            <w:tcW w:w="1073" w:type="dxa"/>
            <w:shd w:val="clear" w:color="auto" w:fill="auto"/>
            <w:tcMar>
              <w:left w:w="57" w:type="dxa"/>
              <w:right w:w="57" w:type="dxa"/>
            </w:tcMar>
            <w:vAlign w:val="center"/>
            <w:hideMark/>
          </w:tcPr>
          <w:p>
            <w:pPr>
              <w:shd w:val="clear" w:color="auto" w:fill="FFFFFF" w:themeFill="background1"/>
              <w:jc w:val="right"/>
              <w:rPr>
                <w:rFonts w:ascii="Times New Roman" w:hAnsi="Times New Roman"/>
                <w:highlight w:val="yellow"/>
              </w:rPr>
            </w:pPr>
            <w:r>
              <w:rPr>
                <w:rFonts w:ascii="Times New Roman" w:hAnsi="Times New Roman"/>
              </w:rPr>
              <w:t>3 753</w:t>
            </w:r>
          </w:p>
        </w:tc>
      </w:tr>
      <w:tr>
        <w:trPr>
          <w:trHeight w:val="317"/>
        </w:trPr>
        <w:tc>
          <w:tcPr>
            <w:tcW w:w="3407" w:type="dxa"/>
            <w:shd w:val="clear" w:color="auto" w:fill="auto"/>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Сумма зачета переплаты по налогу, тыс. руб.</w:t>
            </w:r>
          </w:p>
        </w:tc>
        <w:tc>
          <w:tcPr>
            <w:tcW w:w="1134"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1 949</w:t>
            </w:r>
          </w:p>
        </w:tc>
        <w:tc>
          <w:tcPr>
            <w:tcW w:w="993" w:type="dxa"/>
            <w:shd w:val="clear" w:color="auto" w:fill="auto"/>
            <w:tcMar>
              <w:left w:w="28" w:type="dxa"/>
              <w:right w:w="28" w:type="dxa"/>
            </w:tcMar>
            <w:vAlign w:val="center"/>
          </w:tcPr>
          <w:p>
            <w:pPr>
              <w:shd w:val="clear" w:color="auto" w:fill="FFFFFF" w:themeFill="background1"/>
              <w:jc w:val="right"/>
              <w:rPr>
                <w:rFonts w:ascii="Times New Roman" w:hAnsi="Times New Roman"/>
              </w:rPr>
            </w:pPr>
            <w:r>
              <w:rPr>
                <w:rFonts w:ascii="Times New Roman" w:hAnsi="Times New Roman"/>
              </w:rPr>
              <w:t>4 373</w:t>
            </w:r>
          </w:p>
        </w:tc>
        <w:tc>
          <w:tcPr>
            <w:tcW w:w="1134" w:type="dxa"/>
            <w:shd w:val="clear" w:color="auto" w:fill="auto"/>
            <w:tcMar>
              <w:left w:w="57" w:type="dxa"/>
              <w:right w:w="57" w:type="dxa"/>
            </w:tcMar>
            <w:vAlign w:val="center"/>
          </w:tcPr>
          <w:p>
            <w:pPr>
              <w:shd w:val="clear" w:color="auto" w:fill="FFFFFF" w:themeFill="background1"/>
              <w:jc w:val="right"/>
              <w:rPr>
                <w:rFonts w:ascii="Times New Roman" w:hAnsi="Times New Roman"/>
              </w:rPr>
            </w:pPr>
            <w:r>
              <w:rPr>
                <w:rFonts w:ascii="Times New Roman" w:hAnsi="Times New Roman"/>
              </w:rPr>
              <w:t>4 373</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100,0</w:t>
            </w:r>
          </w:p>
        </w:tc>
        <w:tc>
          <w:tcPr>
            <w:tcW w:w="1053"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4 373</w:t>
            </w:r>
          </w:p>
        </w:tc>
        <w:tc>
          <w:tcPr>
            <w:tcW w:w="1073" w:type="dxa"/>
            <w:shd w:val="clear" w:color="auto" w:fill="auto"/>
            <w:tcMar>
              <w:left w:w="57" w:type="dxa"/>
              <w:right w:w="57" w:type="dxa"/>
            </w:tcMar>
            <w:vAlign w:val="center"/>
            <w:hideMark/>
          </w:tcPr>
          <w:p>
            <w:pPr>
              <w:shd w:val="clear" w:color="auto" w:fill="FFFFFF" w:themeFill="background1"/>
              <w:jc w:val="right"/>
              <w:rPr>
                <w:rFonts w:ascii="Times New Roman" w:hAnsi="Times New Roman"/>
                <w:highlight w:val="yellow"/>
              </w:rPr>
            </w:pPr>
            <w:r>
              <w:rPr>
                <w:rFonts w:ascii="Times New Roman" w:hAnsi="Times New Roman"/>
              </w:rPr>
              <w:t>4 373</w:t>
            </w:r>
          </w:p>
        </w:tc>
      </w:tr>
      <w:tr>
        <w:trPr>
          <w:trHeight w:val="559"/>
        </w:trPr>
        <w:tc>
          <w:tcPr>
            <w:tcW w:w="3407" w:type="dxa"/>
            <w:shd w:val="clear" w:color="auto" w:fill="auto"/>
            <w:vAlign w:val="center"/>
            <w:hideMark/>
          </w:tcPr>
          <w:p>
            <w:pPr>
              <w:shd w:val="clear" w:color="auto" w:fill="FFFFFF" w:themeFill="background1"/>
              <w:rPr>
                <w:rFonts w:ascii="Times New Roman" w:hAnsi="Times New Roman"/>
                <w:bCs/>
                <w:sz w:val="22"/>
                <w:szCs w:val="22"/>
              </w:rPr>
            </w:pPr>
            <w:r>
              <w:rPr>
                <w:rFonts w:ascii="Times New Roman" w:hAnsi="Times New Roman"/>
                <w:bCs/>
                <w:sz w:val="22"/>
                <w:szCs w:val="22"/>
              </w:rPr>
              <w:t xml:space="preserve">Сумма </w:t>
            </w:r>
            <w:r>
              <w:rPr>
                <w:sz w:val="22"/>
                <w:szCs w:val="22"/>
              </w:rPr>
              <w:t>к поступлению в бюджет ЗАТО Северск,</w:t>
            </w:r>
            <w:r>
              <w:rPr>
                <w:rFonts w:ascii="Times New Roman" w:hAnsi="Times New Roman"/>
                <w:bCs/>
                <w:sz w:val="22"/>
                <w:szCs w:val="22"/>
              </w:rPr>
              <w:t xml:space="preserve"> тыс. руб.</w:t>
            </w:r>
          </w:p>
        </w:tc>
        <w:tc>
          <w:tcPr>
            <w:tcW w:w="1134" w:type="dxa"/>
            <w:shd w:val="clear" w:color="auto" w:fill="auto"/>
            <w:tcMar>
              <w:left w:w="57" w:type="dxa"/>
              <w:right w:w="57" w:type="dxa"/>
            </w:tcMar>
            <w:vAlign w:val="center"/>
            <w:hideMark/>
          </w:tcPr>
          <w:p>
            <w:pPr>
              <w:shd w:val="clear" w:color="auto" w:fill="FFFFFF" w:themeFill="background1"/>
              <w:jc w:val="right"/>
              <w:rPr>
                <w:rFonts w:ascii="Times New Roman" w:hAnsi="Times New Roman"/>
                <w:bCs/>
              </w:rPr>
            </w:pPr>
            <w:r>
              <w:rPr>
                <w:rFonts w:ascii="Times New Roman" w:hAnsi="Times New Roman"/>
                <w:bCs/>
              </w:rPr>
              <w:t>36 978</w:t>
            </w:r>
          </w:p>
        </w:tc>
        <w:tc>
          <w:tcPr>
            <w:tcW w:w="993" w:type="dxa"/>
            <w:shd w:val="clear" w:color="auto" w:fill="auto"/>
            <w:tcMar>
              <w:left w:w="28" w:type="dxa"/>
              <w:right w:w="28" w:type="dxa"/>
            </w:tcMar>
            <w:vAlign w:val="center"/>
          </w:tcPr>
          <w:p>
            <w:pPr>
              <w:shd w:val="clear" w:color="auto" w:fill="FFFFFF" w:themeFill="background1"/>
              <w:jc w:val="right"/>
              <w:rPr>
                <w:rFonts w:ascii="Times New Roman" w:hAnsi="Times New Roman"/>
                <w:bCs/>
              </w:rPr>
            </w:pPr>
            <w:r>
              <w:rPr>
                <w:rFonts w:ascii="Times New Roman" w:hAnsi="Times New Roman"/>
                <w:bCs/>
              </w:rPr>
              <w:t>27 128</w:t>
            </w:r>
          </w:p>
        </w:tc>
        <w:tc>
          <w:tcPr>
            <w:tcW w:w="1134" w:type="dxa"/>
            <w:shd w:val="clear" w:color="auto" w:fill="auto"/>
            <w:tcMar>
              <w:left w:w="57" w:type="dxa"/>
              <w:right w:w="57" w:type="dxa"/>
            </w:tcMar>
            <w:vAlign w:val="center"/>
          </w:tcPr>
          <w:p>
            <w:pPr>
              <w:shd w:val="clear" w:color="auto" w:fill="FFFFFF" w:themeFill="background1"/>
              <w:jc w:val="right"/>
              <w:rPr>
                <w:rFonts w:ascii="Times New Roman" w:hAnsi="Times New Roman"/>
                <w:bCs/>
              </w:rPr>
            </w:pPr>
            <w:r>
              <w:rPr>
                <w:rFonts w:ascii="Times New Roman" w:hAnsi="Times New Roman"/>
                <w:bCs/>
              </w:rPr>
              <w:t>37 841</w:t>
            </w:r>
          </w:p>
        </w:tc>
        <w:tc>
          <w:tcPr>
            <w:tcW w:w="850" w:type="dxa"/>
            <w:shd w:val="clear" w:color="auto" w:fill="auto"/>
            <w:tcMar>
              <w:left w:w="57" w:type="dxa"/>
              <w:right w:w="57" w:type="dxa"/>
            </w:tcMar>
            <w:vAlign w:val="center"/>
            <w:hideMark/>
          </w:tcPr>
          <w:p>
            <w:pPr>
              <w:shd w:val="clear" w:color="auto" w:fill="FFFFFF" w:themeFill="background1"/>
              <w:jc w:val="right"/>
              <w:rPr>
                <w:rFonts w:ascii="Times New Roman" w:hAnsi="Times New Roman"/>
              </w:rPr>
            </w:pPr>
            <w:r>
              <w:rPr>
                <w:rFonts w:ascii="Times New Roman" w:hAnsi="Times New Roman"/>
              </w:rPr>
              <w:t>139,5</w:t>
            </w:r>
          </w:p>
        </w:tc>
        <w:tc>
          <w:tcPr>
            <w:tcW w:w="1053" w:type="dxa"/>
            <w:shd w:val="clear" w:color="auto" w:fill="auto"/>
            <w:tcMar>
              <w:left w:w="57" w:type="dxa"/>
              <w:right w:w="57" w:type="dxa"/>
            </w:tcMar>
            <w:vAlign w:val="center"/>
            <w:hideMark/>
          </w:tcPr>
          <w:p>
            <w:pPr>
              <w:shd w:val="clear" w:color="auto" w:fill="FFFFFF" w:themeFill="background1"/>
              <w:jc w:val="right"/>
              <w:rPr>
                <w:rFonts w:ascii="Times New Roman" w:hAnsi="Times New Roman"/>
                <w:bCs/>
              </w:rPr>
            </w:pPr>
            <w:r>
              <w:rPr>
                <w:rFonts w:ascii="Times New Roman" w:hAnsi="Times New Roman"/>
                <w:bCs/>
              </w:rPr>
              <w:t>45 883</w:t>
            </w:r>
          </w:p>
        </w:tc>
        <w:tc>
          <w:tcPr>
            <w:tcW w:w="1073" w:type="dxa"/>
            <w:shd w:val="clear" w:color="auto" w:fill="auto"/>
            <w:tcMar>
              <w:left w:w="57" w:type="dxa"/>
              <w:right w:w="57" w:type="dxa"/>
            </w:tcMar>
            <w:vAlign w:val="center"/>
            <w:hideMark/>
          </w:tcPr>
          <w:p>
            <w:pPr>
              <w:shd w:val="clear" w:color="auto" w:fill="FFFFFF" w:themeFill="background1"/>
              <w:jc w:val="right"/>
              <w:rPr>
                <w:rFonts w:ascii="Times New Roman" w:hAnsi="Times New Roman"/>
                <w:bCs/>
              </w:rPr>
            </w:pPr>
            <w:r>
              <w:rPr>
                <w:rFonts w:ascii="Times New Roman" w:hAnsi="Times New Roman"/>
                <w:bCs/>
              </w:rPr>
              <w:t>51 957</w:t>
            </w:r>
          </w:p>
        </w:tc>
      </w:tr>
    </w:tbl>
    <w:p>
      <w:pPr>
        <w:shd w:val="clear" w:color="auto" w:fill="FFFFFF" w:themeFill="background1"/>
        <w:ind w:firstLine="709"/>
        <w:jc w:val="both"/>
        <w:rPr>
          <w:sz w:val="14"/>
          <w:szCs w:val="14"/>
          <w:highlight w:val="yellow"/>
        </w:rPr>
      </w:pPr>
    </w:p>
    <w:p>
      <w:pPr>
        <w:ind w:right="43" w:firstLine="709"/>
        <w:jc w:val="both"/>
        <w:rPr>
          <w:rFonts w:ascii="Times New Roman" w:hAnsi="Times New Roman"/>
          <w:sz w:val="24"/>
        </w:rPr>
      </w:pPr>
      <w:r>
        <w:rPr>
          <w:rFonts w:ascii="Times New Roman" w:hAnsi="Times New Roman"/>
          <w:sz w:val="24"/>
        </w:rPr>
        <w:t xml:space="preserve">Доля поступлений налога в 2021 году в структуре налоговых и неналоговых доходов составит 3,4%, в общей сумме доходов бюджета ЗАТО Северск – 0,9%. </w:t>
      </w:r>
    </w:p>
    <w:p>
      <w:pPr>
        <w:ind w:right="43" w:firstLine="709"/>
        <w:jc w:val="both"/>
        <w:rPr>
          <w:rFonts w:ascii="Times New Roman" w:hAnsi="Times New Roman"/>
          <w:sz w:val="24"/>
        </w:rPr>
      </w:pPr>
      <w:r>
        <w:rPr>
          <w:rFonts w:ascii="Times New Roman" w:hAnsi="Times New Roman"/>
          <w:sz w:val="24"/>
        </w:rPr>
        <w:t>В 2022 и 2023 годах доля в структуре налоговых и неналоговых доходов составит 4,1% и 4,7%, соответственно, в общей сумме доходов 1,3% и 1,5%, соответственно.</w:t>
      </w:r>
    </w:p>
    <w:p>
      <w:pPr>
        <w:keepNext/>
        <w:numPr>
          <w:ilvl w:val="4"/>
          <w:numId w:val="0"/>
        </w:numPr>
        <w:tabs>
          <w:tab w:val="num" w:pos="1008"/>
        </w:tabs>
        <w:suppressAutoHyphens/>
        <w:spacing w:before="240" w:after="120"/>
        <w:jc w:val="center"/>
        <w:outlineLvl w:val="4"/>
        <w:rPr>
          <w:rFonts w:ascii="Times New Roman" w:hAnsi="Times New Roman"/>
          <w:b/>
          <w:bCs/>
          <w:iCs/>
          <w:sz w:val="24"/>
          <w:szCs w:val="24"/>
          <w:vertAlign w:val="superscript"/>
        </w:rPr>
      </w:pPr>
      <w:r>
        <w:rPr>
          <w:rFonts w:ascii="Times New Roman" w:hAnsi="Times New Roman"/>
          <w:b/>
          <w:iCs/>
          <w:sz w:val="24"/>
          <w:szCs w:val="24"/>
        </w:rPr>
        <w:t>1.3.8. Земельный налог</w:t>
      </w:r>
    </w:p>
    <w:p>
      <w:pPr>
        <w:shd w:val="clear" w:color="auto" w:fill="FFFFFF" w:themeFill="background1"/>
        <w:ind w:firstLine="709"/>
        <w:jc w:val="both"/>
        <w:rPr>
          <w:rFonts w:ascii="Times New Roman" w:hAnsi="Times New Roman"/>
          <w:sz w:val="24"/>
          <w:szCs w:val="24"/>
        </w:rPr>
      </w:pPr>
      <w:r>
        <w:rPr>
          <w:rFonts w:ascii="Times New Roman" w:hAnsi="Times New Roman"/>
          <w:sz w:val="24"/>
          <w:szCs w:val="24"/>
          <w:shd w:val="clear" w:color="auto" w:fill="FFFFFF" w:themeFill="background1"/>
        </w:rPr>
        <w:t>Прогноз выполнен в соответствии с главой 31 Налогового кодекса Российской Федерации</w:t>
      </w:r>
      <w:r>
        <w:rPr>
          <w:sz w:val="24"/>
          <w:szCs w:val="24"/>
          <w:shd w:val="clear" w:color="auto" w:fill="FFFFFF" w:themeFill="background1"/>
        </w:rPr>
        <w:t>,</w:t>
      </w:r>
      <w:r>
        <w:rPr>
          <w:sz w:val="24"/>
          <w:szCs w:val="24"/>
        </w:rPr>
        <w:t xml:space="preserve"> согласно</w:t>
      </w:r>
      <w:r>
        <w:rPr>
          <w:rFonts w:ascii="Times New Roman" w:hAnsi="Times New Roman"/>
          <w:sz w:val="24"/>
          <w:szCs w:val="24"/>
        </w:rPr>
        <w:t xml:space="preserve"> Методике прогнозирования </w:t>
      </w:r>
      <w:r>
        <w:rPr>
          <w:sz w:val="24"/>
          <w:szCs w:val="24"/>
        </w:rPr>
        <w:t xml:space="preserve">налоговых доходов, исходя из сумм начисленного налога за 2019 год на основании </w:t>
      </w:r>
      <w:r>
        <w:rPr>
          <w:rFonts w:ascii="Times New Roman" w:hAnsi="Times New Roman"/>
          <w:sz w:val="24"/>
          <w:szCs w:val="24"/>
        </w:rPr>
        <w:t>данных отчета ИФНС России по ЗАТО Северск по форме статистической отчетности 5-МН «Отчет о налоговой базе и структуре начислений по местным налогам».</w:t>
      </w:r>
    </w:p>
    <w:p>
      <w:pPr>
        <w:shd w:val="clear" w:color="auto" w:fill="FFFFFF" w:themeFill="background1"/>
        <w:suppressAutoHyphens/>
        <w:ind w:firstLine="720"/>
        <w:jc w:val="both"/>
        <w:rPr>
          <w:rFonts w:ascii="Times New Roman" w:hAnsi="Times New Roman"/>
          <w:sz w:val="24"/>
          <w:szCs w:val="24"/>
          <w:lang w:eastAsia="ar-SA"/>
        </w:rPr>
      </w:pPr>
      <w:r>
        <w:rPr>
          <w:rFonts w:ascii="Times New Roman" w:hAnsi="Times New Roman"/>
          <w:sz w:val="24"/>
          <w:szCs w:val="24"/>
          <w:lang w:eastAsia="ar-SA"/>
        </w:rPr>
        <w:t>В соответствии со статьей 61.2 Бюджетного кодекса Российской Федерации норматив отчислений земельного налога в бюджеты городских округов составляет 100%.</w:t>
      </w:r>
    </w:p>
    <w:p>
      <w:pPr>
        <w:shd w:val="clear" w:color="auto" w:fill="FFFFFF" w:themeFill="background1"/>
        <w:ind w:firstLine="708"/>
        <w:jc w:val="both"/>
        <w:rPr>
          <w:rFonts w:ascii="Times New Roman" w:hAnsi="Times New Roman"/>
          <w:sz w:val="24"/>
          <w:szCs w:val="24"/>
        </w:rPr>
      </w:pPr>
      <w:r>
        <w:rPr>
          <w:rFonts w:ascii="Times New Roman" w:hAnsi="Times New Roman"/>
          <w:sz w:val="24"/>
          <w:szCs w:val="24"/>
        </w:rPr>
        <w:t>Расчеты выполнены по налоговым ставкам и с учетом действующих льгот, установленных решением Думы ЗАТО Северск от 07.11.2014 № 57/4 «О земельном налоге на территории ЗАТО Северск» (с изменениями).</w:t>
      </w:r>
    </w:p>
    <w:p>
      <w:pPr>
        <w:shd w:val="clear" w:color="auto" w:fill="FFFFFF" w:themeFill="background1"/>
        <w:ind w:right="43" w:firstLine="709"/>
        <w:jc w:val="both"/>
        <w:rPr>
          <w:rFonts w:ascii="Times New Roman" w:hAnsi="Times New Roman"/>
          <w:sz w:val="24"/>
        </w:rPr>
      </w:pPr>
      <w:r>
        <w:rPr>
          <w:rFonts w:ascii="Times New Roman" w:hAnsi="Times New Roman"/>
          <w:sz w:val="24"/>
          <w:szCs w:val="24"/>
        </w:rPr>
        <w:t>Доходы по земельному налогу на 2021 год прогнозируются</w:t>
      </w:r>
      <w:r>
        <w:rPr>
          <w:rFonts w:ascii="Times New Roman" w:hAnsi="Times New Roman"/>
          <w:sz w:val="24"/>
        </w:rPr>
        <w:t xml:space="preserve"> в сумме 109 556,00 тыс.руб., что на 158,00 тыс.руб. (на 0,1%) больше оценки 2020 года.</w:t>
      </w:r>
    </w:p>
    <w:p>
      <w:pPr>
        <w:shd w:val="clear" w:color="auto" w:fill="FFFFFF" w:themeFill="background1"/>
        <w:ind w:right="43" w:firstLine="709"/>
        <w:jc w:val="both"/>
        <w:rPr>
          <w:rFonts w:ascii="Times New Roman" w:hAnsi="Times New Roman"/>
          <w:sz w:val="24"/>
        </w:rPr>
      </w:pPr>
      <w:r>
        <w:rPr>
          <w:rFonts w:ascii="Times New Roman" w:hAnsi="Times New Roman"/>
          <w:sz w:val="24"/>
        </w:rPr>
        <w:t>Поступление доходов по земельному налогу на 2022 год прогнозируется в сумме 110 134,00 тыс.руб., на 2023 год – в сумме 110 413,00 тыс.руб.</w:t>
      </w:r>
    </w:p>
    <w:p>
      <w:pPr>
        <w:shd w:val="clear" w:color="auto" w:fill="FFFFFF" w:themeFill="background1"/>
        <w:autoSpaceDE w:val="0"/>
        <w:autoSpaceDN w:val="0"/>
        <w:adjustRightInd w:val="0"/>
        <w:spacing w:before="120" w:after="120"/>
        <w:ind w:firstLine="709"/>
        <w:jc w:val="both"/>
        <w:rPr>
          <w:rFonts w:ascii="Times New Roman" w:hAnsi="Times New Roman"/>
          <w:sz w:val="24"/>
          <w:szCs w:val="24"/>
        </w:rPr>
      </w:pPr>
      <w:r>
        <w:rPr>
          <w:rFonts w:ascii="Times New Roman" w:hAnsi="Times New Roman"/>
          <w:sz w:val="24"/>
          <w:szCs w:val="24"/>
        </w:rPr>
        <w:t>Таблица 10 - Расчет земельного налога</w:t>
      </w:r>
    </w:p>
    <w:tbl>
      <w:tblPr>
        <w:tblW w:w="9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490"/>
        <w:gridCol w:w="3174"/>
        <w:gridCol w:w="1109"/>
        <w:gridCol w:w="968"/>
        <w:gridCol w:w="1057"/>
        <w:gridCol w:w="691"/>
        <w:gridCol w:w="1053"/>
        <w:gridCol w:w="1049"/>
      </w:tblGrid>
      <w:tr>
        <w:trPr>
          <w:trHeight w:val="145"/>
          <w:jc w:val="center"/>
        </w:trPr>
        <w:tc>
          <w:tcPr>
            <w:tcW w:w="490" w:type="dxa"/>
            <w:vMerge w:val="restart"/>
            <w:shd w:val="clear" w:color="auto" w:fill="FFFFFF" w:themeFill="background1"/>
            <w:vAlign w:val="center"/>
          </w:tcPr>
          <w:p>
            <w:pPr>
              <w:shd w:val="clear" w:color="auto" w:fill="FFFFFF" w:themeFill="background1"/>
              <w:ind w:left="-96" w:right="-108"/>
              <w:jc w:val="center"/>
              <w:rPr>
                <w:rFonts w:ascii="Times New Roman" w:hAnsi="Times New Roman"/>
              </w:rPr>
            </w:pPr>
            <w:r>
              <w:t>№  п/п</w:t>
            </w:r>
          </w:p>
        </w:tc>
        <w:tc>
          <w:tcPr>
            <w:tcW w:w="3174" w:type="dxa"/>
            <w:vMerge w:val="restart"/>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Наименование показателя</w:t>
            </w:r>
          </w:p>
        </w:tc>
        <w:tc>
          <w:tcPr>
            <w:tcW w:w="2077" w:type="dxa"/>
            <w:gridSpan w:val="2"/>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2020 год</w:t>
            </w:r>
          </w:p>
        </w:tc>
        <w:tc>
          <w:tcPr>
            <w:tcW w:w="1748" w:type="dxa"/>
            <w:gridSpan w:val="2"/>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2021 год</w:t>
            </w:r>
          </w:p>
        </w:tc>
        <w:tc>
          <w:tcPr>
            <w:tcW w:w="1053" w:type="dxa"/>
            <w:vMerge w:val="restart"/>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Прогноз  2022 года</w:t>
            </w:r>
          </w:p>
        </w:tc>
        <w:tc>
          <w:tcPr>
            <w:tcW w:w="1049" w:type="dxa"/>
            <w:vMerge w:val="restart"/>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Прогноз 2023 года</w:t>
            </w:r>
          </w:p>
        </w:tc>
      </w:tr>
      <w:tr>
        <w:trPr>
          <w:trHeight w:val="297"/>
          <w:jc w:val="center"/>
        </w:trPr>
        <w:tc>
          <w:tcPr>
            <w:tcW w:w="490" w:type="dxa"/>
            <w:vMerge/>
            <w:shd w:val="clear" w:color="auto" w:fill="FFFFFF" w:themeFill="background1"/>
            <w:vAlign w:val="center"/>
          </w:tcPr>
          <w:p>
            <w:pPr>
              <w:shd w:val="clear" w:color="auto" w:fill="FFFFFF" w:themeFill="background1"/>
              <w:jc w:val="center"/>
            </w:pPr>
          </w:p>
        </w:tc>
        <w:tc>
          <w:tcPr>
            <w:tcW w:w="3174" w:type="dxa"/>
            <w:vMerge/>
            <w:shd w:val="clear" w:color="auto" w:fill="FFFFFF" w:themeFill="background1"/>
            <w:vAlign w:val="center"/>
          </w:tcPr>
          <w:p>
            <w:pPr>
              <w:shd w:val="clear" w:color="auto" w:fill="FFFFFF" w:themeFill="background1"/>
              <w:spacing w:before="20" w:after="20"/>
              <w:jc w:val="center"/>
            </w:pPr>
          </w:p>
        </w:tc>
        <w:tc>
          <w:tcPr>
            <w:tcW w:w="1109" w:type="dxa"/>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Первонач. утверждено</w:t>
            </w:r>
          </w:p>
        </w:tc>
        <w:tc>
          <w:tcPr>
            <w:tcW w:w="968" w:type="dxa"/>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Оценка</w:t>
            </w:r>
          </w:p>
        </w:tc>
        <w:tc>
          <w:tcPr>
            <w:tcW w:w="1057" w:type="dxa"/>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Прогноз</w:t>
            </w:r>
          </w:p>
        </w:tc>
        <w:tc>
          <w:tcPr>
            <w:tcW w:w="691" w:type="dxa"/>
            <w:shd w:val="clear" w:color="auto" w:fill="FFFFFF" w:themeFill="background1"/>
            <w:vAlign w:val="center"/>
          </w:tcPr>
          <w:p>
            <w:pPr>
              <w:shd w:val="clear" w:color="auto" w:fill="FFFFFF" w:themeFill="background1"/>
              <w:ind w:left="-57" w:right="-57"/>
              <w:jc w:val="center"/>
              <w:rPr>
                <w:rFonts w:ascii="Times New Roman" w:hAnsi="Times New Roman"/>
              </w:rPr>
            </w:pPr>
            <w:r>
              <w:rPr>
                <w:rFonts w:ascii="Times New Roman" w:hAnsi="Times New Roman"/>
              </w:rPr>
              <w:t>% к оценке 2020г.</w:t>
            </w:r>
          </w:p>
        </w:tc>
        <w:tc>
          <w:tcPr>
            <w:tcW w:w="1053" w:type="dxa"/>
            <w:vMerge/>
            <w:shd w:val="clear" w:color="auto" w:fill="FFFFFF" w:themeFill="background1"/>
            <w:vAlign w:val="center"/>
          </w:tcPr>
          <w:p>
            <w:pPr>
              <w:shd w:val="clear" w:color="auto" w:fill="FFFFFF" w:themeFill="background1"/>
              <w:spacing w:before="20" w:after="20"/>
              <w:jc w:val="center"/>
            </w:pPr>
          </w:p>
        </w:tc>
        <w:tc>
          <w:tcPr>
            <w:tcW w:w="1049" w:type="dxa"/>
            <w:vMerge/>
            <w:shd w:val="clear" w:color="auto" w:fill="FFFFFF" w:themeFill="background1"/>
            <w:vAlign w:val="center"/>
          </w:tcPr>
          <w:p>
            <w:pPr>
              <w:shd w:val="clear" w:color="auto" w:fill="FFFFFF" w:themeFill="background1"/>
              <w:spacing w:before="20" w:after="20"/>
              <w:ind w:left="-136" w:right="-94"/>
              <w:jc w:val="center"/>
            </w:pPr>
          </w:p>
        </w:tc>
      </w:tr>
      <w:tr>
        <w:trPr>
          <w:trHeight w:val="248"/>
          <w:jc w:val="center"/>
        </w:trPr>
        <w:tc>
          <w:tcPr>
            <w:tcW w:w="490" w:type="dxa"/>
            <w:shd w:val="clear" w:color="auto" w:fill="FFFFFF" w:themeFill="background1"/>
            <w:vAlign w:val="center"/>
          </w:tcPr>
          <w:p>
            <w:pPr>
              <w:shd w:val="clear" w:color="auto" w:fill="FFFFFF" w:themeFill="background1"/>
              <w:jc w:val="center"/>
              <w:rPr>
                <w:bCs/>
                <w:iCs/>
              </w:rPr>
            </w:pPr>
            <w:r>
              <w:rPr>
                <w:bCs/>
                <w:iCs/>
              </w:rPr>
              <w:t>1</w:t>
            </w:r>
          </w:p>
        </w:tc>
        <w:tc>
          <w:tcPr>
            <w:tcW w:w="3174" w:type="dxa"/>
            <w:shd w:val="clear" w:color="auto" w:fill="FFFFFF" w:themeFill="background1"/>
            <w:vAlign w:val="center"/>
          </w:tcPr>
          <w:p>
            <w:pPr>
              <w:shd w:val="clear" w:color="auto" w:fill="FFFFFF" w:themeFill="background1"/>
              <w:spacing w:before="20" w:after="20"/>
              <w:jc w:val="center"/>
              <w:rPr>
                <w:bCs/>
                <w:iCs/>
                <w:sz w:val="22"/>
                <w:szCs w:val="22"/>
              </w:rPr>
            </w:pPr>
            <w:r>
              <w:rPr>
                <w:bCs/>
                <w:iCs/>
                <w:sz w:val="22"/>
                <w:szCs w:val="22"/>
              </w:rPr>
              <w:t>2</w:t>
            </w:r>
          </w:p>
        </w:tc>
        <w:tc>
          <w:tcPr>
            <w:tcW w:w="1109" w:type="dxa"/>
            <w:shd w:val="clear" w:color="auto" w:fill="FFFFFF" w:themeFill="background1"/>
            <w:vAlign w:val="center"/>
          </w:tcPr>
          <w:p>
            <w:pPr>
              <w:shd w:val="clear" w:color="auto" w:fill="FFFFFF" w:themeFill="background1"/>
              <w:spacing w:before="20" w:after="20"/>
              <w:ind w:left="-57" w:right="-57"/>
              <w:jc w:val="center"/>
            </w:pPr>
            <w:r>
              <w:t>3</w:t>
            </w:r>
          </w:p>
        </w:tc>
        <w:tc>
          <w:tcPr>
            <w:tcW w:w="968" w:type="dxa"/>
            <w:shd w:val="clear" w:color="auto" w:fill="FFFFFF" w:themeFill="background1"/>
            <w:vAlign w:val="center"/>
          </w:tcPr>
          <w:p>
            <w:pPr>
              <w:shd w:val="clear" w:color="auto" w:fill="FFFFFF" w:themeFill="background1"/>
              <w:spacing w:before="20" w:after="20"/>
              <w:ind w:left="-57" w:right="-57"/>
              <w:jc w:val="center"/>
            </w:pPr>
            <w:r>
              <w:t>4</w:t>
            </w:r>
          </w:p>
        </w:tc>
        <w:tc>
          <w:tcPr>
            <w:tcW w:w="1057" w:type="dxa"/>
            <w:shd w:val="clear" w:color="auto" w:fill="FFFFFF" w:themeFill="background1"/>
            <w:vAlign w:val="center"/>
          </w:tcPr>
          <w:p>
            <w:pPr>
              <w:shd w:val="clear" w:color="auto" w:fill="FFFFFF" w:themeFill="background1"/>
              <w:spacing w:before="20" w:after="20"/>
              <w:ind w:left="-57" w:right="-57"/>
              <w:jc w:val="center"/>
            </w:pPr>
            <w:r>
              <w:t>5</w:t>
            </w:r>
          </w:p>
        </w:tc>
        <w:tc>
          <w:tcPr>
            <w:tcW w:w="691" w:type="dxa"/>
            <w:shd w:val="clear" w:color="auto" w:fill="FFFFFF" w:themeFill="background1"/>
            <w:vAlign w:val="center"/>
          </w:tcPr>
          <w:p>
            <w:pPr>
              <w:shd w:val="clear" w:color="auto" w:fill="FFFFFF" w:themeFill="background1"/>
              <w:spacing w:before="20" w:after="20"/>
              <w:ind w:left="-57" w:right="-57"/>
              <w:jc w:val="center"/>
            </w:pPr>
            <w:r>
              <w:t>6</w:t>
            </w:r>
          </w:p>
        </w:tc>
        <w:tc>
          <w:tcPr>
            <w:tcW w:w="1053" w:type="dxa"/>
            <w:shd w:val="clear" w:color="auto" w:fill="FFFFFF" w:themeFill="background1"/>
            <w:vAlign w:val="center"/>
          </w:tcPr>
          <w:p>
            <w:pPr>
              <w:shd w:val="clear" w:color="auto" w:fill="FFFFFF" w:themeFill="background1"/>
              <w:spacing w:before="20" w:after="20"/>
              <w:ind w:left="-57" w:right="-57"/>
              <w:jc w:val="center"/>
            </w:pPr>
            <w:r>
              <w:t>7</w:t>
            </w:r>
          </w:p>
        </w:tc>
        <w:tc>
          <w:tcPr>
            <w:tcW w:w="1049" w:type="dxa"/>
            <w:shd w:val="clear" w:color="auto" w:fill="FFFFFF" w:themeFill="background1"/>
            <w:vAlign w:val="center"/>
          </w:tcPr>
          <w:p>
            <w:pPr>
              <w:shd w:val="clear" w:color="auto" w:fill="FFFFFF" w:themeFill="background1"/>
              <w:spacing w:before="20" w:after="20"/>
              <w:ind w:left="-57" w:right="-57"/>
              <w:jc w:val="center"/>
            </w:pPr>
            <w:r>
              <w:t>8</w:t>
            </w:r>
          </w:p>
        </w:tc>
      </w:tr>
      <w:tr>
        <w:trPr>
          <w:trHeight w:val="585"/>
          <w:jc w:val="center"/>
        </w:trPr>
        <w:tc>
          <w:tcPr>
            <w:tcW w:w="490" w:type="dxa"/>
            <w:shd w:val="clear" w:color="auto" w:fill="FFFFFF" w:themeFill="background1"/>
            <w:vAlign w:val="center"/>
          </w:tcPr>
          <w:p>
            <w:pPr>
              <w:shd w:val="clear" w:color="auto" w:fill="FFFFFF" w:themeFill="background1"/>
              <w:jc w:val="center"/>
            </w:pPr>
            <w:r>
              <w:rPr>
                <w:bCs/>
                <w:iCs/>
              </w:rPr>
              <w:t>1</w:t>
            </w:r>
          </w:p>
        </w:tc>
        <w:tc>
          <w:tcPr>
            <w:tcW w:w="3174" w:type="dxa"/>
            <w:shd w:val="clear" w:color="auto" w:fill="FFFFFF" w:themeFill="background1"/>
            <w:vAlign w:val="center"/>
          </w:tcPr>
          <w:p>
            <w:pPr>
              <w:shd w:val="clear" w:color="auto" w:fill="FFFFFF" w:themeFill="background1"/>
              <w:spacing w:before="20" w:after="20"/>
              <w:rPr>
                <w:sz w:val="22"/>
                <w:szCs w:val="22"/>
              </w:rPr>
            </w:pPr>
            <w:r>
              <w:rPr>
                <w:bCs/>
                <w:iCs/>
                <w:sz w:val="22"/>
                <w:szCs w:val="22"/>
              </w:rPr>
              <w:t xml:space="preserve">Налогооблагаемая кадастровая стоимость земельных участков, </w:t>
            </w:r>
            <w:r>
              <w:rPr>
                <w:sz w:val="22"/>
                <w:szCs w:val="22"/>
              </w:rPr>
              <w:t>тыс.руб.</w:t>
            </w:r>
          </w:p>
        </w:tc>
        <w:tc>
          <w:tcPr>
            <w:tcW w:w="1109" w:type="dxa"/>
            <w:shd w:val="clear" w:color="auto" w:fill="FFFFFF" w:themeFill="background1"/>
            <w:vAlign w:val="center"/>
          </w:tcPr>
          <w:p>
            <w:pPr>
              <w:shd w:val="clear" w:color="auto" w:fill="FFFFFF" w:themeFill="background1"/>
              <w:spacing w:before="20" w:after="20"/>
              <w:ind w:left="-57" w:right="-57"/>
              <w:jc w:val="right"/>
            </w:pPr>
            <w:r>
              <w:t>8 724 191</w:t>
            </w:r>
          </w:p>
        </w:tc>
        <w:tc>
          <w:tcPr>
            <w:tcW w:w="968" w:type="dxa"/>
            <w:shd w:val="clear" w:color="auto" w:fill="FFFFFF" w:themeFill="background1"/>
            <w:vAlign w:val="center"/>
          </w:tcPr>
          <w:p>
            <w:pPr>
              <w:shd w:val="clear" w:color="auto" w:fill="FFFFFF" w:themeFill="background1"/>
              <w:spacing w:before="20" w:after="20"/>
              <w:ind w:left="-57" w:right="-57"/>
              <w:jc w:val="right"/>
            </w:pPr>
            <w:r>
              <w:t>8 719 322</w:t>
            </w:r>
          </w:p>
        </w:tc>
        <w:tc>
          <w:tcPr>
            <w:tcW w:w="1057" w:type="dxa"/>
            <w:shd w:val="clear" w:color="auto" w:fill="FFFFFF" w:themeFill="background1"/>
            <w:vAlign w:val="center"/>
          </w:tcPr>
          <w:p>
            <w:pPr>
              <w:shd w:val="clear" w:color="auto" w:fill="FFFFFF" w:themeFill="background1"/>
              <w:spacing w:before="20" w:after="20"/>
              <w:ind w:left="-57" w:right="-57"/>
              <w:jc w:val="right"/>
            </w:pPr>
            <w:r>
              <w:t>8 727 031</w:t>
            </w:r>
          </w:p>
        </w:tc>
        <w:tc>
          <w:tcPr>
            <w:tcW w:w="691" w:type="dxa"/>
            <w:shd w:val="clear" w:color="auto" w:fill="FFFFFF" w:themeFill="background1"/>
            <w:vAlign w:val="center"/>
          </w:tcPr>
          <w:p>
            <w:pPr>
              <w:shd w:val="clear" w:color="auto" w:fill="FFFFFF" w:themeFill="background1"/>
              <w:spacing w:before="20" w:after="20"/>
              <w:ind w:left="-57" w:right="-57"/>
              <w:jc w:val="right"/>
            </w:pPr>
            <w:r>
              <w:t>100,1</w:t>
            </w:r>
          </w:p>
        </w:tc>
        <w:tc>
          <w:tcPr>
            <w:tcW w:w="1053" w:type="dxa"/>
            <w:shd w:val="clear" w:color="auto" w:fill="FFFFFF" w:themeFill="background1"/>
            <w:vAlign w:val="center"/>
          </w:tcPr>
          <w:p>
            <w:pPr>
              <w:shd w:val="clear" w:color="auto" w:fill="FFFFFF" w:themeFill="background1"/>
              <w:spacing w:before="20" w:after="20"/>
              <w:ind w:left="-57" w:right="-57"/>
              <w:jc w:val="right"/>
            </w:pPr>
            <w:r>
              <w:t>8 734 778</w:t>
            </w:r>
          </w:p>
        </w:tc>
        <w:tc>
          <w:tcPr>
            <w:tcW w:w="1049" w:type="dxa"/>
            <w:shd w:val="clear" w:color="auto" w:fill="FFFFFF" w:themeFill="background1"/>
            <w:vAlign w:val="center"/>
          </w:tcPr>
          <w:p>
            <w:pPr>
              <w:shd w:val="clear" w:color="auto" w:fill="FFFFFF" w:themeFill="background1"/>
              <w:spacing w:before="20" w:after="20"/>
              <w:ind w:left="-57" w:right="-57"/>
              <w:jc w:val="right"/>
            </w:pPr>
            <w:r>
              <w:t>8 742 564</w:t>
            </w:r>
          </w:p>
        </w:tc>
      </w:tr>
      <w:tr>
        <w:trPr>
          <w:trHeight w:val="324"/>
          <w:jc w:val="center"/>
        </w:trPr>
        <w:tc>
          <w:tcPr>
            <w:tcW w:w="490" w:type="dxa"/>
            <w:shd w:val="clear" w:color="auto" w:fill="FFFFFF" w:themeFill="background1"/>
            <w:vAlign w:val="center"/>
          </w:tcPr>
          <w:p>
            <w:pPr>
              <w:shd w:val="clear" w:color="auto" w:fill="FFFFFF" w:themeFill="background1"/>
              <w:snapToGrid w:val="0"/>
              <w:jc w:val="center"/>
              <w:rPr>
                <w:bCs/>
                <w:i/>
                <w:iCs/>
              </w:rPr>
            </w:pPr>
            <w:r>
              <w:rPr>
                <w:bCs/>
                <w:i/>
                <w:iCs/>
              </w:rPr>
              <w:t>2</w:t>
            </w:r>
          </w:p>
        </w:tc>
        <w:tc>
          <w:tcPr>
            <w:tcW w:w="3174" w:type="dxa"/>
            <w:shd w:val="clear" w:color="auto" w:fill="FFFFFF" w:themeFill="background1"/>
            <w:vAlign w:val="center"/>
          </w:tcPr>
          <w:p>
            <w:pPr>
              <w:shd w:val="clear" w:color="auto" w:fill="FFFFFF" w:themeFill="background1"/>
              <w:snapToGrid w:val="0"/>
              <w:spacing w:before="20" w:after="20"/>
              <w:ind w:right="-125"/>
              <w:rPr>
                <w:bCs/>
                <w:i/>
                <w:iCs/>
                <w:sz w:val="22"/>
                <w:szCs w:val="22"/>
              </w:rPr>
            </w:pPr>
            <w:r>
              <w:rPr>
                <w:bCs/>
                <w:i/>
                <w:iCs/>
                <w:sz w:val="22"/>
                <w:szCs w:val="22"/>
              </w:rPr>
              <w:t xml:space="preserve">Средняя расчетная ставка земельного налога, </w:t>
            </w:r>
            <w:r>
              <w:rPr>
                <w:i/>
                <w:sz w:val="22"/>
                <w:szCs w:val="22"/>
              </w:rPr>
              <w:t>%</w:t>
            </w:r>
          </w:p>
        </w:tc>
        <w:tc>
          <w:tcPr>
            <w:tcW w:w="1109" w:type="dxa"/>
            <w:shd w:val="clear" w:color="auto" w:fill="FFFFFF" w:themeFill="background1"/>
            <w:vAlign w:val="center"/>
          </w:tcPr>
          <w:p>
            <w:pPr>
              <w:shd w:val="clear" w:color="auto" w:fill="FFFFFF" w:themeFill="background1"/>
              <w:spacing w:before="20" w:after="20"/>
              <w:ind w:left="-57" w:right="-57"/>
              <w:jc w:val="right"/>
              <w:rPr>
                <w:i/>
              </w:rPr>
            </w:pPr>
            <w:r>
              <w:rPr>
                <w:i/>
              </w:rPr>
              <w:t>0,3-1,5</w:t>
            </w:r>
          </w:p>
        </w:tc>
        <w:tc>
          <w:tcPr>
            <w:tcW w:w="968" w:type="dxa"/>
            <w:shd w:val="clear" w:color="auto" w:fill="FFFFFF" w:themeFill="background1"/>
            <w:vAlign w:val="center"/>
          </w:tcPr>
          <w:p>
            <w:pPr>
              <w:shd w:val="clear" w:color="auto" w:fill="FFFFFF" w:themeFill="background1"/>
              <w:spacing w:before="20" w:after="20"/>
              <w:ind w:left="-57" w:right="-57"/>
              <w:jc w:val="right"/>
              <w:rPr>
                <w:i/>
              </w:rPr>
            </w:pPr>
            <w:r>
              <w:rPr>
                <w:i/>
              </w:rPr>
              <w:t>0,3-1,5</w:t>
            </w:r>
          </w:p>
        </w:tc>
        <w:tc>
          <w:tcPr>
            <w:tcW w:w="1057" w:type="dxa"/>
            <w:shd w:val="clear" w:color="auto" w:fill="FFFFFF" w:themeFill="background1"/>
            <w:vAlign w:val="center"/>
          </w:tcPr>
          <w:p>
            <w:pPr>
              <w:shd w:val="clear" w:color="auto" w:fill="FFFFFF" w:themeFill="background1"/>
              <w:spacing w:before="20" w:after="20"/>
              <w:ind w:left="-57" w:right="-57"/>
              <w:jc w:val="right"/>
              <w:rPr>
                <w:i/>
              </w:rPr>
            </w:pPr>
            <w:r>
              <w:rPr>
                <w:i/>
              </w:rPr>
              <w:t>0,3-1,5</w:t>
            </w:r>
          </w:p>
        </w:tc>
        <w:tc>
          <w:tcPr>
            <w:tcW w:w="691" w:type="dxa"/>
            <w:shd w:val="clear" w:color="auto" w:fill="FFFFFF" w:themeFill="background1"/>
            <w:vAlign w:val="center"/>
          </w:tcPr>
          <w:p>
            <w:pPr>
              <w:shd w:val="clear" w:color="auto" w:fill="FFFFFF" w:themeFill="background1"/>
              <w:spacing w:before="20" w:after="20"/>
              <w:ind w:left="-57" w:right="-57"/>
              <w:jc w:val="right"/>
              <w:rPr>
                <w:i/>
              </w:rPr>
            </w:pPr>
            <w:r>
              <w:rPr>
                <w:i/>
              </w:rPr>
              <w:t>-</w:t>
            </w:r>
          </w:p>
        </w:tc>
        <w:tc>
          <w:tcPr>
            <w:tcW w:w="1053" w:type="dxa"/>
            <w:shd w:val="clear" w:color="auto" w:fill="FFFFFF" w:themeFill="background1"/>
            <w:vAlign w:val="center"/>
          </w:tcPr>
          <w:p>
            <w:pPr>
              <w:shd w:val="clear" w:color="auto" w:fill="FFFFFF" w:themeFill="background1"/>
              <w:spacing w:before="20" w:after="20"/>
              <w:ind w:left="-57" w:right="-57"/>
              <w:jc w:val="right"/>
              <w:rPr>
                <w:i/>
              </w:rPr>
            </w:pPr>
            <w:r>
              <w:rPr>
                <w:i/>
              </w:rPr>
              <w:t>0,3-1,5</w:t>
            </w:r>
          </w:p>
        </w:tc>
        <w:tc>
          <w:tcPr>
            <w:tcW w:w="1049" w:type="dxa"/>
            <w:shd w:val="clear" w:color="auto" w:fill="FFFFFF" w:themeFill="background1"/>
            <w:vAlign w:val="center"/>
          </w:tcPr>
          <w:p>
            <w:pPr>
              <w:shd w:val="clear" w:color="auto" w:fill="FFFFFF" w:themeFill="background1"/>
              <w:spacing w:before="20" w:after="20"/>
              <w:ind w:left="-57" w:right="-57"/>
              <w:jc w:val="right"/>
              <w:rPr>
                <w:i/>
              </w:rPr>
            </w:pPr>
            <w:r>
              <w:rPr>
                <w:i/>
              </w:rPr>
              <w:t>0,3-1,5</w:t>
            </w:r>
          </w:p>
        </w:tc>
      </w:tr>
      <w:tr>
        <w:trPr>
          <w:trHeight w:val="324"/>
          <w:jc w:val="center"/>
        </w:trPr>
        <w:tc>
          <w:tcPr>
            <w:tcW w:w="490" w:type="dxa"/>
            <w:shd w:val="clear" w:color="auto" w:fill="FFFFFF" w:themeFill="background1"/>
            <w:vAlign w:val="center"/>
          </w:tcPr>
          <w:p>
            <w:pPr>
              <w:shd w:val="clear" w:color="auto" w:fill="FFFFFF" w:themeFill="background1"/>
              <w:jc w:val="center"/>
            </w:pPr>
            <w:r>
              <w:rPr>
                <w:bCs/>
                <w:iCs/>
              </w:rPr>
              <w:t>3</w:t>
            </w:r>
          </w:p>
        </w:tc>
        <w:tc>
          <w:tcPr>
            <w:tcW w:w="3174" w:type="dxa"/>
            <w:shd w:val="clear" w:color="auto" w:fill="FFFFFF" w:themeFill="background1"/>
            <w:vAlign w:val="center"/>
          </w:tcPr>
          <w:p>
            <w:pPr>
              <w:shd w:val="clear" w:color="auto" w:fill="FFFFFF" w:themeFill="background1"/>
              <w:spacing w:before="20" w:after="20"/>
              <w:rPr>
                <w:sz w:val="22"/>
                <w:szCs w:val="22"/>
              </w:rPr>
            </w:pPr>
            <w:r>
              <w:rPr>
                <w:bCs/>
                <w:iCs/>
                <w:sz w:val="22"/>
                <w:szCs w:val="22"/>
              </w:rPr>
              <w:t xml:space="preserve">Сумма налога, подлежащая уплате в текущем периоде, </w:t>
            </w:r>
            <w:r>
              <w:rPr>
                <w:sz w:val="22"/>
                <w:szCs w:val="22"/>
              </w:rPr>
              <w:t>тыс.руб.</w:t>
            </w:r>
            <w:r>
              <w:rPr>
                <w:bCs/>
                <w:iCs/>
                <w:sz w:val="22"/>
                <w:szCs w:val="22"/>
              </w:rPr>
              <w:t>, в том числе:</w:t>
            </w:r>
          </w:p>
        </w:tc>
        <w:tc>
          <w:tcPr>
            <w:tcW w:w="1109" w:type="dxa"/>
            <w:shd w:val="clear" w:color="auto" w:fill="FFFFFF" w:themeFill="background1"/>
            <w:vAlign w:val="center"/>
          </w:tcPr>
          <w:p>
            <w:pPr>
              <w:shd w:val="clear" w:color="auto" w:fill="FFFFFF" w:themeFill="background1"/>
              <w:spacing w:before="20" w:after="20"/>
              <w:ind w:left="-57" w:right="-57"/>
              <w:jc w:val="right"/>
            </w:pPr>
            <w:r>
              <w:t>110 846</w:t>
            </w:r>
          </w:p>
        </w:tc>
        <w:tc>
          <w:tcPr>
            <w:tcW w:w="968" w:type="dxa"/>
            <w:shd w:val="clear" w:color="auto" w:fill="FFFFFF" w:themeFill="background1"/>
            <w:vAlign w:val="center"/>
          </w:tcPr>
          <w:p>
            <w:pPr>
              <w:shd w:val="clear" w:color="auto" w:fill="FFFFFF" w:themeFill="background1"/>
              <w:spacing w:before="20" w:after="20"/>
              <w:ind w:left="-57" w:right="-57"/>
              <w:jc w:val="right"/>
            </w:pPr>
            <w:r>
              <w:t>109 927</w:t>
            </w:r>
          </w:p>
        </w:tc>
        <w:tc>
          <w:tcPr>
            <w:tcW w:w="1057" w:type="dxa"/>
            <w:shd w:val="clear" w:color="auto" w:fill="FFFFFF" w:themeFill="background1"/>
            <w:vAlign w:val="center"/>
          </w:tcPr>
          <w:p>
            <w:pPr>
              <w:shd w:val="clear" w:color="auto" w:fill="FFFFFF" w:themeFill="background1"/>
              <w:spacing w:before="20" w:after="20"/>
              <w:ind w:left="-57" w:right="-57"/>
              <w:jc w:val="right"/>
            </w:pPr>
            <w:r>
              <w:t>110 091</w:t>
            </w:r>
          </w:p>
        </w:tc>
        <w:tc>
          <w:tcPr>
            <w:tcW w:w="691" w:type="dxa"/>
            <w:shd w:val="clear" w:color="auto" w:fill="FFFFFF" w:themeFill="background1"/>
            <w:vAlign w:val="center"/>
          </w:tcPr>
          <w:p>
            <w:pPr>
              <w:shd w:val="clear" w:color="auto" w:fill="FFFFFF" w:themeFill="background1"/>
              <w:spacing w:before="20" w:after="20"/>
              <w:ind w:left="-57" w:right="-57"/>
              <w:jc w:val="right"/>
            </w:pPr>
            <w:r>
              <w:t>100,1</w:t>
            </w:r>
          </w:p>
        </w:tc>
        <w:tc>
          <w:tcPr>
            <w:tcW w:w="1053" w:type="dxa"/>
            <w:shd w:val="clear" w:color="auto" w:fill="FFFFFF" w:themeFill="background1"/>
            <w:vAlign w:val="center"/>
          </w:tcPr>
          <w:p>
            <w:pPr>
              <w:shd w:val="clear" w:color="auto" w:fill="FFFFFF" w:themeFill="background1"/>
              <w:spacing w:before="20" w:after="20"/>
              <w:ind w:left="-57" w:right="-57"/>
              <w:jc w:val="right"/>
            </w:pPr>
            <w:r>
              <w:t>110 680</w:t>
            </w:r>
          </w:p>
        </w:tc>
        <w:tc>
          <w:tcPr>
            <w:tcW w:w="1049" w:type="dxa"/>
            <w:shd w:val="clear" w:color="auto" w:fill="FFFFFF" w:themeFill="background1"/>
            <w:vAlign w:val="center"/>
          </w:tcPr>
          <w:p>
            <w:pPr>
              <w:shd w:val="clear" w:color="auto" w:fill="FFFFFF" w:themeFill="background1"/>
              <w:spacing w:before="20" w:after="20"/>
              <w:ind w:left="-57" w:right="-57"/>
              <w:jc w:val="right"/>
            </w:pPr>
            <w:r>
              <w:t>110 965</w:t>
            </w:r>
          </w:p>
        </w:tc>
      </w:tr>
      <w:tr>
        <w:trPr>
          <w:trHeight w:val="287"/>
          <w:jc w:val="center"/>
        </w:trPr>
        <w:tc>
          <w:tcPr>
            <w:tcW w:w="490" w:type="dxa"/>
            <w:shd w:val="clear" w:color="auto" w:fill="FFFFFF" w:themeFill="background1"/>
            <w:vAlign w:val="center"/>
          </w:tcPr>
          <w:p>
            <w:pPr>
              <w:shd w:val="clear" w:color="auto" w:fill="FFFFFF" w:themeFill="background1"/>
              <w:jc w:val="center"/>
              <w:rPr>
                <w:bCs/>
                <w:iCs/>
              </w:rPr>
            </w:pPr>
            <w:r>
              <w:rPr>
                <w:bCs/>
                <w:iCs/>
              </w:rPr>
              <w:t>3.1</w:t>
            </w:r>
          </w:p>
        </w:tc>
        <w:tc>
          <w:tcPr>
            <w:tcW w:w="3174" w:type="dxa"/>
            <w:shd w:val="clear" w:color="auto" w:fill="FFFFFF" w:themeFill="background1"/>
            <w:vAlign w:val="center"/>
          </w:tcPr>
          <w:p>
            <w:pPr>
              <w:shd w:val="clear" w:color="auto" w:fill="FFFFFF" w:themeFill="background1"/>
              <w:spacing w:before="20" w:after="20"/>
              <w:rPr>
                <w:bCs/>
                <w:iCs/>
                <w:sz w:val="22"/>
                <w:szCs w:val="22"/>
              </w:rPr>
            </w:pPr>
            <w:r>
              <w:rPr>
                <w:bCs/>
                <w:iCs/>
                <w:sz w:val="22"/>
                <w:szCs w:val="22"/>
              </w:rPr>
              <w:t>по организациям</w:t>
            </w:r>
          </w:p>
        </w:tc>
        <w:tc>
          <w:tcPr>
            <w:tcW w:w="1109" w:type="dxa"/>
            <w:shd w:val="clear" w:color="auto" w:fill="FFFFFF" w:themeFill="background1"/>
            <w:vAlign w:val="center"/>
          </w:tcPr>
          <w:p>
            <w:pPr>
              <w:shd w:val="clear" w:color="auto" w:fill="FFFFFF" w:themeFill="background1"/>
              <w:spacing w:before="20" w:after="20"/>
              <w:ind w:left="-57" w:right="-57"/>
              <w:jc w:val="right"/>
            </w:pPr>
            <w:r>
              <w:t>104 397</w:t>
            </w:r>
          </w:p>
        </w:tc>
        <w:tc>
          <w:tcPr>
            <w:tcW w:w="968" w:type="dxa"/>
            <w:shd w:val="clear" w:color="auto" w:fill="FFFFFF" w:themeFill="background1"/>
            <w:vAlign w:val="center"/>
          </w:tcPr>
          <w:p>
            <w:pPr>
              <w:shd w:val="clear" w:color="auto" w:fill="FFFFFF" w:themeFill="background1"/>
              <w:spacing w:before="20" w:after="20"/>
              <w:ind w:left="-57" w:right="-57"/>
              <w:jc w:val="right"/>
            </w:pPr>
            <w:r>
              <w:t>103 733</w:t>
            </w:r>
          </w:p>
        </w:tc>
        <w:tc>
          <w:tcPr>
            <w:tcW w:w="1057" w:type="dxa"/>
            <w:shd w:val="clear" w:color="auto" w:fill="FFFFFF" w:themeFill="background1"/>
            <w:vAlign w:val="center"/>
          </w:tcPr>
          <w:p>
            <w:pPr>
              <w:shd w:val="clear" w:color="auto" w:fill="FFFFFF" w:themeFill="background1"/>
              <w:spacing w:before="20" w:after="20"/>
              <w:ind w:left="-57" w:right="-57"/>
              <w:jc w:val="right"/>
            </w:pPr>
            <w:r>
              <w:t>103 565</w:t>
            </w:r>
          </w:p>
        </w:tc>
        <w:tc>
          <w:tcPr>
            <w:tcW w:w="691" w:type="dxa"/>
            <w:shd w:val="clear" w:color="auto" w:fill="FFFFFF" w:themeFill="background1"/>
            <w:vAlign w:val="center"/>
          </w:tcPr>
          <w:p>
            <w:pPr>
              <w:shd w:val="clear" w:color="auto" w:fill="FFFFFF" w:themeFill="background1"/>
              <w:spacing w:before="20" w:after="20"/>
              <w:ind w:left="-57" w:right="-57"/>
              <w:jc w:val="right"/>
            </w:pPr>
            <w:r>
              <w:t>99,8</w:t>
            </w:r>
          </w:p>
        </w:tc>
        <w:tc>
          <w:tcPr>
            <w:tcW w:w="1053" w:type="dxa"/>
            <w:shd w:val="clear" w:color="auto" w:fill="FFFFFF" w:themeFill="background1"/>
            <w:vAlign w:val="center"/>
          </w:tcPr>
          <w:p>
            <w:pPr>
              <w:shd w:val="clear" w:color="auto" w:fill="FFFFFF" w:themeFill="background1"/>
              <w:spacing w:before="20" w:after="20"/>
              <w:ind w:left="-57" w:right="-57"/>
              <w:jc w:val="right"/>
            </w:pPr>
            <w:r>
              <w:t>103 565</w:t>
            </w:r>
          </w:p>
        </w:tc>
        <w:tc>
          <w:tcPr>
            <w:tcW w:w="1049" w:type="dxa"/>
            <w:shd w:val="clear" w:color="auto" w:fill="FFFFFF" w:themeFill="background1"/>
            <w:vAlign w:val="center"/>
          </w:tcPr>
          <w:p>
            <w:pPr>
              <w:shd w:val="clear" w:color="auto" w:fill="FFFFFF" w:themeFill="background1"/>
              <w:spacing w:before="20" w:after="20"/>
              <w:ind w:left="-57" w:right="-57"/>
              <w:jc w:val="right"/>
            </w:pPr>
            <w:r>
              <w:t>103 565</w:t>
            </w:r>
          </w:p>
        </w:tc>
      </w:tr>
      <w:tr>
        <w:trPr>
          <w:trHeight w:val="250"/>
          <w:jc w:val="center"/>
        </w:trPr>
        <w:tc>
          <w:tcPr>
            <w:tcW w:w="490" w:type="dxa"/>
            <w:shd w:val="clear" w:color="auto" w:fill="FFFFFF" w:themeFill="background1"/>
            <w:vAlign w:val="center"/>
          </w:tcPr>
          <w:p>
            <w:pPr>
              <w:shd w:val="clear" w:color="auto" w:fill="FFFFFF" w:themeFill="background1"/>
              <w:jc w:val="center"/>
              <w:rPr>
                <w:bCs/>
                <w:iCs/>
              </w:rPr>
            </w:pPr>
            <w:r>
              <w:rPr>
                <w:bCs/>
                <w:iCs/>
              </w:rPr>
              <w:t>3.2</w:t>
            </w:r>
          </w:p>
        </w:tc>
        <w:tc>
          <w:tcPr>
            <w:tcW w:w="3174" w:type="dxa"/>
            <w:shd w:val="clear" w:color="auto" w:fill="FFFFFF" w:themeFill="background1"/>
            <w:vAlign w:val="center"/>
          </w:tcPr>
          <w:p>
            <w:pPr>
              <w:shd w:val="clear" w:color="auto" w:fill="FFFFFF" w:themeFill="background1"/>
              <w:spacing w:before="20" w:after="20"/>
              <w:rPr>
                <w:bCs/>
                <w:iCs/>
                <w:sz w:val="22"/>
                <w:szCs w:val="22"/>
              </w:rPr>
            </w:pPr>
            <w:r>
              <w:rPr>
                <w:bCs/>
                <w:iCs/>
                <w:sz w:val="22"/>
                <w:szCs w:val="22"/>
              </w:rPr>
              <w:t>по физическим лицам</w:t>
            </w:r>
          </w:p>
        </w:tc>
        <w:tc>
          <w:tcPr>
            <w:tcW w:w="1109" w:type="dxa"/>
            <w:shd w:val="clear" w:color="auto" w:fill="FFFFFF" w:themeFill="background1"/>
            <w:vAlign w:val="center"/>
          </w:tcPr>
          <w:p>
            <w:pPr>
              <w:shd w:val="clear" w:color="auto" w:fill="FFFFFF" w:themeFill="background1"/>
              <w:spacing w:before="20" w:after="20"/>
              <w:ind w:left="-57" w:right="-57"/>
              <w:jc w:val="right"/>
            </w:pPr>
            <w:r>
              <w:t>6 449</w:t>
            </w:r>
          </w:p>
        </w:tc>
        <w:tc>
          <w:tcPr>
            <w:tcW w:w="968" w:type="dxa"/>
            <w:shd w:val="clear" w:color="auto" w:fill="FFFFFF" w:themeFill="background1"/>
            <w:vAlign w:val="center"/>
          </w:tcPr>
          <w:p>
            <w:pPr>
              <w:shd w:val="clear" w:color="auto" w:fill="FFFFFF" w:themeFill="background1"/>
              <w:spacing w:before="20" w:after="20"/>
              <w:ind w:left="-57" w:right="-57"/>
              <w:jc w:val="right"/>
            </w:pPr>
            <w:r>
              <w:t>6 194</w:t>
            </w:r>
          </w:p>
        </w:tc>
        <w:tc>
          <w:tcPr>
            <w:tcW w:w="1057" w:type="dxa"/>
            <w:shd w:val="clear" w:color="auto" w:fill="FFFFFF" w:themeFill="background1"/>
            <w:vAlign w:val="center"/>
          </w:tcPr>
          <w:p>
            <w:pPr>
              <w:shd w:val="clear" w:color="auto" w:fill="FFFFFF" w:themeFill="background1"/>
              <w:spacing w:before="20" w:after="20"/>
              <w:ind w:left="-57" w:right="-57"/>
              <w:jc w:val="right"/>
            </w:pPr>
            <w:r>
              <w:t>6 526</w:t>
            </w:r>
          </w:p>
        </w:tc>
        <w:tc>
          <w:tcPr>
            <w:tcW w:w="691" w:type="dxa"/>
            <w:shd w:val="clear" w:color="auto" w:fill="FFFFFF" w:themeFill="background1"/>
            <w:vAlign w:val="center"/>
          </w:tcPr>
          <w:p>
            <w:pPr>
              <w:shd w:val="clear" w:color="auto" w:fill="FFFFFF" w:themeFill="background1"/>
              <w:spacing w:before="20" w:after="20"/>
              <w:ind w:left="-57" w:right="-57"/>
              <w:jc w:val="right"/>
            </w:pPr>
            <w:r>
              <w:t>105,3</w:t>
            </w:r>
          </w:p>
        </w:tc>
        <w:tc>
          <w:tcPr>
            <w:tcW w:w="1053" w:type="dxa"/>
            <w:shd w:val="clear" w:color="auto" w:fill="FFFFFF" w:themeFill="background1"/>
            <w:vAlign w:val="center"/>
          </w:tcPr>
          <w:p>
            <w:pPr>
              <w:shd w:val="clear" w:color="auto" w:fill="FFFFFF" w:themeFill="background1"/>
              <w:spacing w:before="20" w:after="20"/>
              <w:ind w:left="-57" w:right="-57"/>
              <w:jc w:val="right"/>
            </w:pPr>
            <w:r>
              <w:t>7 115</w:t>
            </w:r>
          </w:p>
        </w:tc>
        <w:tc>
          <w:tcPr>
            <w:tcW w:w="1049" w:type="dxa"/>
            <w:shd w:val="clear" w:color="auto" w:fill="FFFFFF" w:themeFill="background1"/>
            <w:vAlign w:val="center"/>
          </w:tcPr>
          <w:p>
            <w:pPr>
              <w:shd w:val="clear" w:color="auto" w:fill="FFFFFF" w:themeFill="background1"/>
              <w:spacing w:before="20" w:after="20"/>
              <w:ind w:left="-57" w:right="-57"/>
              <w:jc w:val="right"/>
            </w:pPr>
            <w:r>
              <w:t>7 400</w:t>
            </w:r>
          </w:p>
        </w:tc>
      </w:tr>
      <w:tr>
        <w:trPr>
          <w:trHeight w:val="409"/>
          <w:jc w:val="center"/>
        </w:trPr>
        <w:tc>
          <w:tcPr>
            <w:tcW w:w="490" w:type="dxa"/>
            <w:shd w:val="clear" w:color="auto" w:fill="FFFFFF" w:themeFill="background1"/>
            <w:vAlign w:val="center"/>
          </w:tcPr>
          <w:p>
            <w:pPr>
              <w:shd w:val="clear" w:color="auto" w:fill="FFFFFF" w:themeFill="background1"/>
              <w:jc w:val="center"/>
            </w:pPr>
            <w:r>
              <w:t>4</w:t>
            </w:r>
          </w:p>
        </w:tc>
        <w:tc>
          <w:tcPr>
            <w:tcW w:w="3174" w:type="dxa"/>
            <w:shd w:val="clear" w:color="auto" w:fill="FFFFFF" w:themeFill="background1"/>
            <w:vAlign w:val="center"/>
          </w:tcPr>
          <w:p>
            <w:pPr>
              <w:shd w:val="clear" w:color="auto" w:fill="FFFFFF" w:themeFill="background1"/>
              <w:spacing w:before="20" w:after="20"/>
              <w:rPr>
                <w:sz w:val="22"/>
                <w:szCs w:val="22"/>
              </w:rPr>
            </w:pPr>
            <w:r>
              <w:rPr>
                <w:sz w:val="22"/>
                <w:szCs w:val="22"/>
              </w:rPr>
              <w:t>Уровень собираемости</w:t>
            </w:r>
          </w:p>
        </w:tc>
        <w:tc>
          <w:tcPr>
            <w:tcW w:w="1109" w:type="dxa"/>
            <w:shd w:val="clear" w:color="auto" w:fill="FFFFFF" w:themeFill="background1"/>
            <w:vAlign w:val="center"/>
          </w:tcPr>
          <w:p>
            <w:pPr>
              <w:shd w:val="clear" w:color="auto" w:fill="FFFFFF" w:themeFill="background1"/>
              <w:spacing w:before="20" w:after="20"/>
              <w:ind w:left="-57" w:right="-57"/>
              <w:jc w:val="right"/>
            </w:pPr>
          </w:p>
        </w:tc>
        <w:tc>
          <w:tcPr>
            <w:tcW w:w="968" w:type="dxa"/>
            <w:shd w:val="clear" w:color="auto" w:fill="FFFFFF" w:themeFill="background1"/>
            <w:vAlign w:val="center"/>
          </w:tcPr>
          <w:p>
            <w:pPr>
              <w:shd w:val="clear" w:color="auto" w:fill="FFFFFF" w:themeFill="background1"/>
              <w:spacing w:before="20" w:after="20"/>
              <w:ind w:left="-57" w:right="-57"/>
              <w:jc w:val="right"/>
            </w:pPr>
          </w:p>
        </w:tc>
        <w:tc>
          <w:tcPr>
            <w:tcW w:w="1057" w:type="dxa"/>
            <w:shd w:val="clear" w:color="auto" w:fill="FFFFFF" w:themeFill="background1"/>
            <w:vAlign w:val="center"/>
          </w:tcPr>
          <w:p>
            <w:pPr>
              <w:shd w:val="clear" w:color="auto" w:fill="FFFFFF" w:themeFill="background1"/>
              <w:spacing w:before="20" w:after="20"/>
              <w:ind w:left="-57" w:right="-57"/>
              <w:jc w:val="right"/>
            </w:pPr>
          </w:p>
        </w:tc>
        <w:tc>
          <w:tcPr>
            <w:tcW w:w="691" w:type="dxa"/>
            <w:shd w:val="clear" w:color="auto" w:fill="FFFFFF" w:themeFill="background1"/>
            <w:vAlign w:val="center"/>
          </w:tcPr>
          <w:p>
            <w:pPr>
              <w:shd w:val="clear" w:color="auto" w:fill="FFFFFF" w:themeFill="background1"/>
              <w:spacing w:before="20" w:after="20"/>
              <w:ind w:left="-57" w:right="-57"/>
              <w:jc w:val="right"/>
            </w:pPr>
          </w:p>
        </w:tc>
        <w:tc>
          <w:tcPr>
            <w:tcW w:w="1053" w:type="dxa"/>
            <w:shd w:val="clear" w:color="auto" w:fill="FFFFFF" w:themeFill="background1"/>
            <w:vAlign w:val="center"/>
          </w:tcPr>
          <w:p>
            <w:pPr>
              <w:shd w:val="clear" w:color="auto" w:fill="FFFFFF" w:themeFill="background1"/>
              <w:spacing w:before="20" w:after="20"/>
              <w:ind w:left="-57" w:right="-57"/>
              <w:jc w:val="right"/>
            </w:pPr>
          </w:p>
        </w:tc>
        <w:tc>
          <w:tcPr>
            <w:tcW w:w="1049" w:type="dxa"/>
            <w:shd w:val="clear" w:color="auto" w:fill="FFFFFF" w:themeFill="background1"/>
            <w:vAlign w:val="center"/>
          </w:tcPr>
          <w:p>
            <w:pPr>
              <w:shd w:val="clear" w:color="auto" w:fill="FFFFFF" w:themeFill="background1"/>
              <w:spacing w:before="20" w:after="20"/>
              <w:ind w:left="-57" w:right="-57"/>
              <w:jc w:val="right"/>
            </w:pPr>
          </w:p>
        </w:tc>
      </w:tr>
      <w:tr>
        <w:trPr>
          <w:trHeight w:val="272"/>
          <w:jc w:val="center"/>
        </w:trPr>
        <w:tc>
          <w:tcPr>
            <w:tcW w:w="490" w:type="dxa"/>
            <w:shd w:val="clear" w:color="auto" w:fill="FFFFFF" w:themeFill="background1"/>
            <w:vAlign w:val="center"/>
          </w:tcPr>
          <w:p>
            <w:pPr>
              <w:shd w:val="clear" w:color="auto" w:fill="FFFFFF" w:themeFill="background1"/>
              <w:jc w:val="center"/>
              <w:rPr>
                <w:bCs/>
                <w:iCs/>
              </w:rPr>
            </w:pPr>
            <w:r>
              <w:rPr>
                <w:bCs/>
                <w:iCs/>
              </w:rPr>
              <w:t>4.1</w:t>
            </w:r>
          </w:p>
        </w:tc>
        <w:tc>
          <w:tcPr>
            <w:tcW w:w="3174" w:type="dxa"/>
            <w:shd w:val="clear" w:color="auto" w:fill="FFFFFF" w:themeFill="background1"/>
            <w:vAlign w:val="center"/>
          </w:tcPr>
          <w:p>
            <w:pPr>
              <w:shd w:val="clear" w:color="auto" w:fill="FFFFFF" w:themeFill="background1"/>
              <w:spacing w:before="20" w:after="20"/>
              <w:rPr>
                <w:bCs/>
                <w:iCs/>
                <w:sz w:val="22"/>
                <w:szCs w:val="22"/>
              </w:rPr>
            </w:pPr>
            <w:r>
              <w:rPr>
                <w:bCs/>
                <w:iCs/>
                <w:sz w:val="22"/>
                <w:szCs w:val="22"/>
              </w:rPr>
              <w:t>по организациям, %</w:t>
            </w:r>
          </w:p>
        </w:tc>
        <w:tc>
          <w:tcPr>
            <w:tcW w:w="1109" w:type="dxa"/>
            <w:shd w:val="clear" w:color="auto" w:fill="FFFFFF" w:themeFill="background1"/>
            <w:vAlign w:val="center"/>
          </w:tcPr>
          <w:p>
            <w:pPr>
              <w:shd w:val="clear" w:color="auto" w:fill="FFFFFF" w:themeFill="background1"/>
              <w:spacing w:before="20" w:after="20"/>
              <w:ind w:left="-57" w:right="-57"/>
              <w:jc w:val="right"/>
            </w:pPr>
            <w:r>
              <w:t>98</w:t>
            </w:r>
          </w:p>
        </w:tc>
        <w:tc>
          <w:tcPr>
            <w:tcW w:w="968" w:type="dxa"/>
            <w:shd w:val="clear" w:color="auto" w:fill="FFFFFF" w:themeFill="background1"/>
            <w:vAlign w:val="center"/>
          </w:tcPr>
          <w:p>
            <w:pPr>
              <w:shd w:val="clear" w:color="auto" w:fill="FFFFFF" w:themeFill="background1"/>
              <w:spacing w:before="20" w:after="20"/>
              <w:ind w:left="-57" w:right="-57"/>
              <w:jc w:val="right"/>
            </w:pPr>
            <w:r>
              <w:t>99</w:t>
            </w:r>
          </w:p>
        </w:tc>
        <w:tc>
          <w:tcPr>
            <w:tcW w:w="1057" w:type="dxa"/>
            <w:shd w:val="clear" w:color="auto" w:fill="FFFFFF" w:themeFill="background1"/>
            <w:vAlign w:val="center"/>
          </w:tcPr>
          <w:p>
            <w:pPr>
              <w:shd w:val="clear" w:color="auto" w:fill="FFFFFF" w:themeFill="background1"/>
              <w:spacing w:before="20" w:after="20"/>
              <w:ind w:left="-57" w:right="-57"/>
              <w:jc w:val="right"/>
            </w:pPr>
            <w:r>
              <w:t>99</w:t>
            </w:r>
          </w:p>
        </w:tc>
        <w:tc>
          <w:tcPr>
            <w:tcW w:w="691" w:type="dxa"/>
            <w:shd w:val="clear" w:color="auto" w:fill="FFFFFF" w:themeFill="background1"/>
            <w:vAlign w:val="center"/>
          </w:tcPr>
          <w:p>
            <w:pPr>
              <w:shd w:val="clear" w:color="auto" w:fill="FFFFFF" w:themeFill="background1"/>
              <w:spacing w:before="20" w:after="20"/>
              <w:ind w:left="-57" w:right="-57"/>
              <w:jc w:val="right"/>
            </w:pPr>
            <w:r>
              <w:t>-</w:t>
            </w:r>
          </w:p>
        </w:tc>
        <w:tc>
          <w:tcPr>
            <w:tcW w:w="1053" w:type="dxa"/>
            <w:shd w:val="clear" w:color="auto" w:fill="FFFFFF" w:themeFill="background1"/>
            <w:vAlign w:val="center"/>
          </w:tcPr>
          <w:p>
            <w:pPr>
              <w:shd w:val="clear" w:color="auto" w:fill="FFFFFF" w:themeFill="background1"/>
              <w:spacing w:before="20" w:after="20"/>
              <w:ind w:left="-57" w:right="-57"/>
              <w:jc w:val="right"/>
            </w:pPr>
            <w:r>
              <w:t>99</w:t>
            </w:r>
          </w:p>
        </w:tc>
        <w:tc>
          <w:tcPr>
            <w:tcW w:w="1049" w:type="dxa"/>
            <w:shd w:val="clear" w:color="auto" w:fill="FFFFFF" w:themeFill="background1"/>
            <w:vAlign w:val="center"/>
          </w:tcPr>
          <w:p>
            <w:pPr>
              <w:shd w:val="clear" w:color="auto" w:fill="FFFFFF" w:themeFill="background1"/>
              <w:spacing w:before="20" w:after="20"/>
              <w:ind w:left="-57" w:right="-57"/>
              <w:jc w:val="right"/>
            </w:pPr>
            <w:r>
              <w:t>99</w:t>
            </w:r>
          </w:p>
        </w:tc>
      </w:tr>
      <w:tr>
        <w:trPr>
          <w:trHeight w:val="275"/>
          <w:jc w:val="center"/>
        </w:trPr>
        <w:tc>
          <w:tcPr>
            <w:tcW w:w="490" w:type="dxa"/>
            <w:shd w:val="clear" w:color="auto" w:fill="FFFFFF" w:themeFill="background1"/>
            <w:vAlign w:val="center"/>
          </w:tcPr>
          <w:p>
            <w:pPr>
              <w:shd w:val="clear" w:color="auto" w:fill="FFFFFF" w:themeFill="background1"/>
              <w:jc w:val="center"/>
              <w:rPr>
                <w:bCs/>
                <w:iCs/>
              </w:rPr>
            </w:pPr>
            <w:r>
              <w:rPr>
                <w:bCs/>
                <w:iCs/>
              </w:rPr>
              <w:t>4.2</w:t>
            </w:r>
          </w:p>
        </w:tc>
        <w:tc>
          <w:tcPr>
            <w:tcW w:w="3174" w:type="dxa"/>
            <w:shd w:val="clear" w:color="auto" w:fill="FFFFFF" w:themeFill="background1"/>
            <w:vAlign w:val="center"/>
          </w:tcPr>
          <w:p>
            <w:pPr>
              <w:shd w:val="clear" w:color="auto" w:fill="FFFFFF" w:themeFill="background1"/>
              <w:spacing w:before="20" w:after="20"/>
              <w:rPr>
                <w:bCs/>
                <w:iCs/>
                <w:sz w:val="22"/>
                <w:szCs w:val="22"/>
              </w:rPr>
            </w:pPr>
            <w:r>
              <w:rPr>
                <w:bCs/>
                <w:iCs/>
                <w:sz w:val="22"/>
                <w:szCs w:val="22"/>
              </w:rPr>
              <w:t>по физическим лицам, %</w:t>
            </w:r>
          </w:p>
        </w:tc>
        <w:tc>
          <w:tcPr>
            <w:tcW w:w="1109" w:type="dxa"/>
            <w:shd w:val="clear" w:color="auto" w:fill="FFFFFF" w:themeFill="background1"/>
            <w:vAlign w:val="center"/>
          </w:tcPr>
          <w:p>
            <w:pPr>
              <w:shd w:val="clear" w:color="auto" w:fill="FFFFFF" w:themeFill="background1"/>
              <w:spacing w:before="20" w:after="20"/>
              <w:ind w:left="-57" w:right="-57"/>
              <w:jc w:val="right"/>
            </w:pPr>
            <w:r>
              <w:t>99</w:t>
            </w:r>
          </w:p>
        </w:tc>
        <w:tc>
          <w:tcPr>
            <w:tcW w:w="968" w:type="dxa"/>
            <w:shd w:val="clear" w:color="auto" w:fill="FFFFFF" w:themeFill="background1"/>
            <w:vAlign w:val="center"/>
          </w:tcPr>
          <w:p>
            <w:pPr>
              <w:shd w:val="clear" w:color="auto" w:fill="FFFFFF" w:themeFill="background1"/>
              <w:spacing w:before="20" w:after="20"/>
              <w:ind w:left="-57" w:right="-57"/>
              <w:jc w:val="right"/>
            </w:pPr>
            <w:r>
              <w:t>98</w:t>
            </w:r>
          </w:p>
        </w:tc>
        <w:tc>
          <w:tcPr>
            <w:tcW w:w="1057" w:type="dxa"/>
            <w:shd w:val="clear" w:color="auto" w:fill="FFFFFF" w:themeFill="background1"/>
            <w:vAlign w:val="center"/>
          </w:tcPr>
          <w:p>
            <w:pPr>
              <w:shd w:val="clear" w:color="auto" w:fill="FFFFFF" w:themeFill="background1"/>
              <w:spacing w:before="20" w:after="20"/>
              <w:ind w:left="-57" w:right="-57"/>
              <w:jc w:val="right"/>
            </w:pPr>
            <w:r>
              <w:t>98</w:t>
            </w:r>
          </w:p>
        </w:tc>
        <w:tc>
          <w:tcPr>
            <w:tcW w:w="691" w:type="dxa"/>
            <w:shd w:val="clear" w:color="auto" w:fill="FFFFFF" w:themeFill="background1"/>
            <w:vAlign w:val="center"/>
          </w:tcPr>
          <w:p>
            <w:pPr>
              <w:shd w:val="clear" w:color="auto" w:fill="FFFFFF" w:themeFill="background1"/>
              <w:spacing w:before="20" w:after="20"/>
              <w:ind w:left="-57" w:right="-57"/>
              <w:jc w:val="right"/>
            </w:pPr>
            <w:r>
              <w:t>-</w:t>
            </w:r>
          </w:p>
        </w:tc>
        <w:tc>
          <w:tcPr>
            <w:tcW w:w="1053" w:type="dxa"/>
            <w:shd w:val="clear" w:color="auto" w:fill="FFFFFF" w:themeFill="background1"/>
            <w:vAlign w:val="center"/>
          </w:tcPr>
          <w:p>
            <w:pPr>
              <w:shd w:val="clear" w:color="auto" w:fill="FFFFFF" w:themeFill="background1"/>
              <w:spacing w:before="20" w:after="20"/>
              <w:ind w:left="-57" w:right="-57"/>
              <w:jc w:val="right"/>
            </w:pPr>
            <w:r>
              <w:t>98</w:t>
            </w:r>
          </w:p>
        </w:tc>
        <w:tc>
          <w:tcPr>
            <w:tcW w:w="1049" w:type="dxa"/>
            <w:shd w:val="clear" w:color="auto" w:fill="FFFFFF" w:themeFill="background1"/>
            <w:vAlign w:val="center"/>
          </w:tcPr>
          <w:p>
            <w:pPr>
              <w:shd w:val="clear" w:color="auto" w:fill="FFFFFF" w:themeFill="background1"/>
              <w:spacing w:before="20" w:after="20"/>
              <w:ind w:left="-57" w:right="-57"/>
              <w:jc w:val="right"/>
            </w:pPr>
            <w:r>
              <w:t>98</w:t>
            </w:r>
          </w:p>
        </w:tc>
      </w:tr>
      <w:tr>
        <w:trPr>
          <w:trHeight w:val="707"/>
          <w:jc w:val="center"/>
        </w:trPr>
        <w:tc>
          <w:tcPr>
            <w:tcW w:w="490" w:type="dxa"/>
            <w:shd w:val="clear" w:color="auto" w:fill="FFFFFF" w:themeFill="background1"/>
            <w:vAlign w:val="center"/>
          </w:tcPr>
          <w:p>
            <w:pPr>
              <w:shd w:val="clear" w:color="auto" w:fill="FFFFFF" w:themeFill="background1"/>
              <w:jc w:val="center"/>
            </w:pPr>
            <w:r>
              <w:t>5</w:t>
            </w:r>
          </w:p>
        </w:tc>
        <w:tc>
          <w:tcPr>
            <w:tcW w:w="3174" w:type="dxa"/>
            <w:shd w:val="clear" w:color="auto" w:fill="FFFFFF" w:themeFill="background1"/>
            <w:vAlign w:val="center"/>
          </w:tcPr>
          <w:p>
            <w:pPr>
              <w:shd w:val="clear" w:color="auto" w:fill="FFFFFF" w:themeFill="background1"/>
              <w:spacing w:before="20" w:after="20"/>
              <w:ind w:right="-108"/>
              <w:rPr>
                <w:sz w:val="22"/>
                <w:szCs w:val="22"/>
              </w:rPr>
            </w:pPr>
            <w:r>
              <w:rPr>
                <w:sz w:val="22"/>
                <w:szCs w:val="22"/>
              </w:rPr>
              <w:t>Дополнительные поступления в за счет сокращения задолженности (30%), тыс.руб.</w:t>
            </w:r>
          </w:p>
        </w:tc>
        <w:tc>
          <w:tcPr>
            <w:tcW w:w="1109" w:type="dxa"/>
            <w:shd w:val="clear" w:color="auto" w:fill="FFFFFF" w:themeFill="background1"/>
            <w:vAlign w:val="center"/>
          </w:tcPr>
          <w:p>
            <w:pPr>
              <w:shd w:val="clear" w:color="auto" w:fill="FFFFFF" w:themeFill="background1"/>
              <w:spacing w:before="20" w:after="20"/>
              <w:ind w:left="-57" w:right="-57"/>
              <w:jc w:val="right"/>
            </w:pPr>
            <w:r>
              <w:t>704</w:t>
            </w:r>
          </w:p>
        </w:tc>
        <w:tc>
          <w:tcPr>
            <w:tcW w:w="968" w:type="dxa"/>
            <w:shd w:val="clear" w:color="auto" w:fill="FFFFFF" w:themeFill="background1"/>
            <w:vAlign w:val="center"/>
          </w:tcPr>
          <w:p>
            <w:pPr>
              <w:shd w:val="clear" w:color="auto" w:fill="FFFFFF" w:themeFill="background1"/>
              <w:spacing w:before="20" w:after="20"/>
              <w:ind w:left="-57" w:right="-57"/>
              <w:jc w:val="right"/>
            </w:pPr>
            <w:r>
              <w:t>632</w:t>
            </w:r>
          </w:p>
        </w:tc>
        <w:tc>
          <w:tcPr>
            <w:tcW w:w="1057" w:type="dxa"/>
            <w:shd w:val="clear" w:color="auto" w:fill="FFFFFF" w:themeFill="background1"/>
            <w:vAlign w:val="center"/>
          </w:tcPr>
          <w:p>
            <w:pPr>
              <w:shd w:val="clear" w:color="auto" w:fill="FFFFFF" w:themeFill="background1"/>
              <w:spacing w:before="20" w:after="20"/>
              <w:ind w:left="-57" w:right="-57"/>
              <w:jc w:val="right"/>
            </w:pPr>
            <w:r>
              <w:t>632</w:t>
            </w:r>
          </w:p>
        </w:tc>
        <w:tc>
          <w:tcPr>
            <w:tcW w:w="691" w:type="dxa"/>
            <w:shd w:val="clear" w:color="auto" w:fill="FFFFFF" w:themeFill="background1"/>
            <w:vAlign w:val="center"/>
          </w:tcPr>
          <w:p>
            <w:pPr>
              <w:shd w:val="clear" w:color="auto" w:fill="FFFFFF" w:themeFill="background1"/>
              <w:spacing w:before="20" w:after="20"/>
              <w:ind w:left="-57" w:right="-57"/>
              <w:jc w:val="right"/>
            </w:pPr>
            <w:r>
              <w:t>100,0</w:t>
            </w:r>
          </w:p>
        </w:tc>
        <w:tc>
          <w:tcPr>
            <w:tcW w:w="1053" w:type="dxa"/>
            <w:shd w:val="clear" w:color="auto" w:fill="FFFFFF" w:themeFill="background1"/>
            <w:vAlign w:val="center"/>
          </w:tcPr>
          <w:p>
            <w:pPr>
              <w:shd w:val="clear" w:color="auto" w:fill="FFFFFF" w:themeFill="background1"/>
              <w:spacing w:before="20" w:after="20"/>
              <w:ind w:left="-57" w:right="-57"/>
              <w:jc w:val="right"/>
            </w:pPr>
            <w:r>
              <w:t>632</w:t>
            </w:r>
          </w:p>
        </w:tc>
        <w:tc>
          <w:tcPr>
            <w:tcW w:w="1049" w:type="dxa"/>
            <w:shd w:val="clear" w:color="auto" w:fill="FFFFFF" w:themeFill="background1"/>
            <w:vAlign w:val="center"/>
          </w:tcPr>
          <w:p>
            <w:pPr>
              <w:shd w:val="clear" w:color="auto" w:fill="FFFFFF" w:themeFill="background1"/>
              <w:spacing w:before="20" w:after="20"/>
              <w:ind w:left="-57" w:right="-57"/>
              <w:jc w:val="right"/>
            </w:pPr>
            <w:r>
              <w:t>632</w:t>
            </w:r>
          </w:p>
        </w:tc>
      </w:tr>
      <w:tr>
        <w:trPr>
          <w:trHeight w:val="339"/>
          <w:jc w:val="center"/>
        </w:trPr>
        <w:tc>
          <w:tcPr>
            <w:tcW w:w="490" w:type="dxa"/>
            <w:shd w:val="clear" w:color="auto" w:fill="FFFFFF" w:themeFill="background1"/>
            <w:vAlign w:val="center"/>
          </w:tcPr>
          <w:p>
            <w:pPr>
              <w:shd w:val="clear" w:color="auto" w:fill="FFFFFF" w:themeFill="background1"/>
              <w:jc w:val="center"/>
            </w:pPr>
            <w:r>
              <w:rPr>
                <w:bCs/>
                <w:iCs/>
              </w:rPr>
              <w:t>6</w:t>
            </w:r>
          </w:p>
        </w:tc>
        <w:tc>
          <w:tcPr>
            <w:tcW w:w="3174" w:type="dxa"/>
            <w:shd w:val="clear" w:color="auto" w:fill="FFFFFF" w:themeFill="background1"/>
            <w:vAlign w:val="center"/>
          </w:tcPr>
          <w:p>
            <w:pPr>
              <w:shd w:val="clear" w:color="auto" w:fill="FFFFFF" w:themeFill="background1"/>
              <w:spacing w:before="20" w:after="20"/>
              <w:rPr>
                <w:sz w:val="22"/>
                <w:szCs w:val="22"/>
              </w:rPr>
            </w:pPr>
            <w:r>
              <w:rPr>
                <w:sz w:val="22"/>
                <w:szCs w:val="22"/>
              </w:rPr>
              <w:t>Сумма к поступлению в бюджет ЗАТО Северск, тыс.руб.</w:t>
            </w:r>
          </w:p>
        </w:tc>
        <w:tc>
          <w:tcPr>
            <w:tcW w:w="1109" w:type="dxa"/>
            <w:shd w:val="clear" w:color="auto" w:fill="FFFFFF" w:themeFill="background1"/>
            <w:vAlign w:val="center"/>
          </w:tcPr>
          <w:p>
            <w:pPr>
              <w:shd w:val="clear" w:color="auto" w:fill="FFFFFF" w:themeFill="background1"/>
              <w:spacing w:before="20" w:after="20"/>
              <w:ind w:left="-57" w:right="-57"/>
              <w:jc w:val="right"/>
            </w:pPr>
            <w:r>
              <w:t>109 398</w:t>
            </w:r>
          </w:p>
        </w:tc>
        <w:tc>
          <w:tcPr>
            <w:tcW w:w="968" w:type="dxa"/>
            <w:shd w:val="clear" w:color="auto" w:fill="FFFFFF" w:themeFill="background1"/>
            <w:vAlign w:val="center"/>
          </w:tcPr>
          <w:p>
            <w:pPr>
              <w:shd w:val="clear" w:color="auto" w:fill="FFFFFF" w:themeFill="background1"/>
              <w:spacing w:before="20" w:after="20"/>
              <w:ind w:left="-57" w:right="-57"/>
              <w:jc w:val="right"/>
            </w:pPr>
            <w:r>
              <w:t>109 398</w:t>
            </w:r>
          </w:p>
        </w:tc>
        <w:tc>
          <w:tcPr>
            <w:tcW w:w="1057" w:type="dxa"/>
            <w:shd w:val="clear" w:color="auto" w:fill="FFFFFF" w:themeFill="background1"/>
            <w:vAlign w:val="center"/>
          </w:tcPr>
          <w:p>
            <w:pPr>
              <w:shd w:val="clear" w:color="auto" w:fill="FFFFFF" w:themeFill="background1"/>
              <w:spacing w:before="20" w:after="20"/>
              <w:ind w:left="-57" w:right="-57"/>
              <w:jc w:val="right"/>
            </w:pPr>
            <w:r>
              <w:t>109 556</w:t>
            </w:r>
          </w:p>
        </w:tc>
        <w:tc>
          <w:tcPr>
            <w:tcW w:w="691" w:type="dxa"/>
            <w:shd w:val="clear" w:color="auto" w:fill="FFFFFF" w:themeFill="background1"/>
            <w:vAlign w:val="center"/>
          </w:tcPr>
          <w:p>
            <w:pPr>
              <w:shd w:val="clear" w:color="auto" w:fill="FFFFFF" w:themeFill="background1"/>
              <w:spacing w:before="20" w:after="20"/>
              <w:ind w:left="-57" w:right="-57"/>
              <w:jc w:val="right"/>
            </w:pPr>
            <w:r>
              <w:t>100,1</w:t>
            </w:r>
          </w:p>
        </w:tc>
        <w:tc>
          <w:tcPr>
            <w:tcW w:w="1053" w:type="dxa"/>
            <w:shd w:val="clear" w:color="auto" w:fill="FFFFFF" w:themeFill="background1"/>
            <w:vAlign w:val="center"/>
          </w:tcPr>
          <w:p>
            <w:pPr>
              <w:shd w:val="clear" w:color="auto" w:fill="FFFFFF" w:themeFill="background1"/>
              <w:spacing w:before="20" w:after="20"/>
              <w:ind w:left="-57" w:right="-57"/>
              <w:jc w:val="right"/>
            </w:pPr>
            <w:r>
              <w:t>110 134</w:t>
            </w:r>
          </w:p>
        </w:tc>
        <w:tc>
          <w:tcPr>
            <w:tcW w:w="1049" w:type="dxa"/>
            <w:shd w:val="clear" w:color="auto" w:fill="FFFFFF" w:themeFill="background1"/>
            <w:vAlign w:val="center"/>
          </w:tcPr>
          <w:p>
            <w:pPr>
              <w:shd w:val="clear" w:color="auto" w:fill="FFFFFF" w:themeFill="background1"/>
              <w:spacing w:before="20" w:after="20"/>
              <w:ind w:left="-57" w:right="-57"/>
              <w:jc w:val="right"/>
            </w:pPr>
            <w:r>
              <w:t>110 413</w:t>
            </w:r>
          </w:p>
        </w:tc>
      </w:tr>
    </w:tbl>
    <w:p>
      <w:pPr>
        <w:shd w:val="clear" w:color="auto" w:fill="FFFFFF" w:themeFill="background1"/>
        <w:ind w:right="43" w:firstLine="709"/>
        <w:jc w:val="both"/>
        <w:rPr>
          <w:rFonts w:ascii="Times New Roman" w:hAnsi="Times New Roman"/>
          <w:sz w:val="16"/>
          <w:szCs w:val="16"/>
        </w:rPr>
      </w:pPr>
    </w:p>
    <w:p>
      <w:pPr>
        <w:shd w:val="clear" w:color="auto" w:fill="FFFFFF" w:themeFill="background1"/>
        <w:ind w:right="43" w:firstLine="709"/>
        <w:jc w:val="both"/>
        <w:rPr>
          <w:rFonts w:ascii="Times New Roman" w:hAnsi="Times New Roman"/>
          <w:sz w:val="24"/>
        </w:rPr>
      </w:pPr>
      <w:r>
        <w:rPr>
          <w:rFonts w:ascii="Times New Roman" w:hAnsi="Times New Roman"/>
          <w:sz w:val="24"/>
        </w:rPr>
        <w:t>Доля поступлений налога в 2021 году в структуре налоговых и неналоговых доходов составит 9,9%, в общей сумме доходов бюджета ЗАТО Северск – 2,7%.</w:t>
      </w:r>
    </w:p>
    <w:p>
      <w:pPr>
        <w:shd w:val="clear" w:color="auto" w:fill="FFFFFF" w:themeFill="background1"/>
        <w:ind w:right="43" w:firstLine="709"/>
        <w:jc w:val="both"/>
        <w:rPr>
          <w:rFonts w:ascii="Times New Roman" w:hAnsi="Times New Roman"/>
          <w:sz w:val="24"/>
        </w:rPr>
      </w:pPr>
      <w:r>
        <w:rPr>
          <w:rFonts w:ascii="Times New Roman" w:hAnsi="Times New Roman"/>
          <w:sz w:val="24"/>
        </w:rPr>
        <w:t>В 2022 и 2023 годах доля в структуре налоговых и неналоговых доходов составит по 9,9% ежегодно, в общей сумме доходов – по 3,1%.</w:t>
      </w:r>
    </w:p>
    <w:p>
      <w:pPr>
        <w:shd w:val="clear" w:color="auto" w:fill="FFFFFF" w:themeFill="background1"/>
        <w:autoSpaceDE w:val="0"/>
        <w:autoSpaceDN w:val="0"/>
        <w:adjustRightInd w:val="0"/>
        <w:ind w:firstLine="709"/>
        <w:jc w:val="both"/>
        <w:rPr>
          <w:rFonts w:cs="Times New Roman CYR"/>
          <w:sz w:val="24"/>
          <w:szCs w:val="24"/>
        </w:rPr>
      </w:pPr>
      <w:r>
        <w:rPr>
          <w:sz w:val="24"/>
          <w:szCs w:val="24"/>
        </w:rPr>
        <w:t xml:space="preserve">В соответствии с </w:t>
      </w:r>
      <w:r>
        <w:rPr>
          <w:rFonts w:ascii="Times New Roman" w:hAnsi="Times New Roman"/>
          <w:sz w:val="24"/>
          <w:szCs w:val="24"/>
        </w:rPr>
        <w:t xml:space="preserve">решением Думы ЗАТО Северск от 07.11.2014 № 57/4 «О земельном налоге на территории ЗАТО Северск» для отдельных категорий граждан ЗАТО Северск предоставляются льготы </w:t>
      </w:r>
      <w:r>
        <w:rPr>
          <w:sz w:val="24"/>
          <w:szCs w:val="24"/>
        </w:rPr>
        <w:t>в виде полного освобождения от уплаты земельного налога (инвалиды, чернобыльцы, ветераны и инвалиды Великой Отечественной войны</w:t>
      </w:r>
      <w:r>
        <w:rPr>
          <w:rFonts w:cs="Times New Roman CYR"/>
          <w:sz w:val="24"/>
          <w:szCs w:val="24"/>
        </w:rPr>
        <w:t xml:space="preserve"> и другие социальные категории граждан). </w:t>
      </w:r>
      <w:r>
        <w:rPr>
          <w:sz w:val="24"/>
          <w:szCs w:val="24"/>
        </w:rPr>
        <w:t>Сумма налоговых льгот, установленных представительным органом местного самоуправления, для физических лиц за 2019 год, согласно отчету ИФНС России по ЗАТО Северск по форме 5-МН, составила 291,0 тыс.руб.</w:t>
      </w:r>
    </w:p>
    <w:p>
      <w:pPr>
        <w:shd w:val="clear" w:color="auto" w:fill="FFFFFF" w:themeFill="background1"/>
        <w:spacing w:before="240" w:after="120"/>
        <w:jc w:val="center"/>
        <w:rPr>
          <w:b/>
          <w:bCs/>
          <w:iCs/>
          <w:sz w:val="24"/>
          <w:szCs w:val="24"/>
        </w:rPr>
      </w:pPr>
      <w:r>
        <w:rPr>
          <w:b/>
          <w:bCs/>
          <w:iCs/>
          <w:sz w:val="24"/>
          <w:szCs w:val="24"/>
        </w:rPr>
        <w:t xml:space="preserve">1.3.9. Государственная пошлина </w:t>
      </w:r>
    </w:p>
    <w:p>
      <w:pPr>
        <w:shd w:val="clear" w:color="auto" w:fill="FFFFFF" w:themeFill="background1"/>
        <w:ind w:right="43" w:firstLine="709"/>
        <w:jc w:val="both"/>
        <w:rPr>
          <w:rFonts w:ascii="Times New Roman" w:hAnsi="Times New Roman"/>
          <w:sz w:val="24"/>
        </w:rPr>
      </w:pPr>
      <w:r>
        <w:rPr>
          <w:rFonts w:ascii="Times New Roman" w:hAnsi="Times New Roman"/>
          <w:sz w:val="24"/>
        </w:rPr>
        <w:t>Расчет государственной пошлины выполнен на основе данных главных администраторов доходов бюджета ЗАТО Северск по трем статьям:</w:t>
      </w:r>
    </w:p>
    <w:p>
      <w:pPr>
        <w:shd w:val="clear" w:color="auto" w:fill="FFFFFF" w:themeFill="background1"/>
        <w:ind w:right="43" w:firstLine="708"/>
        <w:jc w:val="both"/>
        <w:rPr>
          <w:rFonts w:ascii="Times New Roman" w:hAnsi="Times New Roman"/>
          <w:sz w:val="24"/>
        </w:rPr>
      </w:pPr>
      <w:r>
        <w:rPr>
          <w:rFonts w:ascii="Times New Roman" w:hAnsi="Times New Roman"/>
          <w:sz w:val="24"/>
        </w:rPr>
        <w:t>- «</w:t>
      </w:r>
      <w:r>
        <w:rPr>
          <w:rFonts w:ascii="Times New Roman" w:hAnsi="Times New Roman"/>
          <w:sz w:val="24"/>
          <w:szCs w:val="24"/>
        </w:rPr>
        <w:t xml:space="preserve">Государственная пошлина по делам, рассматриваемым в судах общей юрисдикции, мировыми судьями…» </w:t>
      </w:r>
      <w:r>
        <w:rPr>
          <w:rFonts w:ascii="Times New Roman" w:hAnsi="Times New Roman"/>
          <w:sz w:val="24"/>
        </w:rPr>
        <w:t>на основе оценки поступлений за 2020 год, прогнозных данных ИФНС России по ЗАТО Северск;</w:t>
      </w:r>
    </w:p>
    <w:p>
      <w:pPr>
        <w:shd w:val="clear" w:color="auto" w:fill="FFFFFF" w:themeFill="background1"/>
        <w:ind w:right="43" w:firstLine="708"/>
        <w:jc w:val="both"/>
        <w:rPr>
          <w:rFonts w:ascii="Times New Roman" w:hAnsi="Times New Roman"/>
          <w:sz w:val="24"/>
        </w:rPr>
      </w:pPr>
      <w:r>
        <w:rPr>
          <w:rFonts w:ascii="Times New Roman" w:hAnsi="Times New Roman"/>
          <w:sz w:val="24"/>
        </w:rPr>
        <w:t>- «</w:t>
      </w:r>
      <w:r>
        <w:rPr>
          <w:rFonts w:ascii="Times New Roman" w:hAnsi="Times New Roman"/>
          <w:sz w:val="24"/>
          <w:szCs w:val="24"/>
        </w:rPr>
        <w:t>Государственная пошлина</w:t>
      </w:r>
      <w:r>
        <w:rPr>
          <w:rFonts w:ascii="Times New Roman" w:hAnsi="Times New Roman"/>
          <w:sz w:val="24"/>
        </w:rPr>
        <w:t xml:space="preserve"> за выдачу разрешения на установку рекламной конструкции» на основе оценки поступлений за 2020 год, прогнозных данных УИО Администрации ЗАТО Северск;</w:t>
      </w:r>
    </w:p>
    <w:p>
      <w:pPr>
        <w:shd w:val="clear" w:color="auto" w:fill="FFFFFF" w:themeFill="background1"/>
        <w:ind w:right="43" w:firstLine="708"/>
        <w:jc w:val="both"/>
        <w:rPr>
          <w:rFonts w:ascii="Times New Roman" w:hAnsi="Times New Roman"/>
          <w:sz w:val="24"/>
        </w:rPr>
      </w:pPr>
      <w:r>
        <w:rPr>
          <w:rFonts w:ascii="Times New Roman" w:hAnsi="Times New Roman"/>
          <w:sz w:val="24"/>
        </w:rPr>
        <w:t>- «</w:t>
      </w:r>
      <w:r>
        <w:rPr>
          <w:rFonts w:ascii="Times New Roman" w:hAnsi="Times New Roman"/>
          <w:sz w:val="24"/>
          <w:szCs w:val="24"/>
        </w:rPr>
        <w:t>Государственная пошлина</w:t>
      </w:r>
      <w:r>
        <w:rPr>
          <w:rFonts w:ascii="Times New Roman" w:hAnsi="Times New Roman"/>
          <w:sz w:val="24"/>
        </w:rPr>
        <w:t xml:space="preserve"> за выдачу ОМСУ городского округа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на основе оценки поступлений за 2020 год, прогнозных данных УЖКХ ТиС. </w:t>
      </w:r>
    </w:p>
    <w:p>
      <w:pPr>
        <w:shd w:val="clear" w:color="auto" w:fill="FFFFFF" w:themeFill="background1"/>
        <w:suppressAutoHyphens/>
        <w:ind w:firstLine="708"/>
        <w:jc w:val="both"/>
        <w:rPr>
          <w:rFonts w:ascii="Times New Roman" w:hAnsi="Times New Roman"/>
          <w:sz w:val="24"/>
          <w:szCs w:val="24"/>
          <w:lang w:eastAsia="ar-SA"/>
        </w:rPr>
      </w:pPr>
      <w:r>
        <w:rPr>
          <w:rFonts w:ascii="Times New Roman" w:hAnsi="Times New Roman"/>
          <w:sz w:val="24"/>
          <w:lang w:eastAsia="ar-SA"/>
        </w:rPr>
        <w:t xml:space="preserve">В соответствии </w:t>
      </w:r>
      <w:r>
        <w:rPr>
          <w:rFonts w:ascii="Times New Roman" w:hAnsi="Times New Roman"/>
          <w:sz w:val="24"/>
          <w:szCs w:val="24"/>
          <w:lang w:eastAsia="ar-SA"/>
        </w:rPr>
        <w:t>со статьей 61.2 Бюджетного кодекса Российской Федерации</w:t>
      </w:r>
      <w:r>
        <w:rPr>
          <w:rFonts w:ascii="Times New Roman" w:hAnsi="Times New Roman"/>
          <w:sz w:val="24"/>
          <w:lang w:eastAsia="ar-SA"/>
        </w:rPr>
        <w:t xml:space="preserve"> норматив зачисления</w:t>
      </w:r>
      <w:r>
        <w:rPr>
          <w:rFonts w:ascii="Times New Roman" w:hAnsi="Times New Roman"/>
          <w:sz w:val="24"/>
          <w:szCs w:val="24"/>
          <w:lang w:eastAsia="ar-SA"/>
        </w:rPr>
        <w:t xml:space="preserve"> государственной пошлины в бюджеты городских округов составляет 100%.</w:t>
      </w:r>
    </w:p>
    <w:p>
      <w:pPr>
        <w:shd w:val="clear" w:color="auto" w:fill="FFFFFF" w:themeFill="background1"/>
        <w:suppressAutoHyphens/>
        <w:ind w:firstLine="708"/>
        <w:jc w:val="both"/>
        <w:rPr>
          <w:rFonts w:ascii="Times New Roman" w:hAnsi="Times New Roman"/>
          <w:sz w:val="24"/>
          <w:szCs w:val="24"/>
          <w:lang w:eastAsia="ar-SA"/>
        </w:rPr>
      </w:pPr>
      <w:r>
        <w:rPr>
          <w:rFonts w:ascii="Times New Roman" w:hAnsi="Times New Roman"/>
          <w:sz w:val="24"/>
          <w:lang w:eastAsia="ar-SA"/>
        </w:rPr>
        <w:t xml:space="preserve">Поступления государственной пошлины на 2021 год прогнозируются в сумме 14 007,40 тыс.руб., что на 688,20 тыс.руб. (на 5,2%) больше оценки 2020 года. </w:t>
      </w:r>
    </w:p>
    <w:p>
      <w:pPr>
        <w:shd w:val="clear" w:color="auto" w:fill="FFFFFF" w:themeFill="background1"/>
        <w:ind w:right="43" w:firstLine="709"/>
        <w:jc w:val="both"/>
        <w:rPr>
          <w:rFonts w:ascii="Times New Roman" w:hAnsi="Times New Roman"/>
          <w:sz w:val="24"/>
        </w:rPr>
      </w:pPr>
      <w:r>
        <w:rPr>
          <w:rFonts w:ascii="Times New Roman" w:hAnsi="Times New Roman"/>
          <w:sz w:val="24"/>
        </w:rPr>
        <w:t xml:space="preserve">Поступления государственной пошлины на 2022 год прогнозируются в сумме </w:t>
      </w:r>
      <w:r>
        <w:rPr>
          <w:rFonts w:ascii="Times New Roman" w:hAnsi="Times New Roman"/>
          <w:sz w:val="24"/>
        </w:rPr>
        <w:br/>
        <w:t xml:space="preserve">14 919,60 тыс.руб., на 2023 год в сумме 15 515,40 тыс.руб. </w:t>
      </w:r>
    </w:p>
    <w:p>
      <w:pPr>
        <w:shd w:val="clear" w:color="auto" w:fill="FFFFFF" w:themeFill="background1"/>
        <w:suppressAutoHyphens/>
        <w:ind w:firstLine="708"/>
        <w:jc w:val="both"/>
        <w:rPr>
          <w:rFonts w:ascii="Times New Roman" w:hAnsi="Times New Roman"/>
          <w:sz w:val="24"/>
          <w:szCs w:val="24"/>
          <w:lang w:eastAsia="ar-SA"/>
        </w:rPr>
      </w:pPr>
    </w:p>
    <w:p>
      <w:pPr>
        <w:shd w:val="clear" w:color="auto" w:fill="FFFFFF" w:themeFill="background1"/>
        <w:ind w:firstLine="709"/>
        <w:jc w:val="both"/>
        <w:rPr>
          <w:sz w:val="24"/>
          <w:szCs w:val="24"/>
        </w:rPr>
      </w:pPr>
      <w:r>
        <w:rPr>
          <w:sz w:val="24"/>
          <w:szCs w:val="24"/>
        </w:rPr>
        <w:t>Таблица 11 - Поступление государственной пошлины</w:t>
      </w:r>
    </w:p>
    <w:tbl>
      <w:tblPr>
        <w:tblW w:w="9498" w:type="dxa"/>
        <w:tblInd w:w="108" w:type="dxa"/>
        <w:shd w:val="clear" w:color="auto" w:fill="FFFFFF" w:themeFill="background1"/>
        <w:tblLayout w:type="fixed"/>
        <w:tblLook w:val="0000" w:firstRow="0" w:lastRow="0" w:firstColumn="0" w:lastColumn="0" w:noHBand="0" w:noVBand="0"/>
      </w:tblPr>
      <w:tblGrid>
        <w:gridCol w:w="436"/>
        <w:gridCol w:w="3250"/>
        <w:gridCol w:w="1135"/>
        <w:gridCol w:w="993"/>
        <w:gridCol w:w="992"/>
        <w:gridCol w:w="707"/>
        <w:gridCol w:w="992"/>
        <w:gridCol w:w="993"/>
      </w:tblGrid>
      <w:tr>
        <w:trPr>
          <w:trHeight w:val="229"/>
        </w:trPr>
        <w:tc>
          <w:tcPr>
            <w:tcW w:w="436" w:type="dxa"/>
            <w:vMerge w:val="restart"/>
            <w:tcBorders>
              <w:top w:val="single" w:sz="4" w:space="0" w:color="000000"/>
              <w:left w:val="single" w:sz="4" w:space="0" w:color="000000"/>
            </w:tcBorders>
            <w:shd w:val="clear" w:color="auto" w:fill="FFFFFF" w:themeFill="background1"/>
            <w:vAlign w:val="center"/>
          </w:tcPr>
          <w:p>
            <w:pPr>
              <w:shd w:val="clear" w:color="auto" w:fill="FFFFFF" w:themeFill="background1"/>
              <w:snapToGrid w:val="0"/>
              <w:ind w:left="-108" w:right="-108"/>
              <w:jc w:val="center"/>
              <w:rPr>
                <w:bCs/>
                <w:iCs/>
              </w:rPr>
            </w:pPr>
            <w:r>
              <w:rPr>
                <w:bCs/>
                <w:iCs/>
              </w:rPr>
              <w:t>№</w:t>
            </w:r>
          </w:p>
        </w:tc>
        <w:tc>
          <w:tcPr>
            <w:tcW w:w="3250" w:type="dxa"/>
            <w:vMerge w:val="restart"/>
            <w:tcBorders>
              <w:top w:val="single" w:sz="4" w:space="0" w:color="000000"/>
              <w:left w:val="single" w:sz="4" w:space="0" w:color="000000"/>
              <w:right w:val="single" w:sz="4" w:space="0" w:color="auto"/>
            </w:tcBorders>
            <w:shd w:val="clear" w:color="auto" w:fill="FFFFFF" w:themeFill="background1"/>
            <w:vAlign w:val="center"/>
          </w:tcPr>
          <w:p>
            <w:pPr>
              <w:shd w:val="clear" w:color="auto" w:fill="FFFFFF" w:themeFill="background1"/>
              <w:snapToGrid w:val="0"/>
              <w:jc w:val="center"/>
              <w:rPr>
                <w:bCs/>
                <w:iCs/>
              </w:rPr>
            </w:pPr>
            <w:r>
              <w:rPr>
                <w:bCs/>
                <w:iCs/>
              </w:rPr>
              <w:t>Наименование показателей</w:t>
            </w:r>
          </w:p>
        </w:tc>
        <w:tc>
          <w:tcPr>
            <w:tcW w:w="21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pPr>
              <w:shd w:val="clear" w:color="auto" w:fill="FFFFFF" w:themeFill="background1"/>
              <w:ind w:left="-108" w:right="-108"/>
              <w:jc w:val="center"/>
              <w:rPr>
                <w:rFonts w:ascii="Times New Roman" w:hAnsi="Times New Roman"/>
              </w:rPr>
            </w:pPr>
            <w:r>
              <w:rPr>
                <w:rFonts w:ascii="Times New Roman" w:hAnsi="Times New Roman"/>
              </w:rPr>
              <w:t>2020 год</w:t>
            </w:r>
          </w:p>
        </w:tc>
        <w:tc>
          <w:tcPr>
            <w:tcW w:w="16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2021 год</w:t>
            </w:r>
          </w:p>
        </w:tc>
        <w:tc>
          <w:tcPr>
            <w:tcW w:w="992" w:type="dxa"/>
            <w:vMerge w:val="restar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Прогноз  2022 года, тыс.руб.</w:t>
            </w:r>
          </w:p>
        </w:tc>
        <w:tc>
          <w:tcPr>
            <w:tcW w:w="993" w:type="dxa"/>
            <w:vMerge w:val="restar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Прогноз 2023 года, тыс.руб.</w:t>
            </w:r>
          </w:p>
        </w:tc>
      </w:tr>
      <w:tr>
        <w:trPr>
          <w:trHeight w:val="280"/>
        </w:trPr>
        <w:tc>
          <w:tcPr>
            <w:tcW w:w="436" w:type="dxa"/>
            <w:vMerge/>
            <w:tcBorders>
              <w:left w:val="single" w:sz="4" w:space="0" w:color="000000"/>
              <w:bottom w:val="single" w:sz="4" w:space="0" w:color="000000"/>
            </w:tcBorders>
            <w:shd w:val="clear" w:color="auto" w:fill="FFFFFF" w:themeFill="background1"/>
            <w:vAlign w:val="center"/>
          </w:tcPr>
          <w:p>
            <w:pPr>
              <w:shd w:val="clear" w:color="auto" w:fill="FFFFFF" w:themeFill="background1"/>
              <w:snapToGrid w:val="0"/>
              <w:ind w:left="-108" w:right="-108"/>
              <w:jc w:val="center"/>
              <w:rPr>
                <w:bCs/>
                <w:iCs/>
              </w:rPr>
            </w:pPr>
          </w:p>
        </w:tc>
        <w:tc>
          <w:tcPr>
            <w:tcW w:w="3250" w:type="dxa"/>
            <w:vMerge/>
            <w:tcBorders>
              <w:left w:val="single" w:sz="4" w:space="0" w:color="000000"/>
              <w:bottom w:val="single" w:sz="4" w:space="0" w:color="000000"/>
              <w:right w:val="single" w:sz="4" w:space="0" w:color="auto"/>
            </w:tcBorders>
            <w:shd w:val="clear" w:color="auto" w:fill="FFFFFF" w:themeFill="background1"/>
            <w:vAlign w:val="center"/>
          </w:tcPr>
          <w:p>
            <w:pPr>
              <w:shd w:val="clear" w:color="auto" w:fill="FFFFFF" w:themeFill="background1"/>
              <w:snapToGrid w:val="0"/>
              <w:jc w:val="center"/>
              <w:rPr>
                <w:bCs/>
                <w:iCs/>
              </w:rPr>
            </w:pP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Pr>
          <w:p>
            <w:pPr>
              <w:shd w:val="clear" w:color="auto" w:fill="FFFFFF" w:themeFill="background1"/>
              <w:suppressAutoHyphens/>
              <w:snapToGrid w:val="0"/>
              <w:ind w:left="-57" w:right="-57"/>
              <w:jc w:val="center"/>
              <w:rPr>
                <w:rFonts w:ascii="Times New Roman" w:hAnsi="Times New Roman"/>
                <w:lang w:eastAsia="ar-SA"/>
              </w:rPr>
            </w:pPr>
            <w:r>
              <w:rPr>
                <w:rFonts w:ascii="Times New Roman" w:hAnsi="Times New Roman"/>
                <w:lang w:eastAsia="ar-SA"/>
              </w:rPr>
              <w:t>Первонач. утверждено</w:t>
            </w:r>
          </w:p>
          <w:p>
            <w:pPr>
              <w:shd w:val="clear" w:color="auto" w:fill="FFFFFF" w:themeFill="background1"/>
              <w:suppressAutoHyphens/>
              <w:snapToGrid w:val="0"/>
              <w:ind w:right="-108"/>
              <w:jc w:val="center"/>
              <w:rPr>
                <w:rFonts w:ascii="Times New Roman" w:hAnsi="Times New Roman"/>
                <w:lang w:eastAsia="ar-SA"/>
              </w:rPr>
            </w:pPr>
            <w:r>
              <w:rPr>
                <w:rFonts w:ascii="Times New Roman" w:hAnsi="Times New Roman"/>
                <w:lang w:eastAsia="ar-SA"/>
              </w:rPr>
              <w:t>тыс.руб.</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suppressAutoHyphens/>
              <w:snapToGrid w:val="0"/>
              <w:ind w:left="-57" w:right="-57"/>
              <w:jc w:val="center"/>
              <w:rPr>
                <w:rFonts w:ascii="Times New Roman" w:hAnsi="Times New Roman"/>
                <w:lang w:eastAsia="ar-SA"/>
              </w:rPr>
            </w:pPr>
            <w:r>
              <w:rPr>
                <w:rFonts w:ascii="Times New Roman" w:hAnsi="Times New Roman"/>
                <w:lang w:eastAsia="ar-SA"/>
              </w:rPr>
              <w:t>Оценка</w:t>
            </w:r>
          </w:p>
          <w:p>
            <w:pPr>
              <w:shd w:val="clear" w:color="auto" w:fill="FFFFFF" w:themeFill="background1"/>
              <w:suppressAutoHyphens/>
              <w:snapToGrid w:val="0"/>
              <w:ind w:right="-108"/>
              <w:jc w:val="center"/>
              <w:rPr>
                <w:rFonts w:ascii="Times New Roman" w:hAnsi="Times New Roman"/>
                <w:lang w:eastAsia="ar-SA"/>
              </w:rPr>
            </w:pPr>
            <w:r>
              <w:rPr>
                <w:rFonts w:ascii="Times New Roman" w:hAnsi="Times New Roman"/>
                <w:lang w:eastAsia="ar-SA"/>
              </w:rPr>
              <w:t>тыс.руб.</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 xml:space="preserve">Прогноз, тыс.руб. </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rPr>
                <w:rFonts w:ascii="Times New Roman" w:hAnsi="Times New Roman"/>
              </w:rPr>
            </w:pPr>
            <w:r>
              <w:rPr>
                <w:rFonts w:ascii="Times New Roman" w:hAnsi="Times New Roman"/>
              </w:rPr>
              <w:t>% к оценке 2020г.</w:t>
            </w:r>
          </w:p>
        </w:tc>
        <w:tc>
          <w:tcPr>
            <w:tcW w:w="992" w:type="dxa"/>
            <w:vMerge/>
            <w:tcBorders>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suppressAutoHyphens/>
              <w:snapToGrid w:val="0"/>
              <w:jc w:val="center"/>
              <w:rPr>
                <w:rFonts w:ascii="Times New Roman" w:hAnsi="Times New Roman"/>
                <w:lang w:eastAsia="ar-SA"/>
              </w:rPr>
            </w:pPr>
          </w:p>
        </w:tc>
        <w:tc>
          <w:tcPr>
            <w:tcW w:w="993" w:type="dxa"/>
            <w:vMerge/>
            <w:tcBorders>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suppressAutoHyphens/>
              <w:snapToGrid w:val="0"/>
              <w:jc w:val="center"/>
              <w:rPr>
                <w:rFonts w:ascii="Times New Roman" w:hAnsi="Times New Roman"/>
                <w:lang w:eastAsia="ar-SA"/>
              </w:rPr>
            </w:pPr>
          </w:p>
        </w:tc>
      </w:tr>
      <w:tr>
        <w:trPr>
          <w:trHeight w:val="1252"/>
        </w:trPr>
        <w:tc>
          <w:tcPr>
            <w:tcW w:w="436" w:type="dxa"/>
            <w:tcBorders>
              <w:top w:val="single" w:sz="4" w:space="0" w:color="000000"/>
              <w:left w:val="single" w:sz="4" w:space="0" w:color="000000"/>
              <w:bottom w:val="single" w:sz="4" w:space="0" w:color="000000"/>
            </w:tcBorders>
            <w:shd w:val="clear" w:color="auto" w:fill="FFFFFF" w:themeFill="background1"/>
            <w:vAlign w:val="center"/>
          </w:tcPr>
          <w:p>
            <w:pPr>
              <w:shd w:val="clear" w:color="auto" w:fill="FFFFFF" w:themeFill="background1"/>
              <w:snapToGrid w:val="0"/>
              <w:ind w:left="-108" w:right="-98"/>
              <w:jc w:val="center"/>
              <w:rPr>
                <w:bCs/>
                <w:iCs/>
              </w:rPr>
            </w:pPr>
            <w:r>
              <w:rPr>
                <w:bCs/>
                <w:iCs/>
              </w:rPr>
              <w:t>1</w:t>
            </w:r>
          </w:p>
        </w:tc>
        <w:tc>
          <w:tcPr>
            <w:tcW w:w="325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pPr>
              <w:shd w:val="clear" w:color="auto" w:fill="FFFFFF" w:themeFill="background1"/>
              <w:snapToGrid w:val="0"/>
              <w:ind w:right="-57"/>
              <w:rPr>
                <w:bCs/>
                <w:iCs/>
              </w:rPr>
            </w:pPr>
            <w:r>
              <w:rPr>
                <w:bCs/>
                <w:iCs/>
              </w:rPr>
              <w:t>Госпошлина по делам, рассматриваемым судами общей юрисдикции, мировыми судьями (за исключением Верховного Суда Российской Федерации)</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13 859,60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Mar>
              <w:left w:w="28" w:type="dxa"/>
              <w:right w:w="28" w:type="dxa"/>
            </w:tcMar>
            <w:vAlign w:val="center"/>
          </w:tcPr>
          <w:p>
            <w:pPr>
              <w:shd w:val="clear" w:color="auto" w:fill="FFFFFF" w:themeFill="background1"/>
              <w:jc w:val="right"/>
            </w:pPr>
            <w:r>
              <w:t>13 157,00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Mar>
              <w:left w:w="28" w:type="dxa"/>
              <w:right w:w="28" w:type="dxa"/>
            </w:tcMar>
            <w:vAlign w:val="center"/>
          </w:tcPr>
          <w:p>
            <w:pPr>
              <w:shd w:val="clear" w:color="auto" w:fill="FFFFFF" w:themeFill="background1"/>
              <w:jc w:val="right"/>
            </w:pPr>
            <w:r>
              <w:t>13 867,00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left w:w="28" w:type="dxa"/>
              <w:right w:w="28" w:type="dxa"/>
            </w:tcMar>
            <w:vAlign w:val="center"/>
          </w:tcPr>
          <w:p>
            <w:pPr>
              <w:shd w:val="clear" w:color="auto" w:fill="FFFFFF" w:themeFill="background1"/>
              <w:ind w:left="-108" w:right="-108"/>
              <w:jc w:val="center"/>
            </w:pPr>
            <w:r>
              <w:t>105,4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pPr>
              <w:shd w:val="clear" w:color="auto" w:fill="FFFFFF" w:themeFill="background1"/>
              <w:jc w:val="right"/>
            </w:pPr>
            <w:r>
              <w:t>14 776,00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Mar>
              <w:left w:w="28" w:type="dxa"/>
              <w:right w:w="28" w:type="dxa"/>
            </w:tcMar>
            <w:vAlign w:val="center"/>
          </w:tcPr>
          <w:p>
            <w:pPr>
              <w:shd w:val="clear" w:color="auto" w:fill="FFFFFF" w:themeFill="background1"/>
              <w:jc w:val="right"/>
            </w:pPr>
            <w:r>
              <w:t>15 367,00</w:t>
            </w:r>
          </w:p>
        </w:tc>
      </w:tr>
      <w:tr>
        <w:trPr>
          <w:trHeight w:val="688"/>
        </w:trPr>
        <w:tc>
          <w:tcPr>
            <w:tcW w:w="436" w:type="dxa"/>
            <w:tcBorders>
              <w:top w:val="single" w:sz="4" w:space="0" w:color="000000"/>
              <w:left w:val="single" w:sz="4" w:space="0" w:color="000000"/>
              <w:bottom w:val="single" w:sz="4" w:space="0" w:color="000000"/>
            </w:tcBorders>
            <w:shd w:val="clear" w:color="auto" w:fill="FFFFFF" w:themeFill="background1"/>
            <w:vAlign w:val="center"/>
          </w:tcPr>
          <w:p>
            <w:pPr>
              <w:shd w:val="clear" w:color="auto" w:fill="FFFFFF" w:themeFill="background1"/>
              <w:snapToGrid w:val="0"/>
              <w:ind w:left="-108" w:right="-98"/>
              <w:jc w:val="center"/>
              <w:rPr>
                <w:bCs/>
                <w:iCs/>
              </w:rPr>
            </w:pPr>
            <w:r>
              <w:rPr>
                <w:bCs/>
                <w:iCs/>
              </w:rPr>
              <w:t>2</w:t>
            </w:r>
          </w:p>
        </w:tc>
        <w:tc>
          <w:tcPr>
            <w:tcW w:w="325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pPr>
              <w:shd w:val="clear" w:color="auto" w:fill="FFFFFF" w:themeFill="background1"/>
              <w:ind w:right="-57"/>
            </w:pPr>
            <w:r>
              <w:t>Госпошлина за выдачу разрешения на установку рекламной конструкции</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30,00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55,00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30,00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pPr>
            <w:r>
              <w:t>54,5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30,00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pPr>
              <w:shd w:val="clear" w:color="auto" w:fill="FFFFFF" w:themeFill="background1"/>
              <w:jc w:val="right"/>
            </w:pPr>
            <w:r>
              <w:t>30,00</w:t>
            </w:r>
          </w:p>
        </w:tc>
      </w:tr>
      <w:tr>
        <w:trPr>
          <w:trHeight w:val="1691"/>
        </w:trPr>
        <w:tc>
          <w:tcPr>
            <w:tcW w:w="436" w:type="dxa"/>
            <w:tcBorders>
              <w:top w:val="single" w:sz="4" w:space="0" w:color="000000"/>
              <w:left w:val="single" w:sz="4" w:space="0" w:color="000000"/>
              <w:bottom w:val="single" w:sz="4" w:space="0" w:color="000000"/>
            </w:tcBorders>
            <w:shd w:val="clear" w:color="auto" w:fill="FFFFFF" w:themeFill="background1"/>
            <w:vAlign w:val="center"/>
          </w:tcPr>
          <w:p>
            <w:pPr>
              <w:shd w:val="clear" w:color="auto" w:fill="FFFFFF" w:themeFill="background1"/>
              <w:snapToGrid w:val="0"/>
              <w:ind w:left="-108" w:right="-98"/>
              <w:jc w:val="center"/>
              <w:rPr>
                <w:bCs/>
                <w:iCs/>
              </w:rPr>
            </w:pPr>
            <w:r>
              <w:rPr>
                <w:bCs/>
                <w:iCs/>
              </w:rPr>
              <w:t>3</w:t>
            </w:r>
          </w:p>
        </w:tc>
        <w:tc>
          <w:tcPr>
            <w:tcW w:w="325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pPr>
              <w:shd w:val="clear" w:color="auto" w:fill="FFFFFF" w:themeFill="background1"/>
              <w:ind w:right="-57"/>
            </w:pPr>
            <w:r>
              <w:t>Госпошлина за выдачу ОМСУ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107,20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107,20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110,40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ind w:left="-108" w:right="-108"/>
              <w:jc w:val="center"/>
            </w:pPr>
            <w:r>
              <w:t>103,0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113,60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pPr>
              <w:shd w:val="clear" w:color="auto" w:fill="FFFFFF" w:themeFill="background1"/>
              <w:jc w:val="right"/>
            </w:pPr>
            <w:r>
              <w:t>118,40</w:t>
            </w:r>
          </w:p>
        </w:tc>
      </w:tr>
      <w:tr>
        <w:trPr>
          <w:trHeight w:val="553"/>
        </w:trPr>
        <w:tc>
          <w:tcPr>
            <w:tcW w:w="436" w:type="dxa"/>
            <w:tcBorders>
              <w:top w:val="single" w:sz="4" w:space="0" w:color="000000"/>
              <w:left w:val="single" w:sz="4" w:space="0" w:color="000000"/>
              <w:bottom w:val="single" w:sz="4" w:space="0" w:color="000000"/>
            </w:tcBorders>
            <w:shd w:val="clear" w:color="auto" w:fill="FFFFFF" w:themeFill="background1"/>
            <w:vAlign w:val="center"/>
          </w:tcPr>
          <w:p>
            <w:pPr>
              <w:shd w:val="clear" w:color="auto" w:fill="FFFFFF" w:themeFill="background1"/>
              <w:snapToGrid w:val="0"/>
              <w:ind w:left="-108" w:right="-98"/>
              <w:jc w:val="center"/>
              <w:rPr>
                <w:bCs/>
                <w:iCs/>
              </w:rPr>
            </w:pPr>
            <w:r>
              <w:rPr>
                <w:bCs/>
                <w:iCs/>
              </w:rPr>
              <w:t>4</w:t>
            </w:r>
          </w:p>
        </w:tc>
        <w:tc>
          <w:tcPr>
            <w:tcW w:w="325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pPr>
              <w:shd w:val="clear" w:color="auto" w:fill="FFFFFF" w:themeFill="background1"/>
              <w:suppressAutoHyphens/>
              <w:snapToGrid w:val="0"/>
              <w:ind w:right="-57"/>
              <w:rPr>
                <w:rFonts w:ascii="Times New Roman" w:hAnsi="Times New Roman"/>
                <w:lang w:eastAsia="ar-SA"/>
              </w:rPr>
            </w:pPr>
            <w:r>
              <w:rPr>
                <w:rFonts w:ascii="Times New Roman" w:hAnsi="Times New Roman"/>
                <w:lang w:eastAsia="ar-SA"/>
              </w:rPr>
              <w:t>Сумма к поступлению в бюджет ЗАТО Северск</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pPr>
              <w:shd w:val="clear" w:color="auto" w:fill="FFFFFF" w:themeFill="background1"/>
              <w:jc w:val="right"/>
              <w:rPr>
                <w:bCs/>
              </w:rPr>
            </w:pPr>
            <w:r>
              <w:rPr>
                <w:bCs/>
              </w:rPr>
              <w:t>13 996,80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Mar>
              <w:left w:w="28" w:type="dxa"/>
              <w:right w:w="28" w:type="dxa"/>
            </w:tcMar>
            <w:vAlign w:val="center"/>
          </w:tcPr>
          <w:p>
            <w:pPr>
              <w:shd w:val="clear" w:color="auto" w:fill="FFFFFF" w:themeFill="background1"/>
              <w:jc w:val="right"/>
              <w:rPr>
                <w:bCs/>
              </w:rPr>
            </w:pPr>
            <w:r>
              <w:rPr>
                <w:bCs/>
              </w:rPr>
              <w:t>13 319,20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pPr>
              <w:shd w:val="clear" w:color="auto" w:fill="FFFFFF" w:themeFill="background1"/>
              <w:jc w:val="right"/>
              <w:rPr>
                <w:bCs/>
              </w:rPr>
            </w:pPr>
            <w:r>
              <w:rPr>
                <w:bCs/>
              </w:rPr>
              <w:t>14 007,40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pPr>
              <w:shd w:val="clear" w:color="auto" w:fill="FFFFFF" w:themeFill="background1"/>
              <w:ind w:left="-108" w:right="-108"/>
              <w:jc w:val="center"/>
              <w:rPr>
                <w:bCs/>
              </w:rPr>
            </w:pPr>
            <w:r>
              <w:rPr>
                <w:bCs/>
              </w:rPr>
              <w:t>105,2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pPr>
              <w:shd w:val="clear" w:color="auto" w:fill="FFFFFF" w:themeFill="background1"/>
              <w:jc w:val="right"/>
              <w:rPr>
                <w:bCs/>
              </w:rPr>
            </w:pPr>
            <w:r>
              <w:rPr>
                <w:bCs/>
              </w:rPr>
              <w:t>14 919,60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pPr>
              <w:shd w:val="clear" w:color="auto" w:fill="FFFFFF" w:themeFill="background1"/>
              <w:jc w:val="right"/>
              <w:rPr>
                <w:bCs/>
              </w:rPr>
            </w:pPr>
            <w:r>
              <w:rPr>
                <w:bCs/>
              </w:rPr>
              <w:t>15 515,40</w:t>
            </w:r>
          </w:p>
        </w:tc>
      </w:tr>
    </w:tbl>
    <w:p>
      <w:pPr>
        <w:shd w:val="clear" w:color="auto" w:fill="FFFFFF" w:themeFill="background1"/>
        <w:suppressAutoHyphens/>
        <w:ind w:firstLine="708"/>
        <w:jc w:val="both"/>
        <w:rPr>
          <w:rFonts w:ascii="Times New Roman" w:hAnsi="Times New Roman"/>
          <w:sz w:val="24"/>
          <w:lang w:eastAsia="ar-SA"/>
        </w:rPr>
      </w:pPr>
    </w:p>
    <w:p>
      <w:pPr>
        <w:shd w:val="clear" w:color="auto" w:fill="FFFFFF" w:themeFill="background1"/>
        <w:ind w:right="43" w:firstLine="709"/>
        <w:jc w:val="both"/>
        <w:rPr>
          <w:rFonts w:ascii="Times New Roman" w:hAnsi="Times New Roman"/>
          <w:sz w:val="24"/>
        </w:rPr>
      </w:pPr>
      <w:r>
        <w:rPr>
          <w:rFonts w:ascii="Times New Roman" w:hAnsi="Times New Roman"/>
          <w:sz w:val="24"/>
        </w:rPr>
        <w:t xml:space="preserve">Доля поступлений государственной пошлины в 2021 году в структуре налоговых и неналоговых доходов составит 1,3%, в общей сумме доходов бюджета ЗАТО Северск – 0,3%. </w:t>
      </w:r>
    </w:p>
    <w:p>
      <w:pPr>
        <w:shd w:val="clear" w:color="auto" w:fill="FFFFFF" w:themeFill="background1"/>
        <w:ind w:right="43" w:firstLine="709"/>
        <w:jc w:val="both"/>
        <w:rPr>
          <w:rFonts w:ascii="Times New Roman" w:hAnsi="Times New Roman"/>
          <w:sz w:val="24"/>
        </w:rPr>
      </w:pPr>
      <w:r>
        <w:rPr>
          <w:rFonts w:ascii="Times New Roman" w:hAnsi="Times New Roman"/>
          <w:sz w:val="24"/>
        </w:rPr>
        <w:t>В 2022 и 2023 годах доля в структуре налоговых и неналоговых доходов составит по 1,3% и 1,4% соответственно, в общей сумме доходов - по 0,4%.</w:t>
      </w:r>
    </w:p>
    <w:p>
      <w:pPr>
        <w:shd w:val="clear" w:color="auto" w:fill="FFFFFF" w:themeFill="background1"/>
        <w:ind w:right="43" w:firstLine="709"/>
        <w:jc w:val="both"/>
        <w:rPr>
          <w:rFonts w:ascii="Times New Roman" w:hAnsi="Times New Roman"/>
          <w:sz w:val="24"/>
        </w:rPr>
      </w:pPr>
    </w:p>
    <w:p>
      <w:pPr>
        <w:suppressAutoHyphens/>
        <w:spacing w:before="120" w:after="120"/>
        <w:jc w:val="center"/>
        <w:rPr>
          <w:rFonts w:ascii="Times New Roman" w:hAnsi="Times New Roman"/>
          <w:b/>
          <w:bCs/>
          <w:iCs/>
          <w:sz w:val="24"/>
          <w:szCs w:val="24"/>
          <w:lang w:eastAsia="ar-SA"/>
        </w:rPr>
      </w:pPr>
      <w:r>
        <w:rPr>
          <w:rFonts w:ascii="Times New Roman" w:hAnsi="Times New Roman"/>
          <w:b/>
          <w:bCs/>
          <w:iCs/>
          <w:sz w:val="24"/>
          <w:szCs w:val="24"/>
          <w:lang w:eastAsia="ar-SA"/>
        </w:rPr>
        <w:t>1.4. НЕНАЛОГОВЫЕ ДОХОДЫ</w:t>
      </w:r>
    </w:p>
    <w:p>
      <w:pPr>
        <w:suppressAutoHyphens/>
        <w:ind w:firstLine="720"/>
        <w:jc w:val="both"/>
        <w:rPr>
          <w:rFonts w:ascii="Times New Roman" w:hAnsi="Times New Roman"/>
          <w:sz w:val="24"/>
          <w:lang w:eastAsia="ar-SA"/>
        </w:rPr>
      </w:pPr>
      <w:r>
        <w:rPr>
          <w:rFonts w:ascii="Times New Roman" w:hAnsi="Times New Roman"/>
          <w:sz w:val="24"/>
          <w:szCs w:val="24"/>
          <w:lang w:eastAsia="ar-SA"/>
        </w:rPr>
        <w:t xml:space="preserve">Прогноз поступления неналоговых </w:t>
      </w:r>
      <w:r>
        <w:rPr>
          <w:rFonts w:ascii="Times New Roman" w:hAnsi="Times New Roman"/>
          <w:sz w:val="24"/>
          <w:lang w:eastAsia="ar-SA"/>
        </w:rPr>
        <w:t>доходов составляет:</w:t>
      </w:r>
    </w:p>
    <w:p>
      <w:pPr>
        <w:numPr>
          <w:ilvl w:val="0"/>
          <w:numId w:val="42"/>
        </w:numPr>
        <w:tabs>
          <w:tab w:val="left" w:pos="993"/>
        </w:tabs>
        <w:suppressAutoHyphens/>
        <w:ind w:left="0" w:firstLine="709"/>
        <w:contextualSpacing/>
        <w:jc w:val="both"/>
        <w:rPr>
          <w:rFonts w:ascii="Times New Roman" w:hAnsi="Times New Roman"/>
          <w:sz w:val="24"/>
          <w:lang w:eastAsia="ar-SA"/>
        </w:rPr>
      </w:pPr>
      <w:r>
        <w:rPr>
          <w:rFonts w:ascii="Times New Roman" w:hAnsi="Times New Roman"/>
          <w:sz w:val="24"/>
          <w:lang w:eastAsia="ar-SA"/>
        </w:rPr>
        <w:t xml:space="preserve">на 2021 год в сумме 111 865,94 тыс.руб., что на 6 098,58 тыс.руб. меньше оценки 2020 года или на 5,2% (к первоначально утвержденному прогнозу снижение на 35 735,12 тыс.руб. или на 24,2%); </w:t>
      </w:r>
    </w:p>
    <w:p>
      <w:pPr>
        <w:numPr>
          <w:ilvl w:val="0"/>
          <w:numId w:val="42"/>
        </w:numPr>
        <w:tabs>
          <w:tab w:val="left" w:pos="993"/>
        </w:tabs>
        <w:suppressAutoHyphens/>
        <w:ind w:left="0" w:firstLine="709"/>
        <w:contextualSpacing/>
        <w:jc w:val="both"/>
        <w:rPr>
          <w:rFonts w:ascii="Times New Roman" w:hAnsi="Times New Roman"/>
          <w:sz w:val="24"/>
          <w:lang w:eastAsia="ar-SA"/>
        </w:rPr>
      </w:pPr>
      <w:r>
        <w:rPr>
          <w:rFonts w:ascii="Times New Roman" w:hAnsi="Times New Roman"/>
          <w:sz w:val="24"/>
          <w:lang w:eastAsia="ar-SA"/>
        </w:rPr>
        <w:t>на 2022 год в сумме 112 975,77 тыс.руб., что на 1 109,83 тыс.руб. или на 1,0% больше прогноза 2021 года;</w:t>
      </w:r>
    </w:p>
    <w:p>
      <w:pPr>
        <w:numPr>
          <w:ilvl w:val="0"/>
          <w:numId w:val="42"/>
        </w:numPr>
        <w:tabs>
          <w:tab w:val="left" w:pos="993"/>
        </w:tabs>
        <w:suppressAutoHyphens/>
        <w:ind w:left="0" w:firstLine="709"/>
        <w:contextualSpacing/>
        <w:jc w:val="both"/>
        <w:rPr>
          <w:rFonts w:ascii="Times New Roman" w:hAnsi="Times New Roman"/>
          <w:sz w:val="24"/>
          <w:lang w:eastAsia="ar-SA"/>
        </w:rPr>
      </w:pPr>
      <w:r>
        <w:rPr>
          <w:rFonts w:ascii="Times New Roman" w:hAnsi="Times New Roman"/>
          <w:sz w:val="24"/>
          <w:lang w:eastAsia="ar-SA"/>
        </w:rPr>
        <w:t>на 2023 год в сумме 97 985,50 тыс.руб., что на 14 990,27 тыс.руб. или на 13,3% меньше прогноза 2022 года.</w:t>
      </w:r>
    </w:p>
    <w:p>
      <w:pPr>
        <w:suppressAutoHyphens/>
        <w:ind w:firstLine="709"/>
        <w:jc w:val="both"/>
        <w:rPr>
          <w:rFonts w:ascii="Times New Roman" w:hAnsi="Times New Roman"/>
          <w:sz w:val="24"/>
          <w:lang w:eastAsia="ar-SA"/>
        </w:rPr>
      </w:pPr>
      <w:r>
        <w:rPr>
          <w:rFonts w:ascii="Times New Roman" w:hAnsi="Times New Roman"/>
          <w:sz w:val="24"/>
          <w:lang w:eastAsia="ar-SA"/>
        </w:rPr>
        <w:t xml:space="preserve">Доля неналоговых поступлений в 2021 году составит 10,1% в структуре налоговых </w:t>
      </w:r>
      <w:r>
        <w:rPr>
          <w:rFonts w:ascii="Times New Roman" w:hAnsi="Times New Roman"/>
          <w:sz w:val="24"/>
          <w:lang w:eastAsia="ar-SA"/>
        </w:rPr>
        <w:br/>
        <w:t xml:space="preserve">и неналоговых доходов, в общей сумме доходов бюджета ЗАТО Северск – 2,8%. </w:t>
      </w:r>
    </w:p>
    <w:p>
      <w:pPr>
        <w:suppressAutoHyphens/>
        <w:ind w:firstLine="720"/>
        <w:jc w:val="both"/>
        <w:rPr>
          <w:rFonts w:ascii="Times New Roman" w:hAnsi="Times New Roman"/>
          <w:sz w:val="24"/>
          <w:lang w:eastAsia="ar-SA"/>
        </w:rPr>
      </w:pPr>
      <w:r>
        <w:rPr>
          <w:rFonts w:ascii="Times New Roman" w:hAnsi="Times New Roman"/>
          <w:sz w:val="24"/>
          <w:lang w:eastAsia="ar-SA"/>
        </w:rPr>
        <w:t xml:space="preserve">В 2022 и 2023 годах доля неналоговых поступлений в структуре налоговых </w:t>
      </w:r>
      <w:r>
        <w:rPr>
          <w:rFonts w:ascii="Times New Roman" w:hAnsi="Times New Roman"/>
          <w:sz w:val="24"/>
          <w:lang w:eastAsia="ar-SA"/>
        </w:rPr>
        <w:br/>
        <w:t xml:space="preserve">и неналоговых доходов составит 10,1% и 8,8% соответственно, в общей сумме доходов </w:t>
      </w:r>
      <w:r>
        <w:rPr>
          <w:rFonts w:ascii="Times New Roman" w:hAnsi="Times New Roman"/>
          <w:sz w:val="24"/>
          <w:lang w:eastAsia="ar-SA"/>
        </w:rPr>
        <w:br/>
        <w:t>- 3,1% и 2,8% соответственно.</w:t>
      </w:r>
    </w:p>
    <w:p>
      <w:pPr>
        <w:suppressAutoHyphens/>
        <w:ind w:firstLine="720"/>
        <w:jc w:val="both"/>
        <w:rPr>
          <w:rFonts w:ascii="Times New Roman" w:hAnsi="Times New Roman"/>
          <w:bCs/>
          <w:iCs/>
          <w:sz w:val="24"/>
          <w:lang w:eastAsia="ar-SA"/>
        </w:rPr>
      </w:pPr>
      <w:r>
        <w:rPr>
          <w:rFonts w:ascii="Times New Roman" w:hAnsi="Times New Roman"/>
          <w:sz w:val="24"/>
          <w:lang w:eastAsia="ar-SA"/>
        </w:rPr>
        <w:t>Расчет указанных поступлений</w:t>
      </w:r>
      <w:r>
        <w:rPr>
          <w:rFonts w:ascii="Times New Roman" w:hAnsi="Times New Roman"/>
          <w:bCs/>
          <w:iCs/>
          <w:sz w:val="24"/>
          <w:lang w:eastAsia="ar-SA"/>
        </w:rPr>
        <w:t xml:space="preserve"> выполнен на основе данных главных администраторов доходов.</w:t>
      </w:r>
    </w:p>
    <w:p>
      <w:pPr>
        <w:spacing w:before="120" w:after="120"/>
        <w:ind w:firstLine="709"/>
        <w:jc w:val="both"/>
        <w:rPr>
          <w:rFonts w:ascii="Times New Roman" w:hAnsi="Times New Roman"/>
          <w:sz w:val="24"/>
          <w:szCs w:val="24"/>
        </w:rPr>
      </w:pPr>
      <w:r>
        <w:rPr>
          <w:rFonts w:ascii="Times New Roman" w:hAnsi="Times New Roman"/>
          <w:sz w:val="24"/>
          <w:szCs w:val="24"/>
        </w:rPr>
        <w:t xml:space="preserve">Таблица 12 - Неналоговые доходы бюджета ЗАТО Северск </w:t>
      </w:r>
    </w:p>
    <w:tbl>
      <w:tblPr>
        <w:tblW w:w="9498" w:type="dxa"/>
        <w:tblInd w:w="108" w:type="dxa"/>
        <w:tblLayout w:type="fixed"/>
        <w:tblLook w:val="0000" w:firstRow="0" w:lastRow="0" w:firstColumn="0" w:lastColumn="0" w:noHBand="0" w:noVBand="0"/>
      </w:tblPr>
      <w:tblGrid>
        <w:gridCol w:w="2977"/>
        <w:gridCol w:w="1274"/>
        <w:gridCol w:w="1136"/>
        <w:gridCol w:w="1134"/>
        <w:gridCol w:w="709"/>
        <w:gridCol w:w="1134"/>
        <w:gridCol w:w="1134"/>
      </w:tblGrid>
      <w:tr>
        <w:trPr>
          <w:trHeight w:val="284"/>
        </w:trPr>
        <w:tc>
          <w:tcPr>
            <w:tcW w:w="2977" w:type="dxa"/>
            <w:vMerge w:val="restart"/>
            <w:tcBorders>
              <w:top w:val="single" w:sz="4" w:space="0" w:color="auto"/>
              <w:left w:val="single" w:sz="4" w:space="0" w:color="auto"/>
              <w:right w:val="single" w:sz="4" w:space="0" w:color="auto"/>
            </w:tcBorders>
            <w:shd w:val="clear" w:color="auto" w:fill="auto"/>
            <w:noWrap/>
            <w:vAlign w:val="center"/>
          </w:tcPr>
          <w:p>
            <w:pPr>
              <w:jc w:val="center"/>
              <w:rPr>
                <w:rFonts w:ascii="Times New Roman" w:hAnsi="Times New Roman"/>
                <w:sz w:val="22"/>
                <w:szCs w:val="22"/>
              </w:rPr>
            </w:pPr>
            <w:r>
              <w:rPr>
                <w:rFonts w:ascii="Times New Roman" w:hAnsi="Times New Roman"/>
              </w:rPr>
              <w:t>Наименование</w:t>
            </w:r>
          </w:p>
        </w:tc>
        <w:tc>
          <w:tcPr>
            <w:tcW w:w="2410" w:type="dxa"/>
            <w:gridSpan w:val="2"/>
            <w:tcBorders>
              <w:top w:val="single" w:sz="4" w:space="0" w:color="auto"/>
              <w:left w:val="nil"/>
              <w:bottom w:val="single" w:sz="4" w:space="0" w:color="auto"/>
              <w:right w:val="single" w:sz="4" w:space="0" w:color="auto"/>
            </w:tcBorders>
            <w:vAlign w:val="center"/>
          </w:tcPr>
          <w:p>
            <w:pPr>
              <w:jc w:val="center"/>
              <w:rPr>
                <w:rFonts w:ascii="Times New Roman" w:hAnsi="Times New Roman"/>
              </w:rPr>
            </w:pPr>
            <w:r>
              <w:rPr>
                <w:rFonts w:ascii="Times New Roman" w:hAnsi="Times New Roman"/>
              </w:rPr>
              <w:t>2020 год, тыс.руб.</w:t>
            </w:r>
          </w:p>
        </w:tc>
        <w:tc>
          <w:tcPr>
            <w:tcW w:w="1843" w:type="dxa"/>
            <w:gridSpan w:val="2"/>
            <w:tcBorders>
              <w:top w:val="single" w:sz="4" w:space="0" w:color="auto"/>
              <w:left w:val="nil"/>
              <w:bottom w:val="nil"/>
              <w:right w:val="single" w:sz="4" w:space="0" w:color="auto"/>
            </w:tcBorders>
            <w:shd w:val="clear" w:color="auto" w:fill="FFFFFF"/>
            <w:vAlign w:val="center"/>
          </w:tcPr>
          <w:p>
            <w:pPr>
              <w:jc w:val="center"/>
              <w:rPr>
                <w:rFonts w:ascii="Times New Roman" w:hAnsi="Times New Roman"/>
              </w:rPr>
            </w:pPr>
            <w:r>
              <w:rPr>
                <w:rFonts w:ascii="Times New Roman" w:hAnsi="Times New Roman"/>
              </w:rPr>
              <w:t>2021 год</w:t>
            </w:r>
          </w:p>
        </w:tc>
        <w:tc>
          <w:tcPr>
            <w:tcW w:w="1134" w:type="dxa"/>
            <w:vMerge w:val="restart"/>
            <w:tcBorders>
              <w:top w:val="single" w:sz="4" w:space="0" w:color="auto"/>
              <w:left w:val="single" w:sz="4" w:space="0" w:color="auto"/>
              <w:right w:val="single" w:sz="4" w:space="0" w:color="auto"/>
            </w:tcBorders>
            <w:shd w:val="clear" w:color="auto" w:fill="FFFFFF"/>
            <w:vAlign w:val="center"/>
          </w:tcPr>
          <w:p>
            <w:pPr>
              <w:ind w:left="-108" w:right="-108"/>
              <w:jc w:val="center"/>
              <w:rPr>
                <w:rFonts w:ascii="Times New Roman" w:hAnsi="Times New Roman"/>
              </w:rPr>
            </w:pPr>
            <w:r>
              <w:rPr>
                <w:rFonts w:ascii="Times New Roman" w:hAnsi="Times New Roman"/>
              </w:rPr>
              <w:t>Прогноз 2022 года, тыс.руб.</w:t>
            </w:r>
          </w:p>
        </w:tc>
        <w:tc>
          <w:tcPr>
            <w:tcW w:w="1134" w:type="dxa"/>
            <w:vMerge w:val="restart"/>
            <w:tcBorders>
              <w:top w:val="single" w:sz="4" w:space="0" w:color="auto"/>
              <w:left w:val="nil"/>
              <w:right w:val="single" w:sz="4" w:space="0" w:color="auto"/>
            </w:tcBorders>
            <w:shd w:val="clear" w:color="auto" w:fill="FFFFFF"/>
            <w:vAlign w:val="center"/>
          </w:tcPr>
          <w:p>
            <w:pPr>
              <w:ind w:left="-108" w:right="-108"/>
              <w:jc w:val="center"/>
              <w:rPr>
                <w:rFonts w:ascii="Times New Roman" w:hAnsi="Times New Roman"/>
              </w:rPr>
            </w:pPr>
            <w:r>
              <w:rPr>
                <w:rFonts w:ascii="Times New Roman" w:hAnsi="Times New Roman"/>
              </w:rPr>
              <w:t>Прогноз 2023 года, тыс.руб.</w:t>
            </w:r>
          </w:p>
        </w:tc>
      </w:tr>
      <w:tr>
        <w:trPr>
          <w:trHeight w:val="284"/>
        </w:trPr>
        <w:tc>
          <w:tcPr>
            <w:tcW w:w="2977" w:type="dxa"/>
            <w:vMerge/>
            <w:tcBorders>
              <w:left w:val="single" w:sz="4" w:space="0" w:color="auto"/>
              <w:bottom w:val="single" w:sz="4" w:space="0" w:color="auto"/>
              <w:right w:val="single" w:sz="4" w:space="0" w:color="auto"/>
            </w:tcBorders>
            <w:shd w:val="clear" w:color="auto" w:fill="auto"/>
            <w:noWrap/>
            <w:vAlign w:val="center"/>
          </w:tcPr>
          <w:p>
            <w:pPr>
              <w:jc w:val="center"/>
              <w:rPr>
                <w:rFonts w:ascii="Times New Roman" w:hAnsi="Times New Roman"/>
                <w:sz w:val="22"/>
                <w:szCs w:val="22"/>
                <w:highlight w:val="yellow"/>
              </w:rPr>
            </w:pPr>
          </w:p>
        </w:tc>
        <w:tc>
          <w:tcPr>
            <w:tcW w:w="1274" w:type="dxa"/>
            <w:tcBorders>
              <w:top w:val="single" w:sz="4" w:space="0" w:color="auto"/>
              <w:left w:val="nil"/>
              <w:bottom w:val="single" w:sz="4" w:space="0" w:color="auto"/>
              <w:right w:val="single" w:sz="4" w:space="0" w:color="auto"/>
            </w:tcBorders>
            <w:vAlign w:val="center"/>
          </w:tcPr>
          <w:p>
            <w:pPr>
              <w:ind w:left="-108" w:right="-108"/>
              <w:jc w:val="center"/>
              <w:rPr>
                <w:rFonts w:ascii="Times New Roman" w:hAnsi="Times New Roman"/>
                <w:bCs/>
                <w:sz w:val="22"/>
                <w:szCs w:val="22"/>
                <w:highlight w:val="yellow"/>
              </w:rPr>
            </w:pPr>
            <w:r>
              <w:rPr>
                <w:rFonts w:ascii="Times New Roman" w:hAnsi="Times New Roman"/>
              </w:rPr>
              <w:t>Первонач. утверждено</w:t>
            </w:r>
          </w:p>
        </w:tc>
        <w:tc>
          <w:tcPr>
            <w:tcW w:w="1136" w:type="dxa"/>
            <w:tcBorders>
              <w:top w:val="single" w:sz="4" w:space="0" w:color="auto"/>
              <w:left w:val="single" w:sz="4" w:space="0" w:color="auto"/>
              <w:bottom w:val="single" w:sz="4" w:space="0" w:color="auto"/>
              <w:right w:val="single" w:sz="4" w:space="0" w:color="auto"/>
            </w:tcBorders>
            <w:vAlign w:val="center"/>
          </w:tcPr>
          <w:p>
            <w:pPr>
              <w:ind w:left="-108" w:right="-108"/>
              <w:jc w:val="center"/>
              <w:rPr>
                <w:rFonts w:ascii="Times New Roman" w:hAnsi="Times New Roman"/>
                <w:bCs/>
                <w:sz w:val="22"/>
                <w:szCs w:val="22"/>
                <w:highlight w:val="yellow"/>
              </w:rPr>
            </w:pPr>
            <w:r>
              <w:rPr>
                <w:rFonts w:ascii="Times New Roman" w:hAnsi="Times New Roman"/>
              </w:rPr>
              <w:t>Оценка</w:t>
            </w:r>
          </w:p>
        </w:tc>
        <w:tc>
          <w:tcPr>
            <w:tcW w:w="1134" w:type="dxa"/>
            <w:tcBorders>
              <w:top w:val="single" w:sz="4" w:space="0" w:color="auto"/>
              <w:left w:val="nil"/>
              <w:bottom w:val="nil"/>
              <w:right w:val="single" w:sz="4" w:space="0" w:color="auto"/>
            </w:tcBorders>
            <w:shd w:val="clear" w:color="auto" w:fill="FFFFFF"/>
            <w:vAlign w:val="center"/>
          </w:tcPr>
          <w:p>
            <w:pPr>
              <w:ind w:left="-108" w:right="-108"/>
              <w:jc w:val="center"/>
              <w:rPr>
                <w:rFonts w:ascii="Times New Roman" w:hAnsi="Times New Roman"/>
              </w:rPr>
            </w:pPr>
            <w:r>
              <w:rPr>
                <w:rFonts w:ascii="Times New Roman" w:hAnsi="Times New Roman"/>
              </w:rPr>
              <w:t>Прогноз, тыс.руб.</w:t>
            </w:r>
          </w:p>
        </w:tc>
        <w:tc>
          <w:tcPr>
            <w:tcW w:w="709" w:type="dxa"/>
            <w:tcBorders>
              <w:top w:val="single" w:sz="4" w:space="0" w:color="auto"/>
              <w:left w:val="nil"/>
              <w:bottom w:val="single" w:sz="4" w:space="0" w:color="auto"/>
              <w:right w:val="single" w:sz="4" w:space="0" w:color="auto"/>
            </w:tcBorders>
            <w:shd w:val="clear" w:color="auto" w:fill="FFFFFF"/>
            <w:vAlign w:val="center"/>
          </w:tcPr>
          <w:p>
            <w:pPr>
              <w:ind w:left="-108" w:right="-108"/>
              <w:jc w:val="center"/>
              <w:rPr>
                <w:rFonts w:ascii="Times New Roman" w:hAnsi="Times New Roman"/>
              </w:rPr>
            </w:pPr>
            <w:r>
              <w:rPr>
                <w:rFonts w:ascii="Times New Roman" w:hAnsi="Times New Roman"/>
              </w:rPr>
              <w:t>% к оценке 2020г.</w:t>
            </w:r>
          </w:p>
        </w:tc>
        <w:tc>
          <w:tcPr>
            <w:tcW w:w="1134" w:type="dxa"/>
            <w:vMerge/>
            <w:tcBorders>
              <w:left w:val="single" w:sz="4" w:space="0" w:color="auto"/>
              <w:bottom w:val="nil"/>
              <w:right w:val="single" w:sz="4" w:space="0" w:color="auto"/>
            </w:tcBorders>
            <w:shd w:val="clear" w:color="auto" w:fill="FFFFFF"/>
            <w:vAlign w:val="center"/>
          </w:tcPr>
          <w:p>
            <w:pPr>
              <w:jc w:val="center"/>
              <w:rPr>
                <w:rFonts w:ascii="Times New Roman" w:hAnsi="Times New Roman"/>
                <w:bCs/>
                <w:sz w:val="22"/>
                <w:szCs w:val="22"/>
                <w:highlight w:val="yellow"/>
              </w:rPr>
            </w:pPr>
          </w:p>
        </w:tc>
        <w:tc>
          <w:tcPr>
            <w:tcW w:w="1134" w:type="dxa"/>
            <w:vMerge/>
            <w:tcBorders>
              <w:left w:val="nil"/>
              <w:bottom w:val="nil"/>
              <w:right w:val="single" w:sz="4" w:space="0" w:color="auto"/>
            </w:tcBorders>
            <w:shd w:val="clear" w:color="auto" w:fill="FFFFFF"/>
            <w:vAlign w:val="center"/>
          </w:tcPr>
          <w:p>
            <w:pPr>
              <w:jc w:val="center"/>
              <w:rPr>
                <w:rFonts w:ascii="Times New Roman" w:hAnsi="Times New Roman"/>
                <w:bCs/>
                <w:sz w:val="22"/>
                <w:szCs w:val="22"/>
                <w:highlight w:val="yellow"/>
              </w:rPr>
            </w:pPr>
          </w:p>
        </w:tc>
      </w:tr>
      <w:tr>
        <w:trPr>
          <w:trHeight w:val="269"/>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b/>
                <w:bCs/>
                <w:highlight w:val="yellow"/>
              </w:rPr>
            </w:pPr>
            <w:r>
              <w:rPr>
                <w:rFonts w:ascii="Times New Roman" w:hAnsi="Times New Roman"/>
                <w:b/>
                <w:bCs/>
              </w:rPr>
              <w:t>НЕНАЛОГОВЫЕ ДОХОДЫ, из них:</w:t>
            </w:r>
          </w:p>
        </w:tc>
        <w:tc>
          <w:tcPr>
            <w:tcW w:w="1274" w:type="dxa"/>
            <w:tcBorders>
              <w:top w:val="single" w:sz="4" w:space="0" w:color="auto"/>
              <w:left w:val="nil"/>
              <w:bottom w:val="single" w:sz="4" w:space="0" w:color="auto"/>
              <w:right w:val="single" w:sz="4" w:space="0" w:color="auto"/>
            </w:tcBorders>
            <w:vAlign w:val="center"/>
          </w:tcPr>
          <w:p>
            <w:pPr>
              <w:jc w:val="right"/>
              <w:rPr>
                <w:rFonts w:ascii="Times New Roman" w:hAnsi="Times New Roman"/>
                <w:b/>
                <w:bCs/>
              </w:rPr>
            </w:pPr>
            <w:r>
              <w:rPr>
                <w:rFonts w:ascii="Times New Roman" w:hAnsi="Times New Roman"/>
                <w:b/>
                <w:bCs/>
              </w:rPr>
              <w:t>147 601,06</w:t>
            </w:r>
          </w:p>
        </w:tc>
        <w:tc>
          <w:tcPr>
            <w:tcW w:w="113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b/>
                <w:bCs/>
              </w:rPr>
            </w:pPr>
            <w:r>
              <w:rPr>
                <w:rFonts w:ascii="Times New Roman" w:hAnsi="Times New Roman"/>
                <w:b/>
                <w:bCs/>
              </w:rPr>
              <w:t>117 964,52</w:t>
            </w:r>
          </w:p>
        </w:tc>
        <w:tc>
          <w:tcPr>
            <w:tcW w:w="1134" w:type="dxa"/>
            <w:tcBorders>
              <w:top w:val="single" w:sz="4" w:space="0" w:color="auto"/>
              <w:left w:val="nil"/>
              <w:bottom w:val="single" w:sz="4" w:space="0" w:color="auto"/>
              <w:right w:val="single" w:sz="4" w:space="0" w:color="auto"/>
            </w:tcBorders>
            <w:shd w:val="clear" w:color="auto" w:fill="FFFFFF"/>
            <w:noWrap/>
            <w:vAlign w:val="center"/>
          </w:tcPr>
          <w:p>
            <w:pPr>
              <w:jc w:val="right"/>
              <w:rPr>
                <w:rFonts w:ascii="Times New Roman" w:hAnsi="Times New Roman"/>
                <w:b/>
                <w:bCs/>
              </w:rPr>
            </w:pPr>
            <w:r>
              <w:rPr>
                <w:rFonts w:ascii="Times New Roman" w:hAnsi="Times New Roman"/>
                <w:b/>
                <w:lang w:eastAsia="ar-SA"/>
              </w:rPr>
              <w:t>111 865,94</w:t>
            </w:r>
          </w:p>
        </w:tc>
        <w:tc>
          <w:tcPr>
            <w:tcW w:w="709" w:type="dxa"/>
            <w:tcBorders>
              <w:top w:val="single" w:sz="4" w:space="0" w:color="auto"/>
              <w:left w:val="nil"/>
              <w:bottom w:val="single" w:sz="4" w:space="0" w:color="auto"/>
              <w:right w:val="single" w:sz="4" w:space="0" w:color="auto"/>
            </w:tcBorders>
            <w:shd w:val="clear" w:color="auto" w:fill="FFFFFF"/>
            <w:vAlign w:val="center"/>
          </w:tcPr>
          <w:p>
            <w:pPr>
              <w:jc w:val="center"/>
              <w:rPr>
                <w:rFonts w:ascii="Times New Roman" w:hAnsi="Times New Roman"/>
                <w:b/>
                <w:bCs/>
              </w:rPr>
            </w:pPr>
            <w:r>
              <w:rPr>
                <w:rFonts w:ascii="Times New Roman" w:hAnsi="Times New Roman"/>
                <w:b/>
                <w:bCs/>
              </w:rPr>
              <w:t>94,8</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pPr>
              <w:jc w:val="right"/>
              <w:rPr>
                <w:rFonts w:ascii="Times New Roman" w:hAnsi="Times New Roman"/>
                <w:b/>
                <w:bCs/>
              </w:rPr>
            </w:pPr>
            <w:r>
              <w:rPr>
                <w:rFonts w:ascii="Times New Roman" w:hAnsi="Times New Roman"/>
                <w:b/>
                <w:bCs/>
              </w:rPr>
              <w:t>112 975,77</w:t>
            </w:r>
          </w:p>
        </w:tc>
        <w:tc>
          <w:tcPr>
            <w:tcW w:w="1134" w:type="dxa"/>
            <w:tcBorders>
              <w:top w:val="single" w:sz="4" w:space="0" w:color="auto"/>
              <w:left w:val="nil"/>
              <w:bottom w:val="single" w:sz="4" w:space="0" w:color="auto"/>
              <w:right w:val="single" w:sz="4" w:space="0" w:color="auto"/>
            </w:tcBorders>
            <w:shd w:val="clear" w:color="auto" w:fill="FFFFFF"/>
            <w:noWrap/>
            <w:vAlign w:val="center"/>
          </w:tcPr>
          <w:p>
            <w:pPr>
              <w:jc w:val="right"/>
              <w:rPr>
                <w:rFonts w:ascii="Times New Roman" w:hAnsi="Times New Roman"/>
                <w:b/>
                <w:bCs/>
              </w:rPr>
            </w:pPr>
            <w:r>
              <w:rPr>
                <w:rFonts w:ascii="Times New Roman" w:hAnsi="Times New Roman"/>
                <w:b/>
                <w:bCs/>
              </w:rPr>
              <w:t>97 985,50</w:t>
            </w:r>
          </w:p>
        </w:tc>
      </w:tr>
      <w:tr>
        <w:trPr>
          <w:trHeight w:val="252"/>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highlight w:val="yellow"/>
              </w:rPr>
            </w:pPr>
            <w:r>
              <w:rPr>
                <w:rFonts w:ascii="Times New Roman" w:hAnsi="Times New Roman"/>
                <w:sz w:val="22"/>
                <w:szCs w:val="22"/>
              </w:rPr>
              <w:t xml:space="preserve">Доходы от использования имущества, находящегося </w:t>
            </w:r>
            <w:r>
              <w:rPr>
                <w:rFonts w:ascii="Times New Roman" w:hAnsi="Times New Roman"/>
                <w:sz w:val="22"/>
                <w:szCs w:val="22"/>
              </w:rPr>
              <w:br/>
              <w:t>в мун.собственности</w:t>
            </w:r>
          </w:p>
        </w:tc>
        <w:tc>
          <w:tcPr>
            <w:tcW w:w="1274" w:type="dxa"/>
            <w:tcBorders>
              <w:top w:val="single" w:sz="4" w:space="0" w:color="auto"/>
              <w:left w:val="nil"/>
              <w:bottom w:val="single" w:sz="4" w:space="0" w:color="auto"/>
              <w:right w:val="single" w:sz="4" w:space="0" w:color="auto"/>
            </w:tcBorders>
            <w:vAlign w:val="center"/>
          </w:tcPr>
          <w:p>
            <w:pPr>
              <w:jc w:val="right"/>
              <w:rPr>
                <w:rFonts w:ascii="Times New Roman" w:hAnsi="Times New Roman"/>
              </w:rPr>
            </w:pPr>
            <w:r>
              <w:rPr>
                <w:rFonts w:ascii="Times New Roman" w:hAnsi="Times New Roman"/>
              </w:rPr>
              <w:t>86 970,48</w:t>
            </w:r>
          </w:p>
        </w:tc>
        <w:tc>
          <w:tcPr>
            <w:tcW w:w="113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88 893,51</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85 349,56</w:t>
            </w:r>
          </w:p>
        </w:tc>
        <w:tc>
          <w:tcPr>
            <w:tcW w:w="709" w:type="dxa"/>
            <w:tcBorders>
              <w:top w:val="single" w:sz="4" w:space="0" w:color="auto"/>
              <w:left w:val="nil"/>
              <w:bottom w:val="single" w:sz="4" w:space="0" w:color="auto"/>
              <w:right w:val="single" w:sz="4" w:space="0" w:color="auto"/>
            </w:tcBorders>
            <w:shd w:val="clear" w:color="auto" w:fill="FFFFFF"/>
            <w:vAlign w:val="center"/>
          </w:tcPr>
          <w:p>
            <w:pPr>
              <w:jc w:val="center"/>
              <w:rPr>
                <w:rFonts w:ascii="Times New Roman" w:hAnsi="Times New Roman"/>
              </w:rPr>
            </w:pPr>
            <w:r>
              <w:rPr>
                <w:rFonts w:ascii="Times New Roman" w:hAnsi="Times New Roman"/>
              </w:rPr>
              <w:t>96,0</w:t>
            </w:r>
          </w:p>
        </w:tc>
        <w:tc>
          <w:tcPr>
            <w:tcW w:w="1134" w:type="dxa"/>
            <w:tcBorders>
              <w:top w:val="nil"/>
              <w:left w:val="single" w:sz="4" w:space="0" w:color="auto"/>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90 506,60</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75 421,90</w:t>
            </w:r>
          </w:p>
        </w:tc>
      </w:tr>
      <w:tr>
        <w:trPr>
          <w:trHeight w:val="188"/>
        </w:trPr>
        <w:tc>
          <w:tcPr>
            <w:tcW w:w="2977" w:type="dxa"/>
            <w:tcBorders>
              <w:top w:val="nil"/>
              <w:left w:val="single" w:sz="4" w:space="0" w:color="auto"/>
              <w:bottom w:val="single" w:sz="4" w:space="0" w:color="auto"/>
              <w:right w:val="single" w:sz="4" w:space="0" w:color="auto"/>
            </w:tcBorders>
            <w:shd w:val="clear" w:color="auto" w:fill="auto"/>
            <w:vAlign w:val="center"/>
          </w:tcPr>
          <w:p>
            <w:pPr>
              <w:tabs>
                <w:tab w:val="left" w:pos="4404"/>
              </w:tabs>
              <w:rPr>
                <w:rFonts w:ascii="Times New Roman" w:hAnsi="Times New Roman"/>
                <w:sz w:val="22"/>
                <w:szCs w:val="22"/>
                <w:highlight w:val="yellow"/>
              </w:rPr>
            </w:pPr>
            <w:r>
              <w:rPr>
                <w:rFonts w:ascii="Times New Roman" w:hAnsi="Times New Roman"/>
                <w:sz w:val="22"/>
                <w:szCs w:val="22"/>
              </w:rPr>
              <w:t>Платежи при пользовании природными ресурсами</w:t>
            </w:r>
          </w:p>
        </w:tc>
        <w:tc>
          <w:tcPr>
            <w:tcW w:w="1274" w:type="dxa"/>
            <w:tcBorders>
              <w:top w:val="single" w:sz="4" w:space="0" w:color="auto"/>
              <w:left w:val="nil"/>
              <w:bottom w:val="single" w:sz="4" w:space="0" w:color="auto"/>
              <w:right w:val="single" w:sz="4" w:space="0" w:color="auto"/>
            </w:tcBorders>
            <w:vAlign w:val="center"/>
          </w:tcPr>
          <w:p>
            <w:pPr>
              <w:jc w:val="right"/>
              <w:rPr>
                <w:rFonts w:ascii="Times New Roman" w:hAnsi="Times New Roman"/>
                <w:highlight w:val="yellow"/>
              </w:rPr>
            </w:pPr>
            <w:r>
              <w:rPr>
                <w:rFonts w:ascii="Times New Roman" w:hAnsi="Times New Roman"/>
              </w:rPr>
              <w:t>12 226,39</w:t>
            </w:r>
          </w:p>
        </w:tc>
        <w:tc>
          <w:tcPr>
            <w:tcW w:w="113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8 027,96</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14 061,81</w:t>
            </w:r>
          </w:p>
        </w:tc>
        <w:tc>
          <w:tcPr>
            <w:tcW w:w="709" w:type="dxa"/>
            <w:tcBorders>
              <w:top w:val="single" w:sz="4" w:space="0" w:color="auto"/>
              <w:left w:val="nil"/>
              <w:bottom w:val="single" w:sz="4" w:space="0" w:color="auto"/>
              <w:right w:val="single" w:sz="4" w:space="0" w:color="auto"/>
            </w:tcBorders>
            <w:shd w:val="clear" w:color="auto" w:fill="FFFFFF"/>
            <w:vAlign w:val="center"/>
          </w:tcPr>
          <w:p>
            <w:pPr>
              <w:jc w:val="center"/>
              <w:rPr>
                <w:rFonts w:ascii="Times New Roman" w:hAnsi="Times New Roman"/>
              </w:rPr>
            </w:pPr>
            <w:r>
              <w:rPr>
                <w:rFonts w:ascii="Times New Roman" w:hAnsi="Times New Roman"/>
              </w:rPr>
              <w:t>175,2</w:t>
            </w:r>
          </w:p>
        </w:tc>
        <w:tc>
          <w:tcPr>
            <w:tcW w:w="1134" w:type="dxa"/>
            <w:tcBorders>
              <w:top w:val="nil"/>
              <w:left w:val="single" w:sz="4" w:space="0" w:color="auto"/>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10 537,39</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11 362,35</w:t>
            </w:r>
          </w:p>
        </w:tc>
      </w:tr>
      <w:tr>
        <w:trPr>
          <w:trHeight w:val="257"/>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highlight w:val="yellow"/>
              </w:rPr>
            </w:pPr>
            <w:r>
              <w:rPr>
                <w:rFonts w:ascii="Times New Roman" w:hAnsi="Times New Roman"/>
                <w:sz w:val="22"/>
                <w:szCs w:val="22"/>
              </w:rPr>
              <w:t>Доходы от оказания платных услуг и компенсации затрат государства</w:t>
            </w:r>
          </w:p>
        </w:tc>
        <w:tc>
          <w:tcPr>
            <w:tcW w:w="1274" w:type="dxa"/>
            <w:tcBorders>
              <w:top w:val="single" w:sz="4" w:space="0" w:color="auto"/>
              <w:left w:val="nil"/>
              <w:bottom w:val="single" w:sz="4" w:space="0" w:color="auto"/>
              <w:right w:val="single" w:sz="4" w:space="0" w:color="auto"/>
            </w:tcBorders>
            <w:vAlign w:val="center"/>
          </w:tcPr>
          <w:p>
            <w:pPr>
              <w:jc w:val="right"/>
              <w:rPr>
                <w:rFonts w:ascii="Times New Roman" w:hAnsi="Times New Roman"/>
              </w:rPr>
            </w:pPr>
            <w:r>
              <w:rPr>
                <w:rFonts w:ascii="Times New Roman" w:hAnsi="Times New Roman"/>
              </w:rPr>
              <w:t>6 117,08</w:t>
            </w:r>
          </w:p>
        </w:tc>
        <w:tc>
          <w:tcPr>
            <w:tcW w:w="113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5 165,68</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4 325,53</w:t>
            </w:r>
          </w:p>
        </w:tc>
        <w:tc>
          <w:tcPr>
            <w:tcW w:w="709" w:type="dxa"/>
            <w:tcBorders>
              <w:top w:val="single" w:sz="4" w:space="0" w:color="auto"/>
              <w:left w:val="nil"/>
              <w:bottom w:val="single" w:sz="4" w:space="0" w:color="auto"/>
              <w:right w:val="single" w:sz="4" w:space="0" w:color="auto"/>
            </w:tcBorders>
            <w:shd w:val="clear" w:color="auto" w:fill="FFFFFF"/>
            <w:vAlign w:val="center"/>
          </w:tcPr>
          <w:p>
            <w:pPr>
              <w:jc w:val="center"/>
              <w:rPr>
                <w:rFonts w:ascii="Times New Roman" w:hAnsi="Times New Roman"/>
              </w:rPr>
            </w:pPr>
            <w:r>
              <w:rPr>
                <w:rFonts w:ascii="Times New Roman" w:hAnsi="Times New Roman"/>
              </w:rPr>
              <w:t>83,7</w:t>
            </w:r>
          </w:p>
        </w:tc>
        <w:tc>
          <w:tcPr>
            <w:tcW w:w="1134" w:type="dxa"/>
            <w:tcBorders>
              <w:top w:val="nil"/>
              <w:left w:val="single" w:sz="4" w:space="0" w:color="auto"/>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4 385,12</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4 472,05</w:t>
            </w:r>
          </w:p>
        </w:tc>
      </w:tr>
      <w:tr>
        <w:trPr>
          <w:trHeight w:val="435"/>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highlight w:val="yellow"/>
              </w:rPr>
            </w:pPr>
            <w:r>
              <w:rPr>
                <w:rFonts w:ascii="Times New Roman" w:hAnsi="Times New Roman"/>
                <w:sz w:val="22"/>
                <w:szCs w:val="22"/>
              </w:rPr>
              <w:t>Доходы от продажи материальных и нематериальных активов</w:t>
            </w:r>
          </w:p>
        </w:tc>
        <w:tc>
          <w:tcPr>
            <w:tcW w:w="1274" w:type="dxa"/>
            <w:tcBorders>
              <w:top w:val="single" w:sz="4" w:space="0" w:color="auto"/>
              <w:left w:val="nil"/>
              <w:bottom w:val="single" w:sz="4" w:space="0" w:color="auto"/>
              <w:right w:val="single" w:sz="4" w:space="0" w:color="auto"/>
            </w:tcBorders>
            <w:vAlign w:val="center"/>
          </w:tcPr>
          <w:p>
            <w:pPr>
              <w:jc w:val="right"/>
              <w:rPr>
                <w:rFonts w:ascii="Times New Roman" w:hAnsi="Times New Roman"/>
                <w:highlight w:val="yellow"/>
              </w:rPr>
            </w:pPr>
            <w:r>
              <w:rPr>
                <w:rFonts w:ascii="Times New Roman" w:hAnsi="Times New Roman"/>
              </w:rPr>
              <w:t>36 574,34</w:t>
            </w:r>
          </w:p>
        </w:tc>
        <w:tc>
          <w:tcPr>
            <w:tcW w:w="113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9 625,55</w:t>
            </w:r>
          </w:p>
        </w:tc>
        <w:tc>
          <w:tcPr>
            <w:tcW w:w="1134" w:type="dxa"/>
            <w:tcBorders>
              <w:top w:val="single" w:sz="4" w:space="0" w:color="auto"/>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4 607,83</w:t>
            </w:r>
          </w:p>
        </w:tc>
        <w:tc>
          <w:tcPr>
            <w:tcW w:w="709" w:type="dxa"/>
            <w:tcBorders>
              <w:top w:val="single" w:sz="4" w:space="0" w:color="auto"/>
              <w:left w:val="nil"/>
              <w:bottom w:val="single" w:sz="4" w:space="0" w:color="auto"/>
              <w:right w:val="single" w:sz="4" w:space="0" w:color="auto"/>
            </w:tcBorders>
            <w:shd w:val="clear" w:color="auto" w:fill="FFFFFF"/>
            <w:vAlign w:val="center"/>
          </w:tcPr>
          <w:p>
            <w:pPr>
              <w:jc w:val="center"/>
              <w:rPr>
                <w:rFonts w:ascii="Times New Roman" w:hAnsi="Times New Roman"/>
              </w:rPr>
            </w:pPr>
            <w:r>
              <w:rPr>
                <w:rFonts w:ascii="Times New Roman" w:hAnsi="Times New Roman"/>
              </w:rPr>
              <w:t>47,9</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3 976,01</w:t>
            </w:r>
          </w:p>
        </w:tc>
        <w:tc>
          <w:tcPr>
            <w:tcW w:w="1134" w:type="dxa"/>
            <w:tcBorders>
              <w:top w:val="single" w:sz="4" w:space="0" w:color="auto"/>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3 104,45</w:t>
            </w:r>
          </w:p>
        </w:tc>
      </w:tr>
      <w:tr>
        <w:trPr>
          <w:trHeight w:val="264"/>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rPr>
            </w:pPr>
            <w:r>
              <w:rPr>
                <w:rFonts w:ascii="Times New Roman" w:hAnsi="Times New Roman"/>
                <w:sz w:val="22"/>
                <w:szCs w:val="22"/>
              </w:rPr>
              <w:t>Штрафы, санкции, возмещение ущерба</w:t>
            </w:r>
          </w:p>
        </w:tc>
        <w:tc>
          <w:tcPr>
            <w:tcW w:w="1274" w:type="dxa"/>
            <w:tcBorders>
              <w:top w:val="single" w:sz="4" w:space="0" w:color="auto"/>
              <w:left w:val="nil"/>
              <w:bottom w:val="single" w:sz="4" w:space="0" w:color="auto"/>
              <w:right w:val="single" w:sz="4" w:space="0" w:color="auto"/>
            </w:tcBorders>
            <w:vAlign w:val="center"/>
          </w:tcPr>
          <w:p>
            <w:pPr>
              <w:jc w:val="right"/>
              <w:rPr>
                <w:rFonts w:ascii="Times New Roman" w:hAnsi="Times New Roman"/>
                <w:highlight w:val="yellow"/>
              </w:rPr>
            </w:pPr>
            <w:r>
              <w:rPr>
                <w:rFonts w:ascii="Times New Roman" w:hAnsi="Times New Roman"/>
              </w:rPr>
              <w:t>5 659,62</w:t>
            </w:r>
          </w:p>
        </w:tc>
        <w:tc>
          <w:tcPr>
            <w:tcW w:w="113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5 659,62</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3 461,21</w:t>
            </w:r>
          </w:p>
        </w:tc>
        <w:tc>
          <w:tcPr>
            <w:tcW w:w="709" w:type="dxa"/>
            <w:tcBorders>
              <w:top w:val="single" w:sz="4" w:space="0" w:color="auto"/>
              <w:left w:val="nil"/>
              <w:bottom w:val="single" w:sz="4" w:space="0" w:color="auto"/>
              <w:right w:val="single" w:sz="4" w:space="0" w:color="auto"/>
            </w:tcBorders>
            <w:shd w:val="clear" w:color="auto" w:fill="FFFFFF"/>
            <w:vAlign w:val="center"/>
          </w:tcPr>
          <w:p>
            <w:pPr>
              <w:jc w:val="center"/>
              <w:rPr>
                <w:rFonts w:ascii="Times New Roman" w:hAnsi="Times New Roman"/>
              </w:rPr>
            </w:pPr>
            <w:r>
              <w:rPr>
                <w:rFonts w:ascii="Times New Roman" w:hAnsi="Times New Roman"/>
              </w:rPr>
              <w:t>61,2</w:t>
            </w:r>
          </w:p>
        </w:tc>
        <w:tc>
          <w:tcPr>
            <w:tcW w:w="1134" w:type="dxa"/>
            <w:tcBorders>
              <w:top w:val="nil"/>
              <w:left w:val="single" w:sz="4" w:space="0" w:color="auto"/>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3 510,65</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3 564,75</w:t>
            </w:r>
          </w:p>
        </w:tc>
      </w:tr>
      <w:tr>
        <w:trPr>
          <w:trHeight w:val="264"/>
        </w:trPr>
        <w:tc>
          <w:tcPr>
            <w:tcW w:w="2977" w:type="dxa"/>
            <w:tcBorders>
              <w:top w:val="nil"/>
              <w:left w:val="single" w:sz="4" w:space="0" w:color="auto"/>
              <w:bottom w:val="single" w:sz="4" w:space="0" w:color="auto"/>
              <w:right w:val="single" w:sz="4" w:space="0" w:color="auto"/>
            </w:tcBorders>
            <w:shd w:val="clear" w:color="auto" w:fill="auto"/>
            <w:vAlign w:val="center"/>
          </w:tcPr>
          <w:p>
            <w:pPr>
              <w:rPr>
                <w:rFonts w:ascii="Times New Roman" w:hAnsi="Times New Roman"/>
                <w:sz w:val="22"/>
                <w:szCs w:val="22"/>
                <w:highlight w:val="yellow"/>
              </w:rPr>
            </w:pPr>
            <w:r>
              <w:rPr>
                <w:rFonts w:ascii="Times New Roman" w:hAnsi="Times New Roman"/>
                <w:sz w:val="22"/>
                <w:szCs w:val="22"/>
              </w:rPr>
              <w:t>Прочие неналоговые доходы</w:t>
            </w:r>
          </w:p>
        </w:tc>
        <w:tc>
          <w:tcPr>
            <w:tcW w:w="1274" w:type="dxa"/>
            <w:tcBorders>
              <w:top w:val="single" w:sz="4" w:space="0" w:color="auto"/>
              <w:left w:val="nil"/>
              <w:bottom w:val="single" w:sz="4" w:space="0" w:color="auto"/>
              <w:right w:val="single" w:sz="4" w:space="0" w:color="auto"/>
            </w:tcBorders>
            <w:vAlign w:val="center"/>
          </w:tcPr>
          <w:p>
            <w:pPr>
              <w:jc w:val="right"/>
              <w:rPr>
                <w:rFonts w:ascii="Times New Roman" w:hAnsi="Times New Roman"/>
                <w:highlight w:val="yellow"/>
              </w:rPr>
            </w:pPr>
            <w:r>
              <w:rPr>
                <w:rFonts w:ascii="Times New Roman" w:hAnsi="Times New Roman"/>
              </w:rPr>
              <w:t>53,15</w:t>
            </w:r>
          </w:p>
        </w:tc>
        <w:tc>
          <w:tcPr>
            <w:tcW w:w="113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592,20</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60,00</w:t>
            </w:r>
          </w:p>
        </w:tc>
        <w:tc>
          <w:tcPr>
            <w:tcW w:w="709" w:type="dxa"/>
            <w:tcBorders>
              <w:top w:val="single" w:sz="4" w:space="0" w:color="auto"/>
              <w:left w:val="nil"/>
              <w:bottom w:val="single" w:sz="4" w:space="0" w:color="auto"/>
              <w:right w:val="single" w:sz="4" w:space="0" w:color="auto"/>
            </w:tcBorders>
            <w:shd w:val="clear" w:color="auto" w:fill="FFFFFF"/>
            <w:vAlign w:val="center"/>
          </w:tcPr>
          <w:p>
            <w:pPr>
              <w:jc w:val="center"/>
              <w:rPr>
                <w:rFonts w:ascii="Times New Roman" w:hAnsi="Times New Roman"/>
              </w:rPr>
            </w:pPr>
            <w:r>
              <w:rPr>
                <w:rFonts w:ascii="Times New Roman" w:hAnsi="Times New Roman"/>
              </w:rPr>
              <w:t>10,1</w:t>
            </w:r>
          </w:p>
        </w:tc>
        <w:tc>
          <w:tcPr>
            <w:tcW w:w="1134" w:type="dxa"/>
            <w:tcBorders>
              <w:top w:val="nil"/>
              <w:left w:val="single" w:sz="4" w:space="0" w:color="auto"/>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60,00</w:t>
            </w:r>
          </w:p>
        </w:tc>
        <w:tc>
          <w:tcPr>
            <w:tcW w:w="1134" w:type="dxa"/>
            <w:tcBorders>
              <w:top w:val="nil"/>
              <w:left w:val="nil"/>
              <w:bottom w:val="single" w:sz="4" w:space="0" w:color="auto"/>
              <w:right w:val="single" w:sz="4" w:space="0" w:color="auto"/>
            </w:tcBorders>
            <w:shd w:val="clear" w:color="auto" w:fill="FFFFFF"/>
            <w:noWrap/>
            <w:vAlign w:val="center"/>
          </w:tcPr>
          <w:p>
            <w:pPr>
              <w:jc w:val="right"/>
              <w:rPr>
                <w:rFonts w:ascii="Times New Roman" w:hAnsi="Times New Roman"/>
              </w:rPr>
            </w:pPr>
            <w:r>
              <w:rPr>
                <w:rFonts w:ascii="Times New Roman" w:hAnsi="Times New Roman"/>
              </w:rPr>
              <w:t>60,00</w:t>
            </w:r>
          </w:p>
        </w:tc>
      </w:tr>
    </w:tbl>
    <w:p>
      <w:pPr>
        <w:spacing w:before="120"/>
        <w:ind w:right="45" w:firstLine="709"/>
        <w:jc w:val="both"/>
        <w:rPr>
          <w:rFonts w:ascii="Times New Roman" w:hAnsi="Times New Roman"/>
          <w:sz w:val="24"/>
        </w:rPr>
      </w:pPr>
      <w:r>
        <w:rPr>
          <w:rFonts w:ascii="Times New Roman" w:hAnsi="Times New Roman"/>
          <w:sz w:val="24"/>
        </w:rPr>
        <w:t xml:space="preserve">Основными бюджетоформирующими неналоговыми доходами являются доходы </w:t>
      </w:r>
      <w:r>
        <w:rPr>
          <w:rFonts w:ascii="Times New Roman" w:hAnsi="Times New Roman"/>
          <w:sz w:val="24"/>
        </w:rPr>
        <w:br/>
        <w:t>от использования имущества, находящегося в муниципальной собственности и платежи при пользовании природными ресурсами.</w:t>
      </w:r>
    </w:p>
    <w:p>
      <w:pPr>
        <w:ind w:right="45"/>
        <w:jc w:val="center"/>
        <w:rPr>
          <w:rFonts w:ascii="Times New Roman" w:hAnsi="Times New Roman"/>
          <w:bCs/>
          <w:iCs/>
          <w:sz w:val="24"/>
          <w:szCs w:val="24"/>
        </w:rPr>
      </w:pPr>
      <w:r>
        <w:rPr>
          <w:noProof/>
        </w:rPr>
        <w:lastRenderedPageBreak/>
        <w:drawing>
          <wp:inline distT="0" distB="0" distL="0" distR="0">
            <wp:extent cx="5940425" cy="3708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ind w:firstLine="708"/>
        <w:jc w:val="both"/>
        <w:rPr>
          <w:bCs/>
          <w:iCs/>
          <w:sz w:val="24"/>
          <w:szCs w:val="24"/>
        </w:rPr>
      </w:pPr>
    </w:p>
    <w:p>
      <w:pPr>
        <w:ind w:firstLine="708"/>
        <w:jc w:val="both"/>
        <w:rPr>
          <w:bCs/>
          <w:iCs/>
          <w:sz w:val="24"/>
          <w:szCs w:val="24"/>
        </w:rPr>
      </w:pPr>
      <w:r>
        <w:rPr>
          <w:bCs/>
          <w:iCs/>
          <w:sz w:val="24"/>
          <w:szCs w:val="24"/>
        </w:rPr>
        <w:t>Рисунок 3 – Динамика неналоговых доходов за 2020-2023 годы</w:t>
      </w:r>
    </w:p>
    <w:p>
      <w:pPr>
        <w:ind w:firstLine="708"/>
        <w:jc w:val="both"/>
        <w:rPr>
          <w:bCs/>
          <w:iCs/>
          <w:sz w:val="24"/>
          <w:szCs w:val="24"/>
        </w:rPr>
      </w:pPr>
    </w:p>
    <w:p>
      <w:pPr>
        <w:jc w:val="center"/>
        <w:rPr>
          <w:b/>
          <w:bCs/>
          <w:iCs/>
          <w:sz w:val="24"/>
          <w:szCs w:val="24"/>
        </w:rPr>
      </w:pPr>
      <w:r>
        <w:rPr>
          <w:b/>
          <w:bCs/>
          <w:iCs/>
          <w:sz w:val="24"/>
          <w:szCs w:val="24"/>
        </w:rPr>
        <w:t>1.4.1. Доходы от использования имущества,</w:t>
      </w:r>
    </w:p>
    <w:p>
      <w:pPr>
        <w:jc w:val="center"/>
        <w:rPr>
          <w:b/>
          <w:bCs/>
          <w:iCs/>
          <w:sz w:val="24"/>
          <w:szCs w:val="24"/>
        </w:rPr>
      </w:pPr>
      <w:r>
        <w:rPr>
          <w:b/>
          <w:bCs/>
          <w:iCs/>
          <w:sz w:val="24"/>
          <w:szCs w:val="24"/>
        </w:rPr>
        <w:t>находящегося в муниципальной собственности</w:t>
      </w:r>
    </w:p>
    <w:p>
      <w:pPr>
        <w:jc w:val="center"/>
        <w:rPr>
          <w:b/>
          <w:bCs/>
          <w:iCs/>
          <w:sz w:val="24"/>
          <w:szCs w:val="24"/>
        </w:rPr>
      </w:pPr>
    </w:p>
    <w:p>
      <w:pPr>
        <w:ind w:firstLine="708"/>
        <w:jc w:val="both"/>
        <w:rPr>
          <w:bCs/>
          <w:iCs/>
          <w:sz w:val="24"/>
          <w:szCs w:val="24"/>
        </w:rPr>
      </w:pPr>
      <w:r>
        <w:rPr>
          <w:bCs/>
          <w:iCs/>
          <w:sz w:val="24"/>
          <w:szCs w:val="24"/>
        </w:rPr>
        <w:t>Доходы бюджета ЗАТО Северск от использования имущества, находящегося в муниципальной собственности, прогнозируются на 2021 год в сумме 85 349,56 тыс.руб., что на 3 543,95 тыс.руб. или на 4,0% меньше оценки 2020 года (на 1 620,92 тыс.руб. или на 1,9% меньше первоначально утвержденного прогноза).</w:t>
      </w:r>
    </w:p>
    <w:p>
      <w:pPr>
        <w:ind w:right="45" w:firstLine="709"/>
        <w:jc w:val="both"/>
        <w:rPr>
          <w:rFonts w:ascii="Times New Roman" w:hAnsi="Times New Roman"/>
          <w:sz w:val="24"/>
        </w:rPr>
      </w:pPr>
      <w:r>
        <w:rPr>
          <w:rFonts w:ascii="Times New Roman" w:hAnsi="Times New Roman"/>
          <w:sz w:val="24"/>
        </w:rPr>
        <w:t xml:space="preserve">Поступления по указанным доходам на 2022 год прогнозируются в сумме </w:t>
      </w:r>
      <w:r>
        <w:rPr>
          <w:rFonts w:ascii="Times New Roman" w:hAnsi="Times New Roman"/>
          <w:sz w:val="24"/>
        </w:rPr>
        <w:br/>
        <w:t>90 506,60 тыс.руб., на 2023 год - в сумме 75 421,90 тыс.руб.</w:t>
      </w:r>
    </w:p>
    <w:p>
      <w:pPr>
        <w:spacing w:before="120"/>
        <w:ind w:firstLine="709"/>
        <w:jc w:val="both"/>
        <w:rPr>
          <w:sz w:val="24"/>
          <w:szCs w:val="24"/>
        </w:rPr>
      </w:pPr>
      <w:r>
        <w:rPr>
          <w:sz w:val="24"/>
          <w:szCs w:val="24"/>
        </w:rPr>
        <w:t>Таблица 13 - Анализ поступления доходов от использования муниципального имущества</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1088"/>
        <w:gridCol w:w="1116"/>
        <w:gridCol w:w="1016"/>
        <w:gridCol w:w="788"/>
        <w:gridCol w:w="1074"/>
        <w:gridCol w:w="1062"/>
        <w:gridCol w:w="957"/>
      </w:tblGrid>
      <w:tr>
        <w:trPr>
          <w:trHeight w:val="350"/>
          <w:jc w:val="center"/>
        </w:trPr>
        <w:tc>
          <w:tcPr>
            <w:tcW w:w="2613" w:type="dxa"/>
            <w:vMerge w:val="restart"/>
            <w:vAlign w:val="center"/>
          </w:tcPr>
          <w:p>
            <w:pPr>
              <w:ind w:right="-119"/>
              <w:jc w:val="center"/>
              <w:rPr>
                <w:rFonts w:ascii="Times New Roman" w:hAnsi="Times New Roman"/>
                <w:sz w:val="22"/>
                <w:szCs w:val="22"/>
              </w:rPr>
            </w:pPr>
            <w:r>
              <w:rPr>
                <w:rFonts w:ascii="Times New Roman" w:hAnsi="Times New Roman"/>
              </w:rPr>
              <w:t>Наименование</w:t>
            </w:r>
          </w:p>
        </w:tc>
        <w:tc>
          <w:tcPr>
            <w:tcW w:w="2204" w:type="dxa"/>
            <w:gridSpan w:val="2"/>
            <w:vAlign w:val="center"/>
          </w:tcPr>
          <w:p>
            <w:pPr>
              <w:jc w:val="center"/>
              <w:rPr>
                <w:rFonts w:ascii="Times New Roman" w:hAnsi="Times New Roman"/>
              </w:rPr>
            </w:pPr>
            <w:r>
              <w:rPr>
                <w:rFonts w:ascii="Times New Roman" w:hAnsi="Times New Roman"/>
              </w:rPr>
              <w:t>2020 год, тыс.руб.</w:t>
            </w:r>
          </w:p>
        </w:tc>
        <w:tc>
          <w:tcPr>
            <w:tcW w:w="1804" w:type="dxa"/>
            <w:gridSpan w:val="2"/>
            <w:vAlign w:val="center"/>
          </w:tcPr>
          <w:p>
            <w:pPr>
              <w:jc w:val="center"/>
              <w:rPr>
                <w:rFonts w:ascii="Times New Roman" w:hAnsi="Times New Roman"/>
              </w:rPr>
            </w:pPr>
            <w:r>
              <w:rPr>
                <w:rFonts w:ascii="Times New Roman" w:hAnsi="Times New Roman"/>
              </w:rPr>
              <w:t>2021 год</w:t>
            </w:r>
          </w:p>
        </w:tc>
        <w:tc>
          <w:tcPr>
            <w:tcW w:w="1074" w:type="dxa"/>
            <w:vMerge w:val="restart"/>
            <w:vAlign w:val="center"/>
          </w:tcPr>
          <w:p>
            <w:pPr>
              <w:ind w:left="-108" w:right="-108"/>
              <w:jc w:val="center"/>
              <w:rPr>
                <w:rFonts w:ascii="Times New Roman" w:hAnsi="Times New Roman"/>
              </w:rPr>
            </w:pPr>
            <w:r>
              <w:rPr>
                <w:rFonts w:ascii="Times New Roman" w:hAnsi="Times New Roman"/>
              </w:rPr>
              <w:t>Прогноз 2022 года, тыс.руб.</w:t>
            </w:r>
          </w:p>
        </w:tc>
        <w:tc>
          <w:tcPr>
            <w:tcW w:w="1062" w:type="dxa"/>
            <w:vMerge w:val="restart"/>
            <w:vAlign w:val="center"/>
          </w:tcPr>
          <w:p>
            <w:pPr>
              <w:ind w:left="-108" w:right="-108"/>
              <w:jc w:val="center"/>
              <w:rPr>
                <w:rFonts w:ascii="Times New Roman" w:hAnsi="Times New Roman"/>
              </w:rPr>
            </w:pPr>
            <w:r>
              <w:rPr>
                <w:rFonts w:ascii="Times New Roman" w:hAnsi="Times New Roman"/>
              </w:rPr>
              <w:t>Прогноз 2023 года, тыс.руб.</w:t>
            </w:r>
          </w:p>
        </w:tc>
        <w:tc>
          <w:tcPr>
            <w:tcW w:w="957" w:type="dxa"/>
            <w:vMerge w:val="restart"/>
            <w:vAlign w:val="center"/>
          </w:tcPr>
          <w:p>
            <w:pPr>
              <w:ind w:left="-108" w:right="-108"/>
              <w:jc w:val="center"/>
              <w:rPr>
                <w:sz w:val="22"/>
                <w:szCs w:val="22"/>
              </w:rPr>
            </w:pPr>
            <w:r>
              <w:rPr>
                <w:rFonts w:ascii="Times New Roman" w:hAnsi="Times New Roman"/>
              </w:rPr>
              <w:t>Админист-ратор доходов</w:t>
            </w:r>
          </w:p>
        </w:tc>
      </w:tr>
      <w:tr>
        <w:trPr>
          <w:trHeight w:val="567"/>
          <w:jc w:val="center"/>
        </w:trPr>
        <w:tc>
          <w:tcPr>
            <w:tcW w:w="2613" w:type="dxa"/>
            <w:vMerge/>
            <w:vAlign w:val="center"/>
          </w:tcPr>
          <w:p>
            <w:pPr>
              <w:ind w:right="-119"/>
              <w:jc w:val="center"/>
              <w:rPr>
                <w:rFonts w:ascii="Times New Roman" w:hAnsi="Times New Roman"/>
                <w:sz w:val="22"/>
                <w:szCs w:val="22"/>
              </w:rPr>
            </w:pPr>
          </w:p>
        </w:tc>
        <w:tc>
          <w:tcPr>
            <w:tcW w:w="1088" w:type="dxa"/>
            <w:vAlign w:val="center"/>
          </w:tcPr>
          <w:p>
            <w:pPr>
              <w:ind w:left="-108" w:right="-108"/>
              <w:jc w:val="center"/>
              <w:rPr>
                <w:rFonts w:ascii="Times New Roman" w:hAnsi="Times New Roman"/>
                <w:bCs/>
                <w:sz w:val="22"/>
                <w:szCs w:val="22"/>
                <w:highlight w:val="yellow"/>
              </w:rPr>
            </w:pPr>
            <w:r>
              <w:rPr>
                <w:rFonts w:ascii="Times New Roman" w:hAnsi="Times New Roman"/>
              </w:rPr>
              <w:t>Первонач. утверждено</w:t>
            </w:r>
          </w:p>
        </w:tc>
        <w:tc>
          <w:tcPr>
            <w:tcW w:w="1116" w:type="dxa"/>
            <w:vAlign w:val="center"/>
          </w:tcPr>
          <w:p>
            <w:pPr>
              <w:ind w:left="-108" w:right="-108"/>
              <w:jc w:val="center"/>
              <w:rPr>
                <w:rFonts w:ascii="Times New Roman" w:hAnsi="Times New Roman"/>
                <w:bCs/>
                <w:sz w:val="22"/>
                <w:szCs w:val="22"/>
                <w:highlight w:val="yellow"/>
              </w:rPr>
            </w:pPr>
            <w:r>
              <w:rPr>
                <w:rFonts w:ascii="Times New Roman" w:hAnsi="Times New Roman"/>
              </w:rPr>
              <w:t>Оценка</w:t>
            </w:r>
          </w:p>
        </w:tc>
        <w:tc>
          <w:tcPr>
            <w:tcW w:w="1016" w:type="dxa"/>
            <w:vAlign w:val="center"/>
          </w:tcPr>
          <w:p>
            <w:pPr>
              <w:ind w:left="-108" w:right="-108"/>
              <w:jc w:val="center"/>
              <w:rPr>
                <w:rFonts w:ascii="Times New Roman" w:hAnsi="Times New Roman"/>
              </w:rPr>
            </w:pPr>
            <w:r>
              <w:rPr>
                <w:rFonts w:ascii="Times New Roman" w:hAnsi="Times New Roman"/>
              </w:rPr>
              <w:t>Прогноз, тыс.руб.</w:t>
            </w:r>
          </w:p>
        </w:tc>
        <w:tc>
          <w:tcPr>
            <w:tcW w:w="788" w:type="dxa"/>
            <w:vAlign w:val="center"/>
          </w:tcPr>
          <w:p>
            <w:pPr>
              <w:ind w:left="-108" w:right="-108"/>
              <w:jc w:val="center"/>
              <w:rPr>
                <w:rFonts w:ascii="Times New Roman" w:hAnsi="Times New Roman"/>
              </w:rPr>
            </w:pPr>
            <w:r>
              <w:rPr>
                <w:rFonts w:ascii="Times New Roman" w:hAnsi="Times New Roman"/>
              </w:rPr>
              <w:t>% к оценке 2020г.</w:t>
            </w:r>
          </w:p>
        </w:tc>
        <w:tc>
          <w:tcPr>
            <w:tcW w:w="1074" w:type="dxa"/>
            <w:vMerge/>
            <w:vAlign w:val="center"/>
          </w:tcPr>
          <w:p>
            <w:pPr>
              <w:ind w:left="-108" w:right="-108"/>
              <w:jc w:val="center"/>
              <w:rPr>
                <w:color w:val="000000"/>
              </w:rPr>
            </w:pPr>
          </w:p>
        </w:tc>
        <w:tc>
          <w:tcPr>
            <w:tcW w:w="1062" w:type="dxa"/>
            <w:vMerge/>
            <w:vAlign w:val="center"/>
          </w:tcPr>
          <w:p>
            <w:pPr>
              <w:ind w:left="-57" w:right="-57"/>
              <w:jc w:val="center"/>
              <w:rPr>
                <w:rFonts w:ascii="Times New Roman" w:hAnsi="Times New Roman"/>
                <w:sz w:val="24"/>
                <w:szCs w:val="24"/>
              </w:rPr>
            </w:pPr>
          </w:p>
        </w:tc>
        <w:tc>
          <w:tcPr>
            <w:tcW w:w="957" w:type="dxa"/>
            <w:vMerge/>
            <w:vAlign w:val="center"/>
          </w:tcPr>
          <w:p>
            <w:pPr>
              <w:tabs>
                <w:tab w:val="left" w:pos="1550"/>
              </w:tabs>
              <w:ind w:left="-151" w:right="-56"/>
              <w:jc w:val="center"/>
              <w:rPr>
                <w:rFonts w:ascii="Times New Roman" w:hAnsi="Times New Roman"/>
                <w:sz w:val="22"/>
                <w:szCs w:val="22"/>
              </w:rPr>
            </w:pPr>
          </w:p>
        </w:tc>
      </w:tr>
      <w:tr>
        <w:trPr>
          <w:jc w:val="center"/>
        </w:trPr>
        <w:tc>
          <w:tcPr>
            <w:tcW w:w="2613" w:type="dxa"/>
            <w:vAlign w:val="center"/>
          </w:tcPr>
          <w:p>
            <w:pPr>
              <w:jc w:val="center"/>
              <w:rPr>
                <w:rFonts w:ascii="Times New Roman" w:hAnsi="Times New Roman"/>
                <w:bCs/>
              </w:rPr>
            </w:pPr>
            <w:r>
              <w:rPr>
                <w:rFonts w:ascii="Times New Roman" w:hAnsi="Times New Roman"/>
                <w:bCs/>
              </w:rPr>
              <w:t>1</w:t>
            </w:r>
          </w:p>
        </w:tc>
        <w:tc>
          <w:tcPr>
            <w:tcW w:w="1088" w:type="dxa"/>
            <w:vAlign w:val="center"/>
          </w:tcPr>
          <w:p>
            <w:pPr>
              <w:jc w:val="center"/>
              <w:rPr>
                <w:bCs/>
              </w:rPr>
            </w:pPr>
            <w:r>
              <w:rPr>
                <w:bCs/>
              </w:rPr>
              <w:t>2</w:t>
            </w:r>
          </w:p>
        </w:tc>
        <w:tc>
          <w:tcPr>
            <w:tcW w:w="1116" w:type="dxa"/>
            <w:vAlign w:val="center"/>
          </w:tcPr>
          <w:p>
            <w:pPr>
              <w:jc w:val="center"/>
              <w:rPr>
                <w:bCs/>
              </w:rPr>
            </w:pPr>
            <w:r>
              <w:rPr>
                <w:bCs/>
              </w:rPr>
              <w:t>3</w:t>
            </w:r>
          </w:p>
        </w:tc>
        <w:tc>
          <w:tcPr>
            <w:tcW w:w="1016" w:type="dxa"/>
            <w:shd w:val="clear" w:color="auto" w:fill="auto"/>
            <w:vAlign w:val="center"/>
          </w:tcPr>
          <w:p>
            <w:pPr>
              <w:jc w:val="center"/>
              <w:rPr>
                <w:bCs/>
              </w:rPr>
            </w:pPr>
            <w:r>
              <w:rPr>
                <w:bCs/>
              </w:rPr>
              <w:t>4</w:t>
            </w:r>
          </w:p>
        </w:tc>
        <w:tc>
          <w:tcPr>
            <w:tcW w:w="788" w:type="dxa"/>
            <w:shd w:val="clear" w:color="auto" w:fill="auto"/>
            <w:vAlign w:val="center"/>
          </w:tcPr>
          <w:p>
            <w:pPr>
              <w:jc w:val="center"/>
              <w:rPr>
                <w:bCs/>
              </w:rPr>
            </w:pPr>
            <w:r>
              <w:rPr>
                <w:bCs/>
              </w:rPr>
              <w:t>5</w:t>
            </w:r>
          </w:p>
        </w:tc>
        <w:tc>
          <w:tcPr>
            <w:tcW w:w="1074" w:type="dxa"/>
            <w:shd w:val="clear" w:color="auto" w:fill="auto"/>
            <w:vAlign w:val="center"/>
          </w:tcPr>
          <w:p>
            <w:pPr>
              <w:jc w:val="center"/>
              <w:rPr>
                <w:bCs/>
              </w:rPr>
            </w:pPr>
            <w:r>
              <w:rPr>
                <w:bCs/>
              </w:rPr>
              <w:t>6</w:t>
            </w:r>
          </w:p>
        </w:tc>
        <w:tc>
          <w:tcPr>
            <w:tcW w:w="1062" w:type="dxa"/>
            <w:shd w:val="clear" w:color="auto" w:fill="auto"/>
            <w:vAlign w:val="center"/>
          </w:tcPr>
          <w:p>
            <w:pPr>
              <w:ind w:left="-57" w:right="-57"/>
              <w:jc w:val="center"/>
              <w:rPr>
                <w:bCs/>
              </w:rPr>
            </w:pPr>
            <w:r>
              <w:rPr>
                <w:bCs/>
              </w:rPr>
              <w:t>7</w:t>
            </w:r>
          </w:p>
        </w:tc>
        <w:tc>
          <w:tcPr>
            <w:tcW w:w="957" w:type="dxa"/>
            <w:vAlign w:val="center"/>
          </w:tcPr>
          <w:p>
            <w:pPr>
              <w:ind w:left="-57" w:right="-108"/>
              <w:jc w:val="center"/>
              <w:rPr>
                <w:rFonts w:ascii="Times New Roman" w:hAnsi="Times New Roman"/>
                <w:sz w:val="22"/>
                <w:szCs w:val="22"/>
              </w:rPr>
            </w:pPr>
            <w:r>
              <w:rPr>
                <w:rFonts w:ascii="Times New Roman" w:hAnsi="Times New Roman"/>
                <w:sz w:val="22"/>
                <w:szCs w:val="22"/>
              </w:rPr>
              <w:t>8</w:t>
            </w:r>
          </w:p>
        </w:tc>
      </w:tr>
      <w:tr>
        <w:trPr>
          <w:jc w:val="center"/>
        </w:trPr>
        <w:tc>
          <w:tcPr>
            <w:tcW w:w="2613" w:type="dxa"/>
            <w:vAlign w:val="center"/>
          </w:tcPr>
          <w:p>
            <w:pPr>
              <w:rPr>
                <w:rFonts w:ascii="Times New Roman" w:hAnsi="Times New Roman"/>
                <w:b/>
                <w:bCs/>
                <w:highlight w:val="yellow"/>
              </w:rPr>
            </w:pPr>
            <w:r>
              <w:rPr>
                <w:rFonts w:ascii="Times New Roman" w:hAnsi="Times New Roman"/>
                <w:b/>
                <w:bCs/>
              </w:rPr>
              <w:t>ДОХОДЫ ОТ ИСПОЛЬЗОВАНИЯ ИМУЩЕСТВА, из них:</w:t>
            </w:r>
          </w:p>
        </w:tc>
        <w:tc>
          <w:tcPr>
            <w:tcW w:w="1088" w:type="dxa"/>
            <w:vAlign w:val="center"/>
          </w:tcPr>
          <w:p>
            <w:pPr>
              <w:jc w:val="right"/>
              <w:rPr>
                <w:b/>
                <w:bCs/>
              </w:rPr>
            </w:pPr>
            <w:r>
              <w:rPr>
                <w:b/>
                <w:bCs/>
              </w:rPr>
              <w:t>86 970,48</w:t>
            </w:r>
          </w:p>
        </w:tc>
        <w:tc>
          <w:tcPr>
            <w:tcW w:w="1116" w:type="dxa"/>
            <w:vAlign w:val="center"/>
          </w:tcPr>
          <w:p>
            <w:pPr>
              <w:jc w:val="right"/>
              <w:rPr>
                <w:b/>
                <w:bCs/>
              </w:rPr>
            </w:pPr>
            <w:r>
              <w:rPr>
                <w:b/>
                <w:bCs/>
              </w:rPr>
              <w:t>88 893,51</w:t>
            </w:r>
          </w:p>
        </w:tc>
        <w:tc>
          <w:tcPr>
            <w:tcW w:w="1016" w:type="dxa"/>
            <w:shd w:val="clear" w:color="auto" w:fill="auto"/>
            <w:vAlign w:val="center"/>
          </w:tcPr>
          <w:p>
            <w:pPr>
              <w:jc w:val="right"/>
              <w:rPr>
                <w:b/>
                <w:bCs/>
              </w:rPr>
            </w:pPr>
            <w:r>
              <w:rPr>
                <w:b/>
                <w:bCs/>
              </w:rPr>
              <w:t>85 349,56</w:t>
            </w:r>
          </w:p>
        </w:tc>
        <w:tc>
          <w:tcPr>
            <w:tcW w:w="788" w:type="dxa"/>
            <w:shd w:val="clear" w:color="auto" w:fill="auto"/>
            <w:vAlign w:val="center"/>
          </w:tcPr>
          <w:p>
            <w:pPr>
              <w:jc w:val="center"/>
              <w:rPr>
                <w:b/>
                <w:bCs/>
              </w:rPr>
            </w:pPr>
            <w:r>
              <w:rPr>
                <w:b/>
                <w:bCs/>
              </w:rPr>
              <w:t>96,0</w:t>
            </w:r>
          </w:p>
        </w:tc>
        <w:tc>
          <w:tcPr>
            <w:tcW w:w="1074" w:type="dxa"/>
            <w:shd w:val="clear" w:color="auto" w:fill="auto"/>
            <w:vAlign w:val="center"/>
          </w:tcPr>
          <w:p>
            <w:pPr>
              <w:jc w:val="right"/>
              <w:rPr>
                <w:b/>
                <w:bCs/>
              </w:rPr>
            </w:pPr>
            <w:r>
              <w:rPr>
                <w:b/>
                <w:bCs/>
              </w:rPr>
              <w:t>90 506,60</w:t>
            </w:r>
          </w:p>
        </w:tc>
        <w:tc>
          <w:tcPr>
            <w:tcW w:w="1062" w:type="dxa"/>
            <w:shd w:val="clear" w:color="auto" w:fill="auto"/>
            <w:vAlign w:val="center"/>
          </w:tcPr>
          <w:p>
            <w:pPr>
              <w:ind w:left="-57" w:right="-57"/>
              <w:jc w:val="right"/>
              <w:rPr>
                <w:b/>
                <w:bCs/>
              </w:rPr>
            </w:pPr>
            <w:r>
              <w:rPr>
                <w:b/>
                <w:bCs/>
              </w:rPr>
              <w:t>75 421,90</w:t>
            </w:r>
          </w:p>
        </w:tc>
        <w:tc>
          <w:tcPr>
            <w:tcW w:w="957" w:type="dxa"/>
            <w:vAlign w:val="center"/>
          </w:tcPr>
          <w:p>
            <w:pPr>
              <w:ind w:left="-57" w:right="-108"/>
              <w:jc w:val="center"/>
              <w:rPr>
                <w:rFonts w:ascii="Times New Roman" w:hAnsi="Times New Roman"/>
                <w:b/>
                <w:sz w:val="22"/>
                <w:szCs w:val="22"/>
              </w:rPr>
            </w:pPr>
          </w:p>
        </w:tc>
      </w:tr>
      <w:tr>
        <w:trPr>
          <w:trHeight w:val="983"/>
          <w:jc w:val="center"/>
        </w:trPr>
        <w:tc>
          <w:tcPr>
            <w:tcW w:w="2613" w:type="dxa"/>
            <w:vAlign w:val="center"/>
          </w:tcPr>
          <w:p>
            <w:pPr>
              <w:rPr>
                <w:rFonts w:ascii="Times New Roman" w:hAnsi="Times New Roman"/>
                <w:sz w:val="22"/>
                <w:szCs w:val="22"/>
              </w:rPr>
            </w:pPr>
            <w:r>
              <w:rPr>
                <w:rFonts w:ascii="Times New Roman" w:hAnsi="Times New Roman"/>
                <w:sz w:val="22"/>
                <w:szCs w:val="22"/>
              </w:rPr>
              <w:t xml:space="preserve">1. Доходы в виде прибыли на доли в УК по акциям, принадлежащим ЗАТО </w:t>
            </w:r>
          </w:p>
        </w:tc>
        <w:tc>
          <w:tcPr>
            <w:tcW w:w="1088" w:type="dxa"/>
            <w:vAlign w:val="center"/>
          </w:tcPr>
          <w:p>
            <w:pPr>
              <w:jc w:val="right"/>
              <w:rPr>
                <w:bCs/>
              </w:rPr>
            </w:pPr>
            <w:r>
              <w:rPr>
                <w:bCs/>
              </w:rPr>
              <w:t>456,68</w:t>
            </w:r>
          </w:p>
        </w:tc>
        <w:tc>
          <w:tcPr>
            <w:tcW w:w="1116" w:type="dxa"/>
            <w:vAlign w:val="center"/>
          </w:tcPr>
          <w:p>
            <w:pPr>
              <w:jc w:val="right"/>
              <w:rPr>
                <w:bCs/>
              </w:rPr>
            </w:pPr>
            <w:r>
              <w:rPr>
                <w:bCs/>
              </w:rPr>
              <w:t>243,09</w:t>
            </w:r>
          </w:p>
        </w:tc>
        <w:tc>
          <w:tcPr>
            <w:tcW w:w="1016" w:type="dxa"/>
            <w:shd w:val="clear" w:color="auto" w:fill="auto"/>
            <w:vAlign w:val="center"/>
          </w:tcPr>
          <w:p>
            <w:pPr>
              <w:jc w:val="right"/>
              <w:rPr>
                <w:bCs/>
              </w:rPr>
            </w:pPr>
            <w:r>
              <w:rPr>
                <w:bCs/>
              </w:rPr>
              <w:t>468,83</w:t>
            </w:r>
          </w:p>
        </w:tc>
        <w:tc>
          <w:tcPr>
            <w:tcW w:w="788" w:type="dxa"/>
            <w:shd w:val="clear" w:color="auto" w:fill="auto"/>
            <w:vAlign w:val="center"/>
          </w:tcPr>
          <w:p>
            <w:pPr>
              <w:jc w:val="center"/>
              <w:rPr>
                <w:bCs/>
              </w:rPr>
            </w:pPr>
            <w:r>
              <w:rPr>
                <w:bCs/>
              </w:rPr>
              <w:t>192,9</w:t>
            </w:r>
          </w:p>
        </w:tc>
        <w:tc>
          <w:tcPr>
            <w:tcW w:w="1074" w:type="dxa"/>
            <w:shd w:val="clear" w:color="auto" w:fill="auto"/>
            <w:vAlign w:val="center"/>
          </w:tcPr>
          <w:p>
            <w:pPr>
              <w:jc w:val="right"/>
              <w:rPr>
                <w:bCs/>
                <w:highlight w:val="yellow"/>
              </w:rPr>
            </w:pPr>
            <w:r>
              <w:rPr>
                <w:bCs/>
              </w:rPr>
              <w:t>468,83</w:t>
            </w:r>
          </w:p>
        </w:tc>
        <w:tc>
          <w:tcPr>
            <w:tcW w:w="1062" w:type="dxa"/>
            <w:shd w:val="clear" w:color="auto" w:fill="auto"/>
            <w:vAlign w:val="center"/>
          </w:tcPr>
          <w:p>
            <w:pPr>
              <w:ind w:left="-57" w:right="-57"/>
              <w:jc w:val="right"/>
              <w:rPr>
                <w:bCs/>
                <w:highlight w:val="yellow"/>
              </w:rPr>
            </w:pPr>
            <w:r>
              <w:rPr>
                <w:rFonts w:ascii="Times New Roman" w:hAnsi="Times New Roman"/>
                <w:bCs/>
              </w:rPr>
              <w:t>468,83</w:t>
            </w:r>
          </w:p>
        </w:tc>
        <w:tc>
          <w:tcPr>
            <w:tcW w:w="957" w:type="dxa"/>
            <w:vAlign w:val="center"/>
          </w:tcPr>
          <w:p>
            <w:pPr>
              <w:ind w:left="-57" w:right="-108"/>
              <w:jc w:val="center"/>
              <w:rPr>
                <w:rFonts w:ascii="Times New Roman" w:hAnsi="Times New Roman"/>
                <w:sz w:val="22"/>
                <w:szCs w:val="22"/>
                <w:highlight w:val="yellow"/>
              </w:rPr>
            </w:pPr>
            <w:r>
              <w:rPr>
                <w:rFonts w:ascii="Times New Roman" w:hAnsi="Times New Roman"/>
                <w:sz w:val="22"/>
                <w:szCs w:val="22"/>
              </w:rPr>
              <w:t>УИО</w:t>
            </w:r>
          </w:p>
        </w:tc>
      </w:tr>
      <w:tr>
        <w:trPr>
          <w:trHeight w:val="284"/>
          <w:jc w:val="center"/>
        </w:trPr>
        <w:tc>
          <w:tcPr>
            <w:tcW w:w="2613" w:type="dxa"/>
            <w:vAlign w:val="center"/>
          </w:tcPr>
          <w:p>
            <w:pPr>
              <w:rPr>
                <w:rFonts w:ascii="Times New Roman" w:hAnsi="Times New Roman"/>
                <w:sz w:val="22"/>
                <w:szCs w:val="22"/>
              </w:rPr>
            </w:pPr>
            <w:r>
              <w:rPr>
                <w:rFonts w:ascii="Times New Roman" w:hAnsi="Times New Roman"/>
                <w:sz w:val="22"/>
                <w:szCs w:val="22"/>
              </w:rPr>
              <w:t xml:space="preserve">2. Арендная плата </w:t>
            </w:r>
            <w:r>
              <w:rPr>
                <w:rFonts w:ascii="Times New Roman" w:hAnsi="Times New Roman"/>
                <w:sz w:val="22"/>
                <w:szCs w:val="22"/>
              </w:rPr>
              <w:br/>
              <w:t>за землю</w:t>
            </w:r>
          </w:p>
        </w:tc>
        <w:tc>
          <w:tcPr>
            <w:tcW w:w="1088" w:type="dxa"/>
            <w:vAlign w:val="center"/>
          </w:tcPr>
          <w:p>
            <w:pPr>
              <w:jc w:val="right"/>
              <w:rPr>
                <w:bCs/>
              </w:rPr>
            </w:pPr>
            <w:r>
              <w:rPr>
                <w:bCs/>
              </w:rPr>
              <w:t>46 785,72</w:t>
            </w:r>
          </w:p>
        </w:tc>
        <w:tc>
          <w:tcPr>
            <w:tcW w:w="1116" w:type="dxa"/>
            <w:vAlign w:val="center"/>
          </w:tcPr>
          <w:p>
            <w:pPr>
              <w:jc w:val="right"/>
              <w:rPr>
                <w:bCs/>
              </w:rPr>
            </w:pPr>
            <w:r>
              <w:rPr>
                <w:bCs/>
              </w:rPr>
              <w:t>53 539,87</w:t>
            </w:r>
          </w:p>
        </w:tc>
        <w:tc>
          <w:tcPr>
            <w:tcW w:w="1016" w:type="dxa"/>
            <w:shd w:val="clear" w:color="auto" w:fill="auto"/>
            <w:vAlign w:val="center"/>
          </w:tcPr>
          <w:p>
            <w:pPr>
              <w:jc w:val="right"/>
              <w:rPr>
                <w:bCs/>
              </w:rPr>
            </w:pPr>
            <w:r>
              <w:rPr>
                <w:bCs/>
              </w:rPr>
              <w:t>43 378,12</w:t>
            </w:r>
          </w:p>
        </w:tc>
        <w:tc>
          <w:tcPr>
            <w:tcW w:w="788" w:type="dxa"/>
            <w:shd w:val="clear" w:color="auto" w:fill="auto"/>
            <w:vAlign w:val="center"/>
          </w:tcPr>
          <w:p>
            <w:pPr>
              <w:jc w:val="center"/>
              <w:rPr>
                <w:bCs/>
              </w:rPr>
            </w:pPr>
            <w:r>
              <w:rPr>
                <w:bCs/>
              </w:rPr>
              <w:t>81,0</w:t>
            </w:r>
          </w:p>
        </w:tc>
        <w:tc>
          <w:tcPr>
            <w:tcW w:w="1074" w:type="dxa"/>
            <w:shd w:val="clear" w:color="auto" w:fill="auto"/>
            <w:vAlign w:val="center"/>
          </w:tcPr>
          <w:p>
            <w:pPr>
              <w:jc w:val="right"/>
              <w:rPr>
                <w:bCs/>
              </w:rPr>
            </w:pPr>
            <w:r>
              <w:rPr>
                <w:bCs/>
              </w:rPr>
              <w:t>49 807,32</w:t>
            </w:r>
          </w:p>
        </w:tc>
        <w:tc>
          <w:tcPr>
            <w:tcW w:w="1062" w:type="dxa"/>
            <w:shd w:val="clear" w:color="auto" w:fill="auto"/>
            <w:vAlign w:val="center"/>
          </w:tcPr>
          <w:p>
            <w:pPr>
              <w:ind w:left="-57" w:right="-57"/>
              <w:jc w:val="right"/>
              <w:rPr>
                <w:bCs/>
              </w:rPr>
            </w:pPr>
            <w:r>
              <w:rPr>
                <w:bCs/>
              </w:rPr>
              <w:t>37 622,62</w:t>
            </w:r>
          </w:p>
        </w:tc>
        <w:tc>
          <w:tcPr>
            <w:tcW w:w="957" w:type="dxa"/>
            <w:vAlign w:val="center"/>
          </w:tcPr>
          <w:p>
            <w:pPr>
              <w:ind w:left="-57" w:right="-108"/>
              <w:jc w:val="center"/>
              <w:rPr>
                <w:rFonts w:ascii="Times New Roman" w:hAnsi="Times New Roman"/>
                <w:sz w:val="22"/>
                <w:szCs w:val="22"/>
                <w:highlight w:val="yellow"/>
              </w:rPr>
            </w:pPr>
            <w:r>
              <w:rPr>
                <w:rFonts w:ascii="Times New Roman" w:hAnsi="Times New Roman"/>
                <w:sz w:val="22"/>
                <w:szCs w:val="22"/>
              </w:rPr>
              <w:t>УИО</w:t>
            </w:r>
          </w:p>
        </w:tc>
      </w:tr>
      <w:tr>
        <w:trPr>
          <w:trHeight w:val="443"/>
          <w:jc w:val="center"/>
        </w:trPr>
        <w:tc>
          <w:tcPr>
            <w:tcW w:w="2613" w:type="dxa"/>
            <w:vAlign w:val="center"/>
          </w:tcPr>
          <w:p>
            <w:pPr>
              <w:rPr>
                <w:rFonts w:ascii="Times New Roman" w:hAnsi="Times New Roman"/>
                <w:sz w:val="22"/>
                <w:szCs w:val="22"/>
              </w:rPr>
            </w:pPr>
            <w:r>
              <w:rPr>
                <w:rFonts w:ascii="Times New Roman" w:hAnsi="Times New Roman"/>
                <w:sz w:val="22"/>
                <w:szCs w:val="22"/>
              </w:rPr>
              <w:t xml:space="preserve">3. Аренда помещений </w:t>
            </w:r>
          </w:p>
        </w:tc>
        <w:tc>
          <w:tcPr>
            <w:tcW w:w="1088" w:type="dxa"/>
            <w:vAlign w:val="center"/>
          </w:tcPr>
          <w:p>
            <w:pPr>
              <w:jc w:val="right"/>
              <w:rPr>
                <w:bCs/>
              </w:rPr>
            </w:pPr>
            <w:r>
              <w:rPr>
                <w:bCs/>
              </w:rPr>
              <w:t>23 391,23</w:t>
            </w:r>
          </w:p>
        </w:tc>
        <w:tc>
          <w:tcPr>
            <w:tcW w:w="1116" w:type="dxa"/>
            <w:vAlign w:val="center"/>
          </w:tcPr>
          <w:p>
            <w:pPr>
              <w:jc w:val="right"/>
              <w:rPr>
                <w:bCs/>
              </w:rPr>
            </w:pPr>
            <w:r>
              <w:rPr>
                <w:bCs/>
              </w:rPr>
              <w:t>20 076,70</w:t>
            </w:r>
          </w:p>
        </w:tc>
        <w:tc>
          <w:tcPr>
            <w:tcW w:w="1016" w:type="dxa"/>
            <w:shd w:val="clear" w:color="auto" w:fill="auto"/>
            <w:vAlign w:val="center"/>
          </w:tcPr>
          <w:p>
            <w:pPr>
              <w:jc w:val="right"/>
              <w:rPr>
                <w:bCs/>
              </w:rPr>
            </w:pPr>
            <w:r>
              <w:rPr>
                <w:bCs/>
              </w:rPr>
              <w:t>25 925,47</w:t>
            </w:r>
          </w:p>
        </w:tc>
        <w:tc>
          <w:tcPr>
            <w:tcW w:w="788" w:type="dxa"/>
            <w:shd w:val="clear" w:color="auto" w:fill="auto"/>
            <w:vAlign w:val="center"/>
          </w:tcPr>
          <w:p>
            <w:pPr>
              <w:jc w:val="center"/>
              <w:rPr>
                <w:bCs/>
              </w:rPr>
            </w:pPr>
            <w:r>
              <w:rPr>
                <w:bCs/>
              </w:rPr>
              <w:t>129,1</w:t>
            </w:r>
          </w:p>
        </w:tc>
        <w:tc>
          <w:tcPr>
            <w:tcW w:w="1074" w:type="dxa"/>
            <w:shd w:val="clear" w:color="auto" w:fill="auto"/>
            <w:vAlign w:val="center"/>
          </w:tcPr>
          <w:p>
            <w:pPr>
              <w:jc w:val="right"/>
              <w:rPr>
                <w:bCs/>
              </w:rPr>
            </w:pPr>
            <w:r>
              <w:rPr>
                <w:bCs/>
              </w:rPr>
              <w:t>25 477,67</w:t>
            </w:r>
          </w:p>
        </w:tc>
        <w:tc>
          <w:tcPr>
            <w:tcW w:w="1062" w:type="dxa"/>
            <w:shd w:val="clear" w:color="auto" w:fill="auto"/>
            <w:vAlign w:val="center"/>
          </w:tcPr>
          <w:p>
            <w:pPr>
              <w:ind w:left="-57" w:right="-57"/>
              <w:jc w:val="right"/>
              <w:rPr>
                <w:bCs/>
              </w:rPr>
            </w:pPr>
            <w:r>
              <w:rPr>
                <w:bCs/>
              </w:rPr>
              <w:t>24 329,82</w:t>
            </w:r>
          </w:p>
        </w:tc>
        <w:tc>
          <w:tcPr>
            <w:tcW w:w="957" w:type="dxa"/>
            <w:vAlign w:val="center"/>
          </w:tcPr>
          <w:p>
            <w:pPr>
              <w:ind w:left="-57" w:right="-108"/>
              <w:jc w:val="center"/>
              <w:rPr>
                <w:rFonts w:ascii="Times New Roman" w:hAnsi="Times New Roman"/>
                <w:sz w:val="22"/>
                <w:szCs w:val="22"/>
                <w:highlight w:val="yellow"/>
              </w:rPr>
            </w:pPr>
            <w:r>
              <w:rPr>
                <w:rFonts w:ascii="Times New Roman" w:hAnsi="Times New Roman"/>
                <w:sz w:val="22"/>
                <w:szCs w:val="22"/>
              </w:rPr>
              <w:t>УИО</w:t>
            </w:r>
          </w:p>
        </w:tc>
      </w:tr>
      <w:tr>
        <w:trPr>
          <w:trHeight w:val="420"/>
          <w:jc w:val="center"/>
        </w:trPr>
        <w:tc>
          <w:tcPr>
            <w:tcW w:w="2613" w:type="dxa"/>
            <w:vAlign w:val="center"/>
          </w:tcPr>
          <w:p>
            <w:pPr>
              <w:rPr>
                <w:rFonts w:ascii="Times New Roman" w:hAnsi="Times New Roman"/>
                <w:sz w:val="22"/>
                <w:szCs w:val="22"/>
              </w:rPr>
            </w:pPr>
            <w:r>
              <w:rPr>
                <w:rFonts w:ascii="Times New Roman" w:hAnsi="Times New Roman"/>
                <w:sz w:val="22"/>
                <w:szCs w:val="22"/>
              </w:rPr>
              <w:t xml:space="preserve">4. Аренда инж. сетей </w:t>
            </w:r>
          </w:p>
        </w:tc>
        <w:tc>
          <w:tcPr>
            <w:tcW w:w="1088" w:type="dxa"/>
            <w:vAlign w:val="center"/>
          </w:tcPr>
          <w:p>
            <w:pPr>
              <w:jc w:val="right"/>
              <w:rPr>
                <w:bCs/>
              </w:rPr>
            </w:pPr>
            <w:r>
              <w:rPr>
                <w:bCs/>
              </w:rPr>
              <w:t>1 148,33</w:t>
            </w:r>
          </w:p>
        </w:tc>
        <w:tc>
          <w:tcPr>
            <w:tcW w:w="1116" w:type="dxa"/>
            <w:vAlign w:val="center"/>
          </w:tcPr>
          <w:p>
            <w:pPr>
              <w:jc w:val="right"/>
              <w:rPr>
                <w:bCs/>
              </w:rPr>
            </w:pPr>
            <w:r>
              <w:rPr>
                <w:bCs/>
              </w:rPr>
              <w:t>1 270,39</w:t>
            </w:r>
          </w:p>
        </w:tc>
        <w:tc>
          <w:tcPr>
            <w:tcW w:w="1016" w:type="dxa"/>
            <w:shd w:val="clear" w:color="auto" w:fill="auto"/>
            <w:vAlign w:val="center"/>
          </w:tcPr>
          <w:p>
            <w:pPr>
              <w:jc w:val="right"/>
              <w:rPr>
                <w:bCs/>
              </w:rPr>
            </w:pPr>
            <w:r>
              <w:rPr>
                <w:bCs/>
              </w:rPr>
              <w:t>1 300,07</w:t>
            </w:r>
          </w:p>
        </w:tc>
        <w:tc>
          <w:tcPr>
            <w:tcW w:w="788" w:type="dxa"/>
            <w:shd w:val="clear" w:color="auto" w:fill="auto"/>
            <w:vAlign w:val="center"/>
          </w:tcPr>
          <w:p>
            <w:pPr>
              <w:jc w:val="center"/>
              <w:rPr>
                <w:bCs/>
              </w:rPr>
            </w:pPr>
            <w:r>
              <w:rPr>
                <w:bCs/>
              </w:rPr>
              <w:t>102,3</w:t>
            </w:r>
          </w:p>
        </w:tc>
        <w:tc>
          <w:tcPr>
            <w:tcW w:w="1074" w:type="dxa"/>
            <w:shd w:val="clear" w:color="auto" w:fill="auto"/>
            <w:vAlign w:val="center"/>
          </w:tcPr>
          <w:p>
            <w:pPr>
              <w:jc w:val="right"/>
              <w:rPr>
                <w:bCs/>
              </w:rPr>
            </w:pPr>
            <w:r>
              <w:rPr>
                <w:bCs/>
              </w:rPr>
              <w:t>1 247,85</w:t>
            </w:r>
          </w:p>
        </w:tc>
        <w:tc>
          <w:tcPr>
            <w:tcW w:w="1062" w:type="dxa"/>
            <w:shd w:val="clear" w:color="auto" w:fill="auto"/>
            <w:vAlign w:val="center"/>
          </w:tcPr>
          <w:p>
            <w:pPr>
              <w:ind w:left="-57" w:right="-57"/>
              <w:jc w:val="right"/>
              <w:rPr>
                <w:bCs/>
              </w:rPr>
            </w:pPr>
            <w:r>
              <w:rPr>
                <w:bCs/>
              </w:rPr>
              <w:t>575,37</w:t>
            </w:r>
          </w:p>
        </w:tc>
        <w:tc>
          <w:tcPr>
            <w:tcW w:w="957" w:type="dxa"/>
            <w:vAlign w:val="center"/>
          </w:tcPr>
          <w:p>
            <w:pPr>
              <w:ind w:left="-57" w:right="-108"/>
              <w:jc w:val="center"/>
              <w:rPr>
                <w:rFonts w:ascii="Times New Roman" w:hAnsi="Times New Roman"/>
                <w:sz w:val="22"/>
                <w:szCs w:val="22"/>
                <w:highlight w:val="yellow"/>
              </w:rPr>
            </w:pPr>
            <w:r>
              <w:rPr>
                <w:rFonts w:ascii="Times New Roman" w:hAnsi="Times New Roman"/>
                <w:sz w:val="22"/>
                <w:szCs w:val="22"/>
              </w:rPr>
              <w:t>УИО</w:t>
            </w:r>
          </w:p>
        </w:tc>
      </w:tr>
      <w:tr>
        <w:trPr>
          <w:trHeight w:val="559"/>
          <w:jc w:val="center"/>
        </w:trPr>
        <w:tc>
          <w:tcPr>
            <w:tcW w:w="2613" w:type="dxa"/>
            <w:vAlign w:val="center"/>
          </w:tcPr>
          <w:p>
            <w:pPr>
              <w:rPr>
                <w:rFonts w:ascii="Times New Roman" w:hAnsi="Times New Roman"/>
                <w:sz w:val="22"/>
                <w:szCs w:val="22"/>
              </w:rPr>
            </w:pPr>
            <w:r>
              <w:rPr>
                <w:rFonts w:ascii="Times New Roman" w:hAnsi="Times New Roman"/>
                <w:sz w:val="22"/>
                <w:szCs w:val="22"/>
              </w:rPr>
              <w:t>5. Аренда движимого имущества</w:t>
            </w:r>
          </w:p>
        </w:tc>
        <w:tc>
          <w:tcPr>
            <w:tcW w:w="1088" w:type="dxa"/>
            <w:vAlign w:val="center"/>
          </w:tcPr>
          <w:p>
            <w:pPr>
              <w:jc w:val="right"/>
              <w:rPr>
                <w:bCs/>
              </w:rPr>
            </w:pPr>
            <w:r>
              <w:rPr>
                <w:bCs/>
              </w:rPr>
              <w:t>1 274,45</w:t>
            </w:r>
          </w:p>
        </w:tc>
        <w:tc>
          <w:tcPr>
            <w:tcW w:w="1116" w:type="dxa"/>
            <w:vAlign w:val="center"/>
          </w:tcPr>
          <w:p>
            <w:pPr>
              <w:jc w:val="right"/>
              <w:rPr>
                <w:bCs/>
              </w:rPr>
            </w:pPr>
            <w:r>
              <w:rPr>
                <w:bCs/>
              </w:rPr>
              <w:t>1 839,55</w:t>
            </w:r>
          </w:p>
        </w:tc>
        <w:tc>
          <w:tcPr>
            <w:tcW w:w="1016" w:type="dxa"/>
            <w:shd w:val="clear" w:color="auto" w:fill="auto"/>
            <w:vAlign w:val="center"/>
          </w:tcPr>
          <w:p>
            <w:pPr>
              <w:jc w:val="right"/>
              <w:rPr>
                <w:bCs/>
              </w:rPr>
            </w:pPr>
            <w:r>
              <w:rPr>
                <w:bCs/>
              </w:rPr>
              <w:t>1 774,45</w:t>
            </w:r>
          </w:p>
        </w:tc>
        <w:tc>
          <w:tcPr>
            <w:tcW w:w="788" w:type="dxa"/>
            <w:shd w:val="clear" w:color="auto" w:fill="auto"/>
            <w:vAlign w:val="center"/>
          </w:tcPr>
          <w:p>
            <w:pPr>
              <w:jc w:val="center"/>
              <w:rPr>
                <w:bCs/>
              </w:rPr>
            </w:pPr>
            <w:r>
              <w:rPr>
                <w:bCs/>
              </w:rPr>
              <w:t>96,5</w:t>
            </w:r>
          </w:p>
        </w:tc>
        <w:tc>
          <w:tcPr>
            <w:tcW w:w="1074" w:type="dxa"/>
            <w:shd w:val="clear" w:color="auto" w:fill="auto"/>
            <w:vAlign w:val="center"/>
          </w:tcPr>
          <w:p>
            <w:pPr>
              <w:jc w:val="right"/>
              <w:rPr>
                <w:bCs/>
              </w:rPr>
            </w:pPr>
            <w:r>
              <w:rPr>
                <w:bCs/>
              </w:rPr>
              <w:t>1 474,45</w:t>
            </w:r>
          </w:p>
        </w:tc>
        <w:tc>
          <w:tcPr>
            <w:tcW w:w="1062" w:type="dxa"/>
            <w:shd w:val="clear" w:color="auto" w:fill="auto"/>
            <w:vAlign w:val="center"/>
          </w:tcPr>
          <w:p>
            <w:pPr>
              <w:ind w:left="-57" w:right="-57"/>
              <w:jc w:val="right"/>
              <w:rPr>
                <w:bCs/>
              </w:rPr>
            </w:pPr>
            <w:r>
              <w:rPr>
                <w:bCs/>
              </w:rPr>
              <w:t>1 174,45</w:t>
            </w:r>
          </w:p>
        </w:tc>
        <w:tc>
          <w:tcPr>
            <w:tcW w:w="957" w:type="dxa"/>
            <w:vAlign w:val="center"/>
          </w:tcPr>
          <w:p>
            <w:pPr>
              <w:ind w:left="-57" w:right="-108"/>
              <w:jc w:val="center"/>
              <w:rPr>
                <w:rFonts w:ascii="Times New Roman" w:hAnsi="Times New Roman"/>
                <w:sz w:val="22"/>
                <w:szCs w:val="22"/>
                <w:highlight w:val="yellow"/>
              </w:rPr>
            </w:pPr>
            <w:r>
              <w:rPr>
                <w:rFonts w:ascii="Times New Roman" w:hAnsi="Times New Roman"/>
                <w:sz w:val="22"/>
                <w:szCs w:val="22"/>
              </w:rPr>
              <w:t>УИО</w:t>
            </w:r>
          </w:p>
        </w:tc>
      </w:tr>
      <w:tr>
        <w:trPr>
          <w:trHeight w:val="422"/>
          <w:jc w:val="center"/>
        </w:trPr>
        <w:tc>
          <w:tcPr>
            <w:tcW w:w="2613" w:type="dxa"/>
            <w:vAlign w:val="center"/>
          </w:tcPr>
          <w:p>
            <w:pPr>
              <w:jc w:val="center"/>
              <w:rPr>
                <w:rFonts w:ascii="Times New Roman" w:hAnsi="Times New Roman"/>
                <w:bCs/>
              </w:rPr>
            </w:pPr>
            <w:r>
              <w:rPr>
                <w:rFonts w:ascii="Times New Roman" w:hAnsi="Times New Roman"/>
                <w:bCs/>
              </w:rPr>
              <w:lastRenderedPageBreak/>
              <w:t>1</w:t>
            </w:r>
          </w:p>
        </w:tc>
        <w:tc>
          <w:tcPr>
            <w:tcW w:w="1088" w:type="dxa"/>
            <w:vAlign w:val="center"/>
          </w:tcPr>
          <w:p>
            <w:pPr>
              <w:jc w:val="center"/>
              <w:rPr>
                <w:bCs/>
              </w:rPr>
            </w:pPr>
            <w:r>
              <w:rPr>
                <w:bCs/>
              </w:rPr>
              <w:t>2</w:t>
            </w:r>
          </w:p>
        </w:tc>
        <w:tc>
          <w:tcPr>
            <w:tcW w:w="1116" w:type="dxa"/>
            <w:vAlign w:val="center"/>
          </w:tcPr>
          <w:p>
            <w:pPr>
              <w:jc w:val="center"/>
              <w:rPr>
                <w:bCs/>
              </w:rPr>
            </w:pPr>
            <w:r>
              <w:rPr>
                <w:bCs/>
              </w:rPr>
              <w:t>3</w:t>
            </w:r>
          </w:p>
        </w:tc>
        <w:tc>
          <w:tcPr>
            <w:tcW w:w="1016" w:type="dxa"/>
            <w:shd w:val="clear" w:color="auto" w:fill="auto"/>
            <w:vAlign w:val="center"/>
          </w:tcPr>
          <w:p>
            <w:pPr>
              <w:jc w:val="center"/>
              <w:rPr>
                <w:bCs/>
              </w:rPr>
            </w:pPr>
            <w:r>
              <w:rPr>
                <w:bCs/>
              </w:rPr>
              <w:t>4</w:t>
            </w:r>
          </w:p>
        </w:tc>
        <w:tc>
          <w:tcPr>
            <w:tcW w:w="788" w:type="dxa"/>
            <w:shd w:val="clear" w:color="auto" w:fill="auto"/>
            <w:vAlign w:val="center"/>
          </w:tcPr>
          <w:p>
            <w:pPr>
              <w:jc w:val="center"/>
              <w:rPr>
                <w:bCs/>
              </w:rPr>
            </w:pPr>
            <w:r>
              <w:rPr>
                <w:bCs/>
              </w:rPr>
              <w:t>5</w:t>
            </w:r>
          </w:p>
        </w:tc>
        <w:tc>
          <w:tcPr>
            <w:tcW w:w="1074" w:type="dxa"/>
            <w:shd w:val="clear" w:color="auto" w:fill="auto"/>
            <w:vAlign w:val="center"/>
          </w:tcPr>
          <w:p>
            <w:pPr>
              <w:jc w:val="center"/>
              <w:rPr>
                <w:bCs/>
              </w:rPr>
            </w:pPr>
            <w:r>
              <w:rPr>
                <w:bCs/>
              </w:rPr>
              <w:t>6</w:t>
            </w:r>
          </w:p>
        </w:tc>
        <w:tc>
          <w:tcPr>
            <w:tcW w:w="1062" w:type="dxa"/>
            <w:shd w:val="clear" w:color="auto" w:fill="auto"/>
            <w:vAlign w:val="center"/>
          </w:tcPr>
          <w:p>
            <w:pPr>
              <w:ind w:left="-57" w:right="-57"/>
              <w:jc w:val="center"/>
              <w:rPr>
                <w:bCs/>
              </w:rPr>
            </w:pPr>
            <w:r>
              <w:rPr>
                <w:bCs/>
              </w:rPr>
              <w:t>7</w:t>
            </w:r>
          </w:p>
        </w:tc>
        <w:tc>
          <w:tcPr>
            <w:tcW w:w="957" w:type="dxa"/>
            <w:vAlign w:val="center"/>
          </w:tcPr>
          <w:p>
            <w:pPr>
              <w:ind w:left="-57" w:right="-108"/>
              <w:jc w:val="center"/>
              <w:rPr>
                <w:rFonts w:ascii="Times New Roman" w:hAnsi="Times New Roman"/>
                <w:sz w:val="22"/>
                <w:szCs w:val="22"/>
              </w:rPr>
            </w:pPr>
            <w:r>
              <w:rPr>
                <w:rFonts w:ascii="Times New Roman" w:hAnsi="Times New Roman"/>
                <w:sz w:val="22"/>
                <w:szCs w:val="22"/>
              </w:rPr>
              <w:t>8</w:t>
            </w:r>
          </w:p>
        </w:tc>
      </w:tr>
      <w:tr>
        <w:trPr>
          <w:trHeight w:val="637"/>
          <w:jc w:val="center"/>
        </w:trPr>
        <w:tc>
          <w:tcPr>
            <w:tcW w:w="2613" w:type="dxa"/>
            <w:vAlign w:val="center"/>
          </w:tcPr>
          <w:p>
            <w:pPr>
              <w:rPr>
                <w:rFonts w:ascii="Times New Roman" w:hAnsi="Times New Roman"/>
                <w:sz w:val="22"/>
                <w:szCs w:val="22"/>
              </w:rPr>
            </w:pPr>
            <w:r>
              <w:rPr>
                <w:rFonts w:ascii="Times New Roman" w:hAnsi="Times New Roman"/>
                <w:sz w:val="22"/>
                <w:szCs w:val="22"/>
              </w:rPr>
              <w:t>6. Плата за наем жилых помещений</w:t>
            </w:r>
          </w:p>
        </w:tc>
        <w:tc>
          <w:tcPr>
            <w:tcW w:w="1088" w:type="dxa"/>
            <w:vAlign w:val="center"/>
          </w:tcPr>
          <w:p>
            <w:pPr>
              <w:jc w:val="right"/>
              <w:rPr>
                <w:bCs/>
              </w:rPr>
            </w:pPr>
            <w:r>
              <w:rPr>
                <w:bCs/>
              </w:rPr>
              <w:t>7 261,60</w:t>
            </w:r>
          </w:p>
        </w:tc>
        <w:tc>
          <w:tcPr>
            <w:tcW w:w="1116" w:type="dxa"/>
            <w:vAlign w:val="center"/>
          </w:tcPr>
          <w:p>
            <w:pPr>
              <w:jc w:val="right"/>
              <w:rPr>
                <w:bCs/>
              </w:rPr>
            </w:pPr>
            <w:r>
              <w:rPr>
                <w:bCs/>
              </w:rPr>
              <w:t>7 261,60</w:t>
            </w:r>
          </w:p>
        </w:tc>
        <w:tc>
          <w:tcPr>
            <w:tcW w:w="1016" w:type="dxa"/>
            <w:shd w:val="clear" w:color="auto" w:fill="auto"/>
            <w:vAlign w:val="center"/>
          </w:tcPr>
          <w:p>
            <w:pPr>
              <w:jc w:val="right"/>
              <w:rPr>
                <w:bCs/>
              </w:rPr>
            </w:pPr>
            <w:r>
              <w:rPr>
                <w:bCs/>
              </w:rPr>
              <w:t>7 149,40</w:t>
            </w:r>
          </w:p>
        </w:tc>
        <w:tc>
          <w:tcPr>
            <w:tcW w:w="788" w:type="dxa"/>
            <w:shd w:val="clear" w:color="auto" w:fill="auto"/>
            <w:vAlign w:val="center"/>
          </w:tcPr>
          <w:p>
            <w:pPr>
              <w:jc w:val="center"/>
              <w:rPr>
                <w:bCs/>
              </w:rPr>
            </w:pPr>
            <w:r>
              <w:rPr>
                <w:bCs/>
              </w:rPr>
              <w:t>98,9</w:t>
            </w:r>
          </w:p>
        </w:tc>
        <w:tc>
          <w:tcPr>
            <w:tcW w:w="1074" w:type="dxa"/>
            <w:shd w:val="clear" w:color="auto" w:fill="auto"/>
            <w:vAlign w:val="center"/>
          </w:tcPr>
          <w:p>
            <w:pPr>
              <w:jc w:val="right"/>
              <w:rPr>
                <w:bCs/>
              </w:rPr>
            </w:pPr>
            <w:r>
              <w:rPr>
                <w:bCs/>
              </w:rPr>
              <w:t>6 934,85</w:t>
            </w:r>
          </w:p>
        </w:tc>
        <w:tc>
          <w:tcPr>
            <w:tcW w:w="1062" w:type="dxa"/>
            <w:shd w:val="clear" w:color="auto" w:fill="auto"/>
            <w:vAlign w:val="center"/>
          </w:tcPr>
          <w:p>
            <w:pPr>
              <w:ind w:left="-57" w:right="-57"/>
              <w:jc w:val="right"/>
              <w:rPr>
                <w:bCs/>
              </w:rPr>
            </w:pPr>
            <w:r>
              <w:rPr>
                <w:bCs/>
              </w:rPr>
              <w:t>6 712,12</w:t>
            </w:r>
          </w:p>
        </w:tc>
        <w:tc>
          <w:tcPr>
            <w:tcW w:w="957" w:type="dxa"/>
            <w:vAlign w:val="center"/>
          </w:tcPr>
          <w:p>
            <w:pPr>
              <w:tabs>
                <w:tab w:val="left" w:pos="1463"/>
              </w:tabs>
              <w:ind w:left="-57" w:right="-108"/>
              <w:jc w:val="center"/>
              <w:rPr>
                <w:rFonts w:ascii="Times New Roman" w:hAnsi="Times New Roman"/>
                <w:sz w:val="22"/>
                <w:szCs w:val="22"/>
              </w:rPr>
            </w:pPr>
            <w:r>
              <w:rPr>
                <w:rFonts w:ascii="Times New Roman" w:hAnsi="Times New Roman"/>
                <w:sz w:val="22"/>
                <w:szCs w:val="22"/>
              </w:rPr>
              <w:t>УЖКХ ТиС</w:t>
            </w:r>
          </w:p>
        </w:tc>
      </w:tr>
      <w:tr>
        <w:trPr>
          <w:trHeight w:val="593"/>
          <w:jc w:val="center"/>
        </w:trPr>
        <w:tc>
          <w:tcPr>
            <w:tcW w:w="2613" w:type="dxa"/>
            <w:vAlign w:val="center"/>
          </w:tcPr>
          <w:p>
            <w:pPr>
              <w:rPr>
                <w:rFonts w:ascii="Times New Roman" w:hAnsi="Times New Roman"/>
                <w:sz w:val="22"/>
                <w:szCs w:val="22"/>
              </w:rPr>
            </w:pPr>
            <w:r>
              <w:rPr>
                <w:rFonts w:ascii="Times New Roman" w:hAnsi="Times New Roman"/>
                <w:sz w:val="22"/>
                <w:szCs w:val="22"/>
              </w:rPr>
              <w:t>7. Аренда рекламных конструкций</w:t>
            </w:r>
          </w:p>
        </w:tc>
        <w:tc>
          <w:tcPr>
            <w:tcW w:w="1088" w:type="dxa"/>
            <w:vAlign w:val="center"/>
          </w:tcPr>
          <w:p>
            <w:pPr>
              <w:jc w:val="right"/>
              <w:rPr>
                <w:bCs/>
              </w:rPr>
            </w:pPr>
            <w:r>
              <w:rPr>
                <w:bCs/>
              </w:rPr>
              <w:t>4 487,09</w:t>
            </w:r>
          </w:p>
        </w:tc>
        <w:tc>
          <w:tcPr>
            <w:tcW w:w="1116" w:type="dxa"/>
            <w:vAlign w:val="center"/>
          </w:tcPr>
          <w:p>
            <w:pPr>
              <w:jc w:val="right"/>
              <w:rPr>
                <w:bCs/>
              </w:rPr>
            </w:pPr>
            <w:r>
              <w:rPr>
                <w:bCs/>
              </w:rPr>
              <w:t>2 984,30</w:t>
            </w:r>
          </w:p>
        </w:tc>
        <w:tc>
          <w:tcPr>
            <w:tcW w:w="1016" w:type="dxa"/>
            <w:shd w:val="clear" w:color="auto" w:fill="auto"/>
            <w:vAlign w:val="center"/>
          </w:tcPr>
          <w:p>
            <w:pPr>
              <w:jc w:val="right"/>
              <w:rPr>
                <w:bCs/>
              </w:rPr>
            </w:pPr>
            <w:r>
              <w:rPr>
                <w:bCs/>
              </w:rPr>
              <w:t>2 935,86</w:t>
            </w:r>
          </w:p>
        </w:tc>
        <w:tc>
          <w:tcPr>
            <w:tcW w:w="788" w:type="dxa"/>
            <w:shd w:val="clear" w:color="auto" w:fill="auto"/>
            <w:vAlign w:val="center"/>
          </w:tcPr>
          <w:p>
            <w:pPr>
              <w:jc w:val="center"/>
              <w:rPr>
                <w:bCs/>
              </w:rPr>
            </w:pPr>
            <w:r>
              <w:rPr>
                <w:bCs/>
              </w:rPr>
              <w:t>98,4</w:t>
            </w:r>
          </w:p>
        </w:tc>
        <w:tc>
          <w:tcPr>
            <w:tcW w:w="1074" w:type="dxa"/>
            <w:shd w:val="clear" w:color="auto" w:fill="auto"/>
            <w:vAlign w:val="center"/>
          </w:tcPr>
          <w:p>
            <w:pPr>
              <w:jc w:val="right"/>
              <w:rPr>
                <w:bCs/>
              </w:rPr>
            </w:pPr>
            <w:r>
              <w:rPr>
                <w:bCs/>
              </w:rPr>
              <w:t>2 935,86</w:t>
            </w:r>
          </w:p>
        </w:tc>
        <w:tc>
          <w:tcPr>
            <w:tcW w:w="1062" w:type="dxa"/>
            <w:shd w:val="clear" w:color="auto" w:fill="auto"/>
            <w:vAlign w:val="center"/>
          </w:tcPr>
          <w:p>
            <w:pPr>
              <w:ind w:left="-57" w:right="-57"/>
              <w:jc w:val="right"/>
              <w:rPr>
                <w:bCs/>
              </w:rPr>
            </w:pPr>
            <w:r>
              <w:rPr>
                <w:bCs/>
              </w:rPr>
              <w:t>2 378,92</w:t>
            </w:r>
          </w:p>
        </w:tc>
        <w:tc>
          <w:tcPr>
            <w:tcW w:w="957" w:type="dxa"/>
            <w:vAlign w:val="center"/>
          </w:tcPr>
          <w:p>
            <w:pPr>
              <w:tabs>
                <w:tab w:val="left" w:pos="1463"/>
              </w:tabs>
              <w:ind w:left="-57" w:right="-108"/>
              <w:jc w:val="center"/>
              <w:rPr>
                <w:rFonts w:ascii="Times New Roman" w:hAnsi="Times New Roman"/>
                <w:sz w:val="22"/>
                <w:szCs w:val="22"/>
                <w:highlight w:val="yellow"/>
              </w:rPr>
            </w:pPr>
            <w:r>
              <w:rPr>
                <w:rFonts w:ascii="Times New Roman" w:hAnsi="Times New Roman"/>
                <w:sz w:val="22"/>
                <w:szCs w:val="22"/>
              </w:rPr>
              <w:t>УИО</w:t>
            </w:r>
          </w:p>
        </w:tc>
      </w:tr>
      <w:tr>
        <w:trPr>
          <w:trHeight w:val="886"/>
          <w:jc w:val="center"/>
        </w:trPr>
        <w:tc>
          <w:tcPr>
            <w:tcW w:w="2613" w:type="dxa"/>
            <w:shd w:val="clear" w:color="auto" w:fill="auto"/>
            <w:vAlign w:val="center"/>
          </w:tcPr>
          <w:p>
            <w:pPr>
              <w:rPr>
                <w:rFonts w:ascii="Times New Roman" w:hAnsi="Times New Roman"/>
                <w:sz w:val="22"/>
                <w:szCs w:val="22"/>
              </w:rPr>
            </w:pPr>
            <w:r>
              <w:rPr>
                <w:rFonts w:ascii="Times New Roman" w:hAnsi="Times New Roman"/>
                <w:sz w:val="22"/>
                <w:szCs w:val="22"/>
              </w:rPr>
              <w:t>8. Плата за размещение временных торговых сооружений</w:t>
            </w:r>
          </w:p>
        </w:tc>
        <w:tc>
          <w:tcPr>
            <w:tcW w:w="1088" w:type="dxa"/>
            <w:vAlign w:val="center"/>
          </w:tcPr>
          <w:p>
            <w:pPr>
              <w:jc w:val="right"/>
              <w:rPr>
                <w:bCs/>
              </w:rPr>
            </w:pPr>
            <w:r>
              <w:rPr>
                <w:bCs/>
              </w:rPr>
              <w:t>2 165,38</w:t>
            </w:r>
          </w:p>
        </w:tc>
        <w:tc>
          <w:tcPr>
            <w:tcW w:w="1116" w:type="dxa"/>
            <w:vAlign w:val="center"/>
          </w:tcPr>
          <w:p>
            <w:pPr>
              <w:jc w:val="right"/>
              <w:rPr>
                <w:bCs/>
              </w:rPr>
            </w:pPr>
            <w:r>
              <w:rPr>
                <w:bCs/>
              </w:rPr>
              <w:t>1 678,01</w:t>
            </w:r>
          </w:p>
        </w:tc>
        <w:tc>
          <w:tcPr>
            <w:tcW w:w="1016" w:type="dxa"/>
            <w:shd w:val="clear" w:color="auto" w:fill="auto"/>
            <w:vAlign w:val="center"/>
          </w:tcPr>
          <w:p>
            <w:pPr>
              <w:jc w:val="right"/>
              <w:rPr>
                <w:bCs/>
              </w:rPr>
            </w:pPr>
            <w:r>
              <w:rPr>
                <w:bCs/>
              </w:rPr>
              <w:t>2 387,36</w:t>
            </w:r>
          </w:p>
        </w:tc>
        <w:tc>
          <w:tcPr>
            <w:tcW w:w="788" w:type="dxa"/>
            <w:shd w:val="clear" w:color="auto" w:fill="auto"/>
            <w:vAlign w:val="center"/>
          </w:tcPr>
          <w:p>
            <w:pPr>
              <w:jc w:val="center"/>
              <w:rPr>
                <w:bCs/>
              </w:rPr>
            </w:pPr>
            <w:r>
              <w:rPr>
                <w:bCs/>
              </w:rPr>
              <w:t>142,3</w:t>
            </w:r>
          </w:p>
        </w:tc>
        <w:tc>
          <w:tcPr>
            <w:tcW w:w="1074" w:type="dxa"/>
            <w:shd w:val="clear" w:color="auto" w:fill="auto"/>
            <w:vAlign w:val="center"/>
          </w:tcPr>
          <w:p>
            <w:pPr>
              <w:jc w:val="right"/>
              <w:rPr>
                <w:bCs/>
              </w:rPr>
            </w:pPr>
            <w:r>
              <w:rPr>
                <w:bCs/>
              </w:rPr>
              <w:t>2 159,77</w:t>
            </w:r>
          </w:p>
        </w:tc>
        <w:tc>
          <w:tcPr>
            <w:tcW w:w="1062" w:type="dxa"/>
            <w:shd w:val="clear" w:color="auto" w:fill="auto"/>
            <w:vAlign w:val="center"/>
          </w:tcPr>
          <w:p>
            <w:pPr>
              <w:ind w:left="-57" w:right="-57"/>
              <w:jc w:val="right"/>
              <w:rPr>
                <w:bCs/>
              </w:rPr>
            </w:pPr>
            <w:r>
              <w:rPr>
                <w:bCs/>
              </w:rPr>
              <w:t>2 159,77</w:t>
            </w:r>
          </w:p>
        </w:tc>
        <w:tc>
          <w:tcPr>
            <w:tcW w:w="957" w:type="dxa"/>
            <w:vAlign w:val="center"/>
          </w:tcPr>
          <w:p>
            <w:pPr>
              <w:ind w:left="-57" w:right="-108"/>
              <w:jc w:val="center"/>
              <w:rPr>
                <w:rFonts w:ascii="Times New Roman" w:hAnsi="Times New Roman"/>
                <w:sz w:val="22"/>
                <w:szCs w:val="22"/>
                <w:highlight w:val="yellow"/>
              </w:rPr>
            </w:pPr>
            <w:r>
              <w:rPr>
                <w:rFonts w:ascii="Times New Roman" w:hAnsi="Times New Roman"/>
                <w:sz w:val="22"/>
                <w:szCs w:val="22"/>
              </w:rPr>
              <w:t>УИО</w:t>
            </w:r>
          </w:p>
        </w:tc>
      </w:tr>
    </w:tbl>
    <w:p>
      <w:pPr>
        <w:jc w:val="both"/>
        <w:rPr>
          <w:bCs/>
          <w:iCs/>
          <w:sz w:val="16"/>
          <w:szCs w:val="16"/>
        </w:rPr>
      </w:pPr>
    </w:p>
    <w:p>
      <w:pPr>
        <w:ind w:firstLine="708"/>
        <w:jc w:val="both"/>
        <w:rPr>
          <w:bCs/>
          <w:iCs/>
          <w:sz w:val="24"/>
          <w:szCs w:val="24"/>
        </w:rPr>
      </w:pPr>
      <w:r>
        <w:rPr>
          <w:bCs/>
          <w:iCs/>
          <w:sz w:val="24"/>
          <w:szCs w:val="24"/>
        </w:rPr>
        <w:t xml:space="preserve">Доля поступлений в 2021 году в структуре налоговых и неналоговых доходов составит 7,7%, в общей сумме доходов бюджета ЗАТО Северск – 2,1%. </w:t>
      </w:r>
    </w:p>
    <w:p>
      <w:pPr>
        <w:ind w:firstLine="708"/>
        <w:jc w:val="both"/>
        <w:rPr>
          <w:bCs/>
          <w:iCs/>
          <w:sz w:val="24"/>
          <w:szCs w:val="24"/>
        </w:rPr>
      </w:pPr>
      <w:r>
        <w:rPr>
          <w:bCs/>
          <w:iCs/>
          <w:sz w:val="24"/>
          <w:szCs w:val="24"/>
        </w:rPr>
        <w:t>В 2022  и 2023 годах доля в структуре налоговых и неналоговых доходов составит по 8,1 и 6,8% соответственно, в общей сумме доходов 2,5% и 2,1% соответственно.</w:t>
      </w:r>
    </w:p>
    <w:p>
      <w:pPr>
        <w:ind w:firstLine="708"/>
        <w:jc w:val="both"/>
        <w:rPr>
          <w:bCs/>
          <w:iCs/>
          <w:sz w:val="24"/>
          <w:szCs w:val="24"/>
        </w:rPr>
      </w:pPr>
      <w:r>
        <w:rPr>
          <w:bCs/>
          <w:iCs/>
          <w:sz w:val="24"/>
          <w:szCs w:val="24"/>
        </w:rPr>
        <w:t>Расчет указанных поступлений выполнен на основе данных администраторов доходов - УИО Администрации ЗАТО Северск и УЖКХ ТиС с учетом сокращения суммы задолженности, реальной к взысканию.</w:t>
      </w:r>
    </w:p>
    <w:p>
      <w:pPr>
        <w:spacing w:before="120" w:after="60"/>
        <w:ind w:firstLine="709"/>
        <w:jc w:val="both"/>
        <w:rPr>
          <w:bCs/>
          <w:iCs/>
          <w:sz w:val="24"/>
          <w:szCs w:val="24"/>
        </w:rPr>
      </w:pPr>
      <w:r>
        <w:rPr>
          <w:bCs/>
          <w:iCs/>
          <w:sz w:val="24"/>
          <w:szCs w:val="24"/>
        </w:rPr>
        <w:t>Таблица 14 - Сумма задолженности по статье «Доходы от использования имущества, находящегося в государственной и муниципальной собственности»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891"/>
        <w:gridCol w:w="1837"/>
        <w:gridCol w:w="1558"/>
        <w:gridCol w:w="1557"/>
      </w:tblGrid>
      <w:tr>
        <w:tc>
          <w:tcPr>
            <w:tcW w:w="487" w:type="dxa"/>
            <w:vMerge w:val="restart"/>
          </w:tcPr>
          <w:p>
            <w:pPr>
              <w:jc w:val="center"/>
              <w:rPr>
                <w:rFonts w:ascii="Times New Roman" w:hAnsi="Times New Roman"/>
                <w:sz w:val="22"/>
                <w:szCs w:val="22"/>
              </w:rPr>
            </w:pPr>
            <w:r>
              <w:rPr>
                <w:rFonts w:ascii="Times New Roman" w:hAnsi="Times New Roman"/>
                <w:sz w:val="22"/>
                <w:szCs w:val="22"/>
              </w:rPr>
              <w:t>№ п/п</w:t>
            </w:r>
          </w:p>
        </w:tc>
        <w:tc>
          <w:tcPr>
            <w:tcW w:w="3908" w:type="dxa"/>
            <w:vMerge w:val="restart"/>
            <w:vAlign w:val="center"/>
          </w:tcPr>
          <w:p>
            <w:pPr>
              <w:jc w:val="center"/>
              <w:rPr>
                <w:rFonts w:ascii="Times New Roman" w:hAnsi="Times New Roman"/>
                <w:sz w:val="22"/>
                <w:szCs w:val="22"/>
              </w:rPr>
            </w:pPr>
            <w:r>
              <w:rPr>
                <w:rFonts w:ascii="Times New Roman" w:hAnsi="Times New Roman"/>
                <w:sz w:val="22"/>
                <w:szCs w:val="22"/>
              </w:rPr>
              <w:t>Наименование</w:t>
            </w:r>
          </w:p>
        </w:tc>
        <w:tc>
          <w:tcPr>
            <w:tcW w:w="4961" w:type="dxa"/>
            <w:gridSpan w:val="3"/>
          </w:tcPr>
          <w:p>
            <w:pPr>
              <w:jc w:val="center"/>
              <w:rPr>
                <w:rFonts w:ascii="Times New Roman" w:hAnsi="Times New Roman"/>
                <w:sz w:val="22"/>
                <w:szCs w:val="22"/>
              </w:rPr>
            </w:pPr>
            <w:r>
              <w:rPr>
                <w:rFonts w:ascii="Times New Roman" w:hAnsi="Times New Roman"/>
                <w:sz w:val="22"/>
                <w:szCs w:val="22"/>
              </w:rPr>
              <w:t>Задолженность на 01.01.2020, тыс.руб.</w:t>
            </w:r>
          </w:p>
        </w:tc>
      </w:tr>
      <w:tr>
        <w:tc>
          <w:tcPr>
            <w:tcW w:w="487" w:type="dxa"/>
            <w:vMerge/>
          </w:tcPr>
          <w:p>
            <w:pPr>
              <w:jc w:val="center"/>
              <w:rPr>
                <w:rFonts w:ascii="Times New Roman" w:hAnsi="Times New Roman"/>
                <w:sz w:val="22"/>
                <w:szCs w:val="22"/>
              </w:rPr>
            </w:pPr>
          </w:p>
        </w:tc>
        <w:tc>
          <w:tcPr>
            <w:tcW w:w="3908" w:type="dxa"/>
            <w:vMerge/>
          </w:tcPr>
          <w:p>
            <w:pPr>
              <w:jc w:val="center"/>
              <w:rPr>
                <w:rFonts w:ascii="Times New Roman" w:hAnsi="Times New Roman"/>
                <w:sz w:val="22"/>
                <w:szCs w:val="22"/>
              </w:rPr>
            </w:pPr>
          </w:p>
        </w:tc>
        <w:tc>
          <w:tcPr>
            <w:tcW w:w="1842" w:type="dxa"/>
            <w:vMerge w:val="restart"/>
            <w:vAlign w:val="center"/>
          </w:tcPr>
          <w:p>
            <w:pPr>
              <w:jc w:val="center"/>
              <w:rPr>
                <w:rFonts w:ascii="Times New Roman" w:hAnsi="Times New Roman"/>
                <w:sz w:val="22"/>
                <w:szCs w:val="22"/>
              </w:rPr>
            </w:pPr>
            <w:r>
              <w:rPr>
                <w:rFonts w:ascii="Times New Roman" w:hAnsi="Times New Roman"/>
                <w:sz w:val="22"/>
                <w:szCs w:val="22"/>
              </w:rPr>
              <w:t>Всего</w:t>
            </w:r>
          </w:p>
        </w:tc>
        <w:tc>
          <w:tcPr>
            <w:tcW w:w="3119" w:type="dxa"/>
            <w:gridSpan w:val="2"/>
          </w:tcPr>
          <w:p>
            <w:pPr>
              <w:jc w:val="center"/>
              <w:rPr>
                <w:rFonts w:ascii="Times New Roman" w:hAnsi="Times New Roman"/>
                <w:sz w:val="22"/>
                <w:szCs w:val="22"/>
              </w:rPr>
            </w:pPr>
            <w:r>
              <w:rPr>
                <w:rFonts w:ascii="Times New Roman" w:hAnsi="Times New Roman"/>
                <w:sz w:val="22"/>
                <w:szCs w:val="22"/>
              </w:rPr>
              <w:t>в том числе:</w:t>
            </w:r>
          </w:p>
        </w:tc>
      </w:tr>
      <w:tr>
        <w:trPr>
          <w:trHeight w:val="315"/>
        </w:trPr>
        <w:tc>
          <w:tcPr>
            <w:tcW w:w="487" w:type="dxa"/>
            <w:vMerge/>
          </w:tcPr>
          <w:p>
            <w:pPr>
              <w:jc w:val="center"/>
              <w:rPr>
                <w:rFonts w:ascii="Times New Roman" w:hAnsi="Times New Roman"/>
                <w:sz w:val="22"/>
                <w:szCs w:val="22"/>
              </w:rPr>
            </w:pPr>
          </w:p>
        </w:tc>
        <w:tc>
          <w:tcPr>
            <w:tcW w:w="3908" w:type="dxa"/>
            <w:vMerge/>
          </w:tcPr>
          <w:p>
            <w:pPr>
              <w:jc w:val="center"/>
              <w:rPr>
                <w:rFonts w:ascii="Times New Roman" w:hAnsi="Times New Roman"/>
                <w:sz w:val="22"/>
                <w:szCs w:val="22"/>
              </w:rPr>
            </w:pPr>
          </w:p>
        </w:tc>
        <w:tc>
          <w:tcPr>
            <w:tcW w:w="1842" w:type="dxa"/>
            <w:vMerge/>
          </w:tcPr>
          <w:p>
            <w:pPr>
              <w:jc w:val="center"/>
              <w:rPr>
                <w:rFonts w:ascii="Times New Roman" w:hAnsi="Times New Roman"/>
                <w:sz w:val="22"/>
                <w:szCs w:val="22"/>
              </w:rPr>
            </w:pPr>
          </w:p>
        </w:tc>
        <w:tc>
          <w:tcPr>
            <w:tcW w:w="1560" w:type="dxa"/>
          </w:tcPr>
          <w:p>
            <w:pPr>
              <w:jc w:val="center"/>
              <w:rPr>
                <w:rFonts w:ascii="Times New Roman" w:hAnsi="Times New Roman"/>
                <w:sz w:val="22"/>
                <w:szCs w:val="22"/>
              </w:rPr>
            </w:pPr>
            <w:r>
              <w:rPr>
                <w:rFonts w:ascii="Times New Roman" w:hAnsi="Times New Roman"/>
                <w:sz w:val="22"/>
                <w:szCs w:val="22"/>
              </w:rPr>
              <w:t>нереальная</w:t>
            </w:r>
          </w:p>
          <w:p>
            <w:pPr>
              <w:jc w:val="center"/>
              <w:rPr>
                <w:rFonts w:ascii="Times New Roman" w:hAnsi="Times New Roman"/>
                <w:sz w:val="22"/>
                <w:szCs w:val="22"/>
              </w:rPr>
            </w:pPr>
            <w:r>
              <w:rPr>
                <w:rFonts w:ascii="Times New Roman" w:hAnsi="Times New Roman"/>
                <w:sz w:val="22"/>
                <w:szCs w:val="22"/>
              </w:rPr>
              <w:t>к взысканию</w:t>
            </w:r>
          </w:p>
        </w:tc>
        <w:tc>
          <w:tcPr>
            <w:tcW w:w="1559" w:type="dxa"/>
          </w:tcPr>
          <w:p>
            <w:pPr>
              <w:jc w:val="center"/>
              <w:rPr>
                <w:rFonts w:ascii="Times New Roman" w:hAnsi="Times New Roman"/>
                <w:sz w:val="22"/>
                <w:szCs w:val="22"/>
              </w:rPr>
            </w:pPr>
            <w:r>
              <w:rPr>
                <w:rFonts w:ascii="Times New Roman" w:hAnsi="Times New Roman"/>
                <w:sz w:val="22"/>
                <w:szCs w:val="22"/>
              </w:rPr>
              <w:t>реальная</w:t>
            </w:r>
          </w:p>
          <w:p>
            <w:pPr>
              <w:jc w:val="center"/>
              <w:rPr>
                <w:rFonts w:ascii="Times New Roman" w:hAnsi="Times New Roman"/>
                <w:sz w:val="22"/>
                <w:szCs w:val="22"/>
              </w:rPr>
            </w:pPr>
            <w:r>
              <w:rPr>
                <w:rFonts w:ascii="Times New Roman" w:hAnsi="Times New Roman"/>
                <w:sz w:val="22"/>
                <w:szCs w:val="22"/>
              </w:rPr>
              <w:t>к взысканию</w:t>
            </w:r>
          </w:p>
        </w:tc>
      </w:tr>
      <w:tr>
        <w:trPr>
          <w:trHeight w:val="340"/>
        </w:trPr>
        <w:tc>
          <w:tcPr>
            <w:tcW w:w="487" w:type="dxa"/>
            <w:vAlign w:val="center"/>
          </w:tcPr>
          <w:p>
            <w:pPr>
              <w:rPr>
                <w:rFonts w:ascii="Times New Roman" w:hAnsi="Times New Roman"/>
                <w:sz w:val="22"/>
                <w:szCs w:val="22"/>
              </w:rPr>
            </w:pPr>
            <w:r>
              <w:rPr>
                <w:rFonts w:ascii="Times New Roman" w:hAnsi="Times New Roman"/>
                <w:sz w:val="22"/>
                <w:szCs w:val="22"/>
              </w:rPr>
              <w:t>1</w:t>
            </w:r>
          </w:p>
        </w:tc>
        <w:tc>
          <w:tcPr>
            <w:tcW w:w="3908" w:type="dxa"/>
            <w:vAlign w:val="center"/>
          </w:tcPr>
          <w:p>
            <w:pPr>
              <w:rPr>
                <w:rFonts w:ascii="Times New Roman" w:hAnsi="Times New Roman"/>
                <w:sz w:val="22"/>
                <w:szCs w:val="22"/>
              </w:rPr>
            </w:pPr>
            <w:r>
              <w:rPr>
                <w:rFonts w:ascii="Times New Roman" w:hAnsi="Times New Roman"/>
                <w:sz w:val="22"/>
                <w:szCs w:val="22"/>
              </w:rPr>
              <w:t>Аренда земли</w:t>
            </w:r>
          </w:p>
        </w:tc>
        <w:tc>
          <w:tcPr>
            <w:tcW w:w="1842" w:type="dxa"/>
            <w:vAlign w:val="center"/>
          </w:tcPr>
          <w:p>
            <w:pPr>
              <w:jc w:val="right"/>
              <w:rPr>
                <w:rFonts w:ascii="Times New Roman" w:hAnsi="Times New Roman"/>
                <w:sz w:val="22"/>
                <w:szCs w:val="22"/>
              </w:rPr>
            </w:pPr>
            <w:r>
              <w:rPr>
                <w:rFonts w:ascii="Times New Roman" w:hAnsi="Times New Roman"/>
                <w:sz w:val="22"/>
                <w:szCs w:val="22"/>
              </w:rPr>
              <w:t>50 215,30</w:t>
            </w:r>
          </w:p>
        </w:tc>
        <w:tc>
          <w:tcPr>
            <w:tcW w:w="1560" w:type="dxa"/>
            <w:vAlign w:val="center"/>
          </w:tcPr>
          <w:p>
            <w:pPr>
              <w:jc w:val="right"/>
              <w:rPr>
                <w:rFonts w:ascii="Times New Roman" w:hAnsi="Times New Roman"/>
                <w:sz w:val="22"/>
                <w:szCs w:val="22"/>
              </w:rPr>
            </w:pPr>
            <w:r>
              <w:rPr>
                <w:rFonts w:ascii="Times New Roman" w:hAnsi="Times New Roman"/>
                <w:sz w:val="22"/>
                <w:szCs w:val="22"/>
              </w:rPr>
              <w:t>36 546,90</w:t>
            </w:r>
          </w:p>
        </w:tc>
        <w:tc>
          <w:tcPr>
            <w:tcW w:w="1559" w:type="dxa"/>
            <w:vAlign w:val="center"/>
          </w:tcPr>
          <w:p>
            <w:pPr>
              <w:jc w:val="right"/>
              <w:rPr>
                <w:rFonts w:ascii="Times New Roman" w:hAnsi="Times New Roman"/>
                <w:sz w:val="22"/>
                <w:szCs w:val="22"/>
              </w:rPr>
            </w:pPr>
            <w:r>
              <w:rPr>
                <w:rFonts w:ascii="Times New Roman" w:hAnsi="Times New Roman"/>
                <w:sz w:val="22"/>
                <w:szCs w:val="22"/>
              </w:rPr>
              <w:t>13 668,40</w:t>
            </w:r>
          </w:p>
        </w:tc>
      </w:tr>
      <w:tr>
        <w:trPr>
          <w:trHeight w:val="340"/>
        </w:trPr>
        <w:tc>
          <w:tcPr>
            <w:tcW w:w="487" w:type="dxa"/>
            <w:vAlign w:val="center"/>
          </w:tcPr>
          <w:p>
            <w:pPr>
              <w:rPr>
                <w:rFonts w:ascii="Times New Roman" w:hAnsi="Times New Roman"/>
                <w:sz w:val="22"/>
                <w:szCs w:val="22"/>
              </w:rPr>
            </w:pPr>
            <w:r>
              <w:rPr>
                <w:rFonts w:ascii="Times New Roman" w:hAnsi="Times New Roman"/>
                <w:sz w:val="22"/>
                <w:szCs w:val="22"/>
              </w:rPr>
              <w:t>2</w:t>
            </w:r>
          </w:p>
        </w:tc>
        <w:tc>
          <w:tcPr>
            <w:tcW w:w="3908" w:type="dxa"/>
            <w:vAlign w:val="center"/>
          </w:tcPr>
          <w:p>
            <w:pPr>
              <w:rPr>
                <w:rFonts w:ascii="Times New Roman" w:hAnsi="Times New Roman"/>
                <w:sz w:val="22"/>
                <w:szCs w:val="22"/>
              </w:rPr>
            </w:pPr>
            <w:r>
              <w:rPr>
                <w:rFonts w:ascii="Times New Roman" w:hAnsi="Times New Roman"/>
                <w:sz w:val="22"/>
                <w:szCs w:val="22"/>
              </w:rPr>
              <w:t>Аренда нежилых помещений</w:t>
            </w:r>
          </w:p>
        </w:tc>
        <w:tc>
          <w:tcPr>
            <w:tcW w:w="1842" w:type="dxa"/>
            <w:vAlign w:val="center"/>
          </w:tcPr>
          <w:p>
            <w:pPr>
              <w:jc w:val="right"/>
              <w:rPr>
                <w:rFonts w:ascii="Times New Roman" w:hAnsi="Times New Roman"/>
                <w:sz w:val="22"/>
                <w:szCs w:val="22"/>
              </w:rPr>
            </w:pPr>
            <w:r>
              <w:rPr>
                <w:rFonts w:ascii="Times New Roman" w:hAnsi="Times New Roman"/>
                <w:sz w:val="22"/>
                <w:szCs w:val="22"/>
              </w:rPr>
              <w:t>780,86</w:t>
            </w:r>
          </w:p>
        </w:tc>
        <w:tc>
          <w:tcPr>
            <w:tcW w:w="1560" w:type="dxa"/>
            <w:vAlign w:val="center"/>
          </w:tcPr>
          <w:p>
            <w:pPr>
              <w:jc w:val="right"/>
              <w:rPr>
                <w:rFonts w:ascii="Times New Roman" w:hAnsi="Times New Roman"/>
                <w:sz w:val="22"/>
                <w:szCs w:val="22"/>
              </w:rPr>
            </w:pPr>
            <w:r>
              <w:rPr>
                <w:rFonts w:ascii="Times New Roman" w:hAnsi="Times New Roman"/>
                <w:sz w:val="22"/>
                <w:szCs w:val="22"/>
              </w:rPr>
              <w:t>-</w:t>
            </w:r>
          </w:p>
        </w:tc>
        <w:tc>
          <w:tcPr>
            <w:tcW w:w="1559" w:type="dxa"/>
            <w:vAlign w:val="center"/>
          </w:tcPr>
          <w:p>
            <w:pPr>
              <w:jc w:val="right"/>
              <w:rPr>
                <w:rFonts w:ascii="Times New Roman" w:hAnsi="Times New Roman"/>
                <w:sz w:val="22"/>
                <w:szCs w:val="22"/>
              </w:rPr>
            </w:pPr>
            <w:r>
              <w:rPr>
                <w:rFonts w:ascii="Times New Roman" w:hAnsi="Times New Roman"/>
                <w:sz w:val="22"/>
                <w:szCs w:val="22"/>
              </w:rPr>
              <w:t>780,86</w:t>
            </w:r>
          </w:p>
        </w:tc>
      </w:tr>
      <w:tr>
        <w:trPr>
          <w:trHeight w:val="340"/>
        </w:trPr>
        <w:tc>
          <w:tcPr>
            <w:tcW w:w="487" w:type="dxa"/>
            <w:vAlign w:val="center"/>
          </w:tcPr>
          <w:p>
            <w:pPr>
              <w:rPr>
                <w:rFonts w:ascii="Times New Roman" w:hAnsi="Times New Roman"/>
                <w:sz w:val="22"/>
                <w:szCs w:val="22"/>
              </w:rPr>
            </w:pPr>
            <w:r>
              <w:rPr>
                <w:rFonts w:ascii="Times New Roman" w:hAnsi="Times New Roman"/>
                <w:sz w:val="22"/>
                <w:szCs w:val="22"/>
              </w:rPr>
              <w:t>3</w:t>
            </w:r>
          </w:p>
        </w:tc>
        <w:tc>
          <w:tcPr>
            <w:tcW w:w="3908" w:type="dxa"/>
            <w:vAlign w:val="center"/>
          </w:tcPr>
          <w:p>
            <w:pPr>
              <w:rPr>
                <w:rFonts w:ascii="Times New Roman" w:hAnsi="Times New Roman"/>
                <w:sz w:val="22"/>
                <w:szCs w:val="22"/>
              </w:rPr>
            </w:pPr>
            <w:r>
              <w:rPr>
                <w:rFonts w:ascii="Times New Roman" w:hAnsi="Times New Roman"/>
                <w:sz w:val="22"/>
                <w:szCs w:val="22"/>
              </w:rPr>
              <w:t>Аренда движимого имущества</w:t>
            </w:r>
          </w:p>
        </w:tc>
        <w:tc>
          <w:tcPr>
            <w:tcW w:w="1842" w:type="dxa"/>
            <w:vAlign w:val="center"/>
          </w:tcPr>
          <w:p>
            <w:pPr>
              <w:jc w:val="right"/>
              <w:rPr>
                <w:rFonts w:ascii="Times New Roman" w:hAnsi="Times New Roman"/>
                <w:sz w:val="22"/>
                <w:szCs w:val="22"/>
              </w:rPr>
            </w:pPr>
            <w:r>
              <w:rPr>
                <w:rFonts w:ascii="Times New Roman" w:hAnsi="Times New Roman"/>
                <w:sz w:val="22"/>
                <w:szCs w:val="22"/>
              </w:rPr>
              <w:t>1 415,58</w:t>
            </w:r>
          </w:p>
        </w:tc>
        <w:tc>
          <w:tcPr>
            <w:tcW w:w="1560" w:type="dxa"/>
            <w:vAlign w:val="center"/>
          </w:tcPr>
          <w:p>
            <w:pPr>
              <w:jc w:val="right"/>
              <w:rPr>
                <w:rFonts w:ascii="Times New Roman" w:hAnsi="Times New Roman"/>
                <w:sz w:val="22"/>
                <w:szCs w:val="22"/>
              </w:rPr>
            </w:pPr>
            <w:r>
              <w:rPr>
                <w:rFonts w:ascii="Times New Roman" w:hAnsi="Times New Roman"/>
                <w:sz w:val="22"/>
                <w:szCs w:val="22"/>
              </w:rPr>
              <w:t>0,00</w:t>
            </w:r>
          </w:p>
        </w:tc>
        <w:tc>
          <w:tcPr>
            <w:tcW w:w="1559" w:type="dxa"/>
            <w:vAlign w:val="center"/>
          </w:tcPr>
          <w:p>
            <w:pPr>
              <w:jc w:val="right"/>
              <w:rPr>
                <w:rFonts w:ascii="Times New Roman" w:hAnsi="Times New Roman"/>
                <w:sz w:val="22"/>
                <w:szCs w:val="22"/>
              </w:rPr>
            </w:pPr>
            <w:r>
              <w:rPr>
                <w:rFonts w:ascii="Times New Roman" w:hAnsi="Times New Roman"/>
                <w:sz w:val="22"/>
                <w:szCs w:val="22"/>
              </w:rPr>
              <w:t>1 415,58</w:t>
            </w:r>
          </w:p>
        </w:tc>
      </w:tr>
      <w:tr>
        <w:trPr>
          <w:trHeight w:val="340"/>
        </w:trPr>
        <w:tc>
          <w:tcPr>
            <w:tcW w:w="487" w:type="dxa"/>
            <w:vAlign w:val="center"/>
          </w:tcPr>
          <w:p>
            <w:pPr>
              <w:rPr>
                <w:rFonts w:ascii="Times New Roman" w:hAnsi="Times New Roman"/>
                <w:sz w:val="22"/>
                <w:szCs w:val="22"/>
              </w:rPr>
            </w:pPr>
            <w:r>
              <w:rPr>
                <w:rFonts w:ascii="Times New Roman" w:hAnsi="Times New Roman"/>
                <w:sz w:val="22"/>
                <w:szCs w:val="22"/>
              </w:rPr>
              <w:t>4</w:t>
            </w:r>
          </w:p>
        </w:tc>
        <w:tc>
          <w:tcPr>
            <w:tcW w:w="3908" w:type="dxa"/>
            <w:vAlign w:val="center"/>
          </w:tcPr>
          <w:p>
            <w:pPr>
              <w:rPr>
                <w:rFonts w:ascii="Times New Roman" w:hAnsi="Times New Roman"/>
                <w:sz w:val="22"/>
                <w:szCs w:val="22"/>
              </w:rPr>
            </w:pPr>
            <w:r>
              <w:rPr>
                <w:rFonts w:ascii="Times New Roman" w:hAnsi="Times New Roman"/>
                <w:sz w:val="22"/>
                <w:szCs w:val="22"/>
              </w:rPr>
              <w:t>Аренда сетей ИТО</w:t>
            </w:r>
          </w:p>
        </w:tc>
        <w:tc>
          <w:tcPr>
            <w:tcW w:w="1842" w:type="dxa"/>
            <w:vAlign w:val="center"/>
          </w:tcPr>
          <w:p>
            <w:pPr>
              <w:jc w:val="right"/>
              <w:rPr>
                <w:rFonts w:ascii="Times New Roman" w:hAnsi="Times New Roman"/>
                <w:sz w:val="22"/>
                <w:szCs w:val="22"/>
              </w:rPr>
            </w:pPr>
            <w:r>
              <w:rPr>
                <w:rFonts w:ascii="Times New Roman" w:hAnsi="Times New Roman"/>
                <w:sz w:val="22"/>
                <w:szCs w:val="22"/>
              </w:rPr>
              <w:t>-</w:t>
            </w:r>
          </w:p>
        </w:tc>
        <w:tc>
          <w:tcPr>
            <w:tcW w:w="1560" w:type="dxa"/>
            <w:vAlign w:val="center"/>
          </w:tcPr>
          <w:p>
            <w:pPr>
              <w:jc w:val="right"/>
              <w:rPr>
                <w:rFonts w:ascii="Times New Roman" w:hAnsi="Times New Roman"/>
                <w:sz w:val="22"/>
                <w:szCs w:val="22"/>
              </w:rPr>
            </w:pPr>
            <w:r>
              <w:rPr>
                <w:rFonts w:ascii="Times New Roman" w:hAnsi="Times New Roman"/>
                <w:sz w:val="22"/>
                <w:szCs w:val="22"/>
              </w:rPr>
              <w:t>-</w:t>
            </w:r>
          </w:p>
        </w:tc>
        <w:tc>
          <w:tcPr>
            <w:tcW w:w="1559" w:type="dxa"/>
            <w:vAlign w:val="center"/>
          </w:tcPr>
          <w:p>
            <w:pPr>
              <w:jc w:val="right"/>
              <w:rPr>
                <w:rFonts w:ascii="Times New Roman" w:hAnsi="Times New Roman"/>
                <w:sz w:val="22"/>
                <w:szCs w:val="22"/>
              </w:rPr>
            </w:pPr>
            <w:r>
              <w:rPr>
                <w:rFonts w:ascii="Times New Roman" w:hAnsi="Times New Roman"/>
                <w:sz w:val="22"/>
                <w:szCs w:val="22"/>
              </w:rPr>
              <w:t>-</w:t>
            </w:r>
          </w:p>
        </w:tc>
      </w:tr>
      <w:tr>
        <w:trPr>
          <w:trHeight w:val="340"/>
        </w:trPr>
        <w:tc>
          <w:tcPr>
            <w:tcW w:w="487" w:type="dxa"/>
            <w:vAlign w:val="center"/>
          </w:tcPr>
          <w:p>
            <w:pPr>
              <w:rPr>
                <w:rFonts w:ascii="Times New Roman" w:hAnsi="Times New Roman"/>
                <w:sz w:val="22"/>
                <w:szCs w:val="22"/>
              </w:rPr>
            </w:pPr>
            <w:r>
              <w:rPr>
                <w:rFonts w:ascii="Times New Roman" w:hAnsi="Times New Roman"/>
                <w:sz w:val="22"/>
                <w:szCs w:val="22"/>
              </w:rPr>
              <w:t>5</w:t>
            </w:r>
          </w:p>
        </w:tc>
        <w:tc>
          <w:tcPr>
            <w:tcW w:w="3908" w:type="dxa"/>
            <w:vAlign w:val="center"/>
          </w:tcPr>
          <w:p>
            <w:pPr>
              <w:rPr>
                <w:rFonts w:ascii="Times New Roman" w:hAnsi="Times New Roman"/>
                <w:sz w:val="22"/>
                <w:szCs w:val="22"/>
              </w:rPr>
            </w:pPr>
            <w:r>
              <w:rPr>
                <w:rFonts w:ascii="Times New Roman" w:hAnsi="Times New Roman"/>
                <w:sz w:val="22"/>
                <w:szCs w:val="22"/>
              </w:rPr>
              <w:t>Аренда рекламных щитов</w:t>
            </w:r>
          </w:p>
        </w:tc>
        <w:tc>
          <w:tcPr>
            <w:tcW w:w="1842" w:type="dxa"/>
            <w:vAlign w:val="center"/>
          </w:tcPr>
          <w:p>
            <w:pPr>
              <w:jc w:val="right"/>
              <w:rPr>
                <w:rFonts w:ascii="Times New Roman" w:hAnsi="Times New Roman"/>
                <w:sz w:val="22"/>
                <w:szCs w:val="22"/>
              </w:rPr>
            </w:pPr>
            <w:r>
              <w:rPr>
                <w:rFonts w:ascii="Times New Roman" w:hAnsi="Times New Roman"/>
                <w:sz w:val="22"/>
                <w:szCs w:val="22"/>
              </w:rPr>
              <w:t>1 524,70</w:t>
            </w:r>
          </w:p>
        </w:tc>
        <w:tc>
          <w:tcPr>
            <w:tcW w:w="1560" w:type="dxa"/>
            <w:vAlign w:val="center"/>
          </w:tcPr>
          <w:p>
            <w:pPr>
              <w:jc w:val="right"/>
              <w:rPr>
                <w:rFonts w:ascii="Times New Roman" w:hAnsi="Times New Roman"/>
                <w:sz w:val="22"/>
                <w:szCs w:val="22"/>
              </w:rPr>
            </w:pPr>
            <w:r>
              <w:rPr>
                <w:rFonts w:ascii="Times New Roman" w:hAnsi="Times New Roman"/>
                <w:sz w:val="22"/>
                <w:szCs w:val="22"/>
              </w:rPr>
              <w:t>1 482,58</w:t>
            </w:r>
          </w:p>
        </w:tc>
        <w:tc>
          <w:tcPr>
            <w:tcW w:w="1559" w:type="dxa"/>
            <w:vAlign w:val="center"/>
          </w:tcPr>
          <w:p>
            <w:pPr>
              <w:jc w:val="right"/>
              <w:rPr>
                <w:rFonts w:ascii="Times New Roman" w:hAnsi="Times New Roman"/>
                <w:sz w:val="22"/>
                <w:szCs w:val="22"/>
              </w:rPr>
            </w:pPr>
            <w:r>
              <w:rPr>
                <w:rFonts w:ascii="Times New Roman" w:hAnsi="Times New Roman"/>
                <w:sz w:val="22"/>
                <w:szCs w:val="22"/>
              </w:rPr>
              <w:t>42,12</w:t>
            </w:r>
          </w:p>
        </w:tc>
      </w:tr>
      <w:tr>
        <w:trPr>
          <w:trHeight w:val="340"/>
        </w:trPr>
        <w:tc>
          <w:tcPr>
            <w:tcW w:w="487" w:type="dxa"/>
            <w:vAlign w:val="center"/>
          </w:tcPr>
          <w:p>
            <w:pPr>
              <w:rPr>
                <w:rFonts w:ascii="Times New Roman" w:hAnsi="Times New Roman"/>
                <w:sz w:val="22"/>
                <w:szCs w:val="22"/>
              </w:rPr>
            </w:pPr>
            <w:r>
              <w:rPr>
                <w:rFonts w:ascii="Times New Roman" w:hAnsi="Times New Roman"/>
                <w:sz w:val="22"/>
                <w:szCs w:val="22"/>
              </w:rPr>
              <w:t>6</w:t>
            </w:r>
          </w:p>
        </w:tc>
        <w:tc>
          <w:tcPr>
            <w:tcW w:w="3908" w:type="dxa"/>
            <w:vAlign w:val="center"/>
          </w:tcPr>
          <w:p>
            <w:pPr>
              <w:rPr>
                <w:rFonts w:ascii="Times New Roman" w:hAnsi="Times New Roman"/>
                <w:sz w:val="22"/>
                <w:szCs w:val="22"/>
              </w:rPr>
            </w:pPr>
            <w:r>
              <w:rPr>
                <w:rFonts w:ascii="Times New Roman" w:hAnsi="Times New Roman"/>
                <w:sz w:val="22"/>
                <w:szCs w:val="22"/>
              </w:rPr>
              <w:t>Найм жилых помещений</w:t>
            </w:r>
          </w:p>
        </w:tc>
        <w:tc>
          <w:tcPr>
            <w:tcW w:w="1842" w:type="dxa"/>
            <w:vAlign w:val="center"/>
          </w:tcPr>
          <w:p>
            <w:pPr>
              <w:jc w:val="right"/>
              <w:rPr>
                <w:rFonts w:ascii="Times New Roman" w:hAnsi="Times New Roman"/>
                <w:sz w:val="22"/>
                <w:szCs w:val="22"/>
              </w:rPr>
            </w:pPr>
            <w:r>
              <w:rPr>
                <w:rFonts w:ascii="Times New Roman" w:hAnsi="Times New Roman"/>
                <w:sz w:val="22"/>
                <w:szCs w:val="22"/>
              </w:rPr>
              <w:t>7 133,02</w:t>
            </w:r>
          </w:p>
        </w:tc>
        <w:tc>
          <w:tcPr>
            <w:tcW w:w="1560" w:type="dxa"/>
            <w:vAlign w:val="center"/>
          </w:tcPr>
          <w:p>
            <w:pPr>
              <w:jc w:val="right"/>
              <w:rPr>
                <w:rFonts w:ascii="Times New Roman" w:hAnsi="Times New Roman"/>
                <w:sz w:val="22"/>
                <w:szCs w:val="22"/>
              </w:rPr>
            </w:pPr>
            <w:r>
              <w:rPr>
                <w:rFonts w:ascii="Times New Roman" w:hAnsi="Times New Roman"/>
                <w:sz w:val="22"/>
                <w:szCs w:val="22"/>
              </w:rPr>
              <w:t>0,00</w:t>
            </w:r>
          </w:p>
        </w:tc>
        <w:tc>
          <w:tcPr>
            <w:tcW w:w="1559" w:type="dxa"/>
            <w:vAlign w:val="center"/>
          </w:tcPr>
          <w:p>
            <w:pPr>
              <w:jc w:val="right"/>
              <w:rPr>
                <w:rFonts w:ascii="Times New Roman" w:hAnsi="Times New Roman"/>
                <w:sz w:val="22"/>
                <w:szCs w:val="22"/>
              </w:rPr>
            </w:pPr>
            <w:r>
              <w:rPr>
                <w:rFonts w:ascii="Times New Roman" w:hAnsi="Times New Roman"/>
                <w:sz w:val="22"/>
                <w:szCs w:val="22"/>
              </w:rPr>
              <w:t>7 133,02</w:t>
            </w:r>
          </w:p>
        </w:tc>
      </w:tr>
    </w:tbl>
    <w:p>
      <w:pPr>
        <w:rPr>
          <w:rFonts w:ascii="Times New Roman" w:hAnsi="Times New Roman"/>
          <w:sz w:val="22"/>
          <w:szCs w:val="22"/>
        </w:rPr>
      </w:pPr>
    </w:p>
    <w:p>
      <w:pPr>
        <w:spacing w:after="120"/>
        <w:ind w:right="45" w:firstLine="709"/>
        <w:jc w:val="center"/>
        <w:rPr>
          <w:rFonts w:ascii="Times New Roman" w:hAnsi="Times New Roman"/>
          <w:bCs/>
          <w:iCs/>
          <w:sz w:val="24"/>
        </w:rPr>
      </w:pPr>
      <w:r>
        <w:rPr>
          <w:rFonts w:ascii="Times New Roman" w:hAnsi="Times New Roman"/>
          <w:bCs/>
          <w:iCs/>
          <w:sz w:val="24"/>
        </w:rPr>
        <w:t>1.4.1.1. 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w:t>
      </w:r>
    </w:p>
    <w:p>
      <w:pPr>
        <w:ind w:firstLine="708"/>
        <w:jc w:val="both"/>
        <w:rPr>
          <w:bCs/>
          <w:iCs/>
          <w:sz w:val="24"/>
          <w:szCs w:val="24"/>
        </w:rPr>
      </w:pPr>
      <w:r>
        <w:rPr>
          <w:bCs/>
          <w:iCs/>
          <w:sz w:val="24"/>
          <w:szCs w:val="24"/>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 на 2021 - 2023 годы, прогнозируются в сумме по 468,83 тыс.руб. ежегодно.</w:t>
      </w:r>
    </w:p>
    <w:p>
      <w:pPr>
        <w:ind w:firstLine="708"/>
        <w:jc w:val="both"/>
        <w:rPr>
          <w:bCs/>
          <w:iCs/>
          <w:sz w:val="24"/>
          <w:szCs w:val="24"/>
        </w:rPr>
      </w:pPr>
      <w:r>
        <w:rPr>
          <w:bCs/>
          <w:iCs/>
          <w:sz w:val="24"/>
          <w:szCs w:val="24"/>
        </w:rPr>
        <w:t xml:space="preserve">Доля поступлений в структуре налоговых и неналоговых доходов составит по 0,04% ежегодно. </w:t>
      </w:r>
    </w:p>
    <w:p>
      <w:pPr>
        <w:ind w:firstLine="708"/>
        <w:jc w:val="both"/>
        <w:rPr>
          <w:bCs/>
          <w:iCs/>
          <w:sz w:val="24"/>
          <w:szCs w:val="24"/>
        </w:rPr>
      </w:pPr>
      <w:r>
        <w:rPr>
          <w:bCs/>
          <w:iCs/>
          <w:sz w:val="24"/>
          <w:szCs w:val="24"/>
        </w:rPr>
        <w:t xml:space="preserve">Прогноз поступлений выполнен на основе данных администратора доходов - Управления имущественных отношений Администрации ЗАТО Северск. </w:t>
      </w:r>
    </w:p>
    <w:p>
      <w:pPr>
        <w:ind w:firstLine="708"/>
        <w:jc w:val="both"/>
        <w:rPr>
          <w:bCs/>
          <w:iCs/>
          <w:sz w:val="24"/>
          <w:szCs w:val="24"/>
        </w:rPr>
      </w:pPr>
      <w:r>
        <w:rPr>
          <w:bCs/>
          <w:iCs/>
          <w:sz w:val="24"/>
          <w:szCs w:val="24"/>
        </w:rPr>
        <w:t>В прогнозе учтены поступления от АО «СВК» и АО «ЕРКЦ». Доля поступлений от АО «СВК» в общей сумме прогноза по подстатье составляет 97%.</w:t>
      </w:r>
    </w:p>
    <w:p>
      <w:pPr>
        <w:spacing w:after="120"/>
        <w:ind w:firstLine="539"/>
        <w:jc w:val="center"/>
        <w:rPr>
          <w:bCs/>
          <w:iCs/>
          <w:color w:val="FF0000"/>
          <w:sz w:val="10"/>
          <w:szCs w:val="10"/>
          <w:highlight w:val="yellow"/>
        </w:rPr>
      </w:pPr>
    </w:p>
    <w:p>
      <w:pPr>
        <w:spacing w:after="120"/>
        <w:jc w:val="center"/>
        <w:rPr>
          <w:bCs/>
          <w:iCs/>
          <w:sz w:val="24"/>
          <w:szCs w:val="24"/>
        </w:rPr>
      </w:pPr>
      <w:r>
        <w:rPr>
          <w:bCs/>
          <w:iCs/>
          <w:sz w:val="24"/>
          <w:szCs w:val="24"/>
        </w:rPr>
        <w:t>1.4.1.2. Арендная плата за землю</w:t>
      </w:r>
    </w:p>
    <w:p>
      <w:pPr>
        <w:autoSpaceDE w:val="0"/>
        <w:autoSpaceDN w:val="0"/>
        <w:adjustRightInd w:val="0"/>
        <w:ind w:firstLine="708"/>
        <w:jc w:val="both"/>
        <w:rPr>
          <w:rFonts w:ascii="Times New Roman" w:hAnsi="Times New Roman"/>
          <w:sz w:val="24"/>
          <w:szCs w:val="24"/>
        </w:rPr>
      </w:pPr>
      <w:r>
        <w:rPr>
          <w:rFonts w:ascii="Times New Roman" w:hAnsi="Times New Roman"/>
          <w:sz w:val="24"/>
          <w:szCs w:val="24"/>
        </w:rPr>
        <w:t>Прогноз поступлений по арендной плате за земельные участки в бюджет ЗАТО Северск выполнен по нормативу 100% согласно Методике прогнозирования с учетом:</w:t>
      </w:r>
    </w:p>
    <w:p>
      <w:pPr>
        <w:autoSpaceDE w:val="0"/>
        <w:autoSpaceDN w:val="0"/>
        <w:adjustRightInd w:val="0"/>
        <w:ind w:firstLine="708"/>
        <w:jc w:val="both"/>
        <w:rPr>
          <w:rFonts w:ascii="Times New Roman" w:hAnsi="Times New Roman"/>
          <w:sz w:val="24"/>
          <w:szCs w:val="24"/>
        </w:rPr>
      </w:pPr>
      <w:r>
        <w:rPr>
          <w:rFonts w:ascii="Times New Roman" w:hAnsi="Times New Roman"/>
          <w:sz w:val="24"/>
          <w:szCs w:val="24"/>
        </w:rPr>
        <w:t>- фактически заключенных договоров аренды по срокам их окончания и размеру арендной платы за землю, определенной в соответствии с постановлением Администрации ЗАТО Северск от 29.01.2016 № 114 «Об утверждении Порядка определения размера арендной платы, условий и сроков ее внесения за пользование земельными участками…»;</w:t>
      </w:r>
    </w:p>
    <w:p>
      <w:pPr>
        <w:autoSpaceDE w:val="0"/>
        <w:autoSpaceDN w:val="0"/>
        <w:adjustRightInd w:val="0"/>
        <w:ind w:firstLine="708"/>
        <w:jc w:val="both"/>
        <w:rPr>
          <w:rFonts w:ascii="Times New Roman" w:hAnsi="Times New Roman"/>
          <w:sz w:val="24"/>
          <w:szCs w:val="24"/>
        </w:rPr>
      </w:pPr>
      <w:r>
        <w:rPr>
          <w:rFonts w:ascii="Times New Roman" w:hAnsi="Times New Roman"/>
          <w:sz w:val="24"/>
          <w:szCs w:val="24"/>
        </w:rPr>
        <w:lastRenderedPageBreak/>
        <w:t>- уровня собираемости исходя из фактических данных за предыдущие 3 года;</w:t>
      </w:r>
    </w:p>
    <w:p>
      <w:pPr>
        <w:autoSpaceDE w:val="0"/>
        <w:autoSpaceDN w:val="0"/>
        <w:adjustRightInd w:val="0"/>
        <w:ind w:firstLine="708"/>
        <w:jc w:val="both"/>
        <w:rPr>
          <w:rFonts w:ascii="Times New Roman" w:hAnsi="Times New Roman"/>
          <w:sz w:val="24"/>
          <w:szCs w:val="24"/>
        </w:rPr>
      </w:pPr>
      <w:r>
        <w:rPr>
          <w:rFonts w:ascii="Times New Roman" w:hAnsi="Times New Roman"/>
          <w:sz w:val="24"/>
          <w:szCs w:val="24"/>
        </w:rPr>
        <w:t>- дополнительных поступлений отсроченных платежей, предоставленных в 2020 году субъектам предпринимательства, осуществляющим деятельность в наиболее пострадавших в результате распространения новой коронавирусной инфекции отраслях экономики, в соответствии с Распоряжением Администрации ЗАТО Северск от 13.04.2020 № 445-р «О предоставлении отсрочки по уплате платежей по договорам аренды…»;</w:t>
      </w:r>
    </w:p>
    <w:p>
      <w:pPr>
        <w:autoSpaceDE w:val="0"/>
        <w:autoSpaceDN w:val="0"/>
        <w:adjustRightInd w:val="0"/>
        <w:ind w:firstLine="708"/>
        <w:jc w:val="both"/>
        <w:rPr>
          <w:rFonts w:ascii="Times New Roman" w:hAnsi="Times New Roman"/>
          <w:sz w:val="24"/>
          <w:szCs w:val="24"/>
        </w:rPr>
      </w:pPr>
      <w:r>
        <w:rPr>
          <w:rFonts w:ascii="Times New Roman" w:hAnsi="Times New Roman"/>
          <w:sz w:val="24"/>
          <w:szCs w:val="24"/>
        </w:rPr>
        <w:t>- дополнительных поступлений от сокращения задолженности, реальной к взысканию, в размере 10%.</w:t>
      </w:r>
    </w:p>
    <w:p>
      <w:pPr>
        <w:spacing w:before="120" w:after="120"/>
        <w:ind w:firstLine="709"/>
        <w:jc w:val="both"/>
        <w:rPr>
          <w:rFonts w:ascii="Times New Roman" w:hAnsi="Times New Roman"/>
          <w:sz w:val="24"/>
        </w:rPr>
      </w:pPr>
      <w:r>
        <w:rPr>
          <w:rFonts w:ascii="Times New Roman" w:hAnsi="Times New Roman"/>
          <w:sz w:val="24"/>
        </w:rPr>
        <w:t xml:space="preserve">Таблица 15 - Сводный расчет поступления арендной платы за землю в бюджет </w:t>
      </w:r>
      <w:r>
        <w:rPr>
          <w:rFonts w:ascii="Times New Roman" w:hAnsi="Times New Roman"/>
          <w:sz w:val="24"/>
        </w:rPr>
        <w:br/>
        <w:t>ЗАТО Северск</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551"/>
        <w:gridCol w:w="851"/>
        <w:gridCol w:w="1134"/>
        <w:gridCol w:w="992"/>
        <w:gridCol w:w="992"/>
        <w:gridCol w:w="709"/>
        <w:gridCol w:w="992"/>
        <w:gridCol w:w="993"/>
      </w:tblGrid>
      <w:tr>
        <w:trPr>
          <w:trHeight w:val="264"/>
        </w:trPr>
        <w:tc>
          <w:tcPr>
            <w:tcW w:w="392" w:type="dxa"/>
            <w:vMerge w:val="restart"/>
            <w:shd w:val="clear" w:color="auto" w:fill="auto"/>
            <w:vAlign w:val="center"/>
          </w:tcPr>
          <w:p>
            <w:pPr>
              <w:snapToGrid w:val="0"/>
              <w:ind w:left="-108" w:right="-108"/>
              <w:rPr>
                <w:rFonts w:ascii="Times New Roman" w:hAnsi="Times New Roman"/>
                <w:bCs/>
                <w:iCs/>
              </w:rPr>
            </w:pPr>
            <w:r>
              <w:rPr>
                <w:rFonts w:ascii="Times New Roman" w:hAnsi="Times New Roman"/>
                <w:bCs/>
                <w:iCs/>
              </w:rPr>
              <w:t>№</w:t>
            </w:r>
          </w:p>
        </w:tc>
        <w:tc>
          <w:tcPr>
            <w:tcW w:w="2551" w:type="dxa"/>
            <w:vMerge w:val="restart"/>
            <w:shd w:val="clear" w:color="auto" w:fill="auto"/>
            <w:vAlign w:val="center"/>
          </w:tcPr>
          <w:p>
            <w:pPr>
              <w:jc w:val="center"/>
              <w:rPr>
                <w:rFonts w:ascii="Times New Roman" w:hAnsi="Times New Roman"/>
              </w:rPr>
            </w:pPr>
            <w:r>
              <w:rPr>
                <w:rFonts w:ascii="Times New Roman" w:hAnsi="Times New Roman"/>
              </w:rPr>
              <w:t>Показатели</w:t>
            </w:r>
          </w:p>
        </w:tc>
        <w:tc>
          <w:tcPr>
            <w:tcW w:w="851" w:type="dxa"/>
            <w:vMerge w:val="restart"/>
            <w:shd w:val="clear" w:color="auto" w:fill="auto"/>
            <w:vAlign w:val="center"/>
          </w:tcPr>
          <w:p>
            <w:pPr>
              <w:ind w:left="-108" w:right="-79"/>
              <w:jc w:val="center"/>
              <w:rPr>
                <w:rFonts w:ascii="Times New Roman" w:hAnsi="Times New Roman"/>
              </w:rPr>
            </w:pPr>
            <w:r>
              <w:rPr>
                <w:rFonts w:ascii="Times New Roman" w:hAnsi="Times New Roman"/>
              </w:rPr>
              <w:t>Ед.изм.</w:t>
            </w:r>
          </w:p>
        </w:tc>
        <w:tc>
          <w:tcPr>
            <w:tcW w:w="2126" w:type="dxa"/>
            <w:gridSpan w:val="2"/>
          </w:tcPr>
          <w:p>
            <w:pPr>
              <w:ind w:left="-108" w:right="-108"/>
              <w:jc w:val="center"/>
              <w:rPr>
                <w:rFonts w:ascii="Times New Roman" w:hAnsi="Times New Roman"/>
              </w:rPr>
            </w:pPr>
            <w:r>
              <w:rPr>
                <w:rFonts w:ascii="Times New Roman" w:hAnsi="Times New Roman"/>
              </w:rPr>
              <w:t>2020 год</w:t>
            </w:r>
          </w:p>
        </w:tc>
        <w:tc>
          <w:tcPr>
            <w:tcW w:w="1701" w:type="dxa"/>
            <w:gridSpan w:val="2"/>
            <w:shd w:val="clear" w:color="auto" w:fill="auto"/>
            <w:vAlign w:val="center"/>
          </w:tcPr>
          <w:p>
            <w:pPr>
              <w:ind w:left="-108" w:right="-108"/>
              <w:jc w:val="center"/>
              <w:rPr>
                <w:rFonts w:ascii="Times New Roman" w:hAnsi="Times New Roman"/>
              </w:rPr>
            </w:pPr>
            <w:r>
              <w:rPr>
                <w:rFonts w:ascii="Times New Roman" w:hAnsi="Times New Roman"/>
              </w:rPr>
              <w:t>2021 год</w:t>
            </w:r>
          </w:p>
        </w:tc>
        <w:tc>
          <w:tcPr>
            <w:tcW w:w="992"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2022 года</w:t>
            </w:r>
          </w:p>
        </w:tc>
        <w:tc>
          <w:tcPr>
            <w:tcW w:w="993"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2023 года</w:t>
            </w:r>
          </w:p>
        </w:tc>
      </w:tr>
      <w:tr>
        <w:trPr>
          <w:trHeight w:val="337"/>
        </w:trPr>
        <w:tc>
          <w:tcPr>
            <w:tcW w:w="392" w:type="dxa"/>
            <w:vMerge/>
            <w:shd w:val="clear" w:color="auto" w:fill="auto"/>
            <w:vAlign w:val="center"/>
          </w:tcPr>
          <w:p>
            <w:pPr>
              <w:snapToGrid w:val="0"/>
              <w:ind w:left="-108" w:right="-108"/>
              <w:rPr>
                <w:rFonts w:ascii="Times New Roman" w:hAnsi="Times New Roman"/>
                <w:bCs/>
                <w:iCs/>
                <w:sz w:val="22"/>
                <w:szCs w:val="22"/>
                <w:highlight w:val="yellow"/>
              </w:rPr>
            </w:pPr>
          </w:p>
        </w:tc>
        <w:tc>
          <w:tcPr>
            <w:tcW w:w="2551" w:type="dxa"/>
            <w:vMerge/>
            <w:shd w:val="clear" w:color="auto" w:fill="auto"/>
            <w:vAlign w:val="center"/>
          </w:tcPr>
          <w:p>
            <w:pPr>
              <w:jc w:val="center"/>
              <w:rPr>
                <w:rFonts w:ascii="Times New Roman" w:hAnsi="Times New Roman"/>
                <w:sz w:val="22"/>
                <w:szCs w:val="22"/>
                <w:highlight w:val="yellow"/>
              </w:rPr>
            </w:pPr>
          </w:p>
        </w:tc>
        <w:tc>
          <w:tcPr>
            <w:tcW w:w="851" w:type="dxa"/>
            <w:vMerge/>
            <w:shd w:val="clear" w:color="auto" w:fill="auto"/>
            <w:vAlign w:val="center"/>
          </w:tcPr>
          <w:p>
            <w:pPr>
              <w:ind w:left="-108" w:right="-79"/>
              <w:jc w:val="center"/>
              <w:rPr>
                <w:rFonts w:ascii="Times New Roman" w:hAnsi="Times New Roman"/>
                <w:sz w:val="22"/>
                <w:szCs w:val="22"/>
                <w:highlight w:val="yellow"/>
              </w:rPr>
            </w:pPr>
          </w:p>
        </w:tc>
        <w:tc>
          <w:tcPr>
            <w:tcW w:w="1134" w:type="dxa"/>
            <w:vAlign w:val="center"/>
          </w:tcPr>
          <w:p>
            <w:pPr>
              <w:ind w:left="-57" w:right="-57"/>
              <w:jc w:val="center"/>
              <w:rPr>
                <w:rFonts w:ascii="Times New Roman" w:hAnsi="Times New Roman"/>
                <w:bCs/>
                <w:sz w:val="22"/>
                <w:szCs w:val="22"/>
                <w:highlight w:val="yellow"/>
              </w:rPr>
            </w:pPr>
            <w:r>
              <w:rPr>
                <w:rFonts w:ascii="Times New Roman" w:hAnsi="Times New Roman"/>
              </w:rPr>
              <w:t>Первонач. утверждено</w:t>
            </w:r>
          </w:p>
        </w:tc>
        <w:tc>
          <w:tcPr>
            <w:tcW w:w="992" w:type="dxa"/>
            <w:vAlign w:val="center"/>
          </w:tcPr>
          <w:p>
            <w:pPr>
              <w:ind w:left="-57" w:right="-57"/>
              <w:jc w:val="center"/>
              <w:rPr>
                <w:rFonts w:ascii="Times New Roman" w:hAnsi="Times New Roman"/>
                <w:bCs/>
                <w:sz w:val="22"/>
                <w:szCs w:val="22"/>
                <w:highlight w:val="yellow"/>
              </w:rPr>
            </w:pPr>
            <w:r>
              <w:rPr>
                <w:rFonts w:ascii="Times New Roman" w:hAnsi="Times New Roman"/>
              </w:rPr>
              <w:t>Оценка</w:t>
            </w:r>
          </w:p>
        </w:tc>
        <w:tc>
          <w:tcPr>
            <w:tcW w:w="992" w:type="dxa"/>
            <w:shd w:val="clear" w:color="auto" w:fill="auto"/>
            <w:vAlign w:val="center"/>
          </w:tcPr>
          <w:p>
            <w:pPr>
              <w:ind w:left="-57" w:right="-57"/>
              <w:jc w:val="center"/>
              <w:rPr>
                <w:rFonts w:ascii="Times New Roman" w:hAnsi="Times New Roman"/>
              </w:rPr>
            </w:pPr>
            <w:r>
              <w:rPr>
                <w:rFonts w:ascii="Times New Roman" w:hAnsi="Times New Roman"/>
              </w:rPr>
              <w:t xml:space="preserve">Прогноз </w:t>
            </w:r>
          </w:p>
        </w:tc>
        <w:tc>
          <w:tcPr>
            <w:tcW w:w="709" w:type="dxa"/>
            <w:vAlign w:val="center"/>
          </w:tcPr>
          <w:p>
            <w:pPr>
              <w:ind w:left="-57" w:right="-57"/>
              <w:jc w:val="center"/>
              <w:rPr>
                <w:rFonts w:ascii="Times New Roman" w:hAnsi="Times New Roman"/>
              </w:rPr>
            </w:pPr>
            <w:r>
              <w:rPr>
                <w:rFonts w:ascii="Times New Roman" w:hAnsi="Times New Roman"/>
              </w:rPr>
              <w:t>% к оценке 2020г.</w:t>
            </w:r>
          </w:p>
        </w:tc>
        <w:tc>
          <w:tcPr>
            <w:tcW w:w="992" w:type="dxa"/>
            <w:vMerge/>
            <w:shd w:val="clear" w:color="auto" w:fill="auto"/>
            <w:vAlign w:val="center"/>
          </w:tcPr>
          <w:p>
            <w:pPr>
              <w:ind w:left="-57" w:right="-57"/>
              <w:jc w:val="center"/>
              <w:rPr>
                <w:rFonts w:ascii="Times New Roman" w:hAnsi="Times New Roman"/>
                <w:sz w:val="22"/>
                <w:szCs w:val="22"/>
                <w:highlight w:val="yellow"/>
              </w:rPr>
            </w:pPr>
          </w:p>
        </w:tc>
        <w:tc>
          <w:tcPr>
            <w:tcW w:w="993" w:type="dxa"/>
            <w:vMerge/>
            <w:shd w:val="clear" w:color="auto" w:fill="auto"/>
            <w:vAlign w:val="center"/>
          </w:tcPr>
          <w:p>
            <w:pPr>
              <w:ind w:left="-57" w:right="-57"/>
              <w:jc w:val="center"/>
              <w:rPr>
                <w:rFonts w:ascii="Times New Roman" w:hAnsi="Times New Roman"/>
                <w:sz w:val="22"/>
                <w:szCs w:val="22"/>
                <w:highlight w:val="yellow"/>
              </w:rPr>
            </w:pPr>
          </w:p>
        </w:tc>
      </w:tr>
      <w:tr>
        <w:trPr>
          <w:trHeight w:val="559"/>
        </w:trPr>
        <w:tc>
          <w:tcPr>
            <w:tcW w:w="392" w:type="dxa"/>
            <w:shd w:val="clear" w:color="auto" w:fill="auto"/>
            <w:vAlign w:val="center"/>
          </w:tcPr>
          <w:p>
            <w:pPr>
              <w:jc w:val="center"/>
              <w:rPr>
                <w:rFonts w:ascii="Times New Roman" w:hAnsi="Times New Roman"/>
                <w:bCs/>
                <w:sz w:val="22"/>
                <w:szCs w:val="22"/>
              </w:rPr>
            </w:pPr>
            <w:r>
              <w:rPr>
                <w:rFonts w:ascii="Times New Roman" w:hAnsi="Times New Roman"/>
                <w:bCs/>
                <w:sz w:val="22"/>
                <w:szCs w:val="22"/>
              </w:rPr>
              <w:t>1</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Кадастровая стоимость</w:t>
            </w:r>
          </w:p>
        </w:tc>
        <w:tc>
          <w:tcPr>
            <w:tcW w:w="851" w:type="dxa"/>
            <w:shd w:val="clear" w:color="auto" w:fill="auto"/>
            <w:vAlign w:val="center"/>
          </w:tcPr>
          <w:p>
            <w:pPr>
              <w:ind w:left="-108" w:right="-79"/>
              <w:jc w:val="center"/>
              <w:rPr>
                <w:rFonts w:ascii="Times New Roman" w:hAnsi="Times New Roman"/>
                <w:highlight w:val="yellow"/>
              </w:rPr>
            </w:pPr>
            <w:r>
              <w:rPr>
                <w:rFonts w:ascii="Times New Roman" w:hAnsi="Times New Roman"/>
              </w:rPr>
              <w:t>тыс.руб.</w:t>
            </w:r>
          </w:p>
        </w:tc>
        <w:tc>
          <w:tcPr>
            <w:tcW w:w="1134" w:type="dxa"/>
            <w:vAlign w:val="center"/>
          </w:tcPr>
          <w:p>
            <w:pPr>
              <w:ind w:left="-57" w:right="-57"/>
              <w:jc w:val="right"/>
              <w:rPr>
                <w:rFonts w:ascii="Times New Roman" w:hAnsi="Times New Roman"/>
              </w:rPr>
            </w:pPr>
            <w:r>
              <w:rPr>
                <w:rFonts w:ascii="Times New Roman" w:hAnsi="Times New Roman"/>
              </w:rPr>
              <w:t>5 571 460</w:t>
            </w:r>
          </w:p>
        </w:tc>
        <w:tc>
          <w:tcPr>
            <w:tcW w:w="992" w:type="dxa"/>
            <w:vAlign w:val="center"/>
          </w:tcPr>
          <w:p>
            <w:pPr>
              <w:ind w:left="-57" w:right="-57"/>
              <w:jc w:val="right"/>
              <w:rPr>
                <w:rFonts w:ascii="Times New Roman" w:hAnsi="Times New Roman"/>
                <w:bCs/>
              </w:rPr>
            </w:pPr>
            <w:r>
              <w:rPr>
                <w:rFonts w:ascii="Times New Roman" w:hAnsi="Times New Roman"/>
                <w:bCs/>
              </w:rPr>
              <w:t>5 672 392</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5 609 129</w:t>
            </w:r>
          </w:p>
        </w:tc>
        <w:tc>
          <w:tcPr>
            <w:tcW w:w="709" w:type="dxa"/>
            <w:vAlign w:val="center"/>
          </w:tcPr>
          <w:p>
            <w:pPr>
              <w:ind w:left="-57" w:right="-57"/>
              <w:jc w:val="center"/>
              <w:rPr>
                <w:rFonts w:ascii="Times New Roman" w:hAnsi="Times New Roman"/>
              </w:rPr>
            </w:pPr>
            <w:r>
              <w:rPr>
                <w:rFonts w:ascii="Times New Roman" w:hAnsi="Times New Roman"/>
              </w:rPr>
              <w:t>98,9</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5 605 777</w:t>
            </w:r>
          </w:p>
        </w:tc>
        <w:tc>
          <w:tcPr>
            <w:tcW w:w="993" w:type="dxa"/>
            <w:shd w:val="clear" w:color="auto" w:fill="auto"/>
            <w:vAlign w:val="center"/>
          </w:tcPr>
          <w:p>
            <w:pPr>
              <w:ind w:left="-57" w:right="-57"/>
              <w:jc w:val="right"/>
              <w:rPr>
                <w:rFonts w:ascii="Times New Roman" w:hAnsi="Times New Roman"/>
              </w:rPr>
            </w:pPr>
            <w:r>
              <w:rPr>
                <w:rFonts w:ascii="Times New Roman" w:hAnsi="Times New Roman"/>
              </w:rPr>
              <w:t>5 567 256</w:t>
            </w:r>
          </w:p>
        </w:tc>
      </w:tr>
      <w:tr>
        <w:trPr>
          <w:trHeight w:val="764"/>
        </w:trPr>
        <w:tc>
          <w:tcPr>
            <w:tcW w:w="392" w:type="dxa"/>
            <w:shd w:val="clear" w:color="auto" w:fill="auto"/>
            <w:vAlign w:val="center"/>
          </w:tcPr>
          <w:p>
            <w:pPr>
              <w:jc w:val="center"/>
              <w:rPr>
                <w:rFonts w:ascii="Times New Roman" w:hAnsi="Times New Roman"/>
                <w:sz w:val="22"/>
                <w:szCs w:val="22"/>
                <w:lang w:val="en-US"/>
              </w:rPr>
            </w:pPr>
            <w:r>
              <w:rPr>
                <w:rFonts w:ascii="Times New Roman" w:hAnsi="Times New Roman"/>
                <w:sz w:val="22"/>
                <w:szCs w:val="22"/>
              </w:rPr>
              <w:t>2</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Начислено арендной платы в бюджет ЗАТО Северск</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rPr>
            </w:pPr>
            <w:r>
              <w:rPr>
                <w:rFonts w:ascii="Times New Roman" w:hAnsi="Times New Roman"/>
              </w:rPr>
              <w:t>45 731,13</w:t>
            </w:r>
          </w:p>
        </w:tc>
        <w:tc>
          <w:tcPr>
            <w:tcW w:w="992" w:type="dxa"/>
            <w:vAlign w:val="center"/>
          </w:tcPr>
          <w:p>
            <w:pPr>
              <w:ind w:left="-57" w:right="-57"/>
              <w:jc w:val="right"/>
              <w:rPr>
                <w:rFonts w:ascii="Times New Roman" w:hAnsi="Times New Roman"/>
                <w:bCs/>
              </w:rPr>
            </w:pPr>
            <w:r>
              <w:rPr>
                <w:rFonts w:ascii="Times New Roman" w:hAnsi="Times New Roman"/>
                <w:bCs/>
              </w:rPr>
              <w:t>44 753,43</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40 703,70</w:t>
            </w:r>
          </w:p>
        </w:tc>
        <w:tc>
          <w:tcPr>
            <w:tcW w:w="709" w:type="dxa"/>
            <w:vAlign w:val="center"/>
          </w:tcPr>
          <w:p>
            <w:pPr>
              <w:ind w:left="-57" w:right="-57"/>
              <w:jc w:val="center"/>
              <w:rPr>
                <w:rFonts w:ascii="Times New Roman" w:hAnsi="Times New Roman"/>
              </w:rPr>
            </w:pPr>
            <w:r>
              <w:rPr>
                <w:rFonts w:ascii="Times New Roman" w:hAnsi="Times New Roman"/>
              </w:rPr>
              <w:t>90,9</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50 990,32</w:t>
            </w:r>
          </w:p>
        </w:tc>
        <w:tc>
          <w:tcPr>
            <w:tcW w:w="993" w:type="dxa"/>
            <w:shd w:val="clear" w:color="auto" w:fill="auto"/>
            <w:vAlign w:val="center"/>
          </w:tcPr>
          <w:p>
            <w:pPr>
              <w:ind w:left="-57" w:right="-57"/>
              <w:jc w:val="right"/>
              <w:rPr>
                <w:rFonts w:ascii="Times New Roman" w:hAnsi="Times New Roman"/>
              </w:rPr>
            </w:pPr>
            <w:r>
              <w:rPr>
                <w:rFonts w:ascii="Times New Roman" w:hAnsi="Times New Roman"/>
              </w:rPr>
              <w:t>39 164,18</w:t>
            </w:r>
          </w:p>
        </w:tc>
      </w:tr>
      <w:tr>
        <w:trPr>
          <w:trHeight w:val="412"/>
        </w:trPr>
        <w:tc>
          <w:tcPr>
            <w:tcW w:w="392" w:type="dxa"/>
            <w:shd w:val="clear" w:color="auto" w:fill="auto"/>
            <w:vAlign w:val="center"/>
          </w:tcPr>
          <w:p>
            <w:pPr>
              <w:rPr>
                <w:rFonts w:ascii="Times New Roman" w:hAnsi="Times New Roman"/>
                <w:sz w:val="22"/>
                <w:szCs w:val="22"/>
              </w:rPr>
            </w:pPr>
            <w:r>
              <w:rPr>
                <w:rFonts w:ascii="Times New Roman" w:hAnsi="Times New Roman"/>
                <w:sz w:val="22"/>
                <w:szCs w:val="22"/>
              </w:rPr>
              <w:t>3</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Платежи за право аренды (разовые)</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тыс.руб.</w:t>
            </w:r>
          </w:p>
        </w:tc>
        <w:tc>
          <w:tcPr>
            <w:tcW w:w="1134" w:type="dxa"/>
            <w:vAlign w:val="center"/>
          </w:tcPr>
          <w:p>
            <w:pPr>
              <w:ind w:left="-57" w:right="-57"/>
              <w:jc w:val="center"/>
              <w:rPr>
                <w:rFonts w:ascii="Times New Roman" w:hAnsi="Times New Roman"/>
              </w:rPr>
            </w:pPr>
            <w:r>
              <w:rPr>
                <w:rFonts w:ascii="Times New Roman" w:hAnsi="Times New Roman"/>
              </w:rPr>
              <w:t>-</w:t>
            </w:r>
          </w:p>
        </w:tc>
        <w:tc>
          <w:tcPr>
            <w:tcW w:w="992" w:type="dxa"/>
            <w:vAlign w:val="center"/>
          </w:tcPr>
          <w:p>
            <w:pPr>
              <w:ind w:left="-57" w:right="-57"/>
              <w:jc w:val="center"/>
              <w:rPr>
                <w:rFonts w:ascii="Times New Roman" w:hAnsi="Times New Roman"/>
                <w:bCs/>
              </w:rPr>
            </w:pPr>
            <w:r>
              <w:rPr>
                <w:rFonts w:ascii="Times New Roman" w:hAnsi="Times New Roman"/>
                <w:bCs/>
              </w:rPr>
              <w:t>15 237,15</w:t>
            </w:r>
          </w:p>
        </w:tc>
        <w:tc>
          <w:tcPr>
            <w:tcW w:w="992" w:type="dxa"/>
            <w:shd w:val="clear" w:color="auto" w:fill="auto"/>
            <w:noWrap/>
            <w:vAlign w:val="center"/>
          </w:tcPr>
          <w:p>
            <w:pPr>
              <w:ind w:left="-57" w:right="-57"/>
              <w:jc w:val="center"/>
              <w:rPr>
                <w:rFonts w:ascii="Times New Roman" w:hAnsi="Times New Roman"/>
              </w:rPr>
            </w:pPr>
            <w:r>
              <w:rPr>
                <w:rFonts w:ascii="Times New Roman" w:hAnsi="Times New Roman"/>
              </w:rPr>
              <w:t>-</w:t>
            </w:r>
          </w:p>
        </w:tc>
        <w:tc>
          <w:tcPr>
            <w:tcW w:w="709" w:type="dxa"/>
            <w:vAlign w:val="center"/>
          </w:tcPr>
          <w:p>
            <w:pPr>
              <w:ind w:left="-57" w:right="-57"/>
              <w:jc w:val="center"/>
              <w:rPr>
                <w:rFonts w:ascii="Times New Roman" w:hAnsi="Times New Roman"/>
              </w:rPr>
            </w:pPr>
            <w:r>
              <w:rPr>
                <w:rFonts w:ascii="Times New Roman" w:hAnsi="Times New Roman"/>
              </w:rPr>
              <w:t>-</w:t>
            </w:r>
          </w:p>
        </w:tc>
        <w:tc>
          <w:tcPr>
            <w:tcW w:w="992" w:type="dxa"/>
            <w:shd w:val="clear" w:color="auto" w:fill="auto"/>
            <w:noWrap/>
            <w:vAlign w:val="center"/>
          </w:tcPr>
          <w:p>
            <w:pPr>
              <w:ind w:left="-57" w:right="-57"/>
              <w:jc w:val="center"/>
              <w:rPr>
                <w:rFonts w:ascii="Times New Roman" w:hAnsi="Times New Roman"/>
              </w:rPr>
            </w:pPr>
            <w:r>
              <w:rPr>
                <w:rFonts w:ascii="Times New Roman" w:hAnsi="Times New Roman"/>
              </w:rPr>
              <w:t>-</w:t>
            </w:r>
          </w:p>
        </w:tc>
        <w:tc>
          <w:tcPr>
            <w:tcW w:w="993" w:type="dxa"/>
            <w:shd w:val="clear" w:color="auto" w:fill="auto"/>
            <w:noWrap/>
            <w:vAlign w:val="center"/>
          </w:tcPr>
          <w:p>
            <w:pPr>
              <w:ind w:left="-57" w:right="-57"/>
              <w:jc w:val="center"/>
              <w:rPr>
                <w:rFonts w:ascii="Times New Roman" w:hAnsi="Times New Roman"/>
              </w:rPr>
            </w:pPr>
            <w:r>
              <w:rPr>
                <w:rFonts w:ascii="Times New Roman" w:hAnsi="Times New Roman"/>
              </w:rPr>
              <w:t>-</w:t>
            </w:r>
          </w:p>
        </w:tc>
      </w:tr>
      <w:tr>
        <w:trPr>
          <w:trHeight w:val="412"/>
        </w:trPr>
        <w:tc>
          <w:tcPr>
            <w:tcW w:w="392" w:type="dxa"/>
            <w:shd w:val="clear" w:color="auto" w:fill="auto"/>
            <w:vAlign w:val="center"/>
          </w:tcPr>
          <w:p>
            <w:pPr>
              <w:rPr>
                <w:rFonts w:ascii="Times New Roman" w:hAnsi="Times New Roman"/>
                <w:sz w:val="22"/>
                <w:szCs w:val="22"/>
                <w:lang w:val="en-US"/>
              </w:rPr>
            </w:pPr>
            <w:r>
              <w:rPr>
                <w:rFonts w:ascii="Times New Roman" w:hAnsi="Times New Roman"/>
                <w:sz w:val="22"/>
                <w:szCs w:val="22"/>
              </w:rPr>
              <w:t>4</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 xml:space="preserve">Уровень собираемости </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w:t>
            </w:r>
          </w:p>
        </w:tc>
        <w:tc>
          <w:tcPr>
            <w:tcW w:w="1134" w:type="dxa"/>
            <w:vAlign w:val="center"/>
          </w:tcPr>
          <w:p>
            <w:pPr>
              <w:ind w:left="-57" w:right="-57"/>
              <w:jc w:val="center"/>
              <w:rPr>
                <w:rFonts w:ascii="Times New Roman" w:hAnsi="Times New Roman"/>
              </w:rPr>
            </w:pPr>
            <w:r>
              <w:rPr>
                <w:rFonts w:ascii="Times New Roman" w:hAnsi="Times New Roman"/>
              </w:rPr>
              <w:t>95</w:t>
            </w:r>
          </w:p>
        </w:tc>
        <w:tc>
          <w:tcPr>
            <w:tcW w:w="992" w:type="dxa"/>
            <w:vAlign w:val="center"/>
          </w:tcPr>
          <w:p>
            <w:pPr>
              <w:ind w:left="-57" w:right="-57"/>
              <w:jc w:val="center"/>
              <w:rPr>
                <w:rFonts w:ascii="Times New Roman" w:hAnsi="Times New Roman"/>
                <w:bCs/>
              </w:rPr>
            </w:pPr>
            <w:r>
              <w:rPr>
                <w:rFonts w:ascii="Times New Roman" w:hAnsi="Times New Roman"/>
                <w:bCs/>
              </w:rPr>
              <w:t>90</w:t>
            </w:r>
          </w:p>
        </w:tc>
        <w:tc>
          <w:tcPr>
            <w:tcW w:w="992" w:type="dxa"/>
            <w:shd w:val="clear" w:color="auto" w:fill="auto"/>
            <w:noWrap/>
            <w:vAlign w:val="center"/>
          </w:tcPr>
          <w:p>
            <w:pPr>
              <w:ind w:left="-57" w:right="-57"/>
              <w:jc w:val="center"/>
              <w:rPr>
                <w:rFonts w:ascii="Times New Roman" w:hAnsi="Times New Roman"/>
              </w:rPr>
            </w:pPr>
            <w:r>
              <w:rPr>
                <w:rFonts w:ascii="Times New Roman" w:hAnsi="Times New Roman"/>
              </w:rPr>
              <w:t>95</w:t>
            </w:r>
          </w:p>
        </w:tc>
        <w:tc>
          <w:tcPr>
            <w:tcW w:w="709" w:type="dxa"/>
            <w:vAlign w:val="center"/>
          </w:tcPr>
          <w:p>
            <w:pPr>
              <w:ind w:left="-57" w:right="-57"/>
              <w:jc w:val="center"/>
              <w:rPr>
                <w:rFonts w:ascii="Times New Roman" w:hAnsi="Times New Roman"/>
              </w:rPr>
            </w:pPr>
            <w:r>
              <w:rPr>
                <w:rFonts w:ascii="Times New Roman" w:hAnsi="Times New Roman"/>
              </w:rPr>
              <w:t>-</w:t>
            </w:r>
          </w:p>
        </w:tc>
        <w:tc>
          <w:tcPr>
            <w:tcW w:w="992" w:type="dxa"/>
            <w:shd w:val="clear" w:color="auto" w:fill="auto"/>
            <w:noWrap/>
            <w:vAlign w:val="center"/>
          </w:tcPr>
          <w:p>
            <w:pPr>
              <w:ind w:left="-57" w:right="-57"/>
              <w:jc w:val="center"/>
              <w:rPr>
                <w:rFonts w:ascii="Times New Roman" w:hAnsi="Times New Roman"/>
              </w:rPr>
            </w:pPr>
            <w:r>
              <w:rPr>
                <w:rFonts w:ascii="Times New Roman" w:hAnsi="Times New Roman"/>
              </w:rPr>
              <w:t>95</w:t>
            </w:r>
          </w:p>
        </w:tc>
        <w:tc>
          <w:tcPr>
            <w:tcW w:w="993" w:type="dxa"/>
            <w:shd w:val="clear" w:color="auto" w:fill="auto"/>
            <w:noWrap/>
            <w:vAlign w:val="center"/>
          </w:tcPr>
          <w:p>
            <w:pPr>
              <w:ind w:left="-57" w:right="-57"/>
              <w:jc w:val="center"/>
              <w:rPr>
                <w:rFonts w:ascii="Times New Roman" w:hAnsi="Times New Roman"/>
              </w:rPr>
            </w:pPr>
            <w:r>
              <w:rPr>
                <w:rFonts w:ascii="Times New Roman" w:hAnsi="Times New Roman"/>
              </w:rPr>
              <w:t>95</w:t>
            </w:r>
          </w:p>
        </w:tc>
      </w:tr>
      <w:tr>
        <w:trPr>
          <w:trHeight w:val="272"/>
        </w:trPr>
        <w:tc>
          <w:tcPr>
            <w:tcW w:w="392" w:type="dxa"/>
            <w:shd w:val="clear" w:color="auto" w:fill="auto"/>
            <w:vAlign w:val="center"/>
          </w:tcPr>
          <w:p>
            <w:pPr>
              <w:rPr>
                <w:rFonts w:ascii="Times New Roman" w:hAnsi="Times New Roman"/>
                <w:sz w:val="22"/>
                <w:szCs w:val="22"/>
              </w:rPr>
            </w:pPr>
            <w:r>
              <w:rPr>
                <w:rFonts w:ascii="Times New Roman" w:hAnsi="Times New Roman"/>
                <w:sz w:val="22"/>
                <w:szCs w:val="22"/>
              </w:rPr>
              <w:t>5</w:t>
            </w:r>
          </w:p>
        </w:tc>
        <w:tc>
          <w:tcPr>
            <w:tcW w:w="2551" w:type="dxa"/>
            <w:shd w:val="clear" w:color="auto" w:fill="auto"/>
            <w:vAlign w:val="center"/>
          </w:tcPr>
          <w:p>
            <w:pPr>
              <w:rPr>
                <w:rFonts w:ascii="Times New Roman" w:hAnsi="Times New Roman"/>
                <w:sz w:val="22"/>
                <w:szCs w:val="22"/>
              </w:rPr>
            </w:pPr>
            <w:r>
              <w:rPr>
                <w:rFonts w:ascii="Times New Roman" w:hAnsi="Times New Roman"/>
              </w:rPr>
              <w:t>Отсрочка из-за COVID-19</w:t>
            </w:r>
          </w:p>
        </w:tc>
        <w:tc>
          <w:tcPr>
            <w:tcW w:w="851" w:type="dxa"/>
            <w:shd w:val="clear" w:color="auto" w:fill="auto"/>
            <w:vAlign w:val="center"/>
          </w:tcPr>
          <w:p>
            <w:pPr>
              <w:ind w:left="-33" w:right="-83"/>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rPr>
            </w:pPr>
          </w:p>
        </w:tc>
        <w:tc>
          <w:tcPr>
            <w:tcW w:w="992" w:type="dxa"/>
            <w:vAlign w:val="center"/>
          </w:tcPr>
          <w:p>
            <w:pPr>
              <w:ind w:left="-57" w:right="-57"/>
              <w:jc w:val="right"/>
              <w:rPr>
                <w:rFonts w:ascii="Times New Roman" w:hAnsi="Times New Roman"/>
                <w:bCs/>
              </w:rPr>
            </w:pPr>
            <w:r>
              <w:rPr>
                <w:rFonts w:ascii="Times New Roman" w:hAnsi="Times New Roman"/>
                <w:bCs/>
              </w:rPr>
              <w:t>-3 342,56</w:t>
            </w:r>
          </w:p>
        </w:tc>
        <w:tc>
          <w:tcPr>
            <w:tcW w:w="992" w:type="dxa"/>
            <w:shd w:val="clear" w:color="auto" w:fill="auto"/>
            <w:vAlign w:val="center"/>
          </w:tcPr>
          <w:p>
            <w:pPr>
              <w:ind w:left="-57" w:right="-57"/>
              <w:jc w:val="right"/>
              <w:rPr>
                <w:rFonts w:ascii="Times New Roman" w:hAnsi="Times New Roman"/>
                <w:bCs/>
              </w:rPr>
            </w:pPr>
            <w:r>
              <w:rPr>
                <w:rFonts w:ascii="Times New Roman" w:hAnsi="Times New Roman"/>
                <w:bCs/>
              </w:rPr>
              <w:t>3 342,56</w:t>
            </w:r>
          </w:p>
        </w:tc>
        <w:tc>
          <w:tcPr>
            <w:tcW w:w="709" w:type="dxa"/>
            <w:vAlign w:val="center"/>
          </w:tcPr>
          <w:p>
            <w:pPr>
              <w:ind w:left="-57" w:right="-57"/>
              <w:jc w:val="center"/>
              <w:rPr>
                <w:rFonts w:ascii="Times New Roman" w:hAnsi="Times New Roman"/>
              </w:rPr>
            </w:pPr>
            <w:r>
              <w:rPr>
                <w:rFonts w:ascii="Times New Roman" w:hAnsi="Times New Roman"/>
              </w:rPr>
              <w:t>-</w:t>
            </w:r>
          </w:p>
        </w:tc>
        <w:tc>
          <w:tcPr>
            <w:tcW w:w="992" w:type="dxa"/>
            <w:shd w:val="clear" w:color="auto" w:fill="auto"/>
            <w:vAlign w:val="center"/>
          </w:tcPr>
          <w:p>
            <w:pPr>
              <w:ind w:left="-57" w:right="-57"/>
              <w:jc w:val="center"/>
              <w:rPr>
                <w:rFonts w:ascii="Times New Roman" w:hAnsi="Times New Roman"/>
                <w:bCs/>
              </w:rPr>
            </w:pPr>
            <w:r>
              <w:rPr>
                <w:rFonts w:ascii="Times New Roman" w:hAnsi="Times New Roman"/>
                <w:bCs/>
              </w:rPr>
              <w:t>-</w:t>
            </w:r>
          </w:p>
        </w:tc>
        <w:tc>
          <w:tcPr>
            <w:tcW w:w="993" w:type="dxa"/>
            <w:shd w:val="clear" w:color="auto" w:fill="auto"/>
            <w:vAlign w:val="center"/>
          </w:tcPr>
          <w:p>
            <w:pPr>
              <w:ind w:left="-57" w:right="-57"/>
              <w:jc w:val="center"/>
              <w:rPr>
                <w:rFonts w:ascii="Times New Roman" w:hAnsi="Times New Roman"/>
                <w:bCs/>
              </w:rPr>
            </w:pPr>
            <w:r>
              <w:rPr>
                <w:rFonts w:ascii="Times New Roman" w:hAnsi="Times New Roman"/>
                <w:bCs/>
              </w:rPr>
              <w:t>-</w:t>
            </w:r>
          </w:p>
        </w:tc>
      </w:tr>
      <w:tr>
        <w:trPr>
          <w:trHeight w:val="981"/>
        </w:trPr>
        <w:tc>
          <w:tcPr>
            <w:tcW w:w="392" w:type="dxa"/>
            <w:shd w:val="clear" w:color="auto" w:fill="auto"/>
            <w:vAlign w:val="center"/>
          </w:tcPr>
          <w:p>
            <w:pPr>
              <w:rPr>
                <w:rFonts w:ascii="Times New Roman" w:hAnsi="Times New Roman"/>
                <w:sz w:val="22"/>
                <w:szCs w:val="22"/>
                <w:lang w:val="en-US"/>
              </w:rPr>
            </w:pPr>
            <w:r>
              <w:rPr>
                <w:rFonts w:ascii="Times New Roman" w:hAnsi="Times New Roman"/>
                <w:sz w:val="22"/>
                <w:szCs w:val="22"/>
              </w:rPr>
              <w:t>6</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 xml:space="preserve">Дополнительные поступления за счёт сокращения задолженности </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 руб.</w:t>
            </w:r>
          </w:p>
        </w:tc>
        <w:tc>
          <w:tcPr>
            <w:tcW w:w="1134" w:type="dxa"/>
            <w:vAlign w:val="center"/>
          </w:tcPr>
          <w:p>
            <w:pPr>
              <w:ind w:left="-57" w:right="-57"/>
              <w:jc w:val="right"/>
              <w:rPr>
                <w:rFonts w:ascii="Times New Roman" w:hAnsi="Times New Roman"/>
              </w:rPr>
            </w:pPr>
            <w:r>
              <w:rPr>
                <w:rFonts w:ascii="Times New Roman" w:hAnsi="Times New Roman"/>
              </w:rPr>
              <w:t>3 341,20</w:t>
            </w:r>
          </w:p>
        </w:tc>
        <w:tc>
          <w:tcPr>
            <w:tcW w:w="992" w:type="dxa"/>
            <w:vAlign w:val="center"/>
          </w:tcPr>
          <w:p>
            <w:pPr>
              <w:ind w:left="-57" w:right="-57"/>
              <w:jc w:val="right"/>
              <w:rPr>
                <w:rFonts w:ascii="Times New Roman" w:hAnsi="Times New Roman"/>
                <w:bCs/>
              </w:rPr>
            </w:pPr>
            <w:r>
              <w:rPr>
                <w:rFonts w:ascii="Times New Roman" w:hAnsi="Times New Roman"/>
                <w:bCs/>
              </w:rPr>
              <w:t>1 366,90</w:t>
            </w:r>
          </w:p>
        </w:tc>
        <w:tc>
          <w:tcPr>
            <w:tcW w:w="992" w:type="dxa"/>
            <w:shd w:val="clear" w:color="auto" w:fill="auto"/>
            <w:vAlign w:val="center"/>
          </w:tcPr>
          <w:p>
            <w:pPr>
              <w:ind w:left="-57" w:right="-57"/>
              <w:jc w:val="right"/>
              <w:rPr>
                <w:rFonts w:ascii="Times New Roman" w:hAnsi="Times New Roman"/>
              </w:rPr>
            </w:pPr>
            <w:r>
              <w:rPr>
                <w:rFonts w:ascii="Times New Roman" w:hAnsi="Times New Roman"/>
                <w:bCs/>
              </w:rPr>
              <w:t>1 366,90</w:t>
            </w:r>
          </w:p>
        </w:tc>
        <w:tc>
          <w:tcPr>
            <w:tcW w:w="709" w:type="dxa"/>
            <w:vAlign w:val="center"/>
          </w:tcPr>
          <w:p>
            <w:pPr>
              <w:ind w:left="-57" w:right="-57"/>
              <w:jc w:val="center"/>
              <w:rPr>
                <w:rFonts w:ascii="Times New Roman" w:hAnsi="Times New Roman"/>
              </w:rPr>
            </w:pPr>
            <w:r>
              <w:rPr>
                <w:rFonts w:ascii="Times New Roman" w:hAnsi="Times New Roman"/>
              </w:rPr>
              <w:t>100,0</w:t>
            </w:r>
          </w:p>
        </w:tc>
        <w:tc>
          <w:tcPr>
            <w:tcW w:w="992" w:type="dxa"/>
            <w:shd w:val="clear" w:color="auto" w:fill="auto"/>
            <w:vAlign w:val="center"/>
          </w:tcPr>
          <w:p>
            <w:pPr>
              <w:ind w:left="-57" w:right="-57"/>
              <w:jc w:val="right"/>
              <w:rPr>
                <w:rFonts w:ascii="Times New Roman" w:hAnsi="Times New Roman"/>
              </w:rPr>
            </w:pPr>
            <w:r>
              <w:rPr>
                <w:rFonts w:ascii="Times New Roman" w:hAnsi="Times New Roman"/>
                <w:bCs/>
              </w:rPr>
              <w:t>1 366,90</w:t>
            </w:r>
          </w:p>
        </w:tc>
        <w:tc>
          <w:tcPr>
            <w:tcW w:w="993" w:type="dxa"/>
            <w:shd w:val="clear" w:color="auto" w:fill="auto"/>
            <w:vAlign w:val="center"/>
          </w:tcPr>
          <w:p>
            <w:pPr>
              <w:ind w:left="-57" w:right="-57"/>
              <w:jc w:val="right"/>
              <w:rPr>
                <w:rFonts w:ascii="Times New Roman" w:hAnsi="Times New Roman"/>
              </w:rPr>
            </w:pPr>
            <w:r>
              <w:rPr>
                <w:rFonts w:ascii="Times New Roman" w:hAnsi="Times New Roman"/>
                <w:bCs/>
              </w:rPr>
              <w:t>1 366,90</w:t>
            </w:r>
          </w:p>
        </w:tc>
      </w:tr>
      <w:tr>
        <w:trPr>
          <w:trHeight w:val="513"/>
        </w:trPr>
        <w:tc>
          <w:tcPr>
            <w:tcW w:w="392" w:type="dxa"/>
            <w:shd w:val="clear" w:color="auto" w:fill="auto"/>
            <w:vAlign w:val="center"/>
          </w:tcPr>
          <w:p>
            <w:pPr>
              <w:rPr>
                <w:rFonts w:ascii="Times New Roman" w:hAnsi="Times New Roman"/>
                <w:bCs/>
                <w:sz w:val="22"/>
                <w:szCs w:val="22"/>
                <w:lang w:val="en-US"/>
              </w:rPr>
            </w:pPr>
            <w:r>
              <w:rPr>
                <w:rFonts w:ascii="Times New Roman" w:hAnsi="Times New Roman"/>
                <w:bCs/>
                <w:sz w:val="22"/>
                <w:szCs w:val="22"/>
              </w:rPr>
              <w:t>7</w:t>
            </w:r>
          </w:p>
        </w:tc>
        <w:tc>
          <w:tcPr>
            <w:tcW w:w="2551" w:type="dxa"/>
            <w:shd w:val="clear" w:color="auto" w:fill="auto"/>
            <w:vAlign w:val="center"/>
          </w:tcPr>
          <w:p>
            <w:pPr>
              <w:rPr>
                <w:rFonts w:ascii="Times New Roman" w:hAnsi="Times New Roman"/>
                <w:bCs/>
                <w:sz w:val="22"/>
                <w:szCs w:val="22"/>
              </w:rPr>
            </w:pPr>
            <w:r>
              <w:rPr>
                <w:rFonts w:ascii="Times New Roman" w:hAnsi="Times New Roman"/>
                <w:bCs/>
                <w:sz w:val="22"/>
                <w:szCs w:val="22"/>
              </w:rPr>
              <w:t>Всего арендной платы за землю к поступлению</w:t>
            </w:r>
          </w:p>
        </w:tc>
        <w:tc>
          <w:tcPr>
            <w:tcW w:w="851" w:type="dxa"/>
            <w:shd w:val="clear" w:color="auto" w:fill="auto"/>
            <w:vAlign w:val="center"/>
          </w:tcPr>
          <w:p>
            <w:pPr>
              <w:ind w:left="-108" w:right="-79"/>
              <w:jc w:val="center"/>
              <w:rPr>
                <w:rFonts w:ascii="Times New Roman" w:hAnsi="Times New Roman"/>
                <w:bCs/>
              </w:rPr>
            </w:pPr>
            <w:r>
              <w:rPr>
                <w:rFonts w:ascii="Times New Roman" w:hAnsi="Times New Roman"/>
                <w:bCs/>
              </w:rPr>
              <w:t>тыс. руб.</w:t>
            </w:r>
          </w:p>
        </w:tc>
        <w:tc>
          <w:tcPr>
            <w:tcW w:w="1134" w:type="dxa"/>
            <w:vAlign w:val="center"/>
          </w:tcPr>
          <w:p>
            <w:pPr>
              <w:ind w:left="-57" w:right="-57"/>
              <w:jc w:val="right"/>
              <w:rPr>
                <w:rFonts w:ascii="Times New Roman" w:hAnsi="Times New Roman"/>
                <w:bCs/>
              </w:rPr>
            </w:pPr>
            <w:r>
              <w:rPr>
                <w:rFonts w:ascii="Times New Roman" w:hAnsi="Times New Roman"/>
                <w:bCs/>
              </w:rPr>
              <w:t>46 785,72</w:t>
            </w:r>
          </w:p>
        </w:tc>
        <w:tc>
          <w:tcPr>
            <w:tcW w:w="992" w:type="dxa"/>
            <w:vAlign w:val="center"/>
          </w:tcPr>
          <w:p>
            <w:pPr>
              <w:ind w:left="-57" w:right="-57"/>
              <w:jc w:val="right"/>
              <w:rPr>
                <w:rFonts w:ascii="Times New Roman" w:hAnsi="Times New Roman"/>
                <w:bCs/>
              </w:rPr>
            </w:pPr>
            <w:r>
              <w:rPr>
                <w:rFonts w:ascii="Times New Roman" w:hAnsi="Times New Roman"/>
                <w:bCs/>
              </w:rPr>
              <w:t>53 539,87</w:t>
            </w:r>
          </w:p>
        </w:tc>
        <w:tc>
          <w:tcPr>
            <w:tcW w:w="992" w:type="dxa"/>
            <w:shd w:val="clear" w:color="auto" w:fill="auto"/>
            <w:vAlign w:val="center"/>
          </w:tcPr>
          <w:p>
            <w:pPr>
              <w:ind w:left="-57" w:right="-57"/>
              <w:jc w:val="right"/>
              <w:rPr>
                <w:rFonts w:ascii="Times New Roman" w:hAnsi="Times New Roman"/>
                <w:bCs/>
              </w:rPr>
            </w:pPr>
            <w:r>
              <w:rPr>
                <w:rFonts w:ascii="Times New Roman" w:hAnsi="Times New Roman"/>
                <w:bCs/>
              </w:rPr>
              <w:t>43 378,12</w:t>
            </w:r>
          </w:p>
        </w:tc>
        <w:tc>
          <w:tcPr>
            <w:tcW w:w="709" w:type="dxa"/>
            <w:vAlign w:val="center"/>
          </w:tcPr>
          <w:p>
            <w:pPr>
              <w:ind w:left="-57" w:right="-57"/>
              <w:jc w:val="center"/>
              <w:rPr>
                <w:rFonts w:ascii="Times New Roman" w:hAnsi="Times New Roman"/>
                <w:bCs/>
              </w:rPr>
            </w:pPr>
            <w:r>
              <w:rPr>
                <w:rFonts w:ascii="Times New Roman" w:hAnsi="Times New Roman"/>
                <w:bCs/>
              </w:rPr>
              <w:t>81,0</w:t>
            </w:r>
          </w:p>
        </w:tc>
        <w:tc>
          <w:tcPr>
            <w:tcW w:w="992" w:type="dxa"/>
            <w:shd w:val="clear" w:color="auto" w:fill="auto"/>
            <w:vAlign w:val="center"/>
          </w:tcPr>
          <w:p>
            <w:pPr>
              <w:ind w:left="-57" w:right="-57"/>
              <w:jc w:val="right"/>
              <w:rPr>
                <w:rFonts w:ascii="Times New Roman" w:hAnsi="Times New Roman"/>
                <w:bCs/>
              </w:rPr>
            </w:pPr>
            <w:r>
              <w:rPr>
                <w:rFonts w:ascii="Times New Roman" w:hAnsi="Times New Roman"/>
                <w:bCs/>
              </w:rPr>
              <w:t>49 807,32</w:t>
            </w:r>
          </w:p>
        </w:tc>
        <w:tc>
          <w:tcPr>
            <w:tcW w:w="993" w:type="dxa"/>
            <w:shd w:val="clear" w:color="auto" w:fill="auto"/>
            <w:vAlign w:val="center"/>
          </w:tcPr>
          <w:p>
            <w:pPr>
              <w:ind w:left="-57" w:right="-57"/>
              <w:jc w:val="right"/>
              <w:rPr>
                <w:rFonts w:ascii="Times New Roman" w:hAnsi="Times New Roman"/>
                <w:bCs/>
              </w:rPr>
            </w:pPr>
            <w:r>
              <w:rPr>
                <w:rFonts w:ascii="Times New Roman" w:hAnsi="Times New Roman"/>
                <w:bCs/>
              </w:rPr>
              <w:t>37 622,62</w:t>
            </w:r>
          </w:p>
        </w:tc>
      </w:tr>
    </w:tbl>
    <w:p>
      <w:pPr>
        <w:ind w:right="43" w:firstLine="709"/>
        <w:jc w:val="both"/>
        <w:rPr>
          <w:rFonts w:ascii="Times New Roman" w:hAnsi="Times New Roman"/>
          <w:sz w:val="10"/>
          <w:szCs w:val="10"/>
          <w:highlight w:val="yellow"/>
        </w:rPr>
      </w:pPr>
    </w:p>
    <w:p>
      <w:pPr>
        <w:ind w:right="43" w:firstLine="709"/>
        <w:jc w:val="both"/>
        <w:rPr>
          <w:rFonts w:ascii="Times New Roman" w:hAnsi="Times New Roman"/>
          <w:sz w:val="24"/>
          <w:szCs w:val="24"/>
        </w:rPr>
      </w:pPr>
      <w:r>
        <w:rPr>
          <w:rFonts w:ascii="Times New Roman" w:hAnsi="Times New Roman"/>
          <w:sz w:val="24"/>
          <w:szCs w:val="24"/>
        </w:rPr>
        <w:t xml:space="preserve">Доходы от арендной платы за землю на 2021 год прогнозируются в сумме                     </w:t>
      </w:r>
      <w:r>
        <w:rPr>
          <w:rFonts w:ascii="Times New Roman" w:hAnsi="Times New Roman"/>
          <w:bCs/>
          <w:sz w:val="24"/>
          <w:szCs w:val="24"/>
        </w:rPr>
        <w:t xml:space="preserve">43 378,12 </w:t>
      </w:r>
      <w:r>
        <w:rPr>
          <w:rFonts w:ascii="Times New Roman" w:hAnsi="Times New Roman"/>
          <w:sz w:val="24"/>
          <w:szCs w:val="24"/>
        </w:rPr>
        <w:t>тыс.руб., что на 10 161,75 тыс.руб. или на 19,0% меньше оценки 2020 года.</w:t>
      </w:r>
    </w:p>
    <w:p>
      <w:pPr>
        <w:ind w:right="43" w:firstLine="709"/>
        <w:jc w:val="both"/>
        <w:rPr>
          <w:rFonts w:ascii="Times New Roman" w:hAnsi="Times New Roman"/>
          <w:sz w:val="24"/>
          <w:szCs w:val="24"/>
        </w:rPr>
      </w:pPr>
      <w:r>
        <w:rPr>
          <w:rFonts w:ascii="Times New Roman" w:hAnsi="Times New Roman"/>
          <w:sz w:val="24"/>
          <w:szCs w:val="24"/>
        </w:rPr>
        <w:t xml:space="preserve">Поступления доходов от арендной платы за землю на 2022 год прогнозируются </w:t>
      </w:r>
      <w:r>
        <w:rPr>
          <w:rFonts w:ascii="Times New Roman" w:hAnsi="Times New Roman"/>
          <w:sz w:val="24"/>
          <w:szCs w:val="24"/>
        </w:rPr>
        <w:br/>
        <w:t>в сумме 49 807,32</w:t>
      </w:r>
      <w:r>
        <w:rPr>
          <w:rFonts w:ascii="Times New Roman" w:hAnsi="Times New Roman"/>
          <w:bCs/>
          <w:sz w:val="24"/>
          <w:szCs w:val="24"/>
        </w:rPr>
        <w:t xml:space="preserve"> </w:t>
      </w:r>
      <w:r>
        <w:rPr>
          <w:rFonts w:ascii="Times New Roman" w:hAnsi="Times New Roman"/>
          <w:sz w:val="24"/>
          <w:szCs w:val="24"/>
        </w:rPr>
        <w:t>тыс.руб., на 2023 год в сумме 37</w:t>
      </w:r>
      <w:r>
        <w:rPr>
          <w:rFonts w:ascii="Times New Roman" w:hAnsi="Times New Roman"/>
          <w:bCs/>
          <w:sz w:val="24"/>
          <w:szCs w:val="24"/>
        </w:rPr>
        <w:t xml:space="preserve"> 622,62 </w:t>
      </w:r>
      <w:r>
        <w:rPr>
          <w:rFonts w:ascii="Times New Roman" w:hAnsi="Times New Roman"/>
          <w:sz w:val="24"/>
          <w:szCs w:val="24"/>
        </w:rPr>
        <w:t>тыс.руб.</w:t>
      </w:r>
    </w:p>
    <w:p>
      <w:pPr>
        <w:ind w:right="43" w:firstLine="709"/>
        <w:jc w:val="both"/>
        <w:rPr>
          <w:rFonts w:ascii="Times New Roman" w:hAnsi="Times New Roman"/>
          <w:sz w:val="24"/>
          <w:szCs w:val="24"/>
        </w:rPr>
      </w:pPr>
      <w:r>
        <w:rPr>
          <w:rFonts w:ascii="Times New Roman" w:hAnsi="Times New Roman"/>
          <w:sz w:val="24"/>
          <w:szCs w:val="24"/>
        </w:rPr>
        <w:t xml:space="preserve">Доля поступлений в 2021 году в структуре налоговых и неналоговых доходов составит 3,9%, в общей сумме доходов бюджета ЗАТО Северск – 1,1%. </w:t>
      </w:r>
    </w:p>
    <w:p>
      <w:pPr>
        <w:ind w:right="43" w:firstLine="709"/>
        <w:jc w:val="both"/>
        <w:rPr>
          <w:rFonts w:ascii="Times New Roman" w:hAnsi="Times New Roman"/>
          <w:sz w:val="24"/>
          <w:szCs w:val="24"/>
        </w:rPr>
      </w:pPr>
      <w:r>
        <w:rPr>
          <w:rFonts w:ascii="Times New Roman" w:hAnsi="Times New Roman"/>
          <w:sz w:val="24"/>
          <w:szCs w:val="24"/>
        </w:rPr>
        <w:t>В 2022 - 2023 годах доля в структуре налоговых и неналоговых доходов составит 4,5% и 3,4% соответственно, в общей сумме доходов – 1,4% и 1,1%.</w:t>
      </w:r>
    </w:p>
    <w:p>
      <w:pPr>
        <w:ind w:firstLine="709"/>
        <w:jc w:val="both"/>
        <w:rPr>
          <w:rFonts w:ascii="Times New Roman" w:hAnsi="Times New Roman"/>
          <w:sz w:val="24"/>
        </w:rPr>
      </w:pPr>
      <w:r>
        <w:rPr>
          <w:rFonts w:ascii="Times New Roman" w:hAnsi="Times New Roman"/>
          <w:sz w:val="24"/>
          <w:szCs w:val="24"/>
        </w:rPr>
        <w:t>Таблица 16 - Расчёт арендной платы за земли,</w:t>
      </w:r>
      <w:r>
        <w:rPr>
          <w:rFonts w:ascii="Times New Roman" w:hAnsi="Times New Roman"/>
          <w:sz w:val="24"/>
        </w:rPr>
        <w:t xml:space="preserve"> государственная собственность на которые не разграничена</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551"/>
        <w:gridCol w:w="851"/>
        <w:gridCol w:w="1134"/>
        <w:gridCol w:w="992"/>
        <w:gridCol w:w="992"/>
        <w:gridCol w:w="709"/>
        <w:gridCol w:w="992"/>
        <w:gridCol w:w="993"/>
      </w:tblGrid>
      <w:tr>
        <w:trPr>
          <w:trHeight w:val="261"/>
        </w:trPr>
        <w:tc>
          <w:tcPr>
            <w:tcW w:w="426" w:type="dxa"/>
            <w:vMerge w:val="restart"/>
            <w:shd w:val="clear" w:color="auto" w:fill="auto"/>
            <w:vAlign w:val="center"/>
          </w:tcPr>
          <w:p>
            <w:pPr>
              <w:snapToGrid w:val="0"/>
              <w:ind w:left="-108" w:right="-108"/>
              <w:jc w:val="center"/>
              <w:rPr>
                <w:rFonts w:ascii="Times New Roman" w:hAnsi="Times New Roman"/>
                <w:bCs/>
                <w:iCs/>
                <w:sz w:val="22"/>
                <w:szCs w:val="22"/>
              </w:rPr>
            </w:pPr>
            <w:r>
              <w:rPr>
                <w:rFonts w:ascii="Times New Roman" w:hAnsi="Times New Roman"/>
                <w:bCs/>
                <w:iCs/>
                <w:sz w:val="22"/>
                <w:szCs w:val="22"/>
              </w:rPr>
              <w:t>№</w:t>
            </w:r>
          </w:p>
        </w:tc>
        <w:tc>
          <w:tcPr>
            <w:tcW w:w="2551" w:type="dxa"/>
            <w:vMerge w:val="restart"/>
            <w:shd w:val="clear" w:color="auto" w:fill="auto"/>
            <w:vAlign w:val="center"/>
          </w:tcPr>
          <w:p>
            <w:pPr>
              <w:jc w:val="center"/>
              <w:rPr>
                <w:rFonts w:ascii="Times New Roman" w:hAnsi="Times New Roman"/>
                <w:sz w:val="22"/>
                <w:szCs w:val="22"/>
              </w:rPr>
            </w:pPr>
            <w:r>
              <w:rPr>
                <w:rFonts w:ascii="Times New Roman" w:hAnsi="Times New Roman"/>
              </w:rPr>
              <w:t>Показатели</w:t>
            </w:r>
          </w:p>
        </w:tc>
        <w:tc>
          <w:tcPr>
            <w:tcW w:w="851" w:type="dxa"/>
            <w:vMerge w:val="restart"/>
            <w:shd w:val="clear" w:color="auto" w:fill="auto"/>
            <w:vAlign w:val="center"/>
          </w:tcPr>
          <w:p>
            <w:pPr>
              <w:ind w:left="-108" w:right="-108"/>
              <w:jc w:val="center"/>
              <w:rPr>
                <w:rFonts w:ascii="Times New Roman" w:hAnsi="Times New Roman"/>
              </w:rPr>
            </w:pPr>
            <w:r>
              <w:rPr>
                <w:rFonts w:ascii="Times New Roman" w:hAnsi="Times New Roman"/>
              </w:rPr>
              <w:t>Ед.изм.</w:t>
            </w:r>
          </w:p>
        </w:tc>
        <w:tc>
          <w:tcPr>
            <w:tcW w:w="2126" w:type="dxa"/>
            <w:gridSpan w:val="2"/>
          </w:tcPr>
          <w:p>
            <w:pPr>
              <w:ind w:left="-108" w:right="-108"/>
              <w:jc w:val="center"/>
              <w:rPr>
                <w:rFonts w:ascii="Times New Roman" w:hAnsi="Times New Roman"/>
              </w:rPr>
            </w:pPr>
            <w:r>
              <w:rPr>
                <w:rFonts w:ascii="Times New Roman" w:hAnsi="Times New Roman"/>
              </w:rPr>
              <w:t>2020 год</w:t>
            </w:r>
          </w:p>
        </w:tc>
        <w:tc>
          <w:tcPr>
            <w:tcW w:w="1701" w:type="dxa"/>
            <w:gridSpan w:val="2"/>
            <w:shd w:val="clear" w:color="auto" w:fill="auto"/>
            <w:vAlign w:val="center"/>
          </w:tcPr>
          <w:p>
            <w:pPr>
              <w:ind w:left="-108" w:right="-108"/>
              <w:jc w:val="center"/>
              <w:rPr>
                <w:rFonts w:ascii="Times New Roman" w:hAnsi="Times New Roman"/>
              </w:rPr>
            </w:pPr>
            <w:r>
              <w:rPr>
                <w:rFonts w:ascii="Times New Roman" w:hAnsi="Times New Roman"/>
              </w:rPr>
              <w:t>2021 год</w:t>
            </w:r>
          </w:p>
        </w:tc>
        <w:tc>
          <w:tcPr>
            <w:tcW w:w="992"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2022 года</w:t>
            </w:r>
          </w:p>
        </w:tc>
        <w:tc>
          <w:tcPr>
            <w:tcW w:w="993"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2023 года</w:t>
            </w:r>
          </w:p>
        </w:tc>
      </w:tr>
      <w:tr>
        <w:trPr>
          <w:trHeight w:val="240"/>
        </w:trPr>
        <w:tc>
          <w:tcPr>
            <w:tcW w:w="426" w:type="dxa"/>
            <w:vMerge/>
            <w:shd w:val="clear" w:color="auto" w:fill="auto"/>
            <w:vAlign w:val="center"/>
          </w:tcPr>
          <w:p>
            <w:pPr>
              <w:snapToGrid w:val="0"/>
              <w:ind w:left="-108" w:right="-108"/>
              <w:jc w:val="center"/>
              <w:rPr>
                <w:rFonts w:ascii="Times New Roman" w:hAnsi="Times New Roman"/>
                <w:bCs/>
                <w:iCs/>
                <w:sz w:val="22"/>
                <w:szCs w:val="22"/>
                <w:highlight w:val="yellow"/>
              </w:rPr>
            </w:pPr>
          </w:p>
        </w:tc>
        <w:tc>
          <w:tcPr>
            <w:tcW w:w="2551" w:type="dxa"/>
            <w:vMerge/>
            <w:shd w:val="clear" w:color="auto" w:fill="auto"/>
            <w:vAlign w:val="center"/>
          </w:tcPr>
          <w:p>
            <w:pPr>
              <w:jc w:val="center"/>
              <w:rPr>
                <w:rFonts w:ascii="Times New Roman" w:hAnsi="Times New Roman"/>
                <w:sz w:val="22"/>
                <w:szCs w:val="22"/>
                <w:highlight w:val="yellow"/>
              </w:rPr>
            </w:pPr>
          </w:p>
        </w:tc>
        <w:tc>
          <w:tcPr>
            <w:tcW w:w="851" w:type="dxa"/>
            <w:vMerge/>
            <w:shd w:val="clear" w:color="auto" w:fill="auto"/>
            <w:vAlign w:val="center"/>
          </w:tcPr>
          <w:p>
            <w:pPr>
              <w:ind w:left="-108" w:right="-79"/>
              <w:jc w:val="center"/>
              <w:rPr>
                <w:rFonts w:ascii="Times New Roman" w:hAnsi="Times New Roman"/>
                <w:sz w:val="22"/>
                <w:szCs w:val="22"/>
                <w:highlight w:val="yellow"/>
              </w:rPr>
            </w:pPr>
          </w:p>
        </w:tc>
        <w:tc>
          <w:tcPr>
            <w:tcW w:w="1134" w:type="dxa"/>
            <w:vAlign w:val="center"/>
          </w:tcPr>
          <w:p>
            <w:pPr>
              <w:ind w:left="-57" w:right="-57"/>
              <w:jc w:val="center"/>
              <w:rPr>
                <w:rFonts w:ascii="Times New Roman" w:hAnsi="Times New Roman"/>
                <w:bCs/>
                <w:sz w:val="22"/>
                <w:szCs w:val="22"/>
                <w:highlight w:val="yellow"/>
              </w:rPr>
            </w:pPr>
            <w:r>
              <w:rPr>
                <w:rFonts w:ascii="Times New Roman" w:hAnsi="Times New Roman"/>
              </w:rPr>
              <w:t>Первонач. утверждено</w:t>
            </w:r>
          </w:p>
        </w:tc>
        <w:tc>
          <w:tcPr>
            <w:tcW w:w="992" w:type="dxa"/>
            <w:shd w:val="clear" w:color="auto" w:fill="auto"/>
            <w:vAlign w:val="center"/>
          </w:tcPr>
          <w:p>
            <w:pPr>
              <w:ind w:left="-57" w:right="-57"/>
              <w:jc w:val="center"/>
              <w:rPr>
                <w:rFonts w:ascii="Times New Roman" w:hAnsi="Times New Roman"/>
                <w:bCs/>
                <w:sz w:val="22"/>
                <w:szCs w:val="22"/>
                <w:highlight w:val="yellow"/>
              </w:rPr>
            </w:pPr>
            <w:r>
              <w:rPr>
                <w:rFonts w:ascii="Times New Roman" w:hAnsi="Times New Roman"/>
              </w:rPr>
              <w:t>Оценка</w:t>
            </w:r>
          </w:p>
        </w:tc>
        <w:tc>
          <w:tcPr>
            <w:tcW w:w="992" w:type="dxa"/>
            <w:shd w:val="clear" w:color="auto" w:fill="auto"/>
            <w:vAlign w:val="center"/>
          </w:tcPr>
          <w:p>
            <w:pPr>
              <w:ind w:left="-57" w:right="-57"/>
              <w:jc w:val="center"/>
              <w:rPr>
                <w:rFonts w:ascii="Times New Roman" w:hAnsi="Times New Roman"/>
              </w:rPr>
            </w:pPr>
            <w:r>
              <w:rPr>
                <w:rFonts w:ascii="Times New Roman" w:hAnsi="Times New Roman"/>
              </w:rPr>
              <w:t xml:space="preserve">Прогноз </w:t>
            </w:r>
          </w:p>
        </w:tc>
        <w:tc>
          <w:tcPr>
            <w:tcW w:w="709" w:type="dxa"/>
            <w:vAlign w:val="center"/>
          </w:tcPr>
          <w:p>
            <w:pPr>
              <w:ind w:left="-57" w:right="-57"/>
              <w:jc w:val="center"/>
              <w:rPr>
                <w:rFonts w:ascii="Times New Roman" w:hAnsi="Times New Roman"/>
              </w:rPr>
            </w:pPr>
            <w:r>
              <w:rPr>
                <w:rFonts w:ascii="Times New Roman" w:hAnsi="Times New Roman"/>
              </w:rPr>
              <w:t>% к оценке 2020г.</w:t>
            </w:r>
          </w:p>
        </w:tc>
        <w:tc>
          <w:tcPr>
            <w:tcW w:w="992" w:type="dxa"/>
            <w:vMerge/>
            <w:shd w:val="clear" w:color="auto" w:fill="auto"/>
            <w:vAlign w:val="center"/>
          </w:tcPr>
          <w:p>
            <w:pPr>
              <w:ind w:left="-57" w:right="-57"/>
              <w:jc w:val="center"/>
              <w:rPr>
                <w:rFonts w:ascii="Times New Roman" w:hAnsi="Times New Roman"/>
                <w:sz w:val="22"/>
                <w:szCs w:val="22"/>
                <w:highlight w:val="yellow"/>
              </w:rPr>
            </w:pPr>
          </w:p>
        </w:tc>
        <w:tc>
          <w:tcPr>
            <w:tcW w:w="993" w:type="dxa"/>
            <w:vMerge/>
            <w:shd w:val="clear" w:color="auto" w:fill="auto"/>
            <w:vAlign w:val="center"/>
          </w:tcPr>
          <w:p>
            <w:pPr>
              <w:ind w:left="-57" w:right="-57"/>
              <w:jc w:val="center"/>
              <w:rPr>
                <w:rFonts w:ascii="Times New Roman" w:hAnsi="Times New Roman"/>
                <w:sz w:val="22"/>
                <w:szCs w:val="22"/>
                <w:highlight w:val="yellow"/>
              </w:rPr>
            </w:pPr>
          </w:p>
        </w:tc>
      </w:tr>
      <w:tr>
        <w:trPr>
          <w:trHeight w:val="459"/>
        </w:trPr>
        <w:tc>
          <w:tcPr>
            <w:tcW w:w="426" w:type="dxa"/>
            <w:shd w:val="clear" w:color="auto" w:fill="auto"/>
            <w:vAlign w:val="center"/>
          </w:tcPr>
          <w:p>
            <w:pPr>
              <w:jc w:val="center"/>
              <w:rPr>
                <w:rFonts w:ascii="Times New Roman" w:hAnsi="Times New Roman"/>
              </w:rPr>
            </w:pPr>
            <w:r>
              <w:rPr>
                <w:rFonts w:ascii="Times New Roman" w:hAnsi="Times New Roman"/>
              </w:rPr>
              <w:t>1</w:t>
            </w:r>
          </w:p>
        </w:tc>
        <w:tc>
          <w:tcPr>
            <w:tcW w:w="2551" w:type="dxa"/>
            <w:shd w:val="clear" w:color="auto" w:fill="auto"/>
            <w:vAlign w:val="center"/>
          </w:tcPr>
          <w:p>
            <w:pPr>
              <w:rPr>
                <w:rFonts w:ascii="Times New Roman" w:hAnsi="Times New Roman"/>
              </w:rPr>
            </w:pPr>
            <w:r>
              <w:rPr>
                <w:rFonts w:ascii="Times New Roman" w:hAnsi="Times New Roman"/>
              </w:rPr>
              <w:t>Кадастровая стоимость земельных участков</w:t>
            </w:r>
          </w:p>
        </w:tc>
        <w:tc>
          <w:tcPr>
            <w:tcW w:w="851" w:type="dxa"/>
            <w:shd w:val="clear" w:color="auto" w:fill="auto"/>
            <w:vAlign w:val="center"/>
          </w:tcPr>
          <w:p>
            <w:pPr>
              <w:ind w:left="-33" w:right="-83"/>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rPr>
            </w:pPr>
            <w:r>
              <w:rPr>
                <w:rFonts w:ascii="Times New Roman" w:hAnsi="Times New Roman"/>
              </w:rPr>
              <w:t>3 407 505</w:t>
            </w:r>
          </w:p>
        </w:tc>
        <w:tc>
          <w:tcPr>
            <w:tcW w:w="992" w:type="dxa"/>
            <w:shd w:val="clear" w:color="auto" w:fill="auto"/>
            <w:vAlign w:val="center"/>
          </w:tcPr>
          <w:p>
            <w:pPr>
              <w:ind w:left="-57" w:right="-57"/>
              <w:jc w:val="right"/>
              <w:rPr>
                <w:rFonts w:ascii="Times New Roman" w:hAnsi="Times New Roman"/>
                <w:highlight w:val="yellow"/>
              </w:rPr>
            </w:pPr>
            <w:r>
              <w:rPr>
                <w:rFonts w:ascii="Times New Roman" w:hAnsi="Times New Roman"/>
              </w:rPr>
              <w:t>3 408 586</w:t>
            </w:r>
          </w:p>
        </w:tc>
        <w:tc>
          <w:tcPr>
            <w:tcW w:w="992" w:type="dxa"/>
            <w:shd w:val="clear" w:color="auto" w:fill="auto"/>
            <w:vAlign w:val="center"/>
          </w:tcPr>
          <w:p>
            <w:pPr>
              <w:ind w:left="-57" w:right="-57"/>
              <w:jc w:val="right"/>
              <w:rPr>
                <w:rFonts w:ascii="Times New Roman" w:hAnsi="Times New Roman"/>
                <w:highlight w:val="yellow"/>
              </w:rPr>
            </w:pPr>
            <w:r>
              <w:rPr>
                <w:rFonts w:ascii="Times New Roman" w:hAnsi="Times New Roman"/>
              </w:rPr>
              <w:t>3 389 102</w:t>
            </w:r>
          </w:p>
        </w:tc>
        <w:tc>
          <w:tcPr>
            <w:tcW w:w="709" w:type="dxa"/>
            <w:vAlign w:val="center"/>
          </w:tcPr>
          <w:p>
            <w:pPr>
              <w:ind w:left="-57" w:right="-57"/>
              <w:jc w:val="center"/>
              <w:rPr>
                <w:rFonts w:ascii="Times New Roman" w:hAnsi="Times New Roman"/>
                <w:highlight w:val="yellow"/>
              </w:rPr>
            </w:pPr>
            <w:r>
              <w:rPr>
                <w:rFonts w:ascii="Times New Roman" w:hAnsi="Times New Roman"/>
              </w:rPr>
              <w:t>99,4</w:t>
            </w:r>
          </w:p>
        </w:tc>
        <w:tc>
          <w:tcPr>
            <w:tcW w:w="992" w:type="dxa"/>
            <w:shd w:val="clear" w:color="auto" w:fill="auto"/>
            <w:vAlign w:val="center"/>
          </w:tcPr>
          <w:p>
            <w:pPr>
              <w:ind w:left="-57" w:right="-57"/>
              <w:jc w:val="right"/>
              <w:rPr>
                <w:rFonts w:ascii="Times New Roman" w:hAnsi="Times New Roman"/>
                <w:highlight w:val="yellow"/>
              </w:rPr>
            </w:pPr>
            <w:r>
              <w:rPr>
                <w:rFonts w:ascii="Times New Roman" w:hAnsi="Times New Roman"/>
              </w:rPr>
              <w:t>3 385 750</w:t>
            </w:r>
          </w:p>
        </w:tc>
        <w:tc>
          <w:tcPr>
            <w:tcW w:w="993" w:type="dxa"/>
            <w:shd w:val="clear" w:color="auto" w:fill="auto"/>
            <w:vAlign w:val="center"/>
          </w:tcPr>
          <w:p>
            <w:pPr>
              <w:ind w:left="-57" w:right="-57"/>
              <w:jc w:val="right"/>
              <w:rPr>
                <w:rFonts w:ascii="Times New Roman" w:hAnsi="Times New Roman"/>
                <w:highlight w:val="yellow"/>
              </w:rPr>
            </w:pPr>
            <w:r>
              <w:rPr>
                <w:rFonts w:ascii="Times New Roman" w:hAnsi="Times New Roman"/>
              </w:rPr>
              <w:t>3 368 662</w:t>
            </w:r>
          </w:p>
        </w:tc>
      </w:tr>
      <w:tr>
        <w:trPr>
          <w:trHeight w:val="352"/>
        </w:trPr>
        <w:tc>
          <w:tcPr>
            <w:tcW w:w="426" w:type="dxa"/>
            <w:shd w:val="clear" w:color="auto" w:fill="auto"/>
            <w:vAlign w:val="center"/>
          </w:tcPr>
          <w:p>
            <w:pPr>
              <w:jc w:val="center"/>
              <w:rPr>
                <w:rFonts w:ascii="Times New Roman" w:hAnsi="Times New Roman"/>
              </w:rPr>
            </w:pPr>
            <w:r>
              <w:rPr>
                <w:rFonts w:ascii="Times New Roman" w:hAnsi="Times New Roman"/>
              </w:rPr>
              <w:t>2</w:t>
            </w:r>
          </w:p>
        </w:tc>
        <w:tc>
          <w:tcPr>
            <w:tcW w:w="2551" w:type="dxa"/>
            <w:shd w:val="clear" w:color="auto" w:fill="auto"/>
            <w:vAlign w:val="center"/>
          </w:tcPr>
          <w:p>
            <w:pPr>
              <w:jc w:val="both"/>
              <w:rPr>
                <w:rFonts w:ascii="Times New Roman" w:hAnsi="Times New Roman"/>
              </w:rPr>
            </w:pPr>
            <w:r>
              <w:rPr>
                <w:rFonts w:ascii="Times New Roman" w:hAnsi="Times New Roman"/>
              </w:rPr>
              <w:t>Начислено арендной платы в бюджет ЗАТО Северск</w:t>
            </w:r>
          </w:p>
        </w:tc>
        <w:tc>
          <w:tcPr>
            <w:tcW w:w="851" w:type="dxa"/>
            <w:shd w:val="clear" w:color="auto" w:fill="auto"/>
            <w:vAlign w:val="center"/>
          </w:tcPr>
          <w:p>
            <w:pPr>
              <w:ind w:left="-33" w:right="-83"/>
              <w:jc w:val="center"/>
              <w:rPr>
                <w:rFonts w:ascii="Times New Roman" w:hAnsi="Times New Roman"/>
              </w:rPr>
            </w:pPr>
            <w:r>
              <w:rPr>
                <w:rFonts w:ascii="Times New Roman" w:hAnsi="Times New Roman"/>
              </w:rPr>
              <w:t>%</w:t>
            </w:r>
          </w:p>
        </w:tc>
        <w:tc>
          <w:tcPr>
            <w:tcW w:w="1134" w:type="dxa"/>
            <w:vAlign w:val="center"/>
          </w:tcPr>
          <w:p>
            <w:pPr>
              <w:ind w:left="-57" w:right="-57"/>
              <w:jc w:val="right"/>
              <w:rPr>
                <w:rFonts w:ascii="Times New Roman" w:hAnsi="Times New Roman"/>
              </w:rPr>
            </w:pPr>
            <w:r>
              <w:rPr>
                <w:rFonts w:ascii="Times New Roman" w:hAnsi="Times New Roman"/>
              </w:rPr>
              <w:t>19 356,95</w:t>
            </w:r>
          </w:p>
        </w:tc>
        <w:tc>
          <w:tcPr>
            <w:tcW w:w="992" w:type="dxa"/>
            <w:shd w:val="clear" w:color="auto" w:fill="auto"/>
            <w:vAlign w:val="center"/>
          </w:tcPr>
          <w:p>
            <w:pPr>
              <w:ind w:left="-57" w:right="-57"/>
              <w:jc w:val="right"/>
              <w:rPr>
                <w:rFonts w:ascii="Times New Roman" w:hAnsi="Times New Roman"/>
                <w:highlight w:val="yellow"/>
              </w:rPr>
            </w:pPr>
            <w:r>
              <w:rPr>
                <w:rFonts w:ascii="Times New Roman" w:hAnsi="Times New Roman"/>
              </w:rPr>
              <w:t>20 593,76</w:t>
            </w:r>
          </w:p>
        </w:tc>
        <w:tc>
          <w:tcPr>
            <w:tcW w:w="992" w:type="dxa"/>
            <w:shd w:val="clear" w:color="auto" w:fill="auto"/>
            <w:vAlign w:val="center"/>
          </w:tcPr>
          <w:p>
            <w:pPr>
              <w:ind w:left="-57" w:right="-57"/>
              <w:jc w:val="right"/>
              <w:rPr>
                <w:rFonts w:ascii="Times New Roman" w:hAnsi="Times New Roman"/>
                <w:highlight w:val="yellow"/>
              </w:rPr>
            </w:pPr>
            <w:r>
              <w:rPr>
                <w:rFonts w:ascii="Times New Roman" w:hAnsi="Times New Roman"/>
              </w:rPr>
              <w:t>19 825,63</w:t>
            </w:r>
          </w:p>
        </w:tc>
        <w:tc>
          <w:tcPr>
            <w:tcW w:w="709" w:type="dxa"/>
            <w:vAlign w:val="center"/>
          </w:tcPr>
          <w:p>
            <w:pPr>
              <w:ind w:left="-57" w:right="-57"/>
              <w:jc w:val="center"/>
              <w:rPr>
                <w:rFonts w:ascii="Times New Roman" w:hAnsi="Times New Roman"/>
                <w:highlight w:val="yellow"/>
              </w:rPr>
            </w:pPr>
            <w:r>
              <w:rPr>
                <w:rFonts w:ascii="Times New Roman" w:hAnsi="Times New Roman"/>
              </w:rPr>
              <w:t>96,3</w:t>
            </w:r>
          </w:p>
        </w:tc>
        <w:tc>
          <w:tcPr>
            <w:tcW w:w="992" w:type="dxa"/>
            <w:shd w:val="clear" w:color="auto" w:fill="auto"/>
            <w:vAlign w:val="center"/>
          </w:tcPr>
          <w:p>
            <w:pPr>
              <w:ind w:left="-57" w:right="-57"/>
              <w:jc w:val="center"/>
              <w:rPr>
                <w:rFonts w:ascii="Times New Roman" w:hAnsi="Times New Roman"/>
              </w:rPr>
            </w:pPr>
            <w:r>
              <w:rPr>
                <w:rFonts w:ascii="Times New Roman" w:hAnsi="Times New Roman"/>
              </w:rPr>
              <w:t>19 954,15</w:t>
            </w:r>
          </w:p>
        </w:tc>
        <w:tc>
          <w:tcPr>
            <w:tcW w:w="993" w:type="dxa"/>
            <w:shd w:val="clear" w:color="auto" w:fill="auto"/>
            <w:vAlign w:val="center"/>
          </w:tcPr>
          <w:p>
            <w:pPr>
              <w:ind w:left="-57" w:right="-57"/>
              <w:jc w:val="center"/>
              <w:rPr>
                <w:rFonts w:ascii="Times New Roman" w:hAnsi="Times New Roman"/>
              </w:rPr>
            </w:pPr>
            <w:r>
              <w:rPr>
                <w:rFonts w:ascii="Times New Roman" w:hAnsi="Times New Roman"/>
              </w:rPr>
              <w:t>19 825,63</w:t>
            </w:r>
          </w:p>
        </w:tc>
      </w:tr>
      <w:tr>
        <w:trPr>
          <w:trHeight w:val="187"/>
        </w:trPr>
        <w:tc>
          <w:tcPr>
            <w:tcW w:w="426" w:type="dxa"/>
            <w:shd w:val="clear" w:color="auto" w:fill="auto"/>
            <w:vAlign w:val="center"/>
          </w:tcPr>
          <w:p>
            <w:pPr>
              <w:jc w:val="center"/>
              <w:rPr>
                <w:rFonts w:ascii="Times New Roman" w:hAnsi="Times New Roman"/>
              </w:rPr>
            </w:pPr>
            <w:r>
              <w:rPr>
                <w:rFonts w:ascii="Times New Roman" w:hAnsi="Times New Roman"/>
              </w:rPr>
              <w:t>3</w:t>
            </w:r>
          </w:p>
        </w:tc>
        <w:tc>
          <w:tcPr>
            <w:tcW w:w="2551" w:type="dxa"/>
            <w:shd w:val="clear" w:color="auto" w:fill="auto"/>
            <w:vAlign w:val="center"/>
          </w:tcPr>
          <w:p>
            <w:pPr>
              <w:rPr>
                <w:rFonts w:ascii="Times New Roman" w:hAnsi="Times New Roman"/>
              </w:rPr>
            </w:pPr>
            <w:r>
              <w:rPr>
                <w:rFonts w:ascii="Times New Roman" w:hAnsi="Times New Roman"/>
              </w:rPr>
              <w:t>Уровень собираемости</w:t>
            </w:r>
          </w:p>
        </w:tc>
        <w:tc>
          <w:tcPr>
            <w:tcW w:w="851" w:type="dxa"/>
            <w:shd w:val="clear" w:color="auto" w:fill="auto"/>
            <w:vAlign w:val="center"/>
          </w:tcPr>
          <w:p>
            <w:pPr>
              <w:ind w:left="-33" w:right="-83"/>
              <w:jc w:val="center"/>
              <w:rPr>
                <w:rFonts w:ascii="Times New Roman" w:hAnsi="Times New Roman"/>
              </w:rPr>
            </w:pPr>
            <w:r>
              <w:rPr>
                <w:rFonts w:ascii="Times New Roman" w:hAnsi="Times New Roman"/>
              </w:rPr>
              <w:t>%</w:t>
            </w:r>
          </w:p>
        </w:tc>
        <w:tc>
          <w:tcPr>
            <w:tcW w:w="1134" w:type="dxa"/>
            <w:vAlign w:val="center"/>
          </w:tcPr>
          <w:p>
            <w:pPr>
              <w:ind w:left="-57" w:right="-57"/>
              <w:jc w:val="right"/>
              <w:rPr>
                <w:rFonts w:ascii="Times New Roman" w:hAnsi="Times New Roman"/>
              </w:rPr>
            </w:pPr>
            <w:r>
              <w:rPr>
                <w:rFonts w:ascii="Times New Roman" w:hAnsi="Times New Roman"/>
              </w:rPr>
              <w:t>95</w:t>
            </w:r>
          </w:p>
        </w:tc>
        <w:tc>
          <w:tcPr>
            <w:tcW w:w="992" w:type="dxa"/>
            <w:shd w:val="clear" w:color="auto" w:fill="auto"/>
            <w:noWrap/>
            <w:vAlign w:val="center"/>
          </w:tcPr>
          <w:p>
            <w:pPr>
              <w:ind w:left="-57" w:right="-57"/>
              <w:jc w:val="right"/>
              <w:rPr>
                <w:rFonts w:ascii="Times New Roman" w:hAnsi="Times New Roman"/>
              </w:rPr>
            </w:pPr>
            <w:r>
              <w:rPr>
                <w:rFonts w:ascii="Times New Roman" w:hAnsi="Times New Roman"/>
              </w:rPr>
              <w:t>90</w:t>
            </w:r>
          </w:p>
        </w:tc>
        <w:tc>
          <w:tcPr>
            <w:tcW w:w="992" w:type="dxa"/>
            <w:shd w:val="clear" w:color="auto" w:fill="auto"/>
            <w:noWrap/>
            <w:vAlign w:val="center"/>
          </w:tcPr>
          <w:p>
            <w:pPr>
              <w:ind w:left="-57" w:right="-57"/>
              <w:jc w:val="right"/>
              <w:rPr>
                <w:rFonts w:ascii="Times New Roman" w:hAnsi="Times New Roman"/>
              </w:rPr>
            </w:pPr>
            <w:r>
              <w:rPr>
                <w:rFonts w:ascii="Times New Roman" w:hAnsi="Times New Roman"/>
              </w:rPr>
              <w:t>95</w:t>
            </w:r>
          </w:p>
        </w:tc>
        <w:tc>
          <w:tcPr>
            <w:tcW w:w="709" w:type="dxa"/>
            <w:vAlign w:val="center"/>
          </w:tcPr>
          <w:p>
            <w:pPr>
              <w:ind w:left="-57" w:right="-57"/>
              <w:jc w:val="center"/>
              <w:rPr>
                <w:rFonts w:ascii="Times New Roman" w:hAnsi="Times New Roman"/>
              </w:rPr>
            </w:pPr>
            <w:r>
              <w:rPr>
                <w:rFonts w:ascii="Times New Roman" w:hAnsi="Times New Roman"/>
              </w:rPr>
              <w:t>-</w:t>
            </w:r>
          </w:p>
        </w:tc>
        <w:tc>
          <w:tcPr>
            <w:tcW w:w="992" w:type="dxa"/>
            <w:shd w:val="clear" w:color="auto" w:fill="auto"/>
            <w:noWrap/>
            <w:vAlign w:val="center"/>
          </w:tcPr>
          <w:p>
            <w:pPr>
              <w:ind w:left="-57" w:right="-57"/>
              <w:jc w:val="right"/>
              <w:rPr>
                <w:rFonts w:ascii="Times New Roman" w:hAnsi="Times New Roman"/>
              </w:rPr>
            </w:pPr>
            <w:r>
              <w:rPr>
                <w:rFonts w:ascii="Times New Roman" w:hAnsi="Times New Roman"/>
              </w:rPr>
              <w:t>95</w:t>
            </w:r>
          </w:p>
        </w:tc>
        <w:tc>
          <w:tcPr>
            <w:tcW w:w="993" w:type="dxa"/>
            <w:shd w:val="clear" w:color="auto" w:fill="auto"/>
            <w:noWrap/>
            <w:vAlign w:val="center"/>
          </w:tcPr>
          <w:p>
            <w:pPr>
              <w:ind w:left="-57" w:right="-57"/>
              <w:jc w:val="right"/>
              <w:rPr>
                <w:rFonts w:ascii="Times New Roman" w:hAnsi="Times New Roman"/>
              </w:rPr>
            </w:pPr>
            <w:r>
              <w:rPr>
                <w:rFonts w:ascii="Times New Roman" w:hAnsi="Times New Roman"/>
              </w:rPr>
              <w:t>95</w:t>
            </w:r>
          </w:p>
        </w:tc>
      </w:tr>
      <w:tr>
        <w:trPr>
          <w:trHeight w:val="140"/>
        </w:trPr>
        <w:tc>
          <w:tcPr>
            <w:tcW w:w="426" w:type="dxa"/>
            <w:shd w:val="clear" w:color="auto" w:fill="auto"/>
            <w:vAlign w:val="center"/>
          </w:tcPr>
          <w:p>
            <w:pPr>
              <w:jc w:val="center"/>
              <w:rPr>
                <w:rFonts w:ascii="Times New Roman" w:hAnsi="Times New Roman"/>
              </w:rPr>
            </w:pPr>
            <w:r>
              <w:rPr>
                <w:rFonts w:ascii="Times New Roman" w:hAnsi="Times New Roman"/>
              </w:rPr>
              <w:t>4</w:t>
            </w:r>
          </w:p>
        </w:tc>
        <w:tc>
          <w:tcPr>
            <w:tcW w:w="2551" w:type="dxa"/>
            <w:shd w:val="clear" w:color="auto" w:fill="auto"/>
            <w:vAlign w:val="center"/>
          </w:tcPr>
          <w:p>
            <w:pPr>
              <w:rPr>
                <w:rFonts w:ascii="Times New Roman" w:hAnsi="Times New Roman"/>
              </w:rPr>
            </w:pPr>
            <w:r>
              <w:rPr>
                <w:rFonts w:ascii="Times New Roman" w:hAnsi="Times New Roman"/>
              </w:rPr>
              <w:t>Отсрочка из-за COVID-19</w:t>
            </w:r>
          </w:p>
        </w:tc>
        <w:tc>
          <w:tcPr>
            <w:tcW w:w="851" w:type="dxa"/>
            <w:shd w:val="clear" w:color="auto" w:fill="auto"/>
            <w:vAlign w:val="center"/>
          </w:tcPr>
          <w:p>
            <w:pPr>
              <w:ind w:left="-33" w:right="-83"/>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rPr>
            </w:pPr>
          </w:p>
        </w:tc>
        <w:tc>
          <w:tcPr>
            <w:tcW w:w="992" w:type="dxa"/>
            <w:shd w:val="clear" w:color="auto" w:fill="auto"/>
            <w:vAlign w:val="center"/>
          </w:tcPr>
          <w:p>
            <w:pPr>
              <w:ind w:left="-57" w:right="-57"/>
              <w:jc w:val="center"/>
              <w:rPr>
                <w:rFonts w:ascii="Times New Roman" w:hAnsi="Times New Roman"/>
              </w:rPr>
            </w:pPr>
            <w:r>
              <w:rPr>
                <w:rFonts w:ascii="Times New Roman" w:hAnsi="Times New Roman"/>
              </w:rPr>
              <w:t>-2 437,56</w:t>
            </w:r>
          </w:p>
        </w:tc>
        <w:tc>
          <w:tcPr>
            <w:tcW w:w="992" w:type="dxa"/>
            <w:shd w:val="clear" w:color="auto" w:fill="auto"/>
            <w:vAlign w:val="center"/>
          </w:tcPr>
          <w:p>
            <w:pPr>
              <w:ind w:left="-57" w:right="-57"/>
              <w:jc w:val="center"/>
              <w:rPr>
                <w:rFonts w:ascii="Times New Roman" w:hAnsi="Times New Roman"/>
              </w:rPr>
            </w:pPr>
            <w:r>
              <w:rPr>
                <w:rFonts w:ascii="Times New Roman" w:hAnsi="Times New Roman"/>
              </w:rPr>
              <w:t>2 437,56</w:t>
            </w:r>
          </w:p>
        </w:tc>
        <w:tc>
          <w:tcPr>
            <w:tcW w:w="709" w:type="dxa"/>
            <w:vAlign w:val="center"/>
          </w:tcPr>
          <w:p>
            <w:pPr>
              <w:ind w:left="-57" w:right="-57"/>
              <w:jc w:val="center"/>
              <w:rPr>
                <w:rFonts w:ascii="Times New Roman" w:hAnsi="Times New Roman"/>
              </w:rPr>
            </w:pPr>
            <w:r>
              <w:rPr>
                <w:rFonts w:ascii="Times New Roman" w:hAnsi="Times New Roman"/>
              </w:rPr>
              <w:t>-</w:t>
            </w:r>
          </w:p>
        </w:tc>
        <w:tc>
          <w:tcPr>
            <w:tcW w:w="992" w:type="dxa"/>
            <w:shd w:val="clear" w:color="auto" w:fill="auto"/>
            <w:vAlign w:val="center"/>
          </w:tcPr>
          <w:p>
            <w:pPr>
              <w:ind w:left="-57" w:right="-57"/>
              <w:jc w:val="right"/>
              <w:rPr>
                <w:rFonts w:ascii="Times New Roman" w:hAnsi="Times New Roman"/>
              </w:rPr>
            </w:pPr>
          </w:p>
        </w:tc>
        <w:tc>
          <w:tcPr>
            <w:tcW w:w="993" w:type="dxa"/>
            <w:shd w:val="clear" w:color="auto" w:fill="auto"/>
            <w:vAlign w:val="center"/>
          </w:tcPr>
          <w:p>
            <w:pPr>
              <w:ind w:left="-57" w:right="-57"/>
              <w:jc w:val="right"/>
              <w:rPr>
                <w:rFonts w:ascii="Times New Roman" w:hAnsi="Times New Roman"/>
              </w:rPr>
            </w:pPr>
          </w:p>
        </w:tc>
      </w:tr>
      <w:tr>
        <w:trPr>
          <w:trHeight w:val="140"/>
        </w:trPr>
        <w:tc>
          <w:tcPr>
            <w:tcW w:w="426" w:type="dxa"/>
            <w:shd w:val="clear" w:color="auto" w:fill="auto"/>
            <w:vAlign w:val="center"/>
          </w:tcPr>
          <w:p>
            <w:pPr>
              <w:jc w:val="center"/>
              <w:rPr>
                <w:rFonts w:ascii="Times New Roman" w:hAnsi="Times New Roman"/>
              </w:rPr>
            </w:pPr>
            <w:r>
              <w:rPr>
                <w:rFonts w:ascii="Times New Roman" w:hAnsi="Times New Roman"/>
              </w:rPr>
              <w:t>5</w:t>
            </w:r>
          </w:p>
        </w:tc>
        <w:tc>
          <w:tcPr>
            <w:tcW w:w="2551" w:type="dxa"/>
            <w:shd w:val="clear" w:color="auto" w:fill="auto"/>
            <w:vAlign w:val="center"/>
          </w:tcPr>
          <w:p>
            <w:pPr>
              <w:rPr>
                <w:rFonts w:ascii="Times New Roman" w:hAnsi="Times New Roman"/>
              </w:rPr>
            </w:pPr>
            <w:r>
              <w:rPr>
                <w:rFonts w:ascii="Times New Roman" w:hAnsi="Times New Roman"/>
              </w:rPr>
              <w:t>Дополнительные поступления за счет сокращения задолженности, 10%</w:t>
            </w:r>
          </w:p>
        </w:tc>
        <w:tc>
          <w:tcPr>
            <w:tcW w:w="851" w:type="dxa"/>
            <w:shd w:val="clear" w:color="auto" w:fill="auto"/>
            <w:vAlign w:val="center"/>
          </w:tcPr>
          <w:p>
            <w:pPr>
              <w:ind w:left="-33" w:right="-83"/>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rPr>
            </w:pPr>
            <w:r>
              <w:rPr>
                <w:rFonts w:ascii="Times New Roman" w:hAnsi="Times New Roman"/>
              </w:rPr>
              <w:t>1 950,60</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531,7</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531,7</w:t>
            </w:r>
          </w:p>
        </w:tc>
        <w:tc>
          <w:tcPr>
            <w:tcW w:w="709" w:type="dxa"/>
            <w:vAlign w:val="center"/>
          </w:tcPr>
          <w:p>
            <w:pPr>
              <w:ind w:left="-57" w:right="-57"/>
              <w:jc w:val="center"/>
              <w:rPr>
                <w:rFonts w:ascii="Times New Roman" w:hAnsi="Times New Roman"/>
              </w:rPr>
            </w:pPr>
            <w:r>
              <w:rPr>
                <w:rFonts w:ascii="Times New Roman" w:hAnsi="Times New Roman"/>
              </w:rPr>
              <w:t>100</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531,7</w:t>
            </w:r>
          </w:p>
        </w:tc>
        <w:tc>
          <w:tcPr>
            <w:tcW w:w="993" w:type="dxa"/>
            <w:shd w:val="clear" w:color="auto" w:fill="auto"/>
            <w:vAlign w:val="center"/>
          </w:tcPr>
          <w:p>
            <w:pPr>
              <w:ind w:left="-57" w:right="-57"/>
              <w:jc w:val="right"/>
              <w:rPr>
                <w:rFonts w:ascii="Times New Roman" w:hAnsi="Times New Roman"/>
              </w:rPr>
            </w:pPr>
            <w:r>
              <w:rPr>
                <w:rFonts w:ascii="Times New Roman" w:hAnsi="Times New Roman"/>
              </w:rPr>
              <w:t>531,7</w:t>
            </w:r>
          </w:p>
        </w:tc>
      </w:tr>
      <w:tr>
        <w:trPr>
          <w:trHeight w:val="140"/>
        </w:trPr>
        <w:tc>
          <w:tcPr>
            <w:tcW w:w="426" w:type="dxa"/>
            <w:shd w:val="clear" w:color="auto" w:fill="auto"/>
            <w:vAlign w:val="center"/>
          </w:tcPr>
          <w:p>
            <w:pPr>
              <w:jc w:val="center"/>
              <w:rPr>
                <w:rFonts w:ascii="Times New Roman" w:hAnsi="Times New Roman"/>
              </w:rPr>
            </w:pPr>
            <w:r>
              <w:rPr>
                <w:rFonts w:ascii="Times New Roman" w:hAnsi="Times New Roman"/>
              </w:rPr>
              <w:t>6</w:t>
            </w:r>
          </w:p>
        </w:tc>
        <w:tc>
          <w:tcPr>
            <w:tcW w:w="2551" w:type="dxa"/>
            <w:shd w:val="clear" w:color="auto" w:fill="auto"/>
            <w:vAlign w:val="center"/>
          </w:tcPr>
          <w:p>
            <w:pPr>
              <w:rPr>
                <w:rFonts w:ascii="Times New Roman" w:hAnsi="Times New Roman"/>
              </w:rPr>
            </w:pPr>
            <w:r>
              <w:rPr>
                <w:rFonts w:ascii="Times New Roman" w:hAnsi="Times New Roman"/>
              </w:rPr>
              <w:t>Сумма к поступлению в бюджет ЗАТО Северск</w:t>
            </w:r>
          </w:p>
        </w:tc>
        <w:tc>
          <w:tcPr>
            <w:tcW w:w="851" w:type="dxa"/>
            <w:shd w:val="clear" w:color="auto" w:fill="auto"/>
            <w:vAlign w:val="center"/>
          </w:tcPr>
          <w:p>
            <w:pPr>
              <w:ind w:left="-33" w:right="-83"/>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rPr>
            </w:pPr>
            <w:r>
              <w:rPr>
                <w:rFonts w:ascii="Times New Roman" w:hAnsi="Times New Roman"/>
              </w:rPr>
              <w:t>20 339,59</w:t>
            </w:r>
          </w:p>
        </w:tc>
        <w:tc>
          <w:tcPr>
            <w:tcW w:w="992" w:type="dxa"/>
            <w:shd w:val="clear" w:color="auto" w:fill="auto"/>
            <w:vAlign w:val="center"/>
          </w:tcPr>
          <w:p>
            <w:pPr>
              <w:ind w:left="-57" w:right="-57"/>
              <w:jc w:val="right"/>
              <w:rPr>
                <w:rFonts w:ascii="Times New Roman" w:hAnsi="Times New Roman"/>
                <w:highlight w:val="yellow"/>
              </w:rPr>
            </w:pPr>
            <w:r>
              <w:rPr>
                <w:rFonts w:ascii="Times New Roman" w:hAnsi="Times New Roman"/>
              </w:rPr>
              <w:t>16 628,70</w:t>
            </w:r>
          </w:p>
        </w:tc>
        <w:tc>
          <w:tcPr>
            <w:tcW w:w="992" w:type="dxa"/>
            <w:shd w:val="clear" w:color="auto" w:fill="auto"/>
            <w:vAlign w:val="center"/>
          </w:tcPr>
          <w:p>
            <w:pPr>
              <w:ind w:left="-57" w:right="-57"/>
              <w:jc w:val="right"/>
              <w:rPr>
                <w:rFonts w:ascii="Times New Roman" w:hAnsi="Times New Roman"/>
                <w:highlight w:val="yellow"/>
              </w:rPr>
            </w:pPr>
            <w:r>
              <w:rPr>
                <w:rFonts w:ascii="Times New Roman" w:hAnsi="Times New Roman"/>
              </w:rPr>
              <w:t>21 803,70</w:t>
            </w:r>
          </w:p>
        </w:tc>
        <w:tc>
          <w:tcPr>
            <w:tcW w:w="709" w:type="dxa"/>
            <w:vAlign w:val="center"/>
          </w:tcPr>
          <w:p>
            <w:pPr>
              <w:ind w:left="-57" w:right="-57"/>
              <w:jc w:val="center"/>
              <w:rPr>
                <w:rFonts w:ascii="Times New Roman" w:hAnsi="Times New Roman"/>
                <w:highlight w:val="yellow"/>
              </w:rPr>
            </w:pPr>
            <w:r>
              <w:rPr>
                <w:rFonts w:ascii="Times New Roman" w:hAnsi="Times New Roman"/>
              </w:rPr>
              <w:t>131,1</w:t>
            </w:r>
          </w:p>
        </w:tc>
        <w:tc>
          <w:tcPr>
            <w:tcW w:w="992" w:type="dxa"/>
            <w:shd w:val="clear" w:color="auto" w:fill="auto"/>
            <w:vAlign w:val="center"/>
          </w:tcPr>
          <w:p>
            <w:pPr>
              <w:ind w:left="-57" w:right="-57"/>
              <w:jc w:val="center"/>
              <w:rPr>
                <w:rFonts w:ascii="Times New Roman" w:hAnsi="Times New Roman"/>
              </w:rPr>
            </w:pPr>
            <w:r>
              <w:rPr>
                <w:rFonts w:ascii="Times New Roman" w:hAnsi="Times New Roman"/>
              </w:rPr>
              <w:t>19 487,70</w:t>
            </w:r>
          </w:p>
        </w:tc>
        <w:tc>
          <w:tcPr>
            <w:tcW w:w="993" w:type="dxa"/>
            <w:shd w:val="clear" w:color="auto" w:fill="auto"/>
            <w:vAlign w:val="center"/>
          </w:tcPr>
          <w:p>
            <w:pPr>
              <w:ind w:left="-57" w:right="-57"/>
              <w:jc w:val="center"/>
              <w:rPr>
                <w:rFonts w:ascii="Times New Roman" w:hAnsi="Times New Roman"/>
              </w:rPr>
            </w:pPr>
            <w:r>
              <w:rPr>
                <w:rFonts w:ascii="Times New Roman" w:hAnsi="Times New Roman"/>
              </w:rPr>
              <w:t>19 365,70</w:t>
            </w:r>
          </w:p>
        </w:tc>
      </w:tr>
    </w:tbl>
    <w:p>
      <w:pPr>
        <w:spacing w:before="120"/>
        <w:ind w:firstLine="709"/>
        <w:jc w:val="both"/>
        <w:rPr>
          <w:rFonts w:ascii="Times New Roman" w:hAnsi="Times New Roman"/>
          <w:sz w:val="24"/>
          <w:szCs w:val="24"/>
        </w:rPr>
      </w:pPr>
      <w:r>
        <w:rPr>
          <w:rFonts w:ascii="Times New Roman" w:hAnsi="Times New Roman"/>
          <w:sz w:val="24"/>
          <w:szCs w:val="24"/>
        </w:rPr>
        <w:lastRenderedPageBreak/>
        <w:t>Начисление арендной платы в 2021 году прогнозируется меньше оценки 2020 года в связи с окончанием срока договора аренды земельного участка под застройку многоквартирного дома ОАО «ТДСК» по адресу ул. Ленина, 128.</w:t>
      </w:r>
    </w:p>
    <w:p>
      <w:pPr>
        <w:ind w:firstLine="709"/>
        <w:jc w:val="both"/>
        <w:rPr>
          <w:rFonts w:ascii="Times New Roman" w:hAnsi="Times New Roman"/>
          <w:sz w:val="24"/>
          <w:szCs w:val="24"/>
        </w:rPr>
      </w:pPr>
      <w:r>
        <w:rPr>
          <w:rFonts w:ascii="Times New Roman" w:hAnsi="Times New Roman"/>
          <w:sz w:val="24"/>
          <w:szCs w:val="24"/>
        </w:rPr>
        <w:t>Рост прогноза поступлений в 2021 году обусловлен планируемым поступлением отсроченных в 2020 году платежей.</w:t>
      </w:r>
    </w:p>
    <w:p>
      <w:pPr>
        <w:spacing w:before="120" w:after="60"/>
        <w:ind w:firstLine="709"/>
        <w:jc w:val="both"/>
        <w:rPr>
          <w:rFonts w:ascii="Times New Roman" w:hAnsi="Times New Roman"/>
          <w:sz w:val="24"/>
        </w:rPr>
      </w:pPr>
      <w:r>
        <w:rPr>
          <w:rFonts w:ascii="Times New Roman" w:hAnsi="Times New Roman"/>
          <w:sz w:val="24"/>
        </w:rPr>
        <w:t>Таблица 17 - Расчёт арендной платы за земли, находящиеся в собственности городских округов</w:t>
      </w:r>
    </w:p>
    <w:tbl>
      <w:tblPr>
        <w:tblpPr w:leftFromText="180" w:rightFromText="180" w:vertAnchor="text" w:horzAnchor="margin" w:tblpY="11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551"/>
        <w:gridCol w:w="851"/>
        <w:gridCol w:w="1134"/>
        <w:gridCol w:w="992"/>
        <w:gridCol w:w="992"/>
        <w:gridCol w:w="709"/>
        <w:gridCol w:w="992"/>
        <w:gridCol w:w="993"/>
      </w:tblGrid>
      <w:tr>
        <w:trPr>
          <w:trHeight w:val="251"/>
        </w:trPr>
        <w:tc>
          <w:tcPr>
            <w:tcW w:w="392" w:type="dxa"/>
            <w:vMerge w:val="restart"/>
            <w:shd w:val="clear" w:color="auto" w:fill="auto"/>
            <w:vAlign w:val="center"/>
          </w:tcPr>
          <w:p>
            <w:pPr>
              <w:snapToGrid w:val="0"/>
              <w:ind w:left="-108" w:right="-108"/>
              <w:jc w:val="center"/>
              <w:rPr>
                <w:rFonts w:ascii="Times New Roman" w:hAnsi="Times New Roman"/>
                <w:bCs/>
                <w:iCs/>
              </w:rPr>
            </w:pPr>
            <w:r>
              <w:rPr>
                <w:rFonts w:ascii="Times New Roman" w:hAnsi="Times New Roman"/>
                <w:bCs/>
                <w:iCs/>
              </w:rPr>
              <w:t>№</w:t>
            </w:r>
          </w:p>
        </w:tc>
        <w:tc>
          <w:tcPr>
            <w:tcW w:w="2551" w:type="dxa"/>
            <w:vMerge w:val="restart"/>
            <w:shd w:val="clear" w:color="auto" w:fill="auto"/>
            <w:vAlign w:val="center"/>
          </w:tcPr>
          <w:p>
            <w:pPr>
              <w:jc w:val="center"/>
              <w:rPr>
                <w:rFonts w:ascii="Times New Roman" w:hAnsi="Times New Roman"/>
              </w:rPr>
            </w:pPr>
            <w:r>
              <w:rPr>
                <w:rFonts w:ascii="Times New Roman" w:hAnsi="Times New Roman"/>
              </w:rPr>
              <w:t>Показатели</w:t>
            </w:r>
          </w:p>
        </w:tc>
        <w:tc>
          <w:tcPr>
            <w:tcW w:w="851" w:type="dxa"/>
            <w:vMerge w:val="restart"/>
            <w:shd w:val="clear" w:color="auto" w:fill="auto"/>
            <w:vAlign w:val="center"/>
          </w:tcPr>
          <w:p>
            <w:pPr>
              <w:ind w:left="-108" w:right="-79"/>
              <w:jc w:val="center"/>
              <w:rPr>
                <w:rFonts w:ascii="Times New Roman" w:hAnsi="Times New Roman"/>
              </w:rPr>
            </w:pPr>
            <w:r>
              <w:rPr>
                <w:rFonts w:ascii="Times New Roman" w:hAnsi="Times New Roman"/>
              </w:rPr>
              <w:t>Ед.изм.</w:t>
            </w:r>
          </w:p>
        </w:tc>
        <w:tc>
          <w:tcPr>
            <w:tcW w:w="2126" w:type="dxa"/>
            <w:gridSpan w:val="2"/>
          </w:tcPr>
          <w:p>
            <w:pPr>
              <w:ind w:left="-108" w:right="-108"/>
              <w:jc w:val="center"/>
              <w:rPr>
                <w:rFonts w:ascii="Times New Roman" w:hAnsi="Times New Roman"/>
              </w:rPr>
            </w:pPr>
            <w:r>
              <w:rPr>
                <w:rFonts w:ascii="Times New Roman" w:hAnsi="Times New Roman"/>
              </w:rPr>
              <w:t>2020 год</w:t>
            </w:r>
          </w:p>
        </w:tc>
        <w:tc>
          <w:tcPr>
            <w:tcW w:w="1701" w:type="dxa"/>
            <w:gridSpan w:val="2"/>
            <w:shd w:val="clear" w:color="auto" w:fill="auto"/>
          </w:tcPr>
          <w:p>
            <w:pPr>
              <w:ind w:left="-108" w:right="-108"/>
              <w:jc w:val="center"/>
              <w:rPr>
                <w:rFonts w:ascii="Times New Roman" w:hAnsi="Times New Roman"/>
              </w:rPr>
            </w:pPr>
            <w:r>
              <w:rPr>
                <w:rFonts w:ascii="Times New Roman" w:hAnsi="Times New Roman"/>
              </w:rPr>
              <w:t>2021 год</w:t>
            </w:r>
          </w:p>
        </w:tc>
        <w:tc>
          <w:tcPr>
            <w:tcW w:w="992"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2022 года</w:t>
            </w:r>
          </w:p>
        </w:tc>
        <w:tc>
          <w:tcPr>
            <w:tcW w:w="993"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2023 года</w:t>
            </w:r>
          </w:p>
        </w:tc>
      </w:tr>
      <w:tr>
        <w:trPr>
          <w:trHeight w:val="158"/>
        </w:trPr>
        <w:tc>
          <w:tcPr>
            <w:tcW w:w="392" w:type="dxa"/>
            <w:vMerge/>
            <w:shd w:val="clear" w:color="auto" w:fill="auto"/>
            <w:vAlign w:val="center"/>
          </w:tcPr>
          <w:p>
            <w:pPr>
              <w:snapToGrid w:val="0"/>
              <w:ind w:left="-108" w:right="-108"/>
              <w:jc w:val="center"/>
              <w:rPr>
                <w:rFonts w:ascii="Times New Roman" w:hAnsi="Times New Roman"/>
                <w:bCs/>
                <w:iCs/>
                <w:sz w:val="22"/>
                <w:szCs w:val="22"/>
              </w:rPr>
            </w:pPr>
          </w:p>
        </w:tc>
        <w:tc>
          <w:tcPr>
            <w:tcW w:w="2551" w:type="dxa"/>
            <w:vMerge/>
            <w:shd w:val="clear" w:color="auto" w:fill="auto"/>
            <w:vAlign w:val="center"/>
          </w:tcPr>
          <w:p>
            <w:pPr>
              <w:jc w:val="center"/>
              <w:rPr>
                <w:rFonts w:ascii="Times New Roman" w:hAnsi="Times New Roman"/>
                <w:sz w:val="22"/>
                <w:szCs w:val="22"/>
              </w:rPr>
            </w:pPr>
          </w:p>
        </w:tc>
        <w:tc>
          <w:tcPr>
            <w:tcW w:w="851" w:type="dxa"/>
            <w:vMerge/>
            <w:shd w:val="clear" w:color="auto" w:fill="auto"/>
            <w:vAlign w:val="center"/>
          </w:tcPr>
          <w:p>
            <w:pPr>
              <w:ind w:left="-108" w:right="-79"/>
              <w:jc w:val="center"/>
              <w:rPr>
                <w:rFonts w:ascii="Times New Roman" w:hAnsi="Times New Roman"/>
                <w:sz w:val="22"/>
                <w:szCs w:val="22"/>
              </w:rPr>
            </w:pPr>
          </w:p>
        </w:tc>
        <w:tc>
          <w:tcPr>
            <w:tcW w:w="1134" w:type="dxa"/>
            <w:vAlign w:val="center"/>
          </w:tcPr>
          <w:p>
            <w:pPr>
              <w:ind w:left="-108" w:right="-108"/>
              <w:jc w:val="center"/>
              <w:rPr>
                <w:rFonts w:ascii="Times New Roman" w:hAnsi="Times New Roman"/>
                <w:bCs/>
                <w:sz w:val="22"/>
                <w:szCs w:val="22"/>
              </w:rPr>
            </w:pPr>
            <w:r>
              <w:rPr>
                <w:rFonts w:ascii="Times New Roman" w:hAnsi="Times New Roman"/>
              </w:rPr>
              <w:t>Первонач. утверждено</w:t>
            </w:r>
          </w:p>
        </w:tc>
        <w:tc>
          <w:tcPr>
            <w:tcW w:w="992" w:type="dxa"/>
            <w:shd w:val="clear" w:color="auto" w:fill="auto"/>
            <w:vAlign w:val="center"/>
          </w:tcPr>
          <w:p>
            <w:pPr>
              <w:ind w:left="-108" w:right="-108"/>
              <w:jc w:val="center"/>
              <w:rPr>
                <w:rFonts w:ascii="Times New Roman" w:hAnsi="Times New Roman"/>
                <w:bCs/>
                <w:sz w:val="22"/>
                <w:szCs w:val="22"/>
              </w:rPr>
            </w:pPr>
            <w:r>
              <w:rPr>
                <w:rFonts w:ascii="Times New Roman" w:hAnsi="Times New Roman"/>
              </w:rPr>
              <w:t>Оценка</w:t>
            </w:r>
          </w:p>
        </w:tc>
        <w:tc>
          <w:tcPr>
            <w:tcW w:w="992" w:type="dxa"/>
            <w:shd w:val="clear" w:color="auto" w:fill="auto"/>
            <w:vAlign w:val="center"/>
          </w:tcPr>
          <w:p>
            <w:pPr>
              <w:ind w:left="-108" w:right="-108"/>
              <w:jc w:val="center"/>
              <w:rPr>
                <w:rFonts w:ascii="Times New Roman" w:hAnsi="Times New Roman"/>
              </w:rPr>
            </w:pPr>
            <w:r>
              <w:rPr>
                <w:rFonts w:ascii="Times New Roman" w:hAnsi="Times New Roman"/>
              </w:rPr>
              <w:t xml:space="preserve">Прогноз </w:t>
            </w:r>
          </w:p>
        </w:tc>
        <w:tc>
          <w:tcPr>
            <w:tcW w:w="709" w:type="dxa"/>
            <w:vAlign w:val="center"/>
          </w:tcPr>
          <w:p>
            <w:pPr>
              <w:ind w:left="-108" w:right="-108"/>
              <w:jc w:val="center"/>
              <w:rPr>
                <w:rFonts w:ascii="Times New Roman" w:hAnsi="Times New Roman"/>
              </w:rPr>
            </w:pPr>
            <w:r>
              <w:rPr>
                <w:rFonts w:ascii="Times New Roman" w:hAnsi="Times New Roman"/>
              </w:rPr>
              <w:t>% к оценке 2020г.</w:t>
            </w:r>
          </w:p>
        </w:tc>
        <w:tc>
          <w:tcPr>
            <w:tcW w:w="992" w:type="dxa"/>
            <w:vMerge/>
            <w:shd w:val="clear" w:color="auto" w:fill="auto"/>
            <w:vAlign w:val="center"/>
          </w:tcPr>
          <w:p>
            <w:pPr>
              <w:ind w:left="-57" w:right="-57"/>
              <w:jc w:val="center"/>
              <w:rPr>
                <w:rFonts w:ascii="Times New Roman" w:hAnsi="Times New Roman"/>
                <w:sz w:val="22"/>
                <w:szCs w:val="22"/>
              </w:rPr>
            </w:pPr>
          </w:p>
        </w:tc>
        <w:tc>
          <w:tcPr>
            <w:tcW w:w="993" w:type="dxa"/>
            <w:vMerge/>
            <w:shd w:val="clear" w:color="auto" w:fill="auto"/>
            <w:vAlign w:val="center"/>
          </w:tcPr>
          <w:p>
            <w:pPr>
              <w:ind w:left="-57" w:right="-57"/>
              <w:jc w:val="center"/>
              <w:rPr>
                <w:rFonts w:ascii="Times New Roman" w:hAnsi="Times New Roman"/>
                <w:sz w:val="22"/>
                <w:szCs w:val="22"/>
              </w:rPr>
            </w:pPr>
          </w:p>
        </w:tc>
      </w:tr>
      <w:tr>
        <w:trPr>
          <w:trHeight w:val="442"/>
        </w:trPr>
        <w:tc>
          <w:tcPr>
            <w:tcW w:w="392" w:type="dxa"/>
            <w:shd w:val="clear" w:color="auto" w:fill="auto"/>
            <w:vAlign w:val="center"/>
          </w:tcPr>
          <w:p>
            <w:pPr>
              <w:snapToGrid w:val="0"/>
              <w:jc w:val="center"/>
              <w:rPr>
                <w:rFonts w:ascii="Times New Roman" w:hAnsi="Times New Roman"/>
                <w:bCs/>
                <w:iCs/>
                <w:sz w:val="22"/>
                <w:szCs w:val="22"/>
              </w:rPr>
            </w:pPr>
            <w:r>
              <w:rPr>
                <w:rFonts w:ascii="Times New Roman" w:hAnsi="Times New Roman"/>
                <w:bCs/>
                <w:iCs/>
                <w:sz w:val="22"/>
                <w:szCs w:val="22"/>
              </w:rPr>
              <w:t>1</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Кадастровая стоимость земельных участков</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тыс.руб.</w:t>
            </w:r>
          </w:p>
        </w:tc>
        <w:tc>
          <w:tcPr>
            <w:tcW w:w="1134"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2 163 955</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2 263 806</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2 220 027</w:t>
            </w:r>
          </w:p>
        </w:tc>
        <w:tc>
          <w:tcPr>
            <w:tcW w:w="709" w:type="dxa"/>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98,1</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2 220 027</w:t>
            </w:r>
          </w:p>
        </w:tc>
        <w:tc>
          <w:tcPr>
            <w:tcW w:w="993"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2 198 594</w:t>
            </w:r>
          </w:p>
        </w:tc>
      </w:tr>
      <w:tr>
        <w:trPr>
          <w:trHeight w:val="349"/>
        </w:trPr>
        <w:tc>
          <w:tcPr>
            <w:tcW w:w="392" w:type="dxa"/>
            <w:shd w:val="clear" w:color="auto" w:fill="auto"/>
            <w:vAlign w:val="center"/>
          </w:tcPr>
          <w:p>
            <w:pPr>
              <w:snapToGrid w:val="0"/>
              <w:jc w:val="center"/>
              <w:rPr>
                <w:rFonts w:ascii="Times New Roman" w:hAnsi="Times New Roman"/>
                <w:bCs/>
                <w:iCs/>
                <w:sz w:val="22"/>
                <w:szCs w:val="22"/>
              </w:rPr>
            </w:pPr>
            <w:r>
              <w:rPr>
                <w:rFonts w:ascii="Times New Roman" w:hAnsi="Times New Roman"/>
                <w:bCs/>
                <w:iCs/>
                <w:sz w:val="22"/>
                <w:szCs w:val="22"/>
              </w:rPr>
              <w:t>2</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Начислено арендной платы в бюджет ЗАТО Северск</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sz w:val="22"/>
                <w:szCs w:val="22"/>
              </w:rPr>
            </w:pPr>
            <w:r>
              <w:rPr>
                <w:rFonts w:ascii="Times New Roman" w:hAnsi="Times New Roman"/>
                <w:sz w:val="22"/>
                <w:szCs w:val="22"/>
              </w:rPr>
              <w:t>26 374,18</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24 158,25</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20 876,65</w:t>
            </w:r>
          </w:p>
        </w:tc>
        <w:tc>
          <w:tcPr>
            <w:tcW w:w="709" w:type="dxa"/>
            <w:vAlign w:val="center"/>
          </w:tcPr>
          <w:p>
            <w:pPr>
              <w:ind w:left="-57" w:right="-57"/>
              <w:jc w:val="center"/>
              <w:rPr>
                <w:rFonts w:ascii="Times New Roman" w:hAnsi="Times New Roman"/>
                <w:sz w:val="22"/>
                <w:szCs w:val="22"/>
              </w:rPr>
            </w:pPr>
            <w:r>
              <w:rPr>
                <w:rFonts w:ascii="Times New Roman" w:hAnsi="Times New Roman"/>
                <w:sz w:val="22"/>
                <w:szCs w:val="22"/>
              </w:rPr>
              <w:t>75,9</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31 034,75</w:t>
            </w:r>
          </w:p>
        </w:tc>
        <w:tc>
          <w:tcPr>
            <w:tcW w:w="993"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18 337,13</w:t>
            </w:r>
          </w:p>
        </w:tc>
      </w:tr>
      <w:tr>
        <w:trPr>
          <w:trHeight w:val="410"/>
        </w:trPr>
        <w:tc>
          <w:tcPr>
            <w:tcW w:w="392" w:type="dxa"/>
            <w:shd w:val="clear" w:color="auto" w:fill="auto"/>
            <w:vAlign w:val="center"/>
          </w:tcPr>
          <w:p>
            <w:pPr>
              <w:snapToGrid w:val="0"/>
              <w:jc w:val="center"/>
              <w:rPr>
                <w:rFonts w:ascii="Times New Roman" w:hAnsi="Times New Roman"/>
                <w:bCs/>
                <w:iCs/>
                <w:sz w:val="22"/>
                <w:szCs w:val="22"/>
              </w:rPr>
            </w:pPr>
            <w:r>
              <w:rPr>
                <w:rFonts w:ascii="Times New Roman" w:hAnsi="Times New Roman"/>
                <w:bCs/>
                <w:iCs/>
                <w:sz w:val="22"/>
                <w:szCs w:val="22"/>
              </w:rPr>
              <w:t>3</w:t>
            </w:r>
          </w:p>
        </w:tc>
        <w:tc>
          <w:tcPr>
            <w:tcW w:w="2551" w:type="dxa"/>
            <w:shd w:val="clear" w:color="auto" w:fill="auto"/>
            <w:vAlign w:val="center"/>
          </w:tcPr>
          <w:p>
            <w:pPr>
              <w:ind w:right="-108"/>
              <w:rPr>
                <w:rFonts w:ascii="Times New Roman" w:hAnsi="Times New Roman"/>
                <w:sz w:val="22"/>
                <w:szCs w:val="22"/>
              </w:rPr>
            </w:pPr>
            <w:r>
              <w:rPr>
                <w:rFonts w:ascii="Times New Roman" w:hAnsi="Times New Roman"/>
                <w:sz w:val="22"/>
                <w:szCs w:val="22"/>
              </w:rPr>
              <w:t xml:space="preserve">Уровень собираемости </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w:t>
            </w:r>
          </w:p>
        </w:tc>
        <w:tc>
          <w:tcPr>
            <w:tcW w:w="1134" w:type="dxa"/>
            <w:vAlign w:val="center"/>
          </w:tcPr>
          <w:p>
            <w:pPr>
              <w:ind w:left="-57" w:right="-57"/>
              <w:jc w:val="right"/>
              <w:rPr>
                <w:rFonts w:ascii="Times New Roman" w:hAnsi="Times New Roman"/>
                <w:sz w:val="22"/>
                <w:szCs w:val="22"/>
              </w:rPr>
            </w:pPr>
            <w:r>
              <w:rPr>
                <w:rFonts w:ascii="Times New Roman" w:hAnsi="Times New Roman"/>
                <w:sz w:val="22"/>
                <w:szCs w:val="22"/>
              </w:rPr>
              <w:t>95</w:t>
            </w:r>
          </w:p>
        </w:tc>
        <w:tc>
          <w:tcPr>
            <w:tcW w:w="992" w:type="dxa"/>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90</w:t>
            </w:r>
          </w:p>
        </w:tc>
        <w:tc>
          <w:tcPr>
            <w:tcW w:w="992" w:type="dxa"/>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95</w:t>
            </w:r>
          </w:p>
        </w:tc>
        <w:tc>
          <w:tcPr>
            <w:tcW w:w="709" w:type="dxa"/>
            <w:vAlign w:val="center"/>
          </w:tcPr>
          <w:p>
            <w:pPr>
              <w:ind w:left="-57" w:right="-57"/>
              <w:jc w:val="center"/>
              <w:rPr>
                <w:rFonts w:ascii="Times New Roman" w:hAnsi="Times New Roman"/>
                <w:sz w:val="22"/>
                <w:szCs w:val="22"/>
              </w:rPr>
            </w:pPr>
            <w:r>
              <w:rPr>
                <w:rFonts w:ascii="Times New Roman" w:hAnsi="Times New Roman"/>
                <w:sz w:val="22"/>
                <w:szCs w:val="22"/>
              </w:rPr>
              <w:t>-</w:t>
            </w:r>
          </w:p>
        </w:tc>
        <w:tc>
          <w:tcPr>
            <w:tcW w:w="992" w:type="dxa"/>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95</w:t>
            </w:r>
          </w:p>
        </w:tc>
        <w:tc>
          <w:tcPr>
            <w:tcW w:w="993" w:type="dxa"/>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95</w:t>
            </w:r>
          </w:p>
        </w:tc>
      </w:tr>
      <w:tr>
        <w:trPr>
          <w:trHeight w:val="308"/>
        </w:trPr>
        <w:tc>
          <w:tcPr>
            <w:tcW w:w="392" w:type="dxa"/>
            <w:shd w:val="clear" w:color="auto" w:fill="auto"/>
            <w:vAlign w:val="center"/>
          </w:tcPr>
          <w:p>
            <w:pPr>
              <w:snapToGrid w:val="0"/>
              <w:jc w:val="center"/>
              <w:rPr>
                <w:rFonts w:ascii="Times New Roman" w:hAnsi="Times New Roman"/>
                <w:bCs/>
                <w:iCs/>
                <w:sz w:val="22"/>
                <w:szCs w:val="22"/>
              </w:rPr>
            </w:pPr>
            <w:r>
              <w:rPr>
                <w:rFonts w:ascii="Times New Roman" w:hAnsi="Times New Roman"/>
                <w:bCs/>
                <w:iCs/>
                <w:sz w:val="22"/>
                <w:szCs w:val="22"/>
              </w:rPr>
              <w:t>4</w:t>
            </w:r>
          </w:p>
        </w:tc>
        <w:tc>
          <w:tcPr>
            <w:tcW w:w="2551" w:type="dxa"/>
            <w:shd w:val="clear" w:color="auto" w:fill="auto"/>
            <w:vAlign w:val="center"/>
          </w:tcPr>
          <w:p>
            <w:pPr>
              <w:rPr>
                <w:rFonts w:ascii="Times New Roman" w:hAnsi="Times New Roman"/>
              </w:rPr>
            </w:pPr>
            <w:r>
              <w:rPr>
                <w:rFonts w:ascii="Times New Roman" w:hAnsi="Times New Roman"/>
              </w:rPr>
              <w:t>Платеж за право аренды ЗУ (разовый)</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15 237,15</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709" w:type="dxa"/>
            <w:vAlign w:val="center"/>
          </w:tcPr>
          <w:p>
            <w:pPr>
              <w:ind w:left="-57" w:right="-57"/>
              <w:jc w:val="center"/>
              <w:rPr>
                <w:rFonts w:ascii="Times New Roman" w:hAnsi="Times New Roman"/>
                <w:sz w:val="22"/>
                <w:szCs w:val="22"/>
              </w:rPr>
            </w:pPr>
            <w:r>
              <w:rPr>
                <w:rFonts w:ascii="Times New Roman" w:hAnsi="Times New Roman"/>
                <w:sz w:val="22"/>
                <w:szCs w:val="22"/>
              </w:rPr>
              <w:t>-</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993"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w:t>
            </w:r>
          </w:p>
        </w:tc>
      </w:tr>
      <w:tr>
        <w:trPr>
          <w:trHeight w:val="308"/>
        </w:trPr>
        <w:tc>
          <w:tcPr>
            <w:tcW w:w="392" w:type="dxa"/>
            <w:shd w:val="clear" w:color="auto" w:fill="auto"/>
            <w:vAlign w:val="center"/>
          </w:tcPr>
          <w:p>
            <w:pPr>
              <w:snapToGrid w:val="0"/>
              <w:jc w:val="center"/>
              <w:rPr>
                <w:rFonts w:ascii="Times New Roman" w:hAnsi="Times New Roman"/>
                <w:bCs/>
                <w:iCs/>
                <w:sz w:val="22"/>
                <w:szCs w:val="22"/>
              </w:rPr>
            </w:pPr>
            <w:r>
              <w:rPr>
                <w:rFonts w:ascii="Times New Roman" w:hAnsi="Times New Roman"/>
                <w:bCs/>
                <w:iCs/>
                <w:sz w:val="22"/>
                <w:szCs w:val="22"/>
              </w:rPr>
              <w:t>5</w:t>
            </w:r>
          </w:p>
        </w:tc>
        <w:tc>
          <w:tcPr>
            <w:tcW w:w="2551" w:type="dxa"/>
            <w:shd w:val="clear" w:color="auto" w:fill="auto"/>
            <w:vAlign w:val="center"/>
          </w:tcPr>
          <w:p>
            <w:pPr>
              <w:rPr>
                <w:rFonts w:ascii="Times New Roman" w:hAnsi="Times New Roman"/>
                <w:sz w:val="22"/>
                <w:szCs w:val="22"/>
              </w:rPr>
            </w:pPr>
            <w:r>
              <w:rPr>
                <w:rFonts w:ascii="Times New Roman" w:hAnsi="Times New Roman"/>
              </w:rPr>
              <w:t>Отсрочка из-за COVID-19</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sz w:val="22"/>
                <w:szCs w:val="22"/>
              </w:rPr>
            </w:pP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-905,00</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905,00</w:t>
            </w:r>
          </w:p>
        </w:tc>
        <w:tc>
          <w:tcPr>
            <w:tcW w:w="709" w:type="dxa"/>
            <w:vAlign w:val="center"/>
          </w:tcPr>
          <w:p>
            <w:pPr>
              <w:ind w:left="-57" w:right="-57"/>
              <w:jc w:val="center"/>
              <w:rPr>
                <w:rFonts w:ascii="Times New Roman" w:hAnsi="Times New Roman"/>
                <w:sz w:val="22"/>
                <w:szCs w:val="22"/>
              </w:rPr>
            </w:pPr>
            <w:r>
              <w:rPr>
                <w:rFonts w:ascii="Times New Roman" w:hAnsi="Times New Roman"/>
                <w:sz w:val="22"/>
                <w:szCs w:val="22"/>
              </w:rPr>
              <w:t>-</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993"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w:t>
            </w:r>
          </w:p>
        </w:tc>
      </w:tr>
      <w:tr>
        <w:trPr>
          <w:trHeight w:val="804"/>
        </w:trPr>
        <w:tc>
          <w:tcPr>
            <w:tcW w:w="392" w:type="dxa"/>
            <w:shd w:val="clear" w:color="auto" w:fill="auto"/>
            <w:vAlign w:val="center"/>
          </w:tcPr>
          <w:p>
            <w:pPr>
              <w:snapToGrid w:val="0"/>
              <w:jc w:val="center"/>
              <w:rPr>
                <w:rFonts w:ascii="Times New Roman" w:hAnsi="Times New Roman"/>
                <w:bCs/>
                <w:iCs/>
                <w:sz w:val="22"/>
                <w:szCs w:val="22"/>
              </w:rPr>
            </w:pPr>
            <w:r>
              <w:rPr>
                <w:rFonts w:ascii="Times New Roman" w:hAnsi="Times New Roman"/>
                <w:bCs/>
                <w:iCs/>
                <w:sz w:val="22"/>
                <w:szCs w:val="22"/>
              </w:rPr>
              <w:t>6</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Дополнительные поступления за счет сокращения задолженности, 10%</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 руб.</w:t>
            </w:r>
          </w:p>
        </w:tc>
        <w:tc>
          <w:tcPr>
            <w:tcW w:w="1134" w:type="dxa"/>
            <w:vAlign w:val="center"/>
          </w:tcPr>
          <w:p>
            <w:pPr>
              <w:ind w:left="-57" w:right="-57"/>
              <w:jc w:val="right"/>
              <w:rPr>
                <w:rFonts w:ascii="Times New Roman" w:hAnsi="Times New Roman"/>
                <w:sz w:val="22"/>
                <w:szCs w:val="22"/>
              </w:rPr>
            </w:pPr>
            <w:r>
              <w:rPr>
                <w:rFonts w:ascii="Times New Roman" w:hAnsi="Times New Roman"/>
                <w:sz w:val="22"/>
                <w:szCs w:val="22"/>
              </w:rPr>
              <w:t>1 390,60</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835,20</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835,20</w:t>
            </w:r>
          </w:p>
        </w:tc>
        <w:tc>
          <w:tcPr>
            <w:tcW w:w="709" w:type="dxa"/>
            <w:vAlign w:val="center"/>
          </w:tcPr>
          <w:p>
            <w:pPr>
              <w:ind w:left="-57" w:right="-57"/>
              <w:jc w:val="center"/>
              <w:rPr>
                <w:rFonts w:ascii="Times New Roman" w:hAnsi="Times New Roman"/>
                <w:sz w:val="22"/>
                <w:szCs w:val="22"/>
              </w:rPr>
            </w:pPr>
            <w:r>
              <w:rPr>
                <w:rFonts w:ascii="Times New Roman" w:hAnsi="Times New Roman"/>
                <w:sz w:val="22"/>
                <w:szCs w:val="22"/>
              </w:rPr>
              <w:t>100,0</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835,20</w:t>
            </w:r>
          </w:p>
        </w:tc>
        <w:tc>
          <w:tcPr>
            <w:tcW w:w="993"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835,2</w:t>
            </w:r>
          </w:p>
        </w:tc>
      </w:tr>
      <w:tr>
        <w:trPr>
          <w:trHeight w:val="135"/>
        </w:trPr>
        <w:tc>
          <w:tcPr>
            <w:tcW w:w="392" w:type="dxa"/>
            <w:shd w:val="clear" w:color="auto" w:fill="auto"/>
            <w:vAlign w:val="center"/>
          </w:tcPr>
          <w:p>
            <w:pPr>
              <w:jc w:val="center"/>
              <w:rPr>
                <w:rFonts w:ascii="Times New Roman" w:hAnsi="Times New Roman"/>
                <w:sz w:val="22"/>
                <w:szCs w:val="22"/>
              </w:rPr>
            </w:pPr>
            <w:r>
              <w:rPr>
                <w:rFonts w:ascii="Times New Roman" w:hAnsi="Times New Roman"/>
                <w:sz w:val="22"/>
                <w:szCs w:val="22"/>
              </w:rPr>
              <w:t>7</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Сумма к поступлению в бюджет ЗАТО Северск</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sz w:val="22"/>
                <w:szCs w:val="22"/>
              </w:rPr>
            </w:pPr>
            <w:r>
              <w:rPr>
                <w:rFonts w:ascii="Times New Roman" w:hAnsi="Times New Roman"/>
                <w:sz w:val="22"/>
                <w:szCs w:val="22"/>
              </w:rPr>
              <w:t>26 446,13</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36 909,75</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21 573,00</w:t>
            </w:r>
          </w:p>
        </w:tc>
        <w:tc>
          <w:tcPr>
            <w:tcW w:w="709" w:type="dxa"/>
            <w:vAlign w:val="center"/>
          </w:tcPr>
          <w:p>
            <w:pPr>
              <w:ind w:left="-57" w:right="-57"/>
              <w:jc w:val="center"/>
              <w:rPr>
                <w:rFonts w:ascii="Times New Roman" w:hAnsi="Times New Roman"/>
                <w:sz w:val="22"/>
                <w:szCs w:val="22"/>
              </w:rPr>
            </w:pPr>
            <w:r>
              <w:rPr>
                <w:rFonts w:ascii="Times New Roman" w:hAnsi="Times New Roman"/>
                <w:sz w:val="22"/>
                <w:szCs w:val="22"/>
              </w:rPr>
              <w:t>58,4</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30 318,20</w:t>
            </w:r>
          </w:p>
        </w:tc>
        <w:tc>
          <w:tcPr>
            <w:tcW w:w="993"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18 255,50</w:t>
            </w:r>
          </w:p>
        </w:tc>
      </w:tr>
    </w:tbl>
    <w:p>
      <w:pPr>
        <w:spacing w:before="120"/>
        <w:ind w:firstLine="709"/>
        <w:jc w:val="both"/>
        <w:rPr>
          <w:rFonts w:ascii="Times New Roman" w:hAnsi="Times New Roman"/>
          <w:sz w:val="24"/>
          <w:szCs w:val="24"/>
        </w:rPr>
      </w:pPr>
      <w:r>
        <w:rPr>
          <w:rFonts w:ascii="Times New Roman" w:hAnsi="Times New Roman"/>
          <w:sz w:val="24"/>
          <w:szCs w:val="24"/>
        </w:rPr>
        <w:t>Прогноз начислений арендной платы в 2021 году меньше оценки 2020 года, что обусловлено:</w:t>
      </w:r>
    </w:p>
    <w:p>
      <w:pPr>
        <w:ind w:firstLine="709"/>
        <w:jc w:val="both"/>
        <w:rPr>
          <w:rFonts w:ascii="Times New Roman" w:hAnsi="Times New Roman"/>
          <w:sz w:val="24"/>
          <w:szCs w:val="24"/>
        </w:rPr>
      </w:pPr>
      <w:r>
        <w:rPr>
          <w:rFonts w:ascii="Times New Roman" w:hAnsi="Times New Roman"/>
          <w:sz w:val="24"/>
          <w:szCs w:val="24"/>
        </w:rPr>
        <w:t>- поступлением в 2020 году разового платежа за право заключения договора аренды земельного участка под строительство торгового объекта;</w:t>
      </w:r>
    </w:p>
    <w:p>
      <w:pPr>
        <w:ind w:firstLine="709"/>
        <w:jc w:val="both"/>
        <w:rPr>
          <w:rFonts w:ascii="Times New Roman" w:hAnsi="Times New Roman"/>
          <w:sz w:val="24"/>
          <w:szCs w:val="24"/>
        </w:rPr>
      </w:pPr>
      <w:r>
        <w:rPr>
          <w:rFonts w:ascii="Times New Roman" w:hAnsi="Times New Roman"/>
          <w:sz w:val="24"/>
          <w:szCs w:val="24"/>
        </w:rPr>
        <w:t>- расторжением договора аренды земельного участка под застройку многоквартирного дома ООО «Специализированный застройщик «МЖК» в соответствии с Решением Арбитражного суда Томской области от 05.08.2020.</w:t>
      </w:r>
    </w:p>
    <w:p>
      <w:pPr>
        <w:spacing w:before="120"/>
        <w:ind w:firstLine="709"/>
        <w:jc w:val="both"/>
        <w:rPr>
          <w:rFonts w:ascii="Times New Roman" w:hAnsi="Times New Roman"/>
          <w:sz w:val="24"/>
          <w:szCs w:val="24"/>
        </w:rPr>
      </w:pPr>
      <w:r>
        <w:rPr>
          <w:rFonts w:ascii="Times New Roman" w:hAnsi="Times New Roman"/>
          <w:sz w:val="24"/>
          <w:szCs w:val="24"/>
        </w:rPr>
        <w:t>Таблица 18 - Расчёт платы по соглашениям об установлении сервитута</w:t>
      </w:r>
    </w:p>
    <w:tbl>
      <w:tblPr>
        <w:tblpPr w:leftFromText="180" w:rightFromText="180" w:vertAnchor="text" w:horzAnchor="margin" w:tblpY="11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551"/>
        <w:gridCol w:w="851"/>
        <w:gridCol w:w="1134"/>
        <w:gridCol w:w="992"/>
        <w:gridCol w:w="992"/>
        <w:gridCol w:w="709"/>
        <w:gridCol w:w="992"/>
        <w:gridCol w:w="993"/>
      </w:tblGrid>
      <w:tr>
        <w:trPr>
          <w:trHeight w:val="251"/>
        </w:trPr>
        <w:tc>
          <w:tcPr>
            <w:tcW w:w="392" w:type="dxa"/>
            <w:vMerge w:val="restart"/>
            <w:shd w:val="clear" w:color="auto" w:fill="auto"/>
            <w:vAlign w:val="center"/>
          </w:tcPr>
          <w:p>
            <w:pPr>
              <w:snapToGrid w:val="0"/>
              <w:ind w:left="-108" w:right="-108"/>
              <w:jc w:val="center"/>
              <w:rPr>
                <w:rFonts w:ascii="Times New Roman" w:hAnsi="Times New Roman"/>
                <w:bCs/>
                <w:iCs/>
              </w:rPr>
            </w:pPr>
            <w:r>
              <w:rPr>
                <w:rFonts w:ascii="Times New Roman" w:hAnsi="Times New Roman"/>
                <w:bCs/>
                <w:iCs/>
              </w:rPr>
              <w:t>№</w:t>
            </w:r>
          </w:p>
        </w:tc>
        <w:tc>
          <w:tcPr>
            <w:tcW w:w="2551" w:type="dxa"/>
            <w:vMerge w:val="restart"/>
            <w:shd w:val="clear" w:color="auto" w:fill="auto"/>
            <w:vAlign w:val="center"/>
          </w:tcPr>
          <w:p>
            <w:pPr>
              <w:jc w:val="center"/>
              <w:rPr>
                <w:rFonts w:ascii="Times New Roman" w:hAnsi="Times New Roman"/>
              </w:rPr>
            </w:pPr>
            <w:r>
              <w:rPr>
                <w:rFonts w:ascii="Times New Roman" w:hAnsi="Times New Roman"/>
              </w:rPr>
              <w:t>Показатели</w:t>
            </w:r>
          </w:p>
        </w:tc>
        <w:tc>
          <w:tcPr>
            <w:tcW w:w="851" w:type="dxa"/>
            <w:vMerge w:val="restart"/>
            <w:shd w:val="clear" w:color="auto" w:fill="auto"/>
            <w:vAlign w:val="center"/>
          </w:tcPr>
          <w:p>
            <w:pPr>
              <w:ind w:left="-108" w:right="-79"/>
              <w:jc w:val="center"/>
              <w:rPr>
                <w:rFonts w:ascii="Times New Roman" w:hAnsi="Times New Roman"/>
              </w:rPr>
            </w:pPr>
            <w:r>
              <w:rPr>
                <w:rFonts w:ascii="Times New Roman" w:hAnsi="Times New Roman"/>
              </w:rPr>
              <w:t>Ед.изм.</w:t>
            </w:r>
          </w:p>
        </w:tc>
        <w:tc>
          <w:tcPr>
            <w:tcW w:w="2126" w:type="dxa"/>
            <w:gridSpan w:val="2"/>
          </w:tcPr>
          <w:p>
            <w:pPr>
              <w:ind w:left="-108" w:right="-108"/>
              <w:jc w:val="center"/>
              <w:rPr>
                <w:rFonts w:ascii="Times New Roman" w:hAnsi="Times New Roman"/>
              </w:rPr>
            </w:pPr>
            <w:r>
              <w:rPr>
                <w:rFonts w:ascii="Times New Roman" w:hAnsi="Times New Roman"/>
              </w:rPr>
              <w:t>2020 год</w:t>
            </w:r>
          </w:p>
        </w:tc>
        <w:tc>
          <w:tcPr>
            <w:tcW w:w="1701" w:type="dxa"/>
            <w:gridSpan w:val="2"/>
            <w:shd w:val="clear" w:color="auto" w:fill="auto"/>
          </w:tcPr>
          <w:p>
            <w:pPr>
              <w:ind w:left="-108" w:right="-108"/>
              <w:jc w:val="center"/>
              <w:rPr>
                <w:rFonts w:ascii="Times New Roman" w:hAnsi="Times New Roman"/>
              </w:rPr>
            </w:pPr>
            <w:r>
              <w:rPr>
                <w:rFonts w:ascii="Times New Roman" w:hAnsi="Times New Roman"/>
              </w:rPr>
              <w:t>2021 год</w:t>
            </w:r>
          </w:p>
        </w:tc>
        <w:tc>
          <w:tcPr>
            <w:tcW w:w="992"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2022 года</w:t>
            </w:r>
          </w:p>
        </w:tc>
        <w:tc>
          <w:tcPr>
            <w:tcW w:w="993"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2023 года</w:t>
            </w:r>
          </w:p>
        </w:tc>
      </w:tr>
      <w:tr>
        <w:trPr>
          <w:trHeight w:val="158"/>
        </w:trPr>
        <w:tc>
          <w:tcPr>
            <w:tcW w:w="392" w:type="dxa"/>
            <w:vMerge/>
            <w:shd w:val="clear" w:color="auto" w:fill="auto"/>
            <w:vAlign w:val="center"/>
          </w:tcPr>
          <w:p>
            <w:pPr>
              <w:snapToGrid w:val="0"/>
              <w:ind w:left="-108" w:right="-108"/>
              <w:jc w:val="center"/>
              <w:rPr>
                <w:rFonts w:ascii="Times New Roman" w:hAnsi="Times New Roman"/>
                <w:bCs/>
                <w:iCs/>
                <w:sz w:val="22"/>
                <w:szCs w:val="22"/>
                <w:highlight w:val="yellow"/>
              </w:rPr>
            </w:pPr>
          </w:p>
        </w:tc>
        <w:tc>
          <w:tcPr>
            <w:tcW w:w="2551" w:type="dxa"/>
            <w:vMerge/>
            <w:shd w:val="clear" w:color="auto" w:fill="auto"/>
            <w:vAlign w:val="center"/>
          </w:tcPr>
          <w:p>
            <w:pPr>
              <w:jc w:val="center"/>
              <w:rPr>
                <w:rFonts w:ascii="Times New Roman" w:hAnsi="Times New Roman"/>
                <w:sz w:val="22"/>
                <w:szCs w:val="22"/>
                <w:highlight w:val="yellow"/>
              </w:rPr>
            </w:pPr>
          </w:p>
        </w:tc>
        <w:tc>
          <w:tcPr>
            <w:tcW w:w="851" w:type="dxa"/>
            <w:vMerge/>
            <w:shd w:val="clear" w:color="auto" w:fill="auto"/>
            <w:vAlign w:val="center"/>
          </w:tcPr>
          <w:p>
            <w:pPr>
              <w:ind w:left="-108" w:right="-79"/>
              <w:jc w:val="center"/>
              <w:rPr>
                <w:rFonts w:ascii="Times New Roman" w:hAnsi="Times New Roman"/>
                <w:sz w:val="22"/>
                <w:szCs w:val="22"/>
                <w:highlight w:val="yellow"/>
              </w:rPr>
            </w:pPr>
          </w:p>
        </w:tc>
        <w:tc>
          <w:tcPr>
            <w:tcW w:w="1134" w:type="dxa"/>
            <w:vAlign w:val="center"/>
          </w:tcPr>
          <w:p>
            <w:pPr>
              <w:ind w:left="-108" w:right="-108"/>
              <w:jc w:val="center"/>
              <w:rPr>
                <w:rFonts w:ascii="Times New Roman" w:hAnsi="Times New Roman"/>
                <w:bCs/>
                <w:sz w:val="22"/>
                <w:szCs w:val="22"/>
                <w:highlight w:val="yellow"/>
              </w:rPr>
            </w:pPr>
            <w:r>
              <w:rPr>
                <w:rFonts w:ascii="Times New Roman" w:hAnsi="Times New Roman"/>
              </w:rPr>
              <w:t>Первонач. утверждено</w:t>
            </w:r>
          </w:p>
        </w:tc>
        <w:tc>
          <w:tcPr>
            <w:tcW w:w="992" w:type="dxa"/>
            <w:shd w:val="clear" w:color="auto" w:fill="auto"/>
            <w:vAlign w:val="center"/>
          </w:tcPr>
          <w:p>
            <w:pPr>
              <w:ind w:left="-108" w:right="-108"/>
              <w:jc w:val="center"/>
              <w:rPr>
                <w:rFonts w:ascii="Times New Roman" w:hAnsi="Times New Roman"/>
                <w:bCs/>
                <w:sz w:val="22"/>
                <w:szCs w:val="22"/>
                <w:highlight w:val="yellow"/>
              </w:rPr>
            </w:pPr>
            <w:r>
              <w:rPr>
                <w:rFonts w:ascii="Times New Roman" w:hAnsi="Times New Roman"/>
              </w:rPr>
              <w:t>Оценка</w:t>
            </w:r>
          </w:p>
        </w:tc>
        <w:tc>
          <w:tcPr>
            <w:tcW w:w="992" w:type="dxa"/>
            <w:shd w:val="clear" w:color="auto" w:fill="auto"/>
            <w:vAlign w:val="center"/>
          </w:tcPr>
          <w:p>
            <w:pPr>
              <w:ind w:left="-108" w:right="-108"/>
              <w:jc w:val="center"/>
              <w:rPr>
                <w:rFonts w:ascii="Times New Roman" w:hAnsi="Times New Roman"/>
              </w:rPr>
            </w:pPr>
            <w:r>
              <w:rPr>
                <w:rFonts w:ascii="Times New Roman" w:hAnsi="Times New Roman"/>
              </w:rPr>
              <w:t xml:space="preserve">Прогноз </w:t>
            </w:r>
          </w:p>
        </w:tc>
        <w:tc>
          <w:tcPr>
            <w:tcW w:w="709" w:type="dxa"/>
            <w:vAlign w:val="center"/>
          </w:tcPr>
          <w:p>
            <w:pPr>
              <w:ind w:left="-108" w:right="-108"/>
              <w:jc w:val="center"/>
              <w:rPr>
                <w:rFonts w:ascii="Times New Roman" w:hAnsi="Times New Roman"/>
              </w:rPr>
            </w:pPr>
            <w:r>
              <w:rPr>
                <w:rFonts w:ascii="Times New Roman" w:hAnsi="Times New Roman"/>
              </w:rPr>
              <w:t>% к оценке 2020г.</w:t>
            </w:r>
          </w:p>
        </w:tc>
        <w:tc>
          <w:tcPr>
            <w:tcW w:w="992" w:type="dxa"/>
            <w:vMerge/>
            <w:shd w:val="clear" w:color="auto" w:fill="auto"/>
            <w:vAlign w:val="center"/>
          </w:tcPr>
          <w:p>
            <w:pPr>
              <w:ind w:left="-57" w:right="-57"/>
              <w:jc w:val="center"/>
              <w:rPr>
                <w:rFonts w:ascii="Times New Roman" w:hAnsi="Times New Roman"/>
                <w:sz w:val="22"/>
                <w:szCs w:val="22"/>
                <w:highlight w:val="yellow"/>
              </w:rPr>
            </w:pPr>
          </w:p>
        </w:tc>
        <w:tc>
          <w:tcPr>
            <w:tcW w:w="993" w:type="dxa"/>
            <w:vMerge/>
            <w:shd w:val="clear" w:color="auto" w:fill="auto"/>
            <w:vAlign w:val="center"/>
          </w:tcPr>
          <w:p>
            <w:pPr>
              <w:ind w:left="-57" w:right="-57"/>
              <w:jc w:val="center"/>
              <w:rPr>
                <w:rFonts w:ascii="Times New Roman" w:hAnsi="Times New Roman"/>
                <w:sz w:val="22"/>
                <w:szCs w:val="22"/>
                <w:highlight w:val="yellow"/>
              </w:rPr>
            </w:pPr>
          </w:p>
        </w:tc>
      </w:tr>
      <w:tr>
        <w:trPr>
          <w:trHeight w:val="349"/>
        </w:trPr>
        <w:tc>
          <w:tcPr>
            <w:tcW w:w="392" w:type="dxa"/>
            <w:shd w:val="clear" w:color="auto" w:fill="auto"/>
            <w:vAlign w:val="center"/>
          </w:tcPr>
          <w:p>
            <w:pPr>
              <w:snapToGrid w:val="0"/>
              <w:jc w:val="center"/>
              <w:rPr>
                <w:rFonts w:ascii="Times New Roman" w:hAnsi="Times New Roman"/>
                <w:bCs/>
                <w:iCs/>
                <w:sz w:val="22"/>
                <w:szCs w:val="22"/>
              </w:rPr>
            </w:pPr>
            <w:r>
              <w:rPr>
                <w:rFonts w:ascii="Times New Roman" w:hAnsi="Times New Roman"/>
                <w:bCs/>
                <w:iCs/>
                <w:sz w:val="22"/>
                <w:szCs w:val="22"/>
              </w:rPr>
              <w:t>1</w:t>
            </w:r>
          </w:p>
        </w:tc>
        <w:tc>
          <w:tcPr>
            <w:tcW w:w="2551" w:type="dxa"/>
            <w:shd w:val="clear" w:color="auto" w:fill="auto"/>
            <w:vAlign w:val="center"/>
          </w:tcPr>
          <w:p>
            <w:pPr>
              <w:rPr>
                <w:rFonts w:ascii="Times New Roman" w:hAnsi="Times New Roman"/>
                <w:sz w:val="22"/>
                <w:szCs w:val="22"/>
              </w:rPr>
            </w:pPr>
            <w:r>
              <w:rPr>
                <w:rFonts w:ascii="Times New Roman" w:hAnsi="Times New Roman"/>
                <w:sz w:val="22"/>
                <w:szCs w:val="22"/>
              </w:rPr>
              <w:t>Начислено арендной платы в бюджет ЗАТО Северск</w:t>
            </w:r>
          </w:p>
        </w:tc>
        <w:tc>
          <w:tcPr>
            <w:tcW w:w="851" w:type="dxa"/>
            <w:shd w:val="clear" w:color="auto" w:fill="auto"/>
            <w:vAlign w:val="center"/>
          </w:tcPr>
          <w:p>
            <w:pPr>
              <w:ind w:left="-108" w:right="-79"/>
              <w:jc w:val="center"/>
              <w:rPr>
                <w:rFonts w:ascii="Times New Roman" w:hAnsi="Times New Roman"/>
              </w:rPr>
            </w:pPr>
            <w:r>
              <w:rPr>
                <w:rFonts w:ascii="Times New Roman" w:hAnsi="Times New Roman"/>
              </w:rPr>
              <w:t>тыс.руб.</w:t>
            </w:r>
          </w:p>
        </w:tc>
        <w:tc>
          <w:tcPr>
            <w:tcW w:w="1134" w:type="dxa"/>
            <w:vAlign w:val="center"/>
          </w:tcPr>
          <w:p>
            <w:pPr>
              <w:ind w:left="-57" w:right="-57"/>
              <w:jc w:val="right"/>
              <w:rPr>
                <w:rFonts w:ascii="Times New Roman" w:hAnsi="Times New Roman"/>
                <w:sz w:val="22"/>
                <w:szCs w:val="22"/>
              </w:rPr>
            </w:pPr>
            <w:r>
              <w:rPr>
                <w:rFonts w:ascii="Times New Roman" w:hAnsi="Times New Roman"/>
                <w:sz w:val="22"/>
                <w:szCs w:val="22"/>
              </w:rPr>
              <w:t>0,00</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1,42</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1,42</w:t>
            </w:r>
          </w:p>
        </w:tc>
        <w:tc>
          <w:tcPr>
            <w:tcW w:w="709" w:type="dxa"/>
            <w:vAlign w:val="center"/>
          </w:tcPr>
          <w:p>
            <w:pPr>
              <w:ind w:left="-57" w:right="-57"/>
              <w:jc w:val="center"/>
              <w:rPr>
                <w:rFonts w:ascii="Times New Roman" w:hAnsi="Times New Roman"/>
                <w:sz w:val="22"/>
                <w:szCs w:val="22"/>
              </w:rPr>
            </w:pPr>
            <w:r>
              <w:rPr>
                <w:rFonts w:ascii="Times New Roman" w:hAnsi="Times New Roman"/>
                <w:sz w:val="22"/>
                <w:szCs w:val="22"/>
              </w:rPr>
              <w:t>100</w:t>
            </w:r>
          </w:p>
        </w:tc>
        <w:tc>
          <w:tcPr>
            <w:tcW w:w="992"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1,42</w:t>
            </w:r>
          </w:p>
        </w:tc>
        <w:tc>
          <w:tcPr>
            <w:tcW w:w="993" w:type="dxa"/>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1,42</w:t>
            </w:r>
          </w:p>
        </w:tc>
      </w:tr>
    </w:tbl>
    <w:p>
      <w:pPr>
        <w:spacing w:before="240" w:after="120"/>
        <w:ind w:firstLine="720"/>
        <w:jc w:val="center"/>
        <w:rPr>
          <w:rFonts w:ascii="Times New Roman" w:hAnsi="Times New Roman"/>
          <w:bCs/>
          <w:iCs/>
          <w:sz w:val="24"/>
          <w:szCs w:val="24"/>
        </w:rPr>
      </w:pPr>
      <w:r>
        <w:rPr>
          <w:rFonts w:ascii="Times New Roman" w:hAnsi="Times New Roman"/>
          <w:sz w:val="24"/>
          <w:szCs w:val="24"/>
        </w:rPr>
        <w:t xml:space="preserve">1.4.1.3. Прочие поступления от использования имущества, находящегося </w:t>
      </w:r>
      <w:r>
        <w:rPr>
          <w:rFonts w:ascii="Times New Roman" w:hAnsi="Times New Roman"/>
          <w:sz w:val="24"/>
          <w:szCs w:val="24"/>
        </w:rPr>
        <w:br/>
        <w:t>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pPr>
        <w:ind w:right="43" w:firstLine="709"/>
        <w:jc w:val="both"/>
        <w:rPr>
          <w:rFonts w:ascii="Times New Roman" w:hAnsi="Times New Roman"/>
          <w:sz w:val="24"/>
          <w:szCs w:val="24"/>
          <w:highlight w:val="yellow"/>
        </w:rPr>
      </w:pPr>
      <w:r>
        <w:rPr>
          <w:rFonts w:ascii="Times New Roman" w:hAnsi="Times New Roman"/>
          <w:bCs/>
          <w:iCs/>
          <w:sz w:val="24"/>
        </w:rPr>
        <w:t>Доходы бюджета ЗАТО Северск по статье «Пр</w:t>
      </w:r>
      <w:r>
        <w:rPr>
          <w:rFonts w:ascii="Times New Roman" w:hAnsi="Times New Roman"/>
          <w:sz w:val="24"/>
          <w:szCs w:val="24"/>
        </w:rPr>
        <w:t xml:space="preserve">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прогнозируются </w:t>
      </w:r>
      <w:r>
        <w:rPr>
          <w:rFonts w:ascii="Times New Roman" w:hAnsi="Times New Roman"/>
          <w:sz w:val="24"/>
          <w:szCs w:val="24"/>
        </w:rPr>
        <w:br/>
        <w:t>на 2021 год в сумме 41 502,61 тыс.руб., что на 6 392,06 тыс.руб. (на 18,2%) больше</w:t>
      </w:r>
      <w:r>
        <w:rPr>
          <w:rFonts w:ascii="Times New Roman" w:hAnsi="Times New Roman"/>
          <w:sz w:val="24"/>
          <w:szCs w:val="24"/>
        </w:rPr>
        <w:br/>
        <w:t>оценки 2020 года.</w:t>
      </w:r>
    </w:p>
    <w:p>
      <w:pPr>
        <w:ind w:right="43" w:firstLine="709"/>
        <w:jc w:val="both"/>
        <w:rPr>
          <w:rFonts w:ascii="Times New Roman" w:hAnsi="Times New Roman"/>
          <w:sz w:val="24"/>
          <w:highlight w:val="yellow"/>
        </w:rPr>
      </w:pPr>
      <w:r>
        <w:rPr>
          <w:rFonts w:ascii="Times New Roman" w:hAnsi="Times New Roman"/>
          <w:sz w:val="24"/>
        </w:rPr>
        <w:t>Поступления по указанным доходам на 2022 - 2023 годы прогнозируются в сумме 40 230,45 тыс.руб. и 37 330,45 тыс.руб. соответственно.</w:t>
      </w:r>
    </w:p>
    <w:p>
      <w:pPr>
        <w:ind w:right="43" w:firstLine="709"/>
        <w:jc w:val="both"/>
        <w:rPr>
          <w:rFonts w:ascii="Times New Roman" w:hAnsi="Times New Roman"/>
          <w:sz w:val="24"/>
        </w:rPr>
      </w:pPr>
      <w:r>
        <w:rPr>
          <w:rFonts w:ascii="Times New Roman" w:hAnsi="Times New Roman"/>
          <w:bCs/>
          <w:iCs/>
          <w:sz w:val="24"/>
        </w:rPr>
        <w:lastRenderedPageBreak/>
        <w:t xml:space="preserve">В составе прочих доходов от использования имущества, находящегося </w:t>
      </w:r>
      <w:r>
        <w:rPr>
          <w:rFonts w:ascii="Times New Roman" w:hAnsi="Times New Roman"/>
          <w:bCs/>
          <w:iCs/>
          <w:sz w:val="24"/>
        </w:rPr>
        <w:br/>
      </w:r>
      <w:r>
        <w:rPr>
          <w:rFonts w:ascii="Times New Roman" w:hAnsi="Times New Roman"/>
          <w:sz w:val="24"/>
        </w:rPr>
        <w:t>в собственности городских округов, прогнозируются следующие доходы.</w:t>
      </w:r>
    </w:p>
    <w:p>
      <w:pPr>
        <w:ind w:right="43" w:firstLine="709"/>
        <w:jc w:val="both"/>
        <w:rPr>
          <w:rFonts w:ascii="Times New Roman" w:hAnsi="Times New Roman"/>
          <w:sz w:val="24"/>
        </w:rPr>
      </w:pPr>
    </w:p>
    <w:p>
      <w:pPr>
        <w:ind w:right="43" w:firstLine="709"/>
        <w:jc w:val="center"/>
        <w:rPr>
          <w:rFonts w:ascii="Times New Roman" w:hAnsi="Times New Roman"/>
          <w:i/>
          <w:sz w:val="24"/>
        </w:rPr>
      </w:pPr>
      <w:r>
        <w:rPr>
          <w:rFonts w:ascii="Times New Roman" w:hAnsi="Times New Roman"/>
          <w:i/>
          <w:sz w:val="24"/>
        </w:rPr>
        <w:t>1.4.1.3.1. Арендная плата за помещения нежилого муниципального фонда</w:t>
      </w:r>
    </w:p>
    <w:p>
      <w:pPr>
        <w:ind w:right="43" w:firstLine="709"/>
        <w:jc w:val="both"/>
        <w:rPr>
          <w:rFonts w:ascii="Times New Roman" w:hAnsi="Times New Roman"/>
          <w:sz w:val="24"/>
        </w:rPr>
      </w:pPr>
      <w:r>
        <w:rPr>
          <w:rFonts w:ascii="Times New Roman" w:hAnsi="Times New Roman"/>
          <w:sz w:val="24"/>
        </w:rPr>
        <w:t>Прогнозирование поступлений по аренде недвижимого имущества нежилого муниципального фонда выполнено согласно Методике прогнозирования, с учетом выбытия из муниципальной собственности ряда объектов за счет проведения процедуры приватизации, а также Методике расчета арендной платы за пользование муниципальным имуществом, находящимся в муниципальной собственности городского округа                        ЗАТО Северск Томской области, утвержденной решением Думы ЗАТО Северск от 28.09.2017 № 30/4 (с изменениями от 29.08.2019 № 54/9).</w:t>
      </w:r>
    </w:p>
    <w:p>
      <w:pPr>
        <w:ind w:right="43" w:firstLine="709"/>
        <w:jc w:val="both"/>
        <w:rPr>
          <w:rFonts w:ascii="Times New Roman" w:hAnsi="Times New Roman"/>
          <w:sz w:val="24"/>
          <w:szCs w:val="24"/>
        </w:rPr>
      </w:pPr>
      <w:r>
        <w:rPr>
          <w:rFonts w:ascii="Times New Roman" w:hAnsi="Times New Roman"/>
          <w:sz w:val="24"/>
        </w:rPr>
        <w:t>Норматив зачисления в доходы</w:t>
      </w:r>
      <w:r>
        <w:rPr>
          <w:rFonts w:ascii="Times New Roman" w:hAnsi="Times New Roman"/>
          <w:sz w:val="24"/>
          <w:szCs w:val="24"/>
        </w:rPr>
        <w:t xml:space="preserve"> бюджета ЗАТО Северск – 100%.</w:t>
      </w:r>
    </w:p>
    <w:p>
      <w:pPr>
        <w:ind w:right="43" w:firstLine="709"/>
        <w:jc w:val="both"/>
        <w:rPr>
          <w:rFonts w:ascii="Times New Roman" w:hAnsi="Times New Roman"/>
          <w:sz w:val="24"/>
          <w:highlight w:val="yellow"/>
        </w:rPr>
      </w:pPr>
      <w:r>
        <w:rPr>
          <w:rFonts w:ascii="Times New Roman" w:hAnsi="Times New Roman"/>
          <w:sz w:val="24"/>
        </w:rPr>
        <w:t xml:space="preserve">Доходы от сдачи в аренду нежилых помещений на 2021 год прогнозируются </w:t>
      </w:r>
      <w:r>
        <w:rPr>
          <w:rFonts w:ascii="Times New Roman" w:hAnsi="Times New Roman"/>
          <w:sz w:val="24"/>
        </w:rPr>
        <w:br/>
        <w:t xml:space="preserve">в сумме 25 925,47 тыс.руб., что на 5 848,77 тыс.руб. (на 29,1%) больше оценки 2020 года. </w:t>
      </w:r>
    </w:p>
    <w:p>
      <w:pPr>
        <w:ind w:right="43" w:firstLine="709"/>
        <w:jc w:val="both"/>
        <w:rPr>
          <w:rFonts w:ascii="Times New Roman" w:hAnsi="Times New Roman"/>
          <w:sz w:val="24"/>
        </w:rPr>
      </w:pPr>
      <w:r>
        <w:rPr>
          <w:rFonts w:ascii="Times New Roman" w:hAnsi="Times New Roman"/>
          <w:sz w:val="24"/>
        </w:rPr>
        <w:t>Поступления по статье на 2022 и 2023 годы прогнозируются в сумме 25 477,67 тыс.руб. и 24 329,82 тыс.руб. соответственно.</w:t>
      </w:r>
    </w:p>
    <w:p>
      <w:pPr>
        <w:ind w:right="43" w:firstLine="709"/>
        <w:jc w:val="both"/>
        <w:rPr>
          <w:rFonts w:ascii="Times New Roman" w:hAnsi="Times New Roman"/>
          <w:sz w:val="24"/>
        </w:rPr>
      </w:pPr>
      <w:r>
        <w:rPr>
          <w:rFonts w:ascii="Times New Roman" w:hAnsi="Times New Roman"/>
          <w:sz w:val="24"/>
        </w:rPr>
        <w:t>Доля поступлений в 2021 году в структуре налоговых и неналоговых доходов составит 2,3%, в общей сумме доходов бюджета ЗАТО Северск – 0,6%. В 2022 - 2023 годах доля в структуре налоговых и неналоговых доходов составит 2,3% и 2,2% соответственно, в общей сумме доходов бюджета ЗАТО Северск – по 0,7%.</w:t>
      </w:r>
    </w:p>
    <w:p>
      <w:pPr>
        <w:spacing w:before="120"/>
        <w:ind w:right="45" w:firstLine="709"/>
        <w:jc w:val="both"/>
        <w:rPr>
          <w:rFonts w:ascii="Times New Roman" w:hAnsi="Times New Roman"/>
          <w:sz w:val="24"/>
        </w:rPr>
      </w:pPr>
      <w:r>
        <w:rPr>
          <w:rFonts w:ascii="Times New Roman" w:hAnsi="Times New Roman"/>
          <w:sz w:val="24"/>
        </w:rPr>
        <w:t xml:space="preserve">Таблица 19 - Расчет арендной платы за помещения нежилого муниципального фонда </w:t>
      </w:r>
    </w:p>
    <w:tbl>
      <w:tblPr>
        <w:tblW w:w="9848" w:type="dxa"/>
        <w:tblInd w:w="97" w:type="dxa"/>
        <w:tblLayout w:type="fixed"/>
        <w:tblLook w:val="04A0" w:firstRow="1" w:lastRow="0" w:firstColumn="1" w:lastColumn="0" w:noHBand="0" w:noVBand="1"/>
      </w:tblPr>
      <w:tblGrid>
        <w:gridCol w:w="241"/>
        <w:gridCol w:w="2605"/>
        <w:gridCol w:w="851"/>
        <w:gridCol w:w="1134"/>
        <w:gridCol w:w="992"/>
        <w:gridCol w:w="1134"/>
        <w:gridCol w:w="709"/>
        <w:gridCol w:w="1134"/>
        <w:gridCol w:w="1048"/>
      </w:tblGrid>
      <w:tr>
        <w:trPr>
          <w:trHeight w:val="275"/>
        </w:trPr>
        <w:tc>
          <w:tcPr>
            <w:tcW w:w="241" w:type="dxa"/>
            <w:vMerge w:val="restart"/>
            <w:tcBorders>
              <w:top w:val="single" w:sz="4" w:space="0" w:color="auto"/>
              <w:left w:val="single" w:sz="4" w:space="0" w:color="auto"/>
              <w:right w:val="single" w:sz="4" w:space="0" w:color="auto"/>
            </w:tcBorders>
            <w:shd w:val="clear" w:color="auto" w:fill="auto"/>
            <w:vAlign w:val="center"/>
            <w:hideMark/>
          </w:tcPr>
          <w:p>
            <w:pPr>
              <w:ind w:left="-108" w:right="-108"/>
              <w:jc w:val="center"/>
              <w:rPr>
                <w:rFonts w:ascii="Times New Roman" w:hAnsi="Times New Roman"/>
              </w:rPr>
            </w:pPr>
            <w:r>
              <w:rPr>
                <w:rFonts w:ascii="Times New Roman" w:hAnsi="Times New Roman"/>
              </w:rPr>
              <w:t>№</w:t>
            </w:r>
          </w:p>
        </w:tc>
        <w:tc>
          <w:tcPr>
            <w:tcW w:w="2605" w:type="dxa"/>
            <w:vMerge w:val="restart"/>
            <w:tcBorders>
              <w:top w:val="single" w:sz="4" w:space="0" w:color="auto"/>
              <w:left w:val="nil"/>
              <w:right w:val="single" w:sz="4" w:space="0" w:color="auto"/>
            </w:tcBorders>
            <w:shd w:val="clear" w:color="auto" w:fill="auto"/>
            <w:vAlign w:val="center"/>
            <w:hideMark/>
          </w:tcPr>
          <w:p>
            <w:pPr>
              <w:ind w:right="43"/>
              <w:jc w:val="center"/>
              <w:rPr>
                <w:rFonts w:ascii="Times New Roman" w:hAnsi="Times New Roman"/>
              </w:rPr>
            </w:pPr>
            <w:r>
              <w:rPr>
                <w:rFonts w:ascii="Times New Roman" w:hAnsi="Times New Roman"/>
                <w:bCs/>
                <w:iCs/>
              </w:rPr>
              <w:t>Наименование показателей</w:t>
            </w:r>
          </w:p>
        </w:tc>
        <w:tc>
          <w:tcPr>
            <w:tcW w:w="851" w:type="dxa"/>
            <w:vMerge w:val="restart"/>
            <w:tcBorders>
              <w:top w:val="single" w:sz="4" w:space="0" w:color="auto"/>
              <w:left w:val="single" w:sz="4" w:space="0" w:color="auto"/>
              <w:right w:val="single" w:sz="4" w:space="0" w:color="auto"/>
            </w:tcBorders>
            <w:shd w:val="clear" w:color="auto" w:fill="auto"/>
            <w:vAlign w:val="center"/>
          </w:tcPr>
          <w:p>
            <w:pPr>
              <w:ind w:right="43"/>
              <w:jc w:val="center"/>
              <w:rPr>
                <w:rFonts w:ascii="Times New Roman" w:hAnsi="Times New Roman"/>
              </w:rPr>
            </w:pPr>
            <w:r>
              <w:rPr>
                <w:rFonts w:ascii="Times New Roman" w:hAnsi="Times New Roman"/>
              </w:rPr>
              <w:t>Ед.</w:t>
            </w:r>
          </w:p>
          <w:p>
            <w:pPr>
              <w:ind w:right="43"/>
              <w:jc w:val="center"/>
              <w:rPr>
                <w:rFonts w:ascii="Times New Roman" w:hAnsi="Times New Roman"/>
              </w:rPr>
            </w:pPr>
            <w:r>
              <w:rPr>
                <w:rFonts w:ascii="Times New Roman" w:hAnsi="Times New Roman"/>
              </w:rPr>
              <w:t>изм.</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ind w:left="-108" w:right="-108"/>
              <w:jc w:val="center"/>
              <w:rPr>
                <w:rFonts w:ascii="Times New Roman" w:hAnsi="Times New Roman"/>
              </w:rPr>
            </w:pPr>
            <w:r>
              <w:rPr>
                <w:rFonts w:ascii="Times New Roman" w:hAnsi="Times New Roman"/>
              </w:rPr>
              <w:t>2020 год</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ind w:left="-108" w:right="-108"/>
              <w:jc w:val="center"/>
              <w:rPr>
                <w:rFonts w:ascii="Times New Roman" w:hAnsi="Times New Roman"/>
              </w:rPr>
            </w:pPr>
            <w:r>
              <w:rPr>
                <w:rFonts w:ascii="Times New Roman" w:hAnsi="Times New Roman"/>
              </w:rPr>
              <w:t>2021 год</w:t>
            </w:r>
          </w:p>
        </w:tc>
        <w:tc>
          <w:tcPr>
            <w:tcW w:w="1134"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rPr>
                <w:rFonts w:ascii="Times New Roman" w:hAnsi="Times New Roman"/>
              </w:rPr>
            </w:pPr>
            <w:r>
              <w:rPr>
                <w:rFonts w:ascii="Times New Roman" w:hAnsi="Times New Roman"/>
              </w:rPr>
              <w:t>Прогноз 2022 года</w:t>
            </w:r>
          </w:p>
        </w:tc>
        <w:tc>
          <w:tcPr>
            <w:tcW w:w="1048"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rPr>
                <w:rFonts w:ascii="Times New Roman" w:hAnsi="Times New Roman"/>
              </w:rPr>
            </w:pPr>
            <w:r>
              <w:rPr>
                <w:rFonts w:ascii="Times New Roman" w:hAnsi="Times New Roman"/>
              </w:rPr>
              <w:t>Прогноз 2023 года</w:t>
            </w:r>
          </w:p>
        </w:tc>
      </w:tr>
      <w:tr>
        <w:trPr>
          <w:trHeight w:val="289"/>
        </w:trPr>
        <w:tc>
          <w:tcPr>
            <w:tcW w:w="241" w:type="dxa"/>
            <w:vMerge/>
            <w:tcBorders>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p>
        </w:tc>
        <w:tc>
          <w:tcPr>
            <w:tcW w:w="2605" w:type="dxa"/>
            <w:vMerge/>
            <w:tcBorders>
              <w:left w:val="nil"/>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p>
        </w:tc>
        <w:tc>
          <w:tcPr>
            <w:tcW w:w="851" w:type="dxa"/>
            <w:vMerge/>
            <w:tcBorders>
              <w:left w:val="single" w:sz="4" w:space="0" w:color="auto"/>
              <w:bottom w:val="single" w:sz="4" w:space="0" w:color="auto"/>
              <w:right w:val="single" w:sz="4" w:space="0" w:color="auto"/>
            </w:tcBorders>
            <w:vAlign w:val="center"/>
          </w:tcPr>
          <w:p>
            <w:pPr>
              <w:ind w:right="43"/>
              <w:jc w:val="both"/>
              <w:rPr>
                <w:rFonts w:ascii="Times New Roman" w:hAnsi="Times New Roman"/>
                <w:sz w:val="22"/>
                <w:szCs w:val="22"/>
                <w:highlight w:val="yellow"/>
              </w:rPr>
            </w:pPr>
          </w:p>
        </w:tc>
        <w:tc>
          <w:tcPr>
            <w:tcW w:w="1134" w:type="dxa"/>
            <w:tcBorders>
              <w:left w:val="single" w:sz="4" w:space="0" w:color="auto"/>
              <w:bottom w:val="single" w:sz="4" w:space="0" w:color="auto"/>
              <w:right w:val="single" w:sz="4" w:space="0" w:color="auto"/>
            </w:tcBorders>
          </w:tcPr>
          <w:p>
            <w:pPr>
              <w:ind w:left="-108" w:right="-108"/>
              <w:jc w:val="center"/>
              <w:rPr>
                <w:rFonts w:ascii="Times New Roman" w:hAnsi="Times New Roman"/>
                <w:bCs/>
                <w:sz w:val="22"/>
                <w:szCs w:val="22"/>
                <w:highlight w:val="yellow"/>
              </w:rPr>
            </w:pPr>
            <w:r>
              <w:rPr>
                <w:rFonts w:ascii="Times New Roman" w:hAnsi="Times New Roman"/>
              </w:rPr>
              <w:t>Первонач. утверждено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right="-108" w:hanging="108"/>
              <w:jc w:val="center"/>
              <w:rPr>
                <w:rFonts w:ascii="Times New Roman" w:hAnsi="Times New Roman"/>
                <w:bCs/>
                <w:sz w:val="22"/>
                <w:szCs w:val="22"/>
                <w:highlight w:val="yellow"/>
              </w:rPr>
            </w:pPr>
            <w:r>
              <w:rPr>
                <w:rFonts w:ascii="Times New Roman" w:hAnsi="Times New Roman"/>
              </w:rPr>
              <w:t>Оценка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108" w:right="-108"/>
              <w:jc w:val="center"/>
              <w:rPr>
                <w:rFonts w:ascii="Times New Roman" w:hAnsi="Times New Roman"/>
              </w:rPr>
            </w:pPr>
            <w:r>
              <w:rPr>
                <w:rFonts w:ascii="Times New Roman" w:hAnsi="Times New Roman"/>
              </w:rPr>
              <w:t xml:space="preserve">Прогноз </w:t>
            </w:r>
          </w:p>
        </w:tc>
        <w:tc>
          <w:tcPr>
            <w:tcW w:w="709" w:type="dxa"/>
            <w:tcBorders>
              <w:top w:val="single" w:sz="4" w:space="0" w:color="auto"/>
              <w:left w:val="single" w:sz="4" w:space="0" w:color="auto"/>
              <w:bottom w:val="single" w:sz="4" w:space="0" w:color="auto"/>
              <w:right w:val="single" w:sz="4" w:space="0" w:color="auto"/>
            </w:tcBorders>
            <w:vAlign w:val="center"/>
          </w:tcPr>
          <w:p>
            <w:pPr>
              <w:ind w:left="-108" w:right="-108"/>
              <w:jc w:val="center"/>
              <w:rPr>
                <w:rFonts w:ascii="Times New Roman" w:hAnsi="Times New Roman"/>
              </w:rPr>
            </w:pPr>
            <w:r>
              <w:rPr>
                <w:rFonts w:ascii="Times New Roman" w:hAnsi="Times New Roman"/>
              </w:rPr>
              <w:t>% к оценке 2020г.</w:t>
            </w:r>
          </w:p>
        </w:tc>
        <w:tc>
          <w:tcPr>
            <w:tcW w:w="1134" w:type="dxa"/>
            <w:vMerge/>
            <w:tcBorders>
              <w:left w:val="single" w:sz="4" w:space="0" w:color="auto"/>
              <w:bottom w:val="single" w:sz="4" w:space="0" w:color="auto"/>
              <w:right w:val="single" w:sz="4" w:space="0" w:color="auto"/>
            </w:tcBorders>
          </w:tcPr>
          <w:p>
            <w:pPr>
              <w:ind w:left="-70" w:right="-108"/>
              <w:jc w:val="center"/>
              <w:rPr>
                <w:rFonts w:ascii="Times New Roman" w:hAnsi="Times New Roman"/>
                <w:color w:val="FF0000"/>
                <w:sz w:val="22"/>
                <w:szCs w:val="22"/>
                <w:highlight w:val="yellow"/>
              </w:rPr>
            </w:pPr>
          </w:p>
        </w:tc>
        <w:tc>
          <w:tcPr>
            <w:tcW w:w="1048" w:type="dxa"/>
            <w:vMerge/>
            <w:tcBorders>
              <w:left w:val="single" w:sz="4" w:space="0" w:color="auto"/>
              <w:bottom w:val="single" w:sz="4" w:space="0" w:color="auto"/>
              <w:right w:val="single" w:sz="4" w:space="0" w:color="auto"/>
            </w:tcBorders>
            <w:vAlign w:val="center"/>
          </w:tcPr>
          <w:p>
            <w:pPr>
              <w:ind w:left="-70" w:right="-108"/>
              <w:jc w:val="center"/>
              <w:rPr>
                <w:rFonts w:ascii="Times New Roman" w:hAnsi="Times New Roman"/>
                <w:color w:val="FF0000"/>
                <w:sz w:val="22"/>
                <w:szCs w:val="22"/>
                <w:highlight w:val="yellow"/>
              </w:rPr>
            </w:pPr>
          </w:p>
        </w:tc>
      </w:tr>
      <w:tr>
        <w:trPr>
          <w:trHeight w:hRule="exact" w:val="1054"/>
        </w:trPr>
        <w:tc>
          <w:tcPr>
            <w:tcW w:w="241" w:type="dxa"/>
            <w:tcBorders>
              <w:top w:val="nil"/>
              <w:left w:val="single" w:sz="4" w:space="0" w:color="auto"/>
              <w:bottom w:val="single" w:sz="4" w:space="0" w:color="auto"/>
              <w:right w:val="single" w:sz="4" w:space="0" w:color="auto"/>
            </w:tcBorders>
            <w:shd w:val="clear" w:color="auto" w:fill="auto"/>
            <w:noWrap/>
            <w:vAlign w:val="center"/>
            <w:hideMark/>
          </w:tcPr>
          <w:p>
            <w:pPr>
              <w:suppressAutoHyphens/>
              <w:snapToGrid w:val="0"/>
              <w:ind w:hanging="97"/>
              <w:jc w:val="center"/>
              <w:rPr>
                <w:rFonts w:ascii="Times New Roman" w:hAnsi="Times New Roman"/>
                <w:sz w:val="22"/>
                <w:szCs w:val="22"/>
                <w:lang w:eastAsia="ar-SA"/>
              </w:rPr>
            </w:pPr>
            <w:r>
              <w:rPr>
                <w:rFonts w:ascii="Times New Roman" w:hAnsi="Times New Roman"/>
                <w:sz w:val="22"/>
                <w:szCs w:val="22"/>
                <w:lang w:eastAsia="ar-SA"/>
              </w:rPr>
              <w:t>1</w:t>
            </w:r>
          </w:p>
        </w:tc>
        <w:tc>
          <w:tcPr>
            <w:tcW w:w="2605" w:type="dxa"/>
            <w:tcBorders>
              <w:top w:val="nil"/>
              <w:left w:val="nil"/>
              <w:bottom w:val="single" w:sz="4" w:space="0" w:color="auto"/>
              <w:right w:val="single" w:sz="4" w:space="0" w:color="auto"/>
            </w:tcBorders>
            <w:shd w:val="clear" w:color="auto" w:fill="auto"/>
            <w:noWrap/>
            <w:vAlign w:val="center"/>
            <w:hideMark/>
          </w:tcPr>
          <w:p>
            <w:pPr>
              <w:suppressAutoHyphens/>
              <w:snapToGrid w:val="0"/>
              <w:ind w:right="-108"/>
              <w:rPr>
                <w:rFonts w:ascii="Times New Roman" w:hAnsi="Times New Roman"/>
                <w:sz w:val="22"/>
                <w:szCs w:val="22"/>
                <w:lang w:eastAsia="ar-SA"/>
              </w:rPr>
            </w:pPr>
            <w:r>
              <w:rPr>
                <w:rFonts w:ascii="Times New Roman" w:hAnsi="Times New Roman"/>
                <w:sz w:val="22"/>
                <w:szCs w:val="22"/>
                <w:lang w:eastAsia="ar-SA"/>
              </w:rPr>
              <w:t>Муниципальный нежилой фонд, сдаваемый в аренду (среднегодовая облагаемая база)</w:t>
            </w:r>
          </w:p>
        </w:tc>
        <w:tc>
          <w:tcPr>
            <w:tcW w:w="851" w:type="dxa"/>
            <w:tcBorders>
              <w:top w:val="single" w:sz="4" w:space="0" w:color="auto"/>
              <w:left w:val="single" w:sz="4" w:space="0" w:color="auto"/>
              <w:bottom w:val="single" w:sz="4" w:space="0" w:color="auto"/>
              <w:right w:val="single" w:sz="4" w:space="0" w:color="auto"/>
            </w:tcBorders>
            <w:vAlign w:val="center"/>
          </w:tcPr>
          <w:p>
            <w:pPr>
              <w:suppressAutoHyphens/>
              <w:snapToGrid w:val="0"/>
              <w:ind w:left="-108" w:right="-108"/>
              <w:jc w:val="center"/>
              <w:rPr>
                <w:rFonts w:ascii="Times New Roman" w:hAnsi="Times New Roman"/>
                <w:vertAlign w:val="superscript"/>
                <w:lang w:eastAsia="ar-SA"/>
              </w:rPr>
            </w:pPr>
            <w:r>
              <w:rPr>
                <w:rFonts w:ascii="Times New Roman" w:hAnsi="Times New Roman"/>
                <w:lang w:eastAsia="ar-SA"/>
              </w:rPr>
              <w:t>м</w:t>
            </w:r>
            <w:r>
              <w:rPr>
                <w:rFonts w:ascii="Times New Roman" w:hAnsi="Times New Roman"/>
                <w:vertAlign w:val="superscript"/>
                <w:lang w:eastAsia="ar-SA"/>
              </w:rPr>
              <w:t>2</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50 369,16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54 579,97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57 742,32</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106,8</w:t>
            </w:r>
          </w:p>
        </w:tc>
        <w:tc>
          <w:tcPr>
            <w:tcW w:w="1134" w:type="dxa"/>
            <w:tcBorders>
              <w:top w:val="single" w:sz="4" w:space="0" w:color="auto"/>
              <w:left w:val="single" w:sz="4" w:space="0" w:color="auto"/>
              <w:bottom w:val="single" w:sz="4" w:space="0" w:color="auto"/>
              <w:right w:val="single" w:sz="4" w:space="0" w:color="auto"/>
            </w:tcBorders>
            <w:vAlign w:val="center"/>
          </w:tcPr>
          <w:p>
            <w:pPr>
              <w:ind w:right="-57"/>
              <w:rPr>
                <w:rFonts w:ascii="Times New Roman" w:hAnsi="Times New Roman"/>
                <w:sz w:val="22"/>
                <w:szCs w:val="22"/>
              </w:rPr>
            </w:pPr>
            <w:r>
              <w:rPr>
                <w:rFonts w:ascii="Times New Roman" w:hAnsi="Times New Roman"/>
                <w:sz w:val="22"/>
                <w:szCs w:val="22"/>
              </w:rPr>
              <w:t>57 742,32</w:t>
            </w:r>
          </w:p>
        </w:tc>
        <w:tc>
          <w:tcPr>
            <w:tcW w:w="1048" w:type="dxa"/>
            <w:tcBorders>
              <w:top w:val="single" w:sz="4" w:space="0" w:color="auto"/>
              <w:left w:val="single" w:sz="4" w:space="0" w:color="auto"/>
              <w:bottom w:val="single" w:sz="4" w:space="0" w:color="auto"/>
              <w:right w:val="single" w:sz="4" w:space="0" w:color="auto"/>
            </w:tcBorders>
            <w:vAlign w:val="center"/>
          </w:tcPr>
          <w:p>
            <w:pPr>
              <w:ind w:right="-57"/>
              <w:rPr>
                <w:rFonts w:ascii="Times New Roman" w:hAnsi="Times New Roman"/>
                <w:sz w:val="22"/>
                <w:szCs w:val="22"/>
              </w:rPr>
            </w:pPr>
            <w:r>
              <w:rPr>
                <w:rFonts w:ascii="Times New Roman" w:hAnsi="Times New Roman"/>
                <w:sz w:val="22"/>
                <w:szCs w:val="22"/>
              </w:rPr>
              <w:t>57 742,32</w:t>
            </w:r>
          </w:p>
        </w:tc>
      </w:tr>
      <w:tr>
        <w:trPr>
          <w:trHeight w:hRule="exact" w:val="573"/>
        </w:trPr>
        <w:tc>
          <w:tcPr>
            <w:tcW w:w="241" w:type="dxa"/>
            <w:tcBorders>
              <w:top w:val="nil"/>
              <w:left w:val="single" w:sz="4" w:space="0" w:color="auto"/>
              <w:bottom w:val="single" w:sz="4" w:space="0" w:color="auto"/>
              <w:right w:val="single" w:sz="4" w:space="0" w:color="auto"/>
            </w:tcBorders>
            <w:shd w:val="clear" w:color="auto" w:fill="auto"/>
            <w:noWrap/>
            <w:vAlign w:val="center"/>
            <w:hideMark/>
          </w:tcPr>
          <w:p>
            <w:pPr>
              <w:suppressAutoHyphens/>
              <w:snapToGrid w:val="0"/>
              <w:ind w:hanging="97"/>
              <w:jc w:val="center"/>
              <w:rPr>
                <w:rFonts w:ascii="Times New Roman" w:hAnsi="Times New Roman"/>
                <w:sz w:val="22"/>
                <w:szCs w:val="22"/>
                <w:lang w:eastAsia="ar-SA"/>
              </w:rPr>
            </w:pPr>
            <w:r>
              <w:rPr>
                <w:rFonts w:ascii="Times New Roman" w:hAnsi="Times New Roman"/>
                <w:sz w:val="22"/>
                <w:szCs w:val="22"/>
                <w:lang w:eastAsia="ar-SA"/>
              </w:rPr>
              <w:t>2</w:t>
            </w:r>
          </w:p>
        </w:tc>
        <w:tc>
          <w:tcPr>
            <w:tcW w:w="2605" w:type="dxa"/>
            <w:tcBorders>
              <w:top w:val="nil"/>
              <w:left w:val="nil"/>
              <w:bottom w:val="single" w:sz="4" w:space="0" w:color="auto"/>
              <w:right w:val="single" w:sz="4" w:space="0" w:color="auto"/>
            </w:tcBorders>
            <w:shd w:val="clear" w:color="auto" w:fill="auto"/>
            <w:noWrap/>
            <w:vAlign w:val="center"/>
            <w:hideMark/>
          </w:tcPr>
          <w:p>
            <w:pPr>
              <w:suppressAutoHyphens/>
              <w:snapToGrid w:val="0"/>
              <w:ind w:right="-108"/>
              <w:rPr>
                <w:rFonts w:ascii="Times New Roman" w:hAnsi="Times New Roman"/>
                <w:sz w:val="22"/>
                <w:szCs w:val="22"/>
                <w:lang w:eastAsia="ar-SA"/>
              </w:rPr>
            </w:pPr>
            <w:r>
              <w:rPr>
                <w:rFonts w:ascii="Times New Roman" w:hAnsi="Times New Roman"/>
                <w:sz w:val="22"/>
                <w:szCs w:val="22"/>
                <w:lang w:eastAsia="ar-SA"/>
              </w:rPr>
              <w:t>Средняя ставка арендной платы</w:t>
            </w:r>
          </w:p>
        </w:tc>
        <w:tc>
          <w:tcPr>
            <w:tcW w:w="851" w:type="dxa"/>
            <w:tcBorders>
              <w:top w:val="single" w:sz="4" w:space="0" w:color="auto"/>
              <w:left w:val="single" w:sz="4" w:space="0" w:color="auto"/>
              <w:bottom w:val="single" w:sz="4" w:space="0" w:color="auto"/>
              <w:right w:val="single" w:sz="4" w:space="0" w:color="auto"/>
            </w:tcBorders>
            <w:vAlign w:val="center"/>
          </w:tcPr>
          <w:p>
            <w:pPr>
              <w:suppressAutoHyphens/>
              <w:snapToGrid w:val="0"/>
              <w:ind w:left="-108" w:right="-108"/>
              <w:jc w:val="center"/>
              <w:rPr>
                <w:rFonts w:ascii="Times New Roman" w:hAnsi="Times New Roman"/>
                <w:sz w:val="18"/>
                <w:szCs w:val="18"/>
                <w:lang w:eastAsia="ar-SA"/>
              </w:rPr>
            </w:pPr>
            <w:r>
              <w:rPr>
                <w:rFonts w:ascii="Times New Roman" w:hAnsi="Times New Roman"/>
                <w:sz w:val="18"/>
                <w:szCs w:val="18"/>
                <w:lang w:eastAsia="ar-SA"/>
              </w:rPr>
              <w:t>руб./кв.м.</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488,84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462,97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442,10</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95,5</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442,10</w:t>
            </w:r>
          </w:p>
        </w:tc>
        <w:tc>
          <w:tcPr>
            <w:tcW w:w="1048"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442,10</w:t>
            </w:r>
          </w:p>
        </w:tc>
      </w:tr>
      <w:tr>
        <w:trPr>
          <w:trHeight w:hRule="exact" w:val="585"/>
        </w:trPr>
        <w:tc>
          <w:tcPr>
            <w:tcW w:w="241" w:type="dxa"/>
            <w:tcBorders>
              <w:top w:val="nil"/>
              <w:left w:val="single" w:sz="4" w:space="0" w:color="auto"/>
              <w:bottom w:val="single" w:sz="4" w:space="0" w:color="auto"/>
              <w:right w:val="single" w:sz="4" w:space="0" w:color="auto"/>
            </w:tcBorders>
            <w:shd w:val="clear" w:color="auto" w:fill="auto"/>
            <w:noWrap/>
            <w:vAlign w:val="center"/>
            <w:hideMark/>
          </w:tcPr>
          <w:p>
            <w:pPr>
              <w:suppressAutoHyphens/>
              <w:snapToGrid w:val="0"/>
              <w:ind w:hanging="97"/>
              <w:jc w:val="center"/>
              <w:rPr>
                <w:rFonts w:ascii="Times New Roman" w:hAnsi="Times New Roman"/>
                <w:sz w:val="22"/>
                <w:szCs w:val="22"/>
                <w:lang w:eastAsia="ar-SA"/>
              </w:rPr>
            </w:pPr>
            <w:r>
              <w:rPr>
                <w:rFonts w:ascii="Times New Roman" w:hAnsi="Times New Roman"/>
                <w:sz w:val="22"/>
                <w:szCs w:val="22"/>
                <w:lang w:eastAsia="ar-SA"/>
              </w:rPr>
              <w:t>3</w:t>
            </w:r>
          </w:p>
        </w:tc>
        <w:tc>
          <w:tcPr>
            <w:tcW w:w="2605" w:type="dxa"/>
            <w:tcBorders>
              <w:top w:val="nil"/>
              <w:left w:val="nil"/>
              <w:bottom w:val="single" w:sz="4" w:space="0" w:color="auto"/>
              <w:right w:val="single" w:sz="4" w:space="0" w:color="auto"/>
            </w:tcBorders>
            <w:shd w:val="clear" w:color="auto" w:fill="auto"/>
            <w:noWrap/>
            <w:vAlign w:val="center"/>
            <w:hideMark/>
          </w:tcPr>
          <w:p>
            <w:pPr>
              <w:suppressAutoHyphens/>
              <w:snapToGrid w:val="0"/>
              <w:ind w:right="-108"/>
              <w:rPr>
                <w:rFonts w:ascii="Times New Roman" w:hAnsi="Times New Roman"/>
                <w:sz w:val="22"/>
                <w:szCs w:val="22"/>
                <w:lang w:eastAsia="ar-SA"/>
              </w:rPr>
            </w:pPr>
            <w:r>
              <w:rPr>
                <w:rFonts w:ascii="Times New Roman" w:hAnsi="Times New Roman"/>
                <w:sz w:val="22"/>
                <w:szCs w:val="22"/>
                <w:lang w:eastAsia="ar-SA"/>
              </w:rPr>
              <w:t>Начислено арендной платы</w:t>
            </w:r>
          </w:p>
        </w:tc>
        <w:tc>
          <w:tcPr>
            <w:tcW w:w="851" w:type="dxa"/>
            <w:tcBorders>
              <w:top w:val="single" w:sz="4" w:space="0" w:color="auto"/>
              <w:left w:val="single" w:sz="4" w:space="0" w:color="auto"/>
              <w:bottom w:val="single" w:sz="4" w:space="0" w:color="auto"/>
              <w:right w:val="single" w:sz="4" w:space="0" w:color="auto"/>
            </w:tcBorders>
            <w:vAlign w:val="center"/>
          </w:tcPr>
          <w:p>
            <w:pPr>
              <w:suppressAutoHyphens/>
              <w:snapToGrid w:val="0"/>
              <w:ind w:left="-108" w:right="-108"/>
              <w:jc w:val="center"/>
              <w:rPr>
                <w:rFonts w:ascii="Times New Roman" w:hAnsi="Times New Roman"/>
                <w:lang w:eastAsia="ar-SA"/>
              </w:rPr>
            </w:pPr>
            <w:r>
              <w:rPr>
                <w:rFonts w:ascii="Times New Roman" w:hAnsi="Times New Roman"/>
                <w:lang w:eastAsia="ar-SA"/>
              </w:rPr>
              <w:t>тыс.руб.</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24 622,35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25 269,01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25 528,14</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259,13</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25 528,14</w:t>
            </w:r>
          </w:p>
        </w:tc>
        <w:tc>
          <w:tcPr>
            <w:tcW w:w="1048"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25 528,14</w:t>
            </w:r>
          </w:p>
        </w:tc>
      </w:tr>
      <w:tr>
        <w:trPr>
          <w:trHeight w:hRule="exact" w:val="414"/>
        </w:trPr>
        <w:tc>
          <w:tcPr>
            <w:tcW w:w="241" w:type="dxa"/>
            <w:tcBorders>
              <w:top w:val="nil"/>
              <w:left w:val="single" w:sz="4" w:space="0" w:color="auto"/>
              <w:bottom w:val="single" w:sz="4" w:space="0" w:color="auto"/>
              <w:right w:val="single" w:sz="4" w:space="0" w:color="auto"/>
            </w:tcBorders>
            <w:shd w:val="clear" w:color="auto" w:fill="auto"/>
            <w:noWrap/>
            <w:vAlign w:val="center"/>
          </w:tcPr>
          <w:p>
            <w:pPr>
              <w:ind w:hanging="97"/>
              <w:jc w:val="both"/>
              <w:rPr>
                <w:sz w:val="22"/>
                <w:szCs w:val="22"/>
              </w:rPr>
            </w:pPr>
            <w:r>
              <w:rPr>
                <w:sz w:val="22"/>
                <w:szCs w:val="22"/>
              </w:rPr>
              <w:t>4</w:t>
            </w:r>
          </w:p>
        </w:tc>
        <w:tc>
          <w:tcPr>
            <w:tcW w:w="2605" w:type="dxa"/>
            <w:tcBorders>
              <w:top w:val="nil"/>
              <w:left w:val="nil"/>
              <w:bottom w:val="single" w:sz="4" w:space="0" w:color="auto"/>
              <w:right w:val="single" w:sz="4" w:space="0" w:color="auto"/>
            </w:tcBorders>
            <w:shd w:val="clear" w:color="auto" w:fill="auto"/>
            <w:noWrap/>
            <w:vAlign w:val="center"/>
          </w:tcPr>
          <w:p>
            <w:pPr>
              <w:rPr>
                <w:sz w:val="22"/>
                <w:szCs w:val="22"/>
              </w:rPr>
            </w:pPr>
            <w:r>
              <w:rPr>
                <w:sz w:val="22"/>
                <w:szCs w:val="22"/>
              </w:rPr>
              <w:t>Уровень собираемости</w:t>
            </w:r>
          </w:p>
        </w:tc>
        <w:tc>
          <w:tcPr>
            <w:tcW w:w="851"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pPr>
              <w:jc w:val="center"/>
            </w:pPr>
            <w:r>
              <w:t>95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95</w:t>
            </w:r>
          </w:p>
        </w:tc>
        <w:tc>
          <w:tcPr>
            <w:tcW w:w="709" w:type="dxa"/>
            <w:tcBorders>
              <w:top w:val="single" w:sz="4" w:space="0" w:color="auto"/>
              <w:left w:val="single" w:sz="4" w:space="0" w:color="auto"/>
              <w:bottom w:val="single" w:sz="4" w:space="0" w:color="auto"/>
              <w:right w:val="single" w:sz="4" w:space="0" w:color="auto"/>
            </w:tcBorders>
            <w:vAlign w:val="center"/>
          </w:tcPr>
          <w:p>
            <w:pPr>
              <w:jc w:val="center"/>
            </w:pPr>
            <w:r>
              <w:t>-</w:t>
            </w:r>
          </w:p>
        </w:tc>
        <w:tc>
          <w:tcPr>
            <w:tcW w:w="1134" w:type="dxa"/>
            <w:tcBorders>
              <w:top w:val="single" w:sz="4" w:space="0" w:color="auto"/>
              <w:left w:val="single" w:sz="4" w:space="0" w:color="auto"/>
              <w:bottom w:val="single" w:sz="4" w:space="0" w:color="auto"/>
              <w:right w:val="single" w:sz="4" w:space="0" w:color="auto"/>
            </w:tcBorders>
            <w:vAlign w:val="center"/>
          </w:tcPr>
          <w:p>
            <w:pPr>
              <w:jc w:val="center"/>
            </w:pPr>
            <w:r>
              <w:t>95</w:t>
            </w:r>
          </w:p>
        </w:tc>
        <w:tc>
          <w:tcPr>
            <w:tcW w:w="1048" w:type="dxa"/>
            <w:tcBorders>
              <w:top w:val="single" w:sz="4" w:space="0" w:color="auto"/>
              <w:left w:val="single" w:sz="4" w:space="0" w:color="auto"/>
              <w:bottom w:val="single" w:sz="4" w:space="0" w:color="auto"/>
              <w:right w:val="single" w:sz="4" w:space="0" w:color="auto"/>
            </w:tcBorders>
            <w:vAlign w:val="center"/>
          </w:tcPr>
          <w:p>
            <w:pPr>
              <w:jc w:val="center"/>
            </w:pPr>
            <w:r>
              <w:t>95</w:t>
            </w:r>
          </w:p>
        </w:tc>
      </w:tr>
      <w:tr>
        <w:trPr>
          <w:trHeight w:hRule="exact" w:val="355"/>
        </w:trPr>
        <w:tc>
          <w:tcPr>
            <w:tcW w:w="241" w:type="dxa"/>
            <w:tcBorders>
              <w:top w:val="nil"/>
              <w:left w:val="single" w:sz="4" w:space="0" w:color="auto"/>
              <w:bottom w:val="single" w:sz="4" w:space="0" w:color="auto"/>
              <w:right w:val="single" w:sz="4" w:space="0" w:color="auto"/>
            </w:tcBorders>
            <w:shd w:val="clear" w:color="auto" w:fill="auto"/>
            <w:noWrap/>
            <w:vAlign w:val="center"/>
          </w:tcPr>
          <w:p>
            <w:pPr>
              <w:ind w:left="-108" w:right="-108" w:hanging="97"/>
              <w:jc w:val="center"/>
              <w:rPr>
                <w:rFonts w:ascii="Times New Roman" w:hAnsi="Times New Roman"/>
                <w:sz w:val="22"/>
                <w:szCs w:val="22"/>
              </w:rPr>
            </w:pPr>
            <w:r>
              <w:rPr>
                <w:rFonts w:ascii="Times New Roman" w:hAnsi="Times New Roman"/>
                <w:sz w:val="22"/>
                <w:szCs w:val="22"/>
              </w:rPr>
              <w:t>5</w:t>
            </w:r>
          </w:p>
        </w:tc>
        <w:tc>
          <w:tcPr>
            <w:tcW w:w="2605" w:type="dxa"/>
            <w:tcBorders>
              <w:top w:val="nil"/>
              <w:left w:val="nil"/>
              <w:bottom w:val="single" w:sz="4" w:space="0" w:color="auto"/>
              <w:right w:val="single" w:sz="4" w:space="0" w:color="auto"/>
            </w:tcBorders>
            <w:shd w:val="clear" w:color="auto" w:fill="auto"/>
            <w:noWrap/>
            <w:vAlign w:val="center"/>
          </w:tcPr>
          <w:p>
            <w:pPr>
              <w:suppressAutoHyphens/>
              <w:ind w:right="43"/>
              <w:rPr>
                <w:rFonts w:ascii="Times New Roman" w:hAnsi="Times New Roman"/>
                <w:sz w:val="22"/>
                <w:szCs w:val="22"/>
              </w:rPr>
            </w:pPr>
            <w:r>
              <w:rPr>
                <w:rFonts w:ascii="Times New Roman" w:hAnsi="Times New Roman"/>
                <w:sz w:val="22"/>
                <w:szCs w:val="22"/>
              </w:rPr>
              <w:t>Отсрочка по  COVID-19</w:t>
            </w:r>
          </w:p>
        </w:tc>
        <w:tc>
          <w:tcPr>
            <w:tcW w:w="851" w:type="dxa"/>
            <w:tcBorders>
              <w:top w:val="single" w:sz="4" w:space="0" w:color="auto"/>
              <w:left w:val="single" w:sz="4" w:space="0" w:color="auto"/>
              <w:bottom w:val="single" w:sz="4" w:space="0" w:color="auto"/>
              <w:right w:val="single" w:sz="4" w:space="0" w:color="auto"/>
            </w:tcBorders>
            <w:vAlign w:val="center"/>
          </w:tcPr>
          <w:p>
            <w:pPr>
              <w:suppressAutoHyphens/>
              <w:ind w:left="-108" w:right="-108"/>
              <w:jc w:val="center"/>
              <w:rPr>
                <w:rFonts w:ascii="Times New Roman" w:hAnsi="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-2 743,50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1 595,65</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1 147,85</w:t>
            </w:r>
          </w:p>
        </w:tc>
        <w:tc>
          <w:tcPr>
            <w:tcW w:w="1048"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p>
        </w:tc>
      </w:tr>
      <w:tr>
        <w:trPr>
          <w:trHeight w:hRule="exact" w:val="984"/>
        </w:trPr>
        <w:tc>
          <w:tcPr>
            <w:tcW w:w="241" w:type="dxa"/>
            <w:tcBorders>
              <w:top w:val="nil"/>
              <w:left w:val="single" w:sz="4" w:space="0" w:color="auto"/>
              <w:bottom w:val="single" w:sz="4" w:space="0" w:color="auto"/>
              <w:right w:val="single" w:sz="4" w:space="0" w:color="auto"/>
            </w:tcBorders>
            <w:shd w:val="clear" w:color="auto" w:fill="auto"/>
            <w:noWrap/>
            <w:vAlign w:val="center"/>
          </w:tcPr>
          <w:p>
            <w:pPr>
              <w:ind w:left="-108" w:right="-108" w:hanging="97"/>
              <w:jc w:val="center"/>
              <w:rPr>
                <w:rFonts w:ascii="Times New Roman" w:hAnsi="Times New Roman"/>
                <w:sz w:val="22"/>
                <w:szCs w:val="22"/>
              </w:rPr>
            </w:pPr>
            <w:r>
              <w:rPr>
                <w:rFonts w:ascii="Times New Roman" w:hAnsi="Times New Roman"/>
                <w:sz w:val="22"/>
                <w:szCs w:val="22"/>
              </w:rPr>
              <w:t>6</w:t>
            </w:r>
          </w:p>
        </w:tc>
        <w:tc>
          <w:tcPr>
            <w:tcW w:w="2605" w:type="dxa"/>
            <w:tcBorders>
              <w:top w:val="nil"/>
              <w:left w:val="nil"/>
              <w:bottom w:val="single" w:sz="4" w:space="0" w:color="auto"/>
              <w:right w:val="single" w:sz="4" w:space="0" w:color="auto"/>
            </w:tcBorders>
            <w:shd w:val="clear" w:color="auto" w:fill="auto"/>
            <w:noWrap/>
            <w:vAlign w:val="center"/>
          </w:tcPr>
          <w:p>
            <w:r>
              <w:rPr>
                <w:sz w:val="22"/>
                <w:szCs w:val="22"/>
              </w:rPr>
              <w:t>Дополнительные поступления за счет</w:t>
            </w:r>
            <w:r>
              <w:t xml:space="preserve"> сокращения задолженности, 10%</w:t>
            </w:r>
          </w:p>
        </w:tc>
        <w:tc>
          <w:tcPr>
            <w:tcW w:w="851" w:type="dxa"/>
            <w:tcBorders>
              <w:top w:val="single" w:sz="4" w:space="0" w:color="auto"/>
              <w:left w:val="single" w:sz="4" w:space="0" w:color="auto"/>
              <w:bottom w:val="single" w:sz="4" w:space="0" w:color="auto"/>
              <w:right w:val="single" w:sz="4" w:space="0" w:color="auto"/>
            </w:tcBorders>
            <w:vAlign w:val="center"/>
          </w:tcPr>
          <w:p>
            <w:pPr>
              <w:ind w:left="-20" w:right="-108"/>
              <w:jc w:val="center"/>
            </w:pPr>
            <w:r>
              <w:t>тыс. руб.</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78,09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78,09</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100,0</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78,09</w:t>
            </w:r>
          </w:p>
        </w:tc>
        <w:tc>
          <w:tcPr>
            <w:tcW w:w="1048"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78,09</w:t>
            </w:r>
          </w:p>
        </w:tc>
      </w:tr>
      <w:tr>
        <w:trPr>
          <w:trHeight w:hRule="exact" w:val="552"/>
        </w:trPr>
        <w:tc>
          <w:tcPr>
            <w:tcW w:w="241" w:type="dxa"/>
            <w:tcBorders>
              <w:top w:val="nil"/>
              <w:left w:val="single" w:sz="4" w:space="0" w:color="auto"/>
              <w:bottom w:val="single" w:sz="4" w:space="0" w:color="auto"/>
              <w:right w:val="single" w:sz="4" w:space="0" w:color="auto"/>
            </w:tcBorders>
            <w:shd w:val="clear" w:color="auto" w:fill="auto"/>
            <w:noWrap/>
            <w:vAlign w:val="center"/>
            <w:hideMark/>
          </w:tcPr>
          <w:p>
            <w:pPr>
              <w:ind w:left="-108" w:right="-108" w:hanging="97"/>
              <w:jc w:val="center"/>
              <w:rPr>
                <w:rFonts w:ascii="Times New Roman" w:hAnsi="Times New Roman"/>
                <w:sz w:val="22"/>
                <w:szCs w:val="22"/>
              </w:rPr>
            </w:pPr>
            <w:r>
              <w:rPr>
                <w:rFonts w:ascii="Times New Roman" w:hAnsi="Times New Roman"/>
                <w:sz w:val="22"/>
                <w:szCs w:val="22"/>
              </w:rPr>
              <w:t>7</w:t>
            </w:r>
          </w:p>
        </w:tc>
        <w:tc>
          <w:tcPr>
            <w:tcW w:w="2605" w:type="dxa"/>
            <w:tcBorders>
              <w:top w:val="nil"/>
              <w:left w:val="nil"/>
              <w:bottom w:val="single" w:sz="4" w:space="0" w:color="auto"/>
              <w:right w:val="single" w:sz="4" w:space="0" w:color="auto"/>
            </w:tcBorders>
            <w:shd w:val="clear" w:color="auto" w:fill="auto"/>
            <w:noWrap/>
            <w:vAlign w:val="center"/>
            <w:hideMark/>
          </w:tcPr>
          <w:p>
            <w:pPr>
              <w:suppressAutoHyphens/>
              <w:ind w:right="43"/>
              <w:rPr>
                <w:rFonts w:ascii="Times New Roman" w:hAnsi="Times New Roman"/>
                <w:sz w:val="22"/>
                <w:szCs w:val="22"/>
              </w:rPr>
            </w:pPr>
            <w:r>
              <w:rPr>
                <w:rFonts w:ascii="Times New Roman" w:hAnsi="Times New Roman"/>
                <w:sz w:val="22"/>
                <w:szCs w:val="22"/>
              </w:rPr>
              <w:t>Сумма к поступлению в бюджет ЗАТО Северск</w:t>
            </w:r>
          </w:p>
        </w:tc>
        <w:tc>
          <w:tcPr>
            <w:tcW w:w="851" w:type="dxa"/>
            <w:tcBorders>
              <w:top w:val="single" w:sz="4" w:space="0" w:color="auto"/>
              <w:left w:val="single" w:sz="4" w:space="0" w:color="auto"/>
              <w:bottom w:val="single" w:sz="4" w:space="0" w:color="auto"/>
              <w:right w:val="single" w:sz="4" w:space="0" w:color="auto"/>
            </w:tcBorders>
            <w:vAlign w:val="center"/>
          </w:tcPr>
          <w:p>
            <w:pPr>
              <w:suppressAutoHyphens/>
              <w:ind w:left="-108" w:right="-108"/>
              <w:jc w:val="center"/>
              <w:rPr>
                <w:rFonts w:ascii="Times New Roman" w:hAnsi="Times New Roman"/>
              </w:rPr>
            </w:pPr>
            <w:r>
              <w:rPr>
                <w:rFonts w:ascii="Times New Roman" w:hAnsi="Times New Roman"/>
              </w:rPr>
              <w:t>тыс.руб.</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23 391,23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20 076,70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25 925,47</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129,1</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25 477,67</w:t>
            </w:r>
          </w:p>
        </w:tc>
        <w:tc>
          <w:tcPr>
            <w:tcW w:w="1048"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24 329,82</w:t>
            </w:r>
          </w:p>
        </w:tc>
      </w:tr>
    </w:tbl>
    <w:p>
      <w:pPr>
        <w:ind w:right="43" w:firstLine="709"/>
        <w:jc w:val="both"/>
        <w:rPr>
          <w:rFonts w:ascii="Times New Roman" w:hAnsi="Times New Roman"/>
          <w:sz w:val="24"/>
        </w:rPr>
      </w:pPr>
    </w:p>
    <w:p>
      <w:pPr>
        <w:ind w:right="43" w:firstLine="709"/>
        <w:jc w:val="center"/>
        <w:rPr>
          <w:rFonts w:ascii="Times New Roman" w:hAnsi="Times New Roman"/>
          <w:i/>
          <w:sz w:val="24"/>
        </w:rPr>
      </w:pPr>
      <w:r>
        <w:rPr>
          <w:rFonts w:ascii="Times New Roman" w:hAnsi="Times New Roman"/>
          <w:i/>
          <w:sz w:val="24"/>
        </w:rPr>
        <w:t>1.4.1.3.2. Плата за наем жилых помещений, находящихся в муниципальной собственности</w:t>
      </w:r>
    </w:p>
    <w:p>
      <w:pPr>
        <w:ind w:right="43" w:firstLine="709"/>
        <w:jc w:val="both"/>
        <w:rPr>
          <w:rFonts w:ascii="Times New Roman" w:hAnsi="Times New Roman"/>
          <w:sz w:val="24"/>
        </w:rPr>
      </w:pPr>
      <w:r>
        <w:rPr>
          <w:rFonts w:ascii="Times New Roman" w:hAnsi="Times New Roman"/>
          <w:sz w:val="24"/>
        </w:rPr>
        <w:t xml:space="preserve">Прогноз поступления доходов по плате за наем жилых помещений, находящихся </w:t>
      </w:r>
      <w:r>
        <w:rPr>
          <w:rFonts w:ascii="Times New Roman" w:hAnsi="Times New Roman"/>
          <w:sz w:val="24"/>
        </w:rPr>
        <w:br/>
        <w:t xml:space="preserve">в муниципальной собственности, выполнен согласно Методике прогнозирования на основе данных главного администратора доходов - УЖКХ ТиС с учетом динамики выбытия муниципального жилищного фонда ЗАТО Северск, сложившейся за последние 3 года. </w:t>
      </w:r>
    </w:p>
    <w:p>
      <w:pPr>
        <w:ind w:right="43" w:firstLine="709"/>
        <w:jc w:val="both"/>
        <w:rPr>
          <w:rFonts w:ascii="Times New Roman" w:hAnsi="Times New Roman"/>
          <w:sz w:val="24"/>
        </w:rPr>
      </w:pPr>
      <w:r>
        <w:rPr>
          <w:rFonts w:ascii="Times New Roman" w:hAnsi="Times New Roman"/>
          <w:sz w:val="24"/>
        </w:rPr>
        <w:t>Размер площади муниципального жилищного фонда оценивается с учетом бессрочного продления срока приватизации с ежегодным снижением в среднем на 4%.</w:t>
      </w:r>
    </w:p>
    <w:p>
      <w:pPr>
        <w:ind w:right="43" w:firstLine="709"/>
        <w:jc w:val="both"/>
        <w:rPr>
          <w:rFonts w:ascii="Times New Roman" w:hAnsi="Times New Roman"/>
          <w:sz w:val="24"/>
        </w:rPr>
      </w:pPr>
      <w:r>
        <w:rPr>
          <w:rFonts w:ascii="Times New Roman" w:hAnsi="Times New Roman"/>
          <w:sz w:val="24"/>
        </w:rPr>
        <w:t>В 2021- 2023 годах ввод социального жилья не предусмотрен.</w:t>
      </w:r>
    </w:p>
    <w:p>
      <w:pPr>
        <w:ind w:right="43" w:firstLine="709"/>
        <w:jc w:val="both"/>
        <w:rPr>
          <w:rFonts w:ascii="Times New Roman" w:hAnsi="Times New Roman"/>
          <w:sz w:val="24"/>
        </w:rPr>
      </w:pPr>
      <w:r>
        <w:rPr>
          <w:rFonts w:ascii="Times New Roman" w:hAnsi="Times New Roman"/>
          <w:sz w:val="24"/>
        </w:rPr>
        <w:lastRenderedPageBreak/>
        <w:t xml:space="preserve">При прогнозировании учитывался базовый размер платы за наем жилых помещений 49,27 руб., установленный Решением Думы ЗАТО Северск от 15.06.2017 №27/8 «О плате за пользование жилым помещением (плате за наем)». </w:t>
      </w:r>
    </w:p>
    <w:p>
      <w:pPr>
        <w:ind w:right="43" w:firstLine="709"/>
        <w:jc w:val="both"/>
        <w:rPr>
          <w:rFonts w:ascii="Times New Roman" w:hAnsi="Times New Roman"/>
          <w:sz w:val="24"/>
        </w:rPr>
      </w:pPr>
      <w:r>
        <w:rPr>
          <w:rFonts w:ascii="Times New Roman" w:hAnsi="Times New Roman"/>
          <w:sz w:val="24"/>
        </w:rPr>
        <w:t>Норматив зачисления в бюджет ЗАТО Северск составляет 100%.</w:t>
      </w:r>
    </w:p>
    <w:p>
      <w:pPr>
        <w:ind w:right="43" w:firstLine="709"/>
        <w:jc w:val="both"/>
        <w:rPr>
          <w:rFonts w:ascii="Times New Roman" w:hAnsi="Times New Roman"/>
          <w:sz w:val="24"/>
        </w:rPr>
      </w:pPr>
      <w:r>
        <w:rPr>
          <w:rFonts w:ascii="Times New Roman" w:hAnsi="Times New Roman"/>
          <w:sz w:val="24"/>
        </w:rPr>
        <w:t xml:space="preserve">Доходы от платы за наем жилых помещений, находящихся в муниципальной собственности, прогнозируются на 2021 год в сумме 7 129,40 тыс.руб., что на 82,20 тыс.руб. (на 1,1%) меньше оценки 2020 года. Поступления по статье на 2022 год прогнозируются в сумме 6 934,85 тыс.руб., на 2023 год в сумме 6 712,12 тыс.руб. </w:t>
      </w:r>
    </w:p>
    <w:p>
      <w:pPr>
        <w:ind w:right="43" w:firstLine="709"/>
        <w:jc w:val="both"/>
        <w:rPr>
          <w:rFonts w:ascii="Times New Roman" w:hAnsi="Times New Roman"/>
          <w:sz w:val="24"/>
        </w:rPr>
      </w:pPr>
      <w:r>
        <w:rPr>
          <w:rFonts w:ascii="Times New Roman" w:hAnsi="Times New Roman"/>
          <w:sz w:val="24"/>
        </w:rPr>
        <w:t xml:space="preserve">Доля поступлений в 2021-2023 годах в структуре налоговых и неналоговых доходов составит 0,6%, в общей сумме доходов бюджета ЗАТО Северск – 0,2%. </w:t>
      </w:r>
    </w:p>
    <w:p>
      <w:pPr>
        <w:spacing w:before="120"/>
        <w:ind w:right="45" w:firstLine="709"/>
        <w:jc w:val="both"/>
        <w:rPr>
          <w:rFonts w:ascii="Times New Roman" w:hAnsi="Times New Roman"/>
          <w:sz w:val="24"/>
        </w:rPr>
      </w:pPr>
      <w:r>
        <w:rPr>
          <w:rFonts w:ascii="Times New Roman" w:hAnsi="Times New Roman"/>
          <w:sz w:val="24"/>
        </w:rPr>
        <w:t xml:space="preserve">Таблица 20 - Расчет платы за наем жилых помещений, находящихся </w:t>
      </w:r>
      <w:r>
        <w:rPr>
          <w:rFonts w:ascii="Times New Roman" w:hAnsi="Times New Roman"/>
          <w:sz w:val="24"/>
        </w:rPr>
        <w:br/>
        <w:t>в муниципальной собственности</w:t>
      </w:r>
    </w:p>
    <w:tbl>
      <w:tblPr>
        <w:tblW w:w="9651" w:type="dxa"/>
        <w:tblInd w:w="97" w:type="dxa"/>
        <w:tblLayout w:type="fixed"/>
        <w:tblLook w:val="04A0" w:firstRow="1" w:lastRow="0" w:firstColumn="1" w:lastColumn="0" w:noHBand="0" w:noVBand="1"/>
      </w:tblPr>
      <w:tblGrid>
        <w:gridCol w:w="437"/>
        <w:gridCol w:w="3402"/>
        <w:gridCol w:w="1134"/>
        <w:gridCol w:w="992"/>
        <w:gridCol w:w="992"/>
        <w:gridCol w:w="709"/>
        <w:gridCol w:w="992"/>
        <w:gridCol w:w="993"/>
      </w:tblGrid>
      <w:tr>
        <w:trPr>
          <w:trHeight w:val="283"/>
        </w:trPr>
        <w:tc>
          <w:tcPr>
            <w:tcW w:w="437" w:type="dxa"/>
            <w:vMerge w:val="restart"/>
            <w:tcBorders>
              <w:top w:val="single" w:sz="4" w:space="0" w:color="auto"/>
              <w:left w:val="single" w:sz="4" w:space="0" w:color="auto"/>
              <w:right w:val="single" w:sz="4" w:space="0" w:color="auto"/>
            </w:tcBorders>
            <w:shd w:val="clear" w:color="auto" w:fill="auto"/>
            <w:vAlign w:val="center"/>
            <w:hideMark/>
          </w:tcPr>
          <w:p>
            <w:pPr>
              <w:ind w:left="-57" w:right="-57" w:firstLine="709"/>
              <w:jc w:val="center"/>
              <w:rPr>
                <w:rFonts w:ascii="Times New Roman" w:hAnsi="Times New Roman"/>
                <w:sz w:val="22"/>
                <w:szCs w:val="22"/>
              </w:rPr>
            </w:pPr>
            <w:r>
              <w:rPr>
                <w:rFonts w:ascii="Times New Roman" w:hAnsi="Times New Roman"/>
                <w:sz w:val="22"/>
                <w:szCs w:val="22"/>
              </w:rPr>
              <w:t>№№</w:t>
            </w:r>
          </w:p>
        </w:tc>
        <w:tc>
          <w:tcPr>
            <w:tcW w:w="3402" w:type="dxa"/>
            <w:vMerge w:val="restart"/>
            <w:tcBorders>
              <w:top w:val="single" w:sz="4" w:space="0" w:color="auto"/>
              <w:left w:val="nil"/>
              <w:right w:val="single" w:sz="4" w:space="0" w:color="auto"/>
            </w:tcBorders>
            <w:shd w:val="clear" w:color="auto" w:fill="auto"/>
            <w:vAlign w:val="center"/>
            <w:hideMark/>
          </w:tcPr>
          <w:p>
            <w:pPr>
              <w:ind w:left="-57" w:right="-57"/>
              <w:jc w:val="both"/>
              <w:rPr>
                <w:rFonts w:ascii="Times New Roman" w:hAnsi="Times New Roman"/>
              </w:rPr>
            </w:pPr>
            <w:r>
              <w:rPr>
                <w:rFonts w:ascii="Times New Roman" w:hAnsi="Times New Roman"/>
              </w:rPr>
              <w:t>Наименование показателей</w:t>
            </w:r>
          </w:p>
        </w:tc>
        <w:tc>
          <w:tcPr>
            <w:tcW w:w="2126" w:type="dxa"/>
            <w:gridSpan w:val="2"/>
            <w:tcBorders>
              <w:top w:val="single" w:sz="4" w:space="0" w:color="auto"/>
              <w:left w:val="single" w:sz="4" w:space="0" w:color="auto"/>
              <w:bottom w:val="single" w:sz="4" w:space="0" w:color="auto"/>
              <w:right w:val="single" w:sz="4" w:space="0" w:color="auto"/>
            </w:tcBorders>
          </w:tcPr>
          <w:p>
            <w:pPr>
              <w:ind w:left="-57" w:right="-57"/>
              <w:jc w:val="center"/>
              <w:rPr>
                <w:rFonts w:ascii="Times New Roman" w:hAnsi="Times New Roman"/>
              </w:rPr>
            </w:pPr>
            <w:r>
              <w:rPr>
                <w:rFonts w:ascii="Times New Roman" w:hAnsi="Times New Roman"/>
              </w:rPr>
              <w:t>2020 год</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2021 год</w:t>
            </w:r>
          </w:p>
        </w:tc>
        <w:tc>
          <w:tcPr>
            <w:tcW w:w="992" w:type="dxa"/>
            <w:vMerge w:val="restart"/>
            <w:tcBorders>
              <w:top w:val="single" w:sz="4" w:space="0" w:color="auto"/>
              <w:left w:val="single" w:sz="4" w:space="0" w:color="auto"/>
              <w:right w:val="single" w:sz="4" w:space="0" w:color="auto"/>
            </w:tcBorders>
            <w:vAlign w:val="center"/>
          </w:tcPr>
          <w:p>
            <w:pPr>
              <w:ind w:left="-57" w:right="-57"/>
              <w:jc w:val="center"/>
              <w:rPr>
                <w:rFonts w:ascii="Times New Roman" w:hAnsi="Times New Roman"/>
              </w:rPr>
            </w:pPr>
            <w:r>
              <w:rPr>
                <w:rFonts w:ascii="Times New Roman" w:hAnsi="Times New Roman"/>
              </w:rPr>
              <w:t>Прогноз 2022 года</w:t>
            </w:r>
          </w:p>
        </w:tc>
        <w:tc>
          <w:tcPr>
            <w:tcW w:w="993" w:type="dxa"/>
            <w:vMerge w:val="restart"/>
            <w:tcBorders>
              <w:top w:val="single" w:sz="4" w:space="0" w:color="auto"/>
              <w:left w:val="single" w:sz="4" w:space="0" w:color="auto"/>
              <w:right w:val="single" w:sz="4" w:space="0" w:color="auto"/>
            </w:tcBorders>
            <w:vAlign w:val="center"/>
          </w:tcPr>
          <w:p>
            <w:pPr>
              <w:ind w:left="-57" w:right="-57"/>
              <w:jc w:val="center"/>
              <w:rPr>
                <w:rFonts w:ascii="Times New Roman" w:hAnsi="Times New Roman"/>
              </w:rPr>
            </w:pPr>
            <w:r>
              <w:rPr>
                <w:rFonts w:ascii="Times New Roman" w:hAnsi="Times New Roman"/>
              </w:rPr>
              <w:t>Прогноз 2023 года</w:t>
            </w:r>
          </w:p>
        </w:tc>
      </w:tr>
      <w:tr>
        <w:trPr>
          <w:trHeight w:val="294"/>
        </w:trPr>
        <w:tc>
          <w:tcPr>
            <w:tcW w:w="437" w:type="dxa"/>
            <w:vMerge/>
            <w:tcBorders>
              <w:left w:val="single" w:sz="4" w:space="0" w:color="auto"/>
              <w:bottom w:val="single" w:sz="4" w:space="0" w:color="auto"/>
              <w:right w:val="single" w:sz="4" w:space="0" w:color="auto"/>
            </w:tcBorders>
            <w:shd w:val="clear" w:color="auto" w:fill="auto"/>
            <w:vAlign w:val="center"/>
            <w:hideMark/>
          </w:tcPr>
          <w:p>
            <w:pPr>
              <w:ind w:left="-57" w:right="-57" w:firstLine="709"/>
              <w:jc w:val="both"/>
              <w:rPr>
                <w:rFonts w:ascii="Times New Roman" w:hAnsi="Times New Roman"/>
                <w:sz w:val="22"/>
                <w:szCs w:val="22"/>
              </w:rPr>
            </w:pPr>
          </w:p>
        </w:tc>
        <w:tc>
          <w:tcPr>
            <w:tcW w:w="3402" w:type="dxa"/>
            <w:vMerge/>
            <w:tcBorders>
              <w:left w:val="nil"/>
              <w:bottom w:val="single" w:sz="4" w:space="0" w:color="auto"/>
              <w:right w:val="single" w:sz="4" w:space="0" w:color="auto"/>
            </w:tcBorders>
            <w:shd w:val="clear" w:color="auto" w:fill="auto"/>
            <w:vAlign w:val="center"/>
            <w:hideMark/>
          </w:tcPr>
          <w:p>
            <w:pPr>
              <w:ind w:left="-57" w:right="-57" w:firstLine="709"/>
              <w:jc w:val="both"/>
              <w:rPr>
                <w:rFonts w:ascii="Times New Roman" w:hAnsi="Times New Roman"/>
                <w:sz w:val="24"/>
              </w:rPr>
            </w:pPr>
          </w:p>
        </w:tc>
        <w:tc>
          <w:tcPr>
            <w:tcW w:w="1134" w:type="dxa"/>
            <w:tcBorders>
              <w:top w:val="single" w:sz="4" w:space="0" w:color="auto"/>
              <w:left w:val="single" w:sz="4" w:space="0" w:color="auto"/>
              <w:bottom w:val="single" w:sz="4" w:space="0" w:color="auto"/>
              <w:right w:val="single" w:sz="4" w:space="0" w:color="auto"/>
            </w:tcBorders>
            <w:vAlign w:val="center"/>
          </w:tcPr>
          <w:p>
            <w:pPr>
              <w:ind w:left="-108" w:right="-108"/>
              <w:jc w:val="center"/>
              <w:rPr>
                <w:rFonts w:ascii="Times New Roman" w:hAnsi="Times New Roman"/>
              </w:rPr>
            </w:pPr>
            <w:r>
              <w:rPr>
                <w:rFonts w:ascii="Times New Roman" w:hAnsi="Times New Roman"/>
              </w:rPr>
              <w:t>Первонач. утверждено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Оценка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Прогноз</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rPr>
            </w:pPr>
            <w:r>
              <w:rPr>
                <w:rFonts w:ascii="Times New Roman" w:hAnsi="Times New Roman"/>
              </w:rPr>
              <w:t>% к оценке 2020г.</w:t>
            </w:r>
          </w:p>
        </w:tc>
        <w:tc>
          <w:tcPr>
            <w:tcW w:w="992" w:type="dxa"/>
            <w:vMerge/>
            <w:tcBorders>
              <w:left w:val="single" w:sz="4" w:space="0" w:color="auto"/>
              <w:bottom w:val="single" w:sz="4" w:space="0" w:color="auto"/>
              <w:right w:val="single" w:sz="4" w:space="0" w:color="auto"/>
            </w:tcBorders>
          </w:tcPr>
          <w:p>
            <w:pPr>
              <w:ind w:left="-57" w:right="-57" w:firstLine="57"/>
              <w:jc w:val="center"/>
              <w:rPr>
                <w:rFonts w:ascii="Times New Roman" w:hAnsi="Times New Roman"/>
                <w:sz w:val="24"/>
              </w:rPr>
            </w:pPr>
          </w:p>
        </w:tc>
        <w:tc>
          <w:tcPr>
            <w:tcW w:w="993" w:type="dxa"/>
            <w:vMerge/>
            <w:tcBorders>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4"/>
              </w:rPr>
            </w:pPr>
          </w:p>
        </w:tc>
      </w:tr>
      <w:tr>
        <w:trPr>
          <w:trHeight w:hRule="exact" w:val="830"/>
        </w:trPr>
        <w:tc>
          <w:tcPr>
            <w:tcW w:w="437" w:type="dxa"/>
            <w:tcBorders>
              <w:top w:val="nil"/>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1</w:t>
            </w:r>
          </w:p>
        </w:tc>
        <w:tc>
          <w:tcPr>
            <w:tcW w:w="3402"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Площадь муниципального жилищного фонда на начало года, тыс.м2</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128,54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128,54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124,32</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2"/>
                <w:szCs w:val="22"/>
              </w:rPr>
            </w:pPr>
            <w:r>
              <w:rPr>
                <w:rFonts w:ascii="Times New Roman" w:hAnsi="Times New Roman"/>
                <w:sz w:val="22"/>
                <w:szCs w:val="22"/>
              </w:rPr>
              <w:t>96,4</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119,50</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115,10</w:t>
            </w:r>
          </w:p>
        </w:tc>
      </w:tr>
      <w:tr>
        <w:trPr>
          <w:trHeight w:hRule="exact" w:val="843"/>
        </w:trPr>
        <w:tc>
          <w:tcPr>
            <w:tcW w:w="437" w:type="dxa"/>
            <w:tcBorders>
              <w:top w:val="nil"/>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2</w:t>
            </w:r>
          </w:p>
        </w:tc>
        <w:tc>
          <w:tcPr>
            <w:tcW w:w="3402"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Площадь муниципального жилищного фонда на конец года, тыс.м2</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124,30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firstLine="57"/>
              <w:jc w:val="right"/>
              <w:rPr>
                <w:rFonts w:ascii="Times New Roman" w:hAnsi="Times New Roman"/>
                <w:sz w:val="22"/>
                <w:szCs w:val="22"/>
              </w:rPr>
            </w:pPr>
            <w:r>
              <w:rPr>
                <w:rFonts w:ascii="Times New Roman" w:hAnsi="Times New Roman"/>
                <w:sz w:val="22"/>
                <w:szCs w:val="22"/>
              </w:rPr>
              <w:t>124,32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firstLine="57"/>
              <w:jc w:val="right"/>
              <w:rPr>
                <w:rFonts w:ascii="Times New Roman" w:hAnsi="Times New Roman"/>
                <w:sz w:val="22"/>
                <w:szCs w:val="22"/>
              </w:rPr>
            </w:pPr>
            <w:r>
              <w:rPr>
                <w:rFonts w:ascii="Times New Roman" w:hAnsi="Times New Roman"/>
                <w:sz w:val="22"/>
                <w:szCs w:val="22"/>
              </w:rPr>
              <w:t>119,50</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2"/>
                <w:szCs w:val="22"/>
              </w:rPr>
            </w:pPr>
            <w:r>
              <w:rPr>
                <w:rFonts w:ascii="Times New Roman" w:hAnsi="Times New Roman"/>
                <w:sz w:val="22"/>
                <w:szCs w:val="22"/>
              </w:rPr>
              <w:t>96,1</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115,10</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111,10</w:t>
            </w:r>
          </w:p>
        </w:tc>
      </w:tr>
      <w:tr>
        <w:trPr>
          <w:trHeight w:hRule="exact" w:val="798"/>
        </w:trPr>
        <w:tc>
          <w:tcPr>
            <w:tcW w:w="437" w:type="dxa"/>
            <w:tcBorders>
              <w:top w:val="nil"/>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3</w:t>
            </w:r>
          </w:p>
        </w:tc>
        <w:tc>
          <w:tcPr>
            <w:tcW w:w="3402"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Среднегодовая площадь муни-ципального жилищного фонда, тыс.м2</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126,33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126,33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121,91</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2"/>
                <w:szCs w:val="22"/>
              </w:rPr>
            </w:pPr>
            <w:r>
              <w:rPr>
                <w:rFonts w:ascii="Times New Roman" w:hAnsi="Times New Roman"/>
                <w:sz w:val="22"/>
                <w:szCs w:val="22"/>
              </w:rPr>
              <w:t>96,5</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117,30</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113,10</w:t>
            </w:r>
          </w:p>
        </w:tc>
      </w:tr>
      <w:tr>
        <w:trPr>
          <w:trHeight w:hRule="exact" w:val="583"/>
        </w:trPr>
        <w:tc>
          <w:tcPr>
            <w:tcW w:w="437" w:type="dxa"/>
            <w:tcBorders>
              <w:top w:val="nil"/>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4</w:t>
            </w:r>
          </w:p>
        </w:tc>
        <w:tc>
          <w:tcPr>
            <w:tcW w:w="3402"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Базовый размер платы за наем в месяц, руб.</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49,27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49,27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49,27</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2"/>
                <w:szCs w:val="22"/>
              </w:rPr>
            </w:pPr>
            <w:r>
              <w:rPr>
                <w:rFonts w:ascii="Times New Roman" w:hAnsi="Times New Roman"/>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49,27</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49,27</w:t>
            </w:r>
          </w:p>
        </w:tc>
      </w:tr>
      <w:tr>
        <w:trPr>
          <w:trHeight w:hRule="exact" w:val="563"/>
        </w:trPr>
        <w:tc>
          <w:tcPr>
            <w:tcW w:w="437" w:type="dxa"/>
            <w:tcBorders>
              <w:top w:val="nil"/>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5</w:t>
            </w:r>
          </w:p>
        </w:tc>
        <w:tc>
          <w:tcPr>
            <w:tcW w:w="3402"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Средняя расчетная ставка платы за наем в месяц, руб.</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5,20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5,20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5,20</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2"/>
                <w:szCs w:val="22"/>
              </w:rPr>
            </w:pPr>
            <w:r>
              <w:rPr>
                <w:rFonts w:ascii="Times New Roman" w:hAnsi="Times New Roman"/>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5,20</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5,20</w:t>
            </w:r>
          </w:p>
        </w:tc>
      </w:tr>
      <w:tr>
        <w:trPr>
          <w:trHeight w:hRule="exact" w:val="567"/>
        </w:trPr>
        <w:tc>
          <w:tcPr>
            <w:tcW w:w="437" w:type="dxa"/>
            <w:tcBorders>
              <w:top w:val="nil"/>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6</w:t>
            </w:r>
          </w:p>
        </w:tc>
        <w:tc>
          <w:tcPr>
            <w:tcW w:w="3402"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Начислено платы за наем в бюджет ЗАТО Северск, тыс.руб.</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7 882,99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firstLine="57"/>
              <w:jc w:val="right"/>
              <w:rPr>
                <w:rFonts w:ascii="Times New Roman" w:hAnsi="Times New Roman"/>
                <w:sz w:val="22"/>
                <w:szCs w:val="22"/>
              </w:rPr>
            </w:pPr>
            <w:r>
              <w:rPr>
                <w:rFonts w:ascii="Times New Roman" w:hAnsi="Times New Roman"/>
                <w:sz w:val="22"/>
                <w:szCs w:val="22"/>
              </w:rPr>
              <w:t>7 882,99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firstLine="57"/>
              <w:jc w:val="right"/>
              <w:rPr>
                <w:rFonts w:ascii="Times New Roman" w:hAnsi="Times New Roman"/>
                <w:sz w:val="22"/>
                <w:szCs w:val="22"/>
              </w:rPr>
            </w:pPr>
            <w:r>
              <w:rPr>
                <w:rFonts w:ascii="Times New Roman" w:hAnsi="Times New Roman"/>
                <w:sz w:val="22"/>
                <w:szCs w:val="22"/>
              </w:rPr>
              <w:t>7 607,18</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2"/>
                <w:szCs w:val="22"/>
              </w:rPr>
            </w:pPr>
            <w:r>
              <w:rPr>
                <w:rFonts w:ascii="Times New Roman" w:hAnsi="Times New Roman"/>
                <w:sz w:val="22"/>
                <w:szCs w:val="22"/>
              </w:rPr>
              <w:t>96,5</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7 319,52</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7 057,44</w:t>
            </w:r>
          </w:p>
        </w:tc>
      </w:tr>
      <w:tr>
        <w:trPr>
          <w:trHeight w:hRule="exact" w:val="424"/>
        </w:trPr>
        <w:tc>
          <w:tcPr>
            <w:tcW w:w="437" w:type="dxa"/>
            <w:tcBorders>
              <w:top w:val="nil"/>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7</w:t>
            </w:r>
          </w:p>
        </w:tc>
        <w:tc>
          <w:tcPr>
            <w:tcW w:w="3402"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Уровень собираемости платежа, %</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85</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2"/>
                <w:szCs w:val="22"/>
              </w:rPr>
            </w:pPr>
            <w:r>
              <w:rPr>
                <w:rFonts w:ascii="Times New Roman" w:hAnsi="Times New Roman"/>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85</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85</w:t>
            </w:r>
          </w:p>
        </w:tc>
      </w:tr>
      <w:tr>
        <w:trPr>
          <w:trHeight w:hRule="exact" w:val="1068"/>
        </w:trPr>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8</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Дополнительные поступления в бюджет ЗАТО Северск за счет сокращения задолженности (10%), тыс.руб.</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560,94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560,94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firstLine="57"/>
              <w:jc w:val="right"/>
              <w:rPr>
                <w:rFonts w:ascii="Times New Roman" w:hAnsi="Times New Roman"/>
                <w:sz w:val="22"/>
                <w:szCs w:val="22"/>
              </w:rPr>
            </w:pPr>
            <w:r>
              <w:rPr>
                <w:rFonts w:ascii="Times New Roman" w:hAnsi="Times New Roman"/>
                <w:sz w:val="22"/>
                <w:szCs w:val="22"/>
              </w:rPr>
              <w:t>713,30</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108" w:hanging="51"/>
              <w:jc w:val="center"/>
              <w:rPr>
                <w:rFonts w:ascii="Times New Roman" w:hAnsi="Times New Roman"/>
                <w:sz w:val="22"/>
                <w:szCs w:val="22"/>
              </w:rPr>
            </w:pPr>
            <w:r>
              <w:rPr>
                <w:rFonts w:ascii="Times New Roman" w:hAnsi="Times New Roman"/>
                <w:sz w:val="22"/>
                <w:szCs w:val="22"/>
              </w:rPr>
              <w:t>152,36</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713,30</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713,30</w:t>
            </w:r>
          </w:p>
        </w:tc>
      </w:tr>
      <w:tr>
        <w:trPr>
          <w:trHeight w:hRule="exact" w:val="569"/>
        </w:trPr>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9</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Сумма к поступлению в бюджет ЗАТО Северск, тыс.руб.</w:t>
            </w:r>
          </w:p>
        </w:tc>
        <w:tc>
          <w:tcPr>
            <w:tcW w:w="1134"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7 261,60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firstLine="57"/>
              <w:jc w:val="right"/>
              <w:rPr>
                <w:rFonts w:ascii="Times New Roman" w:hAnsi="Times New Roman"/>
                <w:sz w:val="22"/>
                <w:szCs w:val="22"/>
              </w:rPr>
            </w:pPr>
            <w:r>
              <w:rPr>
                <w:rFonts w:ascii="Times New Roman" w:hAnsi="Times New Roman"/>
                <w:sz w:val="22"/>
                <w:szCs w:val="22"/>
              </w:rPr>
              <w:t>7 261,60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firstLine="57"/>
              <w:jc w:val="right"/>
              <w:rPr>
                <w:rFonts w:ascii="Times New Roman" w:hAnsi="Times New Roman"/>
                <w:sz w:val="22"/>
                <w:szCs w:val="22"/>
              </w:rPr>
            </w:pPr>
            <w:r>
              <w:rPr>
                <w:rFonts w:ascii="Times New Roman" w:hAnsi="Times New Roman"/>
                <w:sz w:val="22"/>
                <w:szCs w:val="22"/>
              </w:rPr>
              <w:t>7 179,40</w:t>
            </w:r>
          </w:p>
        </w:tc>
        <w:tc>
          <w:tcPr>
            <w:tcW w:w="709" w:type="dxa"/>
            <w:tcBorders>
              <w:top w:val="single" w:sz="4" w:space="0" w:color="auto"/>
              <w:left w:val="single" w:sz="4" w:space="0" w:color="auto"/>
              <w:bottom w:val="single" w:sz="4" w:space="0" w:color="auto"/>
              <w:right w:val="single" w:sz="4" w:space="0" w:color="auto"/>
            </w:tcBorders>
            <w:vAlign w:val="center"/>
          </w:tcPr>
          <w:p>
            <w:pPr>
              <w:ind w:left="-57" w:right="-57" w:firstLine="57"/>
              <w:jc w:val="center"/>
              <w:rPr>
                <w:rFonts w:ascii="Times New Roman" w:hAnsi="Times New Roman"/>
                <w:sz w:val="22"/>
                <w:szCs w:val="22"/>
              </w:rPr>
            </w:pPr>
            <w:r>
              <w:rPr>
                <w:rFonts w:ascii="Times New Roman" w:hAnsi="Times New Roman"/>
                <w:sz w:val="22"/>
                <w:szCs w:val="22"/>
              </w:rPr>
              <w:t>98,9</w:t>
            </w:r>
          </w:p>
        </w:tc>
        <w:tc>
          <w:tcPr>
            <w:tcW w:w="992"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6 934,85</w:t>
            </w:r>
          </w:p>
        </w:tc>
        <w:tc>
          <w:tcPr>
            <w:tcW w:w="993" w:type="dxa"/>
            <w:tcBorders>
              <w:top w:val="single" w:sz="4" w:space="0" w:color="auto"/>
              <w:left w:val="single" w:sz="4" w:space="0" w:color="auto"/>
              <w:bottom w:val="single" w:sz="4" w:space="0" w:color="auto"/>
              <w:right w:val="single" w:sz="4" w:space="0" w:color="auto"/>
            </w:tcBorders>
            <w:vAlign w:val="center"/>
          </w:tcPr>
          <w:p>
            <w:pPr>
              <w:ind w:left="-57" w:right="-57" w:firstLine="57"/>
              <w:jc w:val="right"/>
              <w:rPr>
                <w:rFonts w:ascii="Times New Roman" w:hAnsi="Times New Roman"/>
                <w:sz w:val="22"/>
                <w:szCs w:val="22"/>
              </w:rPr>
            </w:pPr>
            <w:r>
              <w:rPr>
                <w:rFonts w:ascii="Times New Roman" w:hAnsi="Times New Roman"/>
                <w:sz w:val="22"/>
                <w:szCs w:val="22"/>
              </w:rPr>
              <w:t>6 712,12</w:t>
            </w:r>
          </w:p>
        </w:tc>
      </w:tr>
    </w:tbl>
    <w:p>
      <w:pPr>
        <w:ind w:right="43" w:firstLine="709"/>
        <w:jc w:val="both"/>
        <w:rPr>
          <w:rFonts w:ascii="Times New Roman" w:hAnsi="Times New Roman"/>
          <w:sz w:val="24"/>
        </w:rPr>
      </w:pPr>
    </w:p>
    <w:p>
      <w:pPr>
        <w:ind w:right="43" w:firstLine="709"/>
        <w:jc w:val="center"/>
        <w:rPr>
          <w:rFonts w:ascii="Times New Roman" w:hAnsi="Times New Roman"/>
          <w:i/>
          <w:sz w:val="24"/>
        </w:rPr>
      </w:pPr>
      <w:r>
        <w:rPr>
          <w:rFonts w:ascii="Times New Roman" w:hAnsi="Times New Roman"/>
          <w:i/>
          <w:sz w:val="24"/>
        </w:rPr>
        <w:t>1.4.1.3.3. Аренда сетей инженерно-технического обеспечения</w:t>
      </w:r>
    </w:p>
    <w:p>
      <w:pPr>
        <w:ind w:right="43" w:firstLine="709"/>
        <w:jc w:val="both"/>
        <w:rPr>
          <w:rFonts w:ascii="Times New Roman" w:hAnsi="Times New Roman"/>
          <w:sz w:val="24"/>
        </w:rPr>
      </w:pPr>
      <w:r>
        <w:rPr>
          <w:rFonts w:ascii="Times New Roman" w:hAnsi="Times New Roman"/>
          <w:sz w:val="24"/>
        </w:rPr>
        <w:t xml:space="preserve"> Аренда сетей инженерно-технического обеспечения рассчитана в соответствии </w:t>
      </w:r>
      <w:r>
        <w:rPr>
          <w:rFonts w:ascii="Times New Roman" w:hAnsi="Times New Roman"/>
          <w:sz w:val="24"/>
        </w:rPr>
        <w:br/>
        <w:t>с установленной Решением Думы ЗАТО Северск от 28.09.2017 № 30/4 (с изменениями от 29.08.2019 № 54/9) методикой расчета арендной платы за пользование муниципальным имуществом, находящимся в муниципальной собственности ЗАТО Северск, и включает в себя годовую сумму амортизации арендованного имущества предприятий ЖКХ.</w:t>
      </w:r>
    </w:p>
    <w:p>
      <w:pPr>
        <w:ind w:right="43" w:firstLine="709"/>
        <w:jc w:val="both"/>
        <w:rPr>
          <w:rFonts w:ascii="Times New Roman" w:hAnsi="Times New Roman"/>
          <w:sz w:val="24"/>
        </w:rPr>
      </w:pPr>
      <w:r>
        <w:rPr>
          <w:rFonts w:ascii="Times New Roman" w:hAnsi="Times New Roman"/>
          <w:sz w:val="24"/>
        </w:rPr>
        <w:t>Норматив зачисления доходов от аренды сетей инженерно-технического обеспечения в бюджет ЗАТО Северск составляет 100%.</w:t>
      </w:r>
    </w:p>
    <w:p>
      <w:pPr>
        <w:ind w:right="43" w:firstLine="709"/>
        <w:jc w:val="both"/>
        <w:rPr>
          <w:rFonts w:ascii="Times New Roman" w:hAnsi="Times New Roman"/>
          <w:sz w:val="24"/>
        </w:rPr>
      </w:pPr>
      <w:r>
        <w:rPr>
          <w:rFonts w:ascii="Times New Roman" w:hAnsi="Times New Roman"/>
          <w:sz w:val="24"/>
        </w:rPr>
        <w:t xml:space="preserve">Доходы от сдачи в аренду сетей инженерно-технического обеспечения на 2021 год прогнозируется в сумме 1 300,07 тыс.руб., что на 29,68 тыс.руб. (на 2,3%) больше оценки 2020 года.  </w:t>
      </w:r>
    </w:p>
    <w:p>
      <w:pPr>
        <w:ind w:right="43" w:firstLine="709"/>
        <w:jc w:val="both"/>
        <w:rPr>
          <w:rFonts w:ascii="Times New Roman" w:hAnsi="Times New Roman"/>
          <w:sz w:val="24"/>
        </w:rPr>
      </w:pPr>
      <w:r>
        <w:rPr>
          <w:rFonts w:ascii="Times New Roman" w:hAnsi="Times New Roman"/>
          <w:sz w:val="24"/>
        </w:rPr>
        <w:t>Поступления по статье на 2022 и 2023 годы прогнозируются в сумме                            1 247,85 тыс.руб. и 575,37 тыс.руб. соответственно.</w:t>
      </w:r>
    </w:p>
    <w:p>
      <w:pPr>
        <w:ind w:right="43" w:firstLine="709"/>
        <w:jc w:val="both"/>
        <w:rPr>
          <w:rFonts w:ascii="Times New Roman" w:hAnsi="Times New Roman"/>
          <w:sz w:val="24"/>
        </w:rPr>
      </w:pPr>
      <w:r>
        <w:rPr>
          <w:rFonts w:ascii="Times New Roman" w:hAnsi="Times New Roman"/>
          <w:sz w:val="24"/>
        </w:rPr>
        <w:t xml:space="preserve">Доля поступлений в 2021 году в структуре налоговых и неналоговых доходов составит 0,1%, в общей сумме доходов бюджета ЗАТО Северск – 0,03%. В 2022 - 2023 </w:t>
      </w:r>
      <w:r>
        <w:rPr>
          <w:rFonts w:ascii="Times New Roman" w:hAnsi="Times New Roman"/>
          <w:sz w:val="24"/>
        </w:rPr>
        <w:lastRenderedPageBreak/>
        <w:t>годах доля в структуре налоговых и неналоговых доходов составит по 0,1%, в общей сумме доходов бюджета ЗАТО Северск 0,03% и 0,02% соответственно.</w:t>
      </w:r>
    </w:p>
    <w:p>
      <w:pPr>
        <w:ind w:right="43" w:firstLine="709"/>
        <w:jc w:val="both"/>
        <w:rPr>
          <w:rFonts w:ascii="Times New Roman" w:hAnsi="Times New Roman"/>
          <w:sz w:val="24"/>
        </w:rPr>
      </w:pPr>
      <w:r>
        <w:rPr>
          <w:rFonts w:ascii="Times New Roman" w:hAnsi="Times New Roman"/>
          <w:sz w:val="24"/>
        </w:rPr>
        <w:t xml:space="preserve">Арендные платежи по АО «СВК» с 2023 года не учтены в прогнозе в связи с переходом имущества в концессию. </w:t>
      </w:r>
    </w:p>
    <w:p>
      <w:pPr>
        <w:spacing w:before="120"/>
        <w:ind w:left="-57" w:right="-57" w:firstLine="765"/>
        <w:jc w:val="both"/>
        <w:rPr>
          <w:rFonts w:ascii="Times New Roman" w:hAnsi="Times New Roman"/>
          <w:sz w:val="22"/>
          <w:szCs w:val="22"/>
        </w:rPr>
      </w:pPr>
      <w:r>
        <w:rPr>
          <w:rFonts w:ascii="Times New Roman" w:hAnsi="Times New Roman"/>
          <w:sz w:val="24"/>
        </w:rPr>
        <w:t xml:space="preserve">Таблица 21 - Поступления доходов от аренды сетей инженерно-технического обеспечения </w:t>
      </w:r>
    </w:p>
    <w:tbl>
      <w:tblPr>
        <w:tblW w:w="9363" w:type="dxa"/>
        <w:jc w:val="center"/>
        <w:tblLayout w:type="fixed"/>
        <w:tblLook w:val="04A0" w:firstRow="1" w:lastRow="0" w:firstColumn="1" w:lastColumn="0" w:noHBand="0" w:noVBand="1"/>
      </w:tblPr>
      <w:tblGrid>
        <w:gridCol w:w="437"/>
        <w:gridCol w:w="2551"/>
        <w:gridCol w:w="1276"/>
        <w:gridCol w:w="1134"/>
        <w:gridCol w:w="993"/>
        <w:gridCol w:w="708"/>
        <w:gridCol w:w="1127"/>
        <w:gridCol w:w="1137"/>
      </w:tblGrid>
      <w:tr>
        <w:trPr>
          <w:trHeight w:val="283"/>
          <w:jc w:val="center"/>
        </w:trPr>
        <w:tc>
          <w:tcPr>
            <w:tcW w:w="437" w:type="dxa"/>
            <w:vMerge w:val="restart"/>
            <w:tcBorders>
              <w:top w:val="single" w:sz="4" w:space="0" w:color="auto"/>
              <w:left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r>
              <w:rPr>
                <w:rFonts w:ascii="Times New Roman" w:hAnsi="Times New Roman"/>
                <w:sz w:val="22"/>
                <w:szCs w:val="22"/>
              </w:rPr>
              <w:t>№</w:t>
            </w:r>
          </w:p>
        </w:tc>
        <w:tc>
          <w:tcPr>
            <w:tcW w:w="2551" w:type="dxa"/>
            <w:vMerge w:val="restart"/>
            <w:tcBorders>
              <w:top w:val="single" w:sz="4" w:space="0" w:color="auto"/>
              <w:left w:val="nil"/>
              <w:right w:val="single" w:sz="4" w:space="0" w:color="auto"/>
            </w:tcBorders>
            <w:shd w:val="clear" w:color="auto" w:fill="auto"/>
            <w:vAlign w:val="center"/>
            <w:hideMark/>
          </w:tcPr>
          <w:p>
            <w:pPr>
              <w:ind w:left="-57" w:right="-57"/>
              <w:rPr>
                <w:rFonts w:ascii="Times New Roman" w:hAnsi="Times New Roman"/>
                <w:sz w:val="22"/>
                <w:szCs w:val="22"/>
              </w:rPr>
            </w:pPr>
            <w:r>
              <w:rPr>
                <w:rFonts w:ascii="Times New Roman" w:hAnsi="Times New Roman"/>
                <w:sz w:val="22"/>
                <w:szCs w:val="22"/>
              </w:rPr>
              <w:t>Наименование организации</w:t>
            </w:r>
          </w:p>
        </w:tc>
        <w:tc>
          <w:tcPr>
            <w:tcW w:w="2410" w:type="dxa"/>
            <w:gridSpan w:val="2"/>
            <w:tcBorders>
              <w:top w:val="single" w:sz="4" w:space="0" w:color="auto"/>
              <w:left w:val="single" w:sz="4" w:space="0" w:color="auto"/>
              <w:bottom w:val="single" w:sz="4" w:space="0" w:color="auto"/>
              <w:right w:val="single" w:sz="4" w:space="0" w:color="auto"/>
            </w:tcBorders>
          </w:tcPr>
          <w:p>
            <w:pPr>
              <w:ind w:left="-57" w:right="-57"/>
              <w:jc w:val="center"/>
              <w:rPr>
                <w:rFonts w:ascii="Times New Roman" w:hAnsi="Times New Roman"/>
                <w:sz w:val="22"/>
                <w:szCs w:val="22"/>
              </w:rPr>
            </w:pPr>
            <w:r>
              <w:rPr>
                <w:rFonts w:ascii="Times New Roman" w:hAnsi="Times New Roman"/>
                <w:sz w:val="22"/>
                <w:szCs w:val="22"/>
              </w:rPr>
              <w:t>2020 год, тыс.руб.</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sz w:val="22"/>
                <w:szCs w:val="22"/>
              </w:rPr>
            </w:pPr>
            <w:r>
              <w:rPr>
                <w:rFonts w:ascii="Times New Roman" w:hAnsi="Times New Roman"/>
                <w:sz w:val="22"/>
                <w:szCs w:val="22"/>
              </w:rPr>
              <w:t>2021 год</w:t>
            </w:r>
          </w:p>
        </w:tc>
        <w:tc>
          <w:tcPr>
            <w:tcW w:w="1127" w:type="dxa"/>
            <w:vMerge w:val="restart"/>
            <w:tcBorders>
              <w:top w:val="single" w:sz="4" w:space="0" w:color="auto"/>
              <w:left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Прогноз 2022 года, тыс.руб.</w:t>
            </w:r>
          </w:p>
        </w:tc>
        <w:tc>
          <w:tcPr>
            <w:tcW w:w="1137" w:type="dxa"/>
            <w:vMerge w:val="restart"/>
            <w:tcBorders>
              <w:top w:val="single" w:sz="4" w:space="0" w:color="auto"/>
              <w:left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Прогноз 2023 года, тыс.руб.</w:t>
            </w:r>
          </w:p>
        </w:tc>
      </w:tr>
      <w:tr>
        <w:trPr>
          <w:trHeight w:val="270"/>
          <w:jc w:val="center"/>
        </w:trPr>
        <w:tc>
          <w:tcPr>
            <w:tcW w:w="437" w:type="dxa"/>
            <w:vMerge/>
            <w:tcBorders>
              <w:left w:val="single" w:sz="4" w:space="0" w:color="auto"/>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p>
        </w:tc>
        <w:tc>
          <w:tcPr>
            <w:tcW w:w="2551" w:type="dxa"/>
            <w:vMerge/>
            <w:tcBorders>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pPr>
              <w:ind w:left="-57" w:right="-57"/>
              <w:jc w:val="center"/>
              <w:rPr>
                <w:rFonts w:ascii="Times New Roman" w:hAnsi="Times New Roman"/>
                <w:sz w:val="22"/>
                <w:szCs w:val="22"/>
              </w:rPr>
            </w:pPr>
            <w:r>
              <w:rPr>
                <w:rFonts w:ascii="Times New Roman" w:hAnsi="Times New Roman"/>
                <w:sz w:val="22"/>
                <w:szCs w:val="22"/>
              </w:rPr>
              <w:t>Первонач. утверждено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sz w:val="22"/>
                <w:szCs w:val="22"/>
              </w:rPr>
            </w:pPr>
            <w:r>
              <w:rPr>
                <w:rFonts w:ascii="Times New Roman" w:hAnsi="Times New Roman"/>
                <w:sz w:val="22"/>
                <w:szCs w:val="22"/>
              </w:rPr>
              <w:t>Оценка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sz w:val="22"/>
                <w:szCs w:val="22"/>
              </w:rPr>
            </w:pPr>
            <w:r>
              <w:rPr>
                <w:rFonts w:ascii="Times New Roman" w:hAnsi="Times New Roman"/>
                <w:sz w:val="22"/>
                <w:szCs w:val="22"/>
              </w:rPr>
              <w:t>Прогноз, тыс.руб.</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w:t>
            </w:r>
          </w:p>
        </w:tc>
        <w:tc>
          <w:tcPr>
            <w:tcW w:w="1127" w:type="dxa"/>
            <w:vMerge/>
            <w:tcBorders>
              <w:left w:val="single" w:sz="4" w:space="0" w:color="auto"/>
              <w:bottom w:val="single" w:sz="4" w:space="0" w:color="auto"/>
              <w:right w:val="single" w:sz="4" w:space="0" w:color="auto"/>
            </w:tcBorders>
          </w:tcPr>
          <w:p>
            <w:pPr>
              <w:ind w:left="-57" w:right="-57"/>
              <w:rPr>
                <w:rFonts w:ascii="Times New Roman" w:hAnsi="Times New Roman"/>
                <w:sz w:val="22"/>
                <w:szCs w:val="22"/>
              </w:rPr>
            </w:pPr>
          </w:p>
        </w:tc>
        <w:tc>
          <w:tcPr>
            <w:tcW w:w="1137" w:type="dxa"/>
            <w:vMerge/>
            <w:tcBorders>
              <w:left w:val="single" w:sz="4" w:space="0" w:color="auto"/>
              <w:bottom w:val="single" w:sz="4" w:space="0" w:color="auto"/>
              <w:right w:val="single" w:sz="4" w:space="0" w:color="auto"/>
            </w:tcBorders>
            <w:vAlign w:val="center"/>
          </w:tcPr>
          <w:p>
            <w:pPr>
              <w:ind w:left="-57" w:right="-57"/>
              <w:rPr>
                <w:rFonts w:ascii="Times New Roman" w:hAnsi="Times New Roman"/>
                <w:sz w:val="22"/>
                <w:szCs w:val="22"/>
              </w:rPr>
            </w:pPr>
          </w:p>
        </w:tc>
      </w:tr>
      <w:tr>
        <w:trPr>
          <w:trHeight w:hRule="exact" w:val="589"/>
          <w:jc w:val="center"/>
        </w:trPr>
        <w:tc>
          <w:tcPr>
            <w:tcW w:w="437"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sz w:val="22"/>
                <w:szCs w:val="22"/>
              </w:rPr>
            </w:pPr>
            <w:r>
              <w:rPr>
                <w:rFonts w:ascii="Times New Roman" w:hAnsi="Times New Roman"/>
                <w:sz w:val="22"/>
                <w:szCs w:val="22"/>
              </w:rPr>
              <w:t>1</w:t>
            </w:r>
          </w:p>
        </w:tc>
        <w:tc>
          <w:tcPr>
            <w:tcW w:w="2551"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АО «Северский водоканал»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672,44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672,48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672,48</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100,0</w:t>
            </w:r>
          </w:p>
        </w:tc>
        <w:tc>
          <w:tcPr>
            <w:tcW w:w="112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672,48</w:t>
            </w:r>
          </w:p>
        </w:tc>
        <w:tc>
          <w:tcPr>
            <w:tcW w:w="113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w:t>
            </w:r>
          </w:p>
        </w:tc>
      </w:tr>
      <w:tr>
        <w:trPr>
          <w:trHeight w:hRule="exact" w:val="397"/>
          <w:jc w:val="center"/>
        </w:trPr>
        <w:tc>
          <w:tcPr>
            <w:tcW w:w="437"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sz w:val="22"/>
                <w:szCs w:val="22"/>
              </w:rPr>
            </w:pPr>
            <w:r>
              <w:rPr>
                <w:rFonts w:ascii="Times New Roman" w:hAnsi="Times New Roman"/>
                <w:sz w:val="22"/>
                <w:szCs w:val="22"/>
              </w:rPr>
              <w:t>2</w:t>
            </w:r>
          </w:p>
        </w:tc>
        <w:tc>
          <w:tcPr>
            <w:tcW w:w="2551"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ООО «ВКХ Самусь»</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24,89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27,15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27,15</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100,0</w:t>
            </w:r>
          </w:p>
        </w:tc>
        <w:tc>
          <w:tcPr>
            <w:tcW w:w="112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113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w:t>
            </w:r>
          </w:p>
        </w:tc>
      </w:tr>
      <w:tr>
        <w:trPr>
          <w:trHeight w:hRule="exact" w:val="549"/>
          <w:jc w:val="center"/>
        </w:trPr>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sz w:val="22"/>
                <w:szCs w:val="22"/>
              </w:rPr>
            </w:pPr>
            <w:r>
              <w:rPr>
                <w:rFonts w:ascii="Times New Roman" w:hAnsi="Times New Roman"/>
                <w:sz w:val="22"/>
                <w:szCs w:val="22"/>
              </w:rPr>
              <w:t>3</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ООО «Газпром газораспределение Томск</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1,35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1,35</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100,0</w:t>
            </w:r>
          </w:p>
        </w:tc>
        <w:tc>
          <w:tcPr>
            <w:tcW w:w="112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1,35</w:t>
            </w:r>
          </w:p>
        </w:tc>
        <w:tc>
          <w:tcPr>
            <w:tcW w:w="113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1,35</w:t>
            </w:r>
          </w:p>
        </w:tc>
      </w:tr>
      <w:tr>
        <w:trPr>
          <w:trHeight w:hRule="exact" w:val="397"/>
          <w:jc w:val="center"/>
        </w:trPr>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sz w:val="22"/>
                <w:szCs w:val="22"/>
              </w:rPr>
            </w:pPr>
            <w:r>
              <w:rPr>
                <w:rFonts w:ascii="Times New Roman" w:hAnsi="Times New Roman"/>
                <w:sz w:val="22"/>
                <w:szCs w:val="22"/>
              </w:rPr>
              <w:t>4</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ООО «Тепло плюс»</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25,07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25,07</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100,0</w:t>
            </w:r>
          </w:p>
        </w:tc>
        <w:tc>
          <w:tcPr>
            <w:tcW w:w="112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113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w:t>
            </w:r>
          </w:p>
        </w:tc>
      </w:tr>
      <w:tr>
        <w:trPr>
          <w:trHeight w:hRule="exact" w:val="397"/>
          <w:jc w:val="center"/>
        </w:trPr>
        <w:tc>
          <w:tcPr>
            <w:tcW w:w="437" w:type="dxa"/>
            <w:tcBorders>
              <w:top w:val="nil"/>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5</w:t>
            </w:r>
          </w:p>
        </w:tc>
        <w:tc>
          <w:tcPr>
            <w:tcW w:w="2551" w:type="dxa"/>
            <w:tcBorders>
              <w:top w:val="nil"/>
              <w:left w:val="nil"/>
              <w:bottom w:val="single" w:sz="4" w:space="0" w:color="auto"/>
              <w:right w:val="single" w:sz="4" w:space="0" w:color="auto"/>
            </w:tcBorders>
            <w:shd w:val="clear" w:color="auto" w:fill="auto"/>
            <w:noWrap/>
            <w:vAlign w:val="center"/>
          </w:tcPr>
          <w:p>
            <w:pPr>
              <w:ind w:left="-57" w:right="-57"/>
              <w:rPr>
                <w:rFonts w:ascii="Times New Roman" w:hAnsi="Times New Roman"/>
                <w:sz w:val="22"/>
                <w:szCs w:val="22"/>
              </w:rPr>
            </w:pPr>
            <w:r>
              <w:rPr>
                <w:rFonts w:ascii="Times New Roman" w:hAnsi="Times New Roman"/>
                <w:sz w:val="22"/>
                <w:szCs w:val="22"/>
              </w:rPr>
              <w:t>ООО «Радио Северска»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75,80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82,68</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109,1</w:t>
            </w:r>
          </w:p>
        </w:tc>
        <w:tc>
          <w:tcPr>
            <w:tcW w:w="112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82,68</w:t>
            </w:r>
          </w:p>
        </w:tc>
        <w:tc>
          <w:tcPr>
            <w:tcW w:w="113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82,68</w:t>
            </w:r>
          </w:p>
        </w:tc>
      </w:tr>
      <w:tr>
        <w:trPr>
          <w:trHeight w:hRule="exact" w:val="397"/>
          <w:jc w:val="center"/>
        </w:trPr>
        <w:tc>
          <w:tcPr>
            <w:tcW w:w="437" w:type="dxa"/>
            <w:tcBorders>
              <w:top w:val="nil"/>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sz w:val="22"/>
                <w:szCs w:val="22"/>
              </w:rPr>
            </w:pPr>
            <w:r>
              <w:rPr>
                <w:rFonts w:ascii="Times New Roman" w:hAnsi="Times New Roman"/>
                <w:sz w:val="22"/>
                <w:szCs w:val="22"/>
              </w:rPr>
              <w:t>6</w:t>
            </w:r>
          </w:p>
        </w:tc>
        <w:tc>
          <w:tcPr>
            <w:tcW w:w="2551" w:type="dxa"/>
            <w:tcBorders>
              <w:top w:val="nil"/>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ООО «СЭЛС»</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447,47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466,36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489,16</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104,9</w:t>
            </w:r>
          </w:p>
        </w:tc>
        <w:tc>
          <w:tcPr>
            <w:tcW w:w="112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489,16</w:t>
            </w:r>
          </w:p>
        </w:tc>
        <w:tc>
          <w:tcPr>
            <w:tcW w:w="113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489,16</w:t>
            </w:r>
          </w:p>
        </w:tc>
      </w:tr>
      <w:tr>
        <w:trPr>
          <w:trHeight w:hRule="exact" w:val="397"/>
          <w:jc w:val="center"/>
        </w:trPr>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center"/>
              <w:rPr>
                <w:rFonts w:ascii="Times New Roman" w:hAnsi="Times New Roman"/>
                <w:sz w:val="22"/>
                <w:szCs w:val="22"/>
              </w:rPr>
            </w:pPr>
            <w:r>
              <w:rPr>
                <w:rFonts w:ascii="Times New Roman" w:hAnsi="Times New Roman"/>
                <w:sz w:val="22"/>
                <w:szCs w:val="22"/>
              </w:rPr>
              <w:t>7</w:t>
            </w:r>
          </w:p>
        </w:tc>
        <w:tc>
          <w:tcPr>
            <w:tcW w:w="2551" w:type="dxa"/>
            <w:tcBorders>
              <w:top w:val="single" w:sz="4" w:space="0" w:color="auto"/>
              <w:left w:val="nil"/>
              <w:bottom w:val="single" w:sz="4" w:space="0" w:color="auto"/>
              <w:right w:val="single" w:sz="4" w:space="0" w:color="auto"/>
            </w:tcBorders>
            <w:shd w:val="clear" w:color="auto" w:fill="auto"/>
            <w:noWrap/>
            <w:vAlign w:val="center"/>
          </w:tcPr>
          <w:p>
            <w:pPr>
              <w:ind w:left="-57" w:right="-57"/>
              <w:rPr>
                <w:rFonts w:ascii="Times New Roman" w:hAnsi="Times New Roman"/>
                <w:sz w:val="22"/>
                <w:szCs w:val="22"/>
              </w:rPr>
            </w:pPr>
            <w:r>
              <w:rPr>
                <w:rFonts w:ascii="Times New Roman" w:hAnsi="Times New Roman"/>
                <w:sz w:val="22"/>
                <w:szCs w:val="22"/>
              </w:rPr>
              <w:t>ООО «Уют Орловка»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2,18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2,18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right"/>
              <w:rPr>
                <w:rFonts w:ascii="Times New Roman" w:hAnsi="Times New Roman"/>
                <w:sz w:val="22"/>
                <w:szCs w:val="22"/>
              </w:rPr>
            </w:pPr>
            <w:r>
              <w:rPr>
                <w:rFonts w:ascii="Times New Roman" w:hAnsi="Times New Roman"/>
                <w:sz w:val="22"/>
                <w:szCs w:val="22"/>
              </w:rPr>
              <w:t>2,18</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100,0</w:t>
            </w:r>
          </w:p>
        </w:tc>
        <w:tc>
          <w:tcPr>
            <w:tcW w:w="112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2,18</w:t>
            </w:r>
          </w:p>
        </w:tc>
        <w:tc>
          <w:tcPr>
            <w:tcW w:w="113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2,18</w:t>
            </w:r>
          </w:p>
        </w:tc>
      </w:tr>
      <w:tr>
        <w:trPr>
          <w:trHeight w:hRule="exact" w:val="397"/>
          <w:jc w:val="center"/>
        </w:trPr>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sz w:val="22"/>
                <w:szCs w:val="22"/>
              </w:rPr>
            </w:pPr>
            <w:r>
              <w:rPr>
                <w:rFonts w:ascii="Times New Roman" w:hAnsi="Times New Roman"/>
                <w:sz w:val="22"/>
                <w:szCs w:val="22"/>
              </w:rPr>
              <w:t>8</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rPr>
                <w:rFonts w:ascii="Times New Roman" w:hAnsi="Times New Roman"/>
                <w:sz w:val="22"/>
                <w:szCs w:val="22"/>
              </w:rPr>
            </w:pPr>
            <w:r>
              <w:rPr>
                <w:rFonts w:ascii="Times New Roman" w:hAnsi="Times New Roman"/>
                <w:sz w:val="22"/>
                <w:szCs w:val="22"/>
              </w:rPr>
              <w:t>Итого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rFonts w:ascii="Times New Roman" w:hAnsi="Times New Roman"/>
                <w:sz w:val="22"/>
                <w:szCs w:val="22"/>
              </w:rPr>
            </w:pPr>
            <w:r>
              <w:rPr>
                <w:rFonts w:ascii="Times New Roman" w:hAnsi="Times New Roman"/>
                <w:sz w:val="22"/>
                <w:szCs w:val="22"/>
              </w:rPr>
              <w:t>1 148,33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1 270,39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right"/>
              <w:rPr>
                <w:rFonts w:ascii="Times New Roman" w:hAnsi="Times New Roman"/>
                <w:sz w:val="22"/>
                <w:szCs w:val="22"/>
              </w:rPr>
            </w:pPr>
            <w:r>
              <w:rPr>
                <w:rFonts w:ascii="Times New Roman" w:hAnsi="Times New Roman"/>
                <w:sz w:val="22"/>
                <w:szCs w:val="22"/>
              </w:rPr>
              <w:t>1 300,07</w:t>
            </w:r>
          </w:p>
        </w:tc>
        <w:tc>
          <w:tcPr>
            <w:tcW w:w="708"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102,3</w:t>
            </w:r>
          </w:p>
        </w:tc>
        <w:tc>
          <w:tcPr>
            <w:tcW w:w="112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1 247,85</w:t>
            </w:r>
          </w:p>
        </w:tc>
        <w:tc>
          <w:tcPr>
            <w:tcW w:w="1137" w:type="dxa"/>
            <w:tcBorders>
              <w:top w:val="single" w:sz="4" w:space="0" w:color="auto"/>
              <w:left w:val="single" w:sz="4" w:space="0" w:color="auto"/>
              <w:bottom w:val="single" w:sz="4" w:space="0" w:color="auto"/>
              <w:right w:val="single" w:sz="4" w:space="0" w:color="auto"/>
            </w:tcBorders>
            <w:vAlign w:val="center"/>
          </w:tcPr>
          <w:p>
            <w:pPr>
              <w:ind w:left="-57" w:right="-57"/>
              <w:jc w:val="right"/>
              <w:rPr>
                <w:rFonts w:ascii="Times New Roman" w:hAnsi="Times New Roman"/>
                <w:sz w:val="22"/>
                <w:szCs w:val="22"/>
              </w:rPr>
            </w:pPr>
            <w:r>
              <w:rPr>
                <w:rFonts w:ascii="Times New Roman" w:hAnsi="Times New Roman"/>
                <w:sz w:val="22"/>
                <w:szCs w:val="22"/>
              </w:rPr>
              <w:t>575,37</w:t>
            </w:r>
          </w:p>
        </w:tc>
      </w:tr>
    </w:tbl>
    <w:p>
      <w:pPr>
        <w:ind w:right="43" w:firstLine="709"/>
        <w:jc w:val="both"/>
        <w:rPr>
          <w:rFonts w:ascii="Times New Roman" w:hAnsi="Times New Roman"/>
          <w:sz w:val="24"/>
        </w:rPr>
      </w:pPr>
    </w:p>
    <w:p>
      <w:pPr>
        <w:ind w:right="43" w:firstLine="709"/>
        <w:jc w:val="center"/>
        <w:rPr>
          <w:rFonts w:ascii="Times New Roman" w:hAnsi="Times New Roman"/>
          <w:i/>
          <w:sz w:val="24"/>
        </w:rPr>
      </w:pPr>
      <w:r>
        <w:rPr>
          <w:rFonts w:ascii="Times New Roman" w:hAnsi="Times New Roman"/>
          <w:i/>
          <w:sz w:val="24"/>
        </w:rPr>
        <w:t>1.4.1.3.4. Арендная плата от сдачи движимого имущества</w:t>
      </w:r>
    </w:p>
    <w:p>
      <w:pPr>
        <w:ind w:right="43" w:firstLine="709"/>
        <w:jc w:val="both"/>
        <w:rPr>
          <w:rFonts w:ascii="Times New Roman" w:hAnsi="Times New Roman"/>
          <w:sz w:val="24"/>
        </w:rPr>
      </w:pPr>
      <w:r>
        <w:rPr>
          <w:rFonts w:ascii="Times New Roman" w:hAnsi="Times New Roman"/>
          <w:sz w:val="24"/>
        </w:rPr>
        <w:t xml:space="preserve">Доходы от сдачи в аренду движимого имущества на 2021 год прогнозируются </w:t>
      </w:r>
      <w:r>
        <w:rPr>
          <w:rFonts w:ascii="Times New Roman" w:hAnsi="Times New Roman"/>
          <w:sz w:val="24"/>
        </w:rPr>
        <w:br/>
        <w:t xml:space="preserve">в сумме 1 774,45 тыс.руб., что на 65,10 тыс.руб. (на 3,5%) меньше оценки 2020 года в связи с погашением ООО «Автотранс» в текущем году задолженности прошлых лет. </w:t>
      </w:r>
    </w:p>
    <w:p>
      <w:pPr>
        <w:ind w:right="43" w:firstLine="709"/>
        <w:jc w:val="both"/>
        <w:rPr>
          <w:rFonts w:ascii="Times New Roman" w:hAnsi="Times New Roman"/>
          <w:sz w:val="24"/>
        </w:rPr>
      </w:pPr>
      <w:r>
        <w:rPr>
          <w:rFonts w:ascii="Times New Roman" w:hAnsi="Times New Roman"/>
          <w:sz w:val="24"/>
        </w:rPr>
        <w:t>Норматив зачисления доходов от арендной платы от сдачи движимого имущества</w:t>
      </w:r>
      <w:r>
        <w:rPr>
          <w:rFonts w:ascii="Times New Roman" w:hAnsi="Times New Roman"/>
          <w:sz w:val="24"/>
        </w:rPr>
        <w:br/>
        <w:t xml:space="preserve"> в бюджет ЗАТО Северск составляет 100%.</w:t>
      </w:r>
    </w:p>
    <w:p>
      <w:pPr>
        <w:ind w:right="43" w:firstLine="709"/>
        <w:jc w:val="both"/>
        <w:rPr>
          <w:rFonts w:ascii="Times New Roman" w:hAnsi="Times New Roman"/>
          <w:sz w:val="24"/>
        </w:rPr>
      </w:pPr>
      <w:r>
        <w:rPr>
          <w:rFonts w:ascii="Times New Roman" w:hAnsi="Times New Roman"/>
          <w:sz w:val="24"/>
        </w:rPr>
        <w:t>Поступления на 2022 – 2023 годы прогнозируются в сумме 1 474,45 тыс.руб. и 1 174,45 тыс.руб. соответственно.</w:t>
      </w:r>
    </w:p>
    <w:p>
      <w:pPr>
        <w:ind w:right="43" w:firstLine="709"/>
        <w:jc w:val="both"/>
        <w:rPr>
          <w:rFonts w:ascii="Times New Roman" w:hAnsi="Times New Roman"/>
          <w:sz w:val="24"/>
        </w:rPr>
      </w:pPr>
      <w:r>
        <w:rPr>
          <w:rFonts w:ascii="Times New Roman" w:hAnsi="Times New Roman"/>
          <w:sz w:val="24"/>
        </w:rPr>
        <w:t>Доля поступлений в 2021 году в структуре налоговых и неналоговых доходов составит 0,2%, в общей сумме доходов бюджета ЗАТО Северск – 0,04%. В 2022 - 2023 годах доля в структуре налоговых и неналоговых доходов составит по 0,1%, в общей сумме доходов бюджета ЗАТО Северск 0,04% и 0,03% соответственно.</w:t>
      </w:r>
    </w:p>
    <w:p>
      <w:pPr>
        <w:ind w:right="43" w:firstLine="709"/>
        <w:jc w:val="both"/>
        <w:rPr>
          <w:rFonts w:ascii="Times New Roman" w:hAnsi="Times New Roman"/>
          <w:sz w:val="24"/>
        </w:rPr>
      </w:pPr>
      <w:r>
        <w:rPr>
          <w:rFonts w:ascii="Times New Roman" w:hAnsi="Times New Roman"/>
          <w:sz w:val="24"/>
        </w:rPr>
        <w:t xml:space="preserve">Поступления запланированы на основании данных главного администратора доходов - Управления имущественных отношений Администрации ЗАТО Северск согласно заключенным договорам аренды. </w:t>
      </w:r>
    </w:p>
    <w:p>
      <w:pPr>
        <w:ind w:right="43" w:firstLine="709"/>
        <w:jc w:val="both"/>
        <w:rPr>
          <w:rFonts w:ascii="Times New Roman" w:hAnsi="Times New Roman"/>
          <w:sz w:val="24"/>
        </w:rPr>
      </w:pPr>
      <w:r>
        <w:rPr>
          <w:rFonts w:ascii="Times New Roman" w:hAnsi="Times New Roman"/>
          <w:sz w:val="24"/>
        </w:rPr>
        <w:t>Основными арендаторами транспортных средств являются жилищно-эксплуатационные управления.</w:t>
      </w:r>
    </w:p>
    <w:p>
      <w:pPr>
        <w:ind w:right="43" w:firstLine="709"/>
        <w:jc w:val="both"/>
        <w:rPr>
          <w:rFonts w:ascii="Times New Roman" w:hAnsi="Times New Roman"/>
          <w:sz w:val="24"/>
        </w:rPr>
      </w:pPr>
    </w:p>
    <w:p>
      <w:pPr>
        <w:ind w:right="43"/>
        <w:jc w:val="center"/>
        <w:rPr>
          <w:rFonts w:ascii="Times New Roman" w:hAnsi="Times New Roman"/>
          <w:sz w:val="24"/>
        </w:rPr>
      </w:pPr>
      <w:r>
        <w:rPr>
          <w:rFonts w:ascii="Times New Roman" w:hAnsi="Times New Roman"/>
          <w:i/>
          <w:sz w:val="24"/>
        </w:rPr>
        <w:t>1.4.1.3.5. Аренда рекламных щитов</w:t>
      </w:r>
    </w:p>
    <w:p>
      <w:pPr>
        <w:ind w:right="43" w:firstLine="709"/>
        <w:jc w:val="both"/>
        <w:rPr>
          <w:rFonts w:ascii="Times New Roman" w:hAnsi="Times New Roman"/>
          <w:sz w:val="24"/>
        </w:rPr>
      </w:pPr>
      <w:r>
        <w:rPr>
          <w:rFonts w:ascii="Times New Roman" w:hAnsi="Times New Roman"/>
          <w:sz w:val="24"/>
        </w:rPr>
        <w:t xml:space="preserve">Доходы от аренды рекламных щитов на 2021 год прогнозируются в сумме 2 935,86 тыс.руб., что 48,44 тыс.руб. (на 1,6%) меньше оценки 2020 года. </w:t>
      </w:r>
    </w:p>
    <w:p>
      <w:pPr>
        <w:ind w:right="43" w:firstLine="709"/>
        <w:jc w:val="both"/>
        <w:rPr>
          <w:rFonts w:ascii="Times New Roman" w:hAnsi="Times New Roman"/>
          <w:sz w:val="24"/>
        </w:rPr>
      </w:pPr>
      <w:r>
        <w:rPr>
          <w:rFonts w:ascii="Times New Roman" w:hAnsi="Times New Roman"/>
          <w:sz w:val="24"/>
        </w:rPr>
        <w:t>Норматив зачисления доходов от аренды рекламных щитов в бюджет ЗАТО Северск составляет 100%.</w:t>
      </w:r>
    </w:p>
    <w:p>
      <w:pPr>
        <w:ind w:right="43" w:firstLine="709"/>
        <w:jc w:val="both"/>
        <w:rPr>
          <w:rFonts w:ascii="Times New Roman" w:hAnsi="Times New Roman"/>
          <w:sz w:val="24"/>
        </w:rPr>
      </w:pPr>
      <w:r>
        <w:rPr>
          <w:rFonts w:ascii="Times New Roman" w:hAnsi="Times New Roman"/>
          <w:sz w:val="24"/>
        </w:rPr>
        <w:t>Поступления по статье на 2022 и 2023 годы прогнозируются в сумме 2 935,86 тыс.руб. и 2 378,92 тыс.руб. соответственно.</w:t>
      </w:r>
    </w:p>
    <w:p>
      <w:pPr>
        <w:ind w:right="43" w:firstLine="709"/>
        <w:jc w:val="both"/>
        <w:rPr>
          <w:rFonts w:ascii="Times New Roman" w:hAnsi="Times New Roman"/>
          <w:sz w:val="24"/>
        </w:rPr>
      </w:pPr>
      <w:r>
        <w:rPr>
          <w:rFonts w:ascii="Times New Roman" w:hAnsi="Times New Roman"/>
          <w:sz w:val="24"/>
        </w:rPr>
        <w:t>Доля поступлений в 2021-2022 годах в структуре налоговых и неналоговых доходов составит по 0,3%, в общей сумме доходов бюджета ЗАТО Северск – 0,1%, в 2023 году 0,2% и 0,1% соответственно.</w:t>
      </w:r>
    </w:p>
    <w:p>
      <w:pPr>
        <w:ind w:right="43" w:firstLine="709"/>
        <w:jc w:val="both"/>
        <w:rPr>
          <w:rFonts w:ascii="Times New Roman" w:hAnsi="Times New Roman"/>
          <w:sz w:val="24"/>
        </w:rPr>
      </w:pPr>
      <w:r>
        <w:rPr>
          <w:rFonts w:ascii="Times New Roman" w:hAnsi="Times New Roman"/>
          <w:sz w:val="24"/>
        </w:rPr>
        <w:t xml:space="preserve">Поступления запланированы на основании данных главного администратора доходов - Управления имущественных отношений Администрации ЗАТО Северск согласно заключенным договорам аренды. </w:t>
      </w:r>
    </w:p>
    <w:p>
      <w:pPr>
        <w:ind w:right="43"/>
        <w:jc w:val="center"/>
        <w:rPr>
          <w:rFonts w:ascii="Times New Roman" w:hAnsi="Times New Roman"/>
          <w:sz w:val="24"/>
        </w:rPr>
      </w:pPr>
    </w:p>
    <w:p>
      <w:pPr>
        <w:ind w:right="43"/>
        <w:jc w:val="center"/>
        <w:rPr>
          <w:rFonts w:ascii="Times New Roman" w:hAnsi="Times New Roman"/>
          <w:i/>
          <w:sz w:val="24"/>
        </w:rPr>
      </w:pPr>
    </w:p>
    <w:p>
      <w:pPr>
        <w:ind w:right="43"/>
        <w:jc w:val="center"/>
        <w:rPr>
          <w:rFonts w:ascii="Times New Roman" w:hAnsi="Times New Roman"/>
          <w:sz w:val="24"/>
        </w:rPr>
      </w:pPr>
      <w:r>
        <w:rPr>
          <w:rFonts w:ascii="Times New Roman" w:hAnsi="Times New Roman"/>
          <w:i/>
          <w:sz w:val="24"/>
        </w:rPr>
        <w:t>1.4.1.3.6. Плата за размещение временных торговых сооружений</w:t>
      </w:r>
    </w:p>
    <w:p>
      <w:pPr>
        <w:ind w:right="43" w:firstLine="709"/>
        <w:jc w:val="both"/>
        <w:rPr>
          <w:rFonts w:ascii="Times New Roman" w:hAnsi="Times New Roman"/>
          <w:sz w:val="24"/>
        </w:rPr>
      </w:pPr>
      <w:r>
        <w:rPr>
          <w:rFonts w:ascii="Times New Roman" w:hAnsi="Times New Roman"/>
          <w:sz w:val="24"/>
        </w:rPr>
        <w:t xml:space="preserve">Доходы от платы за размещение временных торговых сооружений на 2021 год прогнозируются в сумме 2 387,36 тыс.руб., что 709,35 тыс.руб. (на 42,3%) больше оценки 2020 года. </w:t>
      </w:r>
    </w:p>
    <w:p>
      <w:pPr>
        <w:ind w:right="43" w:firstLine="709"/>
        <w:jc w:val="both"/>
        <w:rPr>
          <w:rFonts w:ascii="Times New Roman" w:hAnsi="Times New Roman"/>
          <w:sz w:val="24"/>
        </w:rPr>
      </w:pPr>
      <w:r>
        <w:rPr>
          <w:rFonts w:ascii="Times New Roman" w:hAnsi="Times New Roman"/>
          <w:sz w:val="24"/>
        </w:rPr>
        <w:t>Норматив зачисления доходов от аренды рекламных щитов в бюджет ЗАТО Северск составляет 100%.</w:t>
      </w:r>
    </w:p>
    <w:p>
      <w:pPr>
        <w:ind w:right="43" w:firstLine="709"/>
        <w:jc w:val="both"/>
        <w:rPr>
          <w:rFonts w:ascii="Times New Roman" w:hAnsi="Times New Roman"/>
          <w:sz w:val="24"/>
        </w:rPr>
      </w:pPr>
      <w:r>
        <w:rPr>
          <w:rFonts w:ascii="Times New Roman" w:hAnsi="Times New Roman"/>
          <w:sz w:val="24"/>
        </w:rPr>
        <w:t>Поступления по статье на 2022 - 2023 годы прогнозируются в сумме по 2 159,77 тыс.руб. ежегодно.</w:t>
      </w:r>
    </w:p>
    <w:p>
      <w:pPr>
        <w:ind w:right="43" w:firstLine="709"/>
        <w:jc w:val="both"/>
        <w:rPr>
          <w:rFonts w:ascii="Times New Roman" w:hAnsi="Times New Roman"/>
          <w:sz w:val="24"/>
        </w:rPr>
      </w:pPr>
      <w:r>
        <w:rPr>
          <w:rFonts w:ascii="Times New Roman" w:hAnsi="Times New Roman"/>
          <w:sz w:val="24"/>
        </w:rPr>
        <w:t xml:space="preserve">Доля поступлений в 2021-2023 годах в структуре налоговых и неналоговых доходов составит по 0,2%, в общей сумме доходов бюджета ЗАТО Северск – 0,1%. </w:t>
      </w:r>
    </w:p>
    <w:p>
      <w:pPr>
        <w:ind w:right="43" w:firstLine="709"/>
        <w:jc w:val="both"/>
        <w:rPr>
          <w:rFonts w:ascii="Times New Roman" w:hAnsi="Times New Roman"/>
          <w:sz w:val="24"/>
        </w:rPr>
      </w:pPr>
      <w:r>
        <w:rPr>
          <w:rFonts w:ascii="Times New Roman" w:hAnsi="Times New Roman"/>
          <w:sz w:val="24"/>
        </w:rPr>
        <w:t xml:space="preserve">Поступления запланированы на основании данных главного администратора доходов - Управления имущественных отношений Администрации ЗАТО Северск согласно заключенным договорам аренды. </w:t>
      </w:r>
    </w:p>
    <w:p>
      <w:pPr>
        <w:ind w:right="43" w:firstLine="709"/>
        <w:jc w:val="both"/>
        <w:rPr>
          <w:rFonts w:ascii="Times New Roman" w:hAnsi="Times New Roman"/>
          <w:sz w:val="24"/>
        </w:rPr>
      </w:pPr>
    </w:p>
    <w:p>
      <w:pPr>
        <w:ind w:right="43" w:firstLine="709"/>
        <w:jc w:val="center"/>
        <w:rPr>
          <w:rFonts w:ascii="Times New Roman" w:hAnsi="Times New Roman"/>
          <w:b/>
          <w:sz w:val="24"/>
        </w:rPr>
      </w:pPr>
      <w:r>
        <w:rPr>
          <w:rFonts w:ascii="Times New Roman" w:hAnsi="Times New Roman"/>
          <w:b/>
          <w:sz w:val="24"/>
        </w:rPr>
        <w:t>1.4.2. Платежи при пользовании природными ресурсами</w:t>
      </w:r>
    </w:p>
    <w:p>
      <w:pPr>
        <w:ind w:right="43" w:firstLine="709"/>
        <w:jc w:val="both"/>
        <w:rPr>
          <w:rFonts w:ascii="Times New Roman" w:hAnsi="Times New Roman"/>
          <w:sz w:val="24"/>
        </w:rPr>
      </w:pPr>
      <w:r>
        <w:rPr>
          <w:rFonts w:ascii="Times New Roman" w:hAnsi="Times New Roman"/>
          <w:sz w:val="24"/>
        </w:rPr>
        <w:t xml:space="preserve">Расчет платы за негативное воздействие на окружающую среду выполнен </w:t>
      </w:r>
      <w:r>
        <w:rPr>
          <w:rFonts w:ascii="Times New Roman" w:hAnsi="Times New Roman"/>
          <w:sz w:val="24"/>
        </w:rPr>
        <w:br/>
        <w:t xml:space="preserve">на основании данных главного администратора доходов - </w:t>
      </w:r>
      <w:r>
        <w:rPr>
          <w:sz w:val="24"/>
          <w:szCs w:val="24"/>
        </w:rPr>
        <w:t>Сибирского межрегионального управления Федеральной службы по надзору в сфере природопользования</w:t>
      </w:r>
      <w:r>
        <w:rPr>
          <w:rFonts w:ascii="Times New Roman" w:hAnsi="Times New Roman"/>
          <w:sz w:val="24"/>
        </w:rPr>
        <w:t xml:space="preserve"> и основных плательщиков АО «СХК» и АО «РИР» (ранее АО «ОТЭК»), доля которых по оценке 2020 года составляет 73,5% в общей сумме доходов по данной статье. </w:t>
      </w:r>
    </w:p>
    <w:p>
      <w:pPr>
        <w:ind w:right="43" w:firstLine="709"/>
        <w:jc w:val="both"/>
        <w:rPr>
          <w:rFonts w:ascii="Times New Roman" w:hAnsi="Times New Roman"/>
          <w:sz w:val="24"/>
        </w:rPr>
      </w:pPr>
      <w:r>
        <w:rPr>
          <w:rFonts w:ascii="Times New Roman" w:hAnsi="Times New Roman"/>
          <w:sz w:val="24"/>
        </w:rPr>
        <w:t>Прогнозируемое поступление платы за негативное воздействие на окружающую среду на 2021 год составит 14 061,81 тыс.руб., что на 6 033,85 тыс.руб. (на 75,2%) больше оценки 2020 года, что обусловлено с тем, что в 2020 году АО «РИР» был проведен зачет  переплаты по итогам 2019 года в счет текущих платежей, а также реализацией АО «СХК» мероприятий «Плана снижения сбросов веществ и микроорганизмов в р.Томь…».</w:t>
      </w:r>
    </w:p>
    <w:p>
      <w:pPr>
        <w:ind w:right="43" w:firstLine="709"/>
        <w:jc w:val="both"/>
        <w:rPr>
          <w:rFonts w:ascii="Times New Roman" w:hAnsi="Times New Roman"/>
          <w:sz w:val="24"/>
        </w:rPr>
      </w:pPr>
      <w:r>
        <w:rPr>
          <w:rFonts w:ascii="Times New Roman" w:hAnsi="Times New Roman"/>
          <w:sz w:val="24"/>
        </w:rPr>
        <w:t>Норматив зачисления доходов от платежей при пользовании природными ресурсами в бюджет ЗАТО Северск с 01.01.2020 составляет 60% (согласно Федеральному закону от 15.04.2019 № 62-ФЗ).</w:t>
      </w:r>
    </w:p>
    <w:p>
      <w:pPr>
        <w:ind w:right="43" w:firstLine="709"/>
        <w:jc w:val="both"/>
        <w:rPr>
          <w:rFonts w:ascii="Times New Roman" w:hAnsi="Times New Roman"/>
          <w:sz w:val="24"/>
        </w:rPr>
      </w:pPr>
      <w:r>
        <w:rPr>
          <w:rFonts w:ascii="Times New Roman" w:hAnsi="Times New Roman"/>
          <w:sz w:val="24"/>
        </w:rPr>
        <w:t xml:space="preserve">Поступления на 2022 – 2023 годы прогнозируются в сумме 10 537,39 тыс.руб. и 11 362,35 тыс.руб. соответственно. </w:t>
      </w:r>
    </w:p>
    <w:p>
      <w:pPr>
        <w:ind w:right="43" w:firstLine="709"/>
        <w:jc w:val="both"/>
        <w:rPr>
          <w:rFonts w:ascii="Times New Roman" w:hAnsi="Times New Roman"/>
          <w:sz w:val="24"/>
        </w:rPr>
      </w:pPr>
      <w:r>
        <w:rPr>
          <w:rFonts w:ascii="Times New Roman" w:hAnsi="Times New Roman"/>
          <w:sz w:val="24"/>
        </w:rPr>
        <w:t xml:space="preserve">Доля поступлений в 2021 году в структуре налоговых и неналоговых доходов составит 1,3%, в общей сумме доходов бюджета ЗАТО Северск – 0,3%. </w:t>
      </w:r>
    </w:p>
    <w:p>
      <w:pPr>
        <w:ind w:right="43" w:firstLine="709"/>
        <w:jc w:val="both"/>
        <w:rPr>
          <w:rFonts w:ascii="Times New Roman" w:hAnsi="Times New Roman"/>
          <w:sz w:val="24"/>
        </w:rPr>
      </w:pPr>
      <w:r>
        <w:rPr>
          <w:rFonts w:ascii="Times New Roman" w:hAnsi="Times New Roman"/>
          <w:sz w:val="24"/>
        </w:rPr>
        <w:t>В 2022 - 2023 годах - доля в структуре налоговых и неналоговых доходов составит 0,9% и 1,0% соответственно, в общей сумме доходов бюджета ЗАТО Северск - по  0,3%.</w:t>
      </w:r>
    </w:p>
    <w:p>
      <w:pPr>
        <w:ind w:right="43" w:firstLine="709"/>
        <w:jc w:val="both"/>
        <w:rPr>
          <w:rFonts w:ascii="Times New Roman" w:hAnsi="Times New Roman"/>
          <w:sz w:val="24"/>
        </w:rPr>
      </w:pPr>
      <w:r>
        <w:rPr>
          <w:rFonts w:ascii="Times New Roman" w:hAnsi="Times New Roman"/>
          <w:sz w:val="24"/>
        </w:rPr>
        <w:t>Прогноз поступлений сделан с учетом ожидаемого получения АО «РИР» в 2021 году комплексного экологического разрешения, что повлечет уменьшение поступлений по сверхнормативным выбросам, начиная с 2022 года.</w:t>
      </w:r>
    </w:p>
    <w:p>
      <w:pPr>
        <w:spacing w:before="120"/>
        <w:ind w:firstLine="709"/>
        <w:jc w:val="both"/>
        <w:rPr>
          <w:rFonts w:ascii="Times New Roman" w:hAnsi="Times New Roman"/>
          <w:sz w:val="24"/>
        </w:rPr>
      </w:pPr>
      <w:r>
        <w:rPr>
          <w:rFonts w:ascii="Times New Roman" w:hAnsi="Times New Roman"/>
          <w:sz w:val="24"/>
        </w:rPr>
        <w:t xml:space="preserve">Таблица 22 </w:t>
      </w:r>
      <w:r>
        <w:rPr>
          <w:rFonts w:ascii="Times New Roman" w:hAnsi="Times New Roman"/>
          <w:b/>
          <w:sz w:val="24"/>
        </w:rPr>
        <w:t>-</w:t>
      </w:r>
      <w:r>
        <w:rPr>
          <w:rFonts w:ascii="Times New Roman" w:hAnsi="Times New Roman"/>
          <w:sz w:val="24"/>
        </w:rPr>
        <w:t xml:space="preserve"> </w:t>
      </w:r>
      <w:r>
        <w:rPr>
          <w:rFonts w:ascii="Times New Roman" w:hAnsi="Times New Roman"/>
          <w:color w:val="000000" w:themeColor="text1"/>
          <w:sz w:val="24"/>
          <w:szCs w:val="24"/>
        </w:rPr>
        <w:t>Платежи при пользовании природными ресурсами</w:t>
      </w:r>
    </w:p>
    <w:tbl>
      <w:tblPr>
        <w:tblW w:w="965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
        <w:gridCol w:w="2741"/>
        <w:gridCol w:w="1276"/>
        <w:gridCol w:w="1134"/>
        <w:gridCol w:w="992"/>
        <w:gridCol w:w="850"/>
        <w:gridCol w:w="1135"/>
        <w:gridCol w:w="1134"/>
      </w:tblGrid>
      <w:tr>
        <w:trPr>
          <w:trHeight w:val="264"/>
        </w:trPr>
        <w:tc>
          <w:tcPr>
            <w:tcW w:w="390" w:type="dxa"/>
            <w:vMerge w:val="restart"/>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w:t>
            </w:r>
          </w:p>
        </w:tc>
        <w:tc>
          <w:tcPr>
            <w:tcW w:w="2741" w:type="dxa"/>
            <w:vMerge w:val="restart"/>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Показатели</w:t>
            </w:r>
          </w:p>
        </w:tc>
        <w:tc>
          <w:tcPr>
            <w:tcW w:w="2410" w:type="dxa"/>
            <w:gridSpan w:val="2"/>
            <w:vAlign w:val="center"/>
          </w:tcPr>
          <w:p>
            <w:pPr>
              <w:ind w:left="-57" w:right="-57"/>
              <w:jc w:val="center"/>
              <w:rPr>
                <w:rFonts w:ascii="Times New Roman" w:hAnsi="Times New Roman"/>
                <w:sz w:val="22"/>
                <w:szCs w:val="22"/>
              </w:rPr>
            </w:pPr>
            <w:r>
              <w:rPr>
                <w:rFonts w:ascii="Times New Roman" w:hAnsi="Times New Roman"/>
                <w:sz w:val="22"/>
                <w:szCs w:val="22"/>
              </w:rPr>
              <w:t>2020 год, тыс.руб.</w:t>
            </w:r>
          </w:p>
        </w:tc>
        <w:tc>
          <w:tcPr>
            <w:tcW w:w="1842" w:type="dxa"/>
            <w:gridSpan w:val="2"/>
          </w:tcPr>
          <w:p>
            <w:pPr>
              <w:ind w:left="-57" w:right="-57"/>
              <w:jc w:val="center"/>
              <w:rPr>
                <w:rFonts w:ascii="Times New Roman" w:hAnsi="Times New Roman"/>
                <w:sz w:val="22"/>
                <w:szCs w:val="22"/>
              </w:rPr>
            </w:pPr>
            <w:r>
              <w:rPr>
                <w:rFonts w:ascii="Times New Roman" w:hAnsi="Times New Roman"/>
                <w:sz w:val="22"/>
                <w:szCs w:val="22"/>
              </w:rPr>
              <w:t xml:space="preserve">2021 год </w:t>
            </w:r>
          </w:p>
        </w:tc>
        <w:tc>
          <w:tcPr>
            <w:tcW w:w="1135" w:type="dxa"/>
            <w:vMerge w:val="restart"/>
            <w:shd w:val="clear" w:color="auto" w:fill="auto"/>
          </w:tcPr>
          <w:p>
            <w:pPr>
              <w:jc w:val="center"/>
              <w:rPr>
                <w:sz w:val="22"/>
                <w:szCs w:val="22"/>
              </w:rPr>
            </w:pPr>
            <w:r>
              <w:rPr>
                <w:sz w:val="22"/>
                <w:szCs w:val="22"/>
              </w:rPr>
              <w:t>Прогноз 2022 года, тыс.руб.</w:t>
            </w:r>
          </w:p>
        </w:tc>
        <w:tc>
          <w:tcPr>
            <w:tcW w:w="1134" w:type="dxa"/>
            <w:vMerge w:val="restart"/>
            <w:shd w:val="clear" w:color="auto" w:fill="auto"/>
          </w:tcPr>
          <w:p>
            <w:pPr>
              <w:jc w:val="center"/>
              <w:rPr>
                <w:sz w:val="22"/>
                <w:szCs w:val="22"/>
              </w:rPr>
            </w:pPr>
            <w:r>
              <w:rPr>
                <w:sz w:val="22"/>
                <w:szCs w:val="22"/>
              </w:rPr>
              <w:t>Прогноз 2023 года, тыс.руб.</w:t>
            </w:r>
          </w:p>
        </w:tc>
      </w:tr>
      <w:tr>
        <w:trPr>
          <w:trHeight w:val="243"/>
        </w:trPr>
        <w:tc>
          <w:tcPr>
            <w:tcW w:w="390" w:type="dxa"/>
            <w:vMerge/>
            <w:shd w:val="clear" w:color="auto" w:fill="auto"/>
            <w:vAlign w:val="center"/>
          </w:tcPr>
          <w:p>
            <w:pPr>
              <w:snapToGrid w:val="0"/>
              <w:ind w:left="-57" w:right="-57"/>
              <w:jc w:val="center"/>
              <w:rPr>
                <w:rFonts w:ascii="Times New Roman" w:hAnsi="Times New Roman"/>
                <w:bCs/>
                <w:iCs/>
                <w:sz w:val="22"/>
                <w:szCs w:val="22"/>
              </w:rPr>
            </w:pPr>
          </w:p>
        </w:tc>
        <w:tc>
          <w:tcPr>
            <w:tcW w:w="2741" w:type="dxa"/>
            <w:vMerge/>
            <w:shd w:val="clear" w:color="auto" w:fill="auto"/>
            <w:vAlign w:val="center"/>
          </w:tcPr>
          <w:p>
            <w:pPr>
              <w:ind w:left="-57" w:right="-57"/>
              <w:jc w:val="center"/>
              <w:rPr>
                <w:rFonts w:ascii="Times New Roman" w:hAnsi="Times New Roman"/>
                <w:sz w:val="22"/>
                <w:szCs w:val="22"/>
              </w:rPr>
            </w:pPr>
          </w:p>
        </w:tc>
        <w:tc>
          <w:tcPr>
            <w:tcW w:w="1276" w:type="dxa"/>
            <w:vAlign w:val="center"/>
          </w:tcPr>
          <w:p>
            <w:pPr>
              <w:ind w:left="-57" w:right="-57"/>
              <w:jc w:val="center"/>
              <w:rPr>
                <w:rFonts w:ascii="Times New Roman" w:hAnsi="Times New Roman"/>
                <w:sz w:val="22"/>
                <w:szCs w:val="22"/>
              </w:rPr>
            </w:pPr>
            <w:r>
              <w:rPr>
                <w:rFonts w:ascii="Times New Roman" w:hAnsi="Times New Roman"/>
                <w:sz w:val="22"/>
                <w:szCs w:val="22"/>
              </w:rPr>
              <w:t>Первонач. утверждено</w:t>
            </w:r>
          </w:p>
        </w:tc>
        <w:tc>
          <w:tcPr>
            <w:tcW w:w="1134" w:type="dxa"/>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 xml:space="preserve">Оценка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rFonts w:ascii="Times New Roman" w:hAnsi="Times New Roman"/>
                <w:sz w:val="22"/>
                <w:szCs w:val="22"/>
              </w:rPr>
            </w:pPr>
            <w:r>
              <w:rPr>
                <w:rFonts w:ascii="Times New Roman" w:hAnsi="Times New Roman"/>
                <w:sz w:val="22"/>
                <w:szCs w:val="22"/>
              </w:rPr>
              <w:t>Прогноз, тыс.руб.</w:t>
            </w:r>
          </w:p>
        </w:tc>
        <w:tc>
          <w:tcPr>
            <w:tcW w:w="850" w:type="dxa"/>
            <w:tcBorders>
              <w:top w:val="single" w:sz="4" w:space="0" w:color="auto"/>
              <w:left w:val="single" w:sz="4" w:space="0" w:color="auto"/>
              <w:bottom w:val="single" w:sz="4" w:space="0" w:color="auto"/>
              <w:right w:val="single" w:sz="4" w:space="0" w:color="auto"/>
            </w:tcBorders>
            <w:vAlign w:val="center"/>
          </w:tcPr>
          <w:p>
            <w:pPr>
              <w:ind w:left="-57" w:right="-57"/>
              <w:jc w:val="center"/>
              <w:rPr>
                <w:rFonts w:ascii="Times New Roman" w:hAnsi="Times New Roman"/>
                <w:sz w:val="22"/>
                <w:szCs w:val="22"/>
              </w:rPr>
            </w:pPr>
            <w:r>
              <w:rPr>
                <w:rFonts w:ascii="Times New Roman" w:hAnsi="Times New Roman"/>
                <w:sz w:val="22"/>
                <w:szCs w:val="22"/>
              </w:rPr>
              <w:t>%</w:t>
            </w:r>
          </w:p>
        </w:tc>
        <w:tc>
          <w:tcPr>
            <w:tcW w:w="1135" w:type="dxa"/>
            <w:vMerge/>
            <w:shd w:val="clear" w:color="auto" w:fill="auto"/>
            <w:vAlign w:val="center"/>
          </w:tcPr>
          <w:p>
            <w:pPr>
              <w:ind w:left="-57" w:right="-57"/>
              <w:jc w:val="center"/>
              <w:rPr>
                <w:rFonts w:ascii="Times New Roman" w:hAnsi="Times New Roman"/>
              </w:rPr>
            </w:pPr>
          </w:p>
        </w:tc>
        <w:tc>
          <w:tcPr>
            <w:tcW w:w="1134" w:type="dxa"/>
            <w:vMerge/>
            <w:shd w:val="clear" w:color="auto" w:fill="auto"/>
            <w:vAlign w:val="center"/>
          </w:tcPr>
          <w:p>
            <w:pPr>
              <w:ind w:left="-57" w:right="-57"/>
              <w:jc w:val="center"/>
              <w:rPr>
                <w:rFonts w:ascii="Times New Roman" w:hAnsi="Times New Roman"/>
              </w:rPr>
            </w:pPr>
          </w:p>
        </w:tc>
      </w:tr>
      <w:tr>
        <w:trPr>
          <w:trHeight w:val="276"/>
        </w:trPr>
        <w:tc>
          <w:tcPr>
            <w:tcW w:w="390" w:type="dxa"/>
            <w:shd w:val="clear" w:color="auto" w:fill="auto"/>
            <w:vAlign w:val="center"/>
          </w:tcPr>
          <w:p>
            <w:pPr>
              <w:ind w:left="-57" w:right="-57"/>
              <w:rPr>
                <w:rFonts w:ascii="Times New Roman" w:hAnsi="Times New Roman"/>
              </w:rPr>
            </w:pPr>
            <w:r>
              <w:rPr>
                <w:rFonts w:ascii="Times New Roman" w:hAnsi="Times New Roman"/>
              </w:rPr>
              <w:t>1</w:t>
            </w:r>
          </w:p>
        </w:tc>
        <w:tc>
          <w:tcPr>
            <w:tcW w:w="2741" w:type="dxa"/>
            <w:shd w:val="clear" w:color="auto" w:fill="auto"/>
            <w:vAlign w:val="center"/>
          </w:tcPr>
          <w:p>
            <w:pPr>
              <w:ind w:left="-57" w:right="-57"/>
              <w:rPr>
                <w:rFonts w:ascii="Times New Roman" w:hAnsi="Times New Roman"/>
                <w:sz w:val="22"/>
                <w:szCs w:val="22"/>
              </w:rPr>
            </w:pPr>
            <w:r>
              <w:rPr>
                <w:rFonts w:ascii="Times New Roman" w:hAnsi="Times New Roman"/>
                <w:sz w:val="22"/>
                <w:szCs w:val="22"/>
              </w:rPr>
              <w:t xml:space="preserve">Начислено </w:t>
            </w:r>
            <w:r>
              <w:rPr>
                <w:rFonts w:ascii="Times New Roman" w:hAnsi="Times New Roman"/>
                <w:color w:val="000000" w:themeColor="text1"/>
                <w:sz w:val="22"/>
                <w:szCs w:val="22"/>
              </w:rPr>
              <w:t xml:space="preserve">платежей </w:t>
            </w:r>
          </w:p>
        </w:tc>
        <w:tc>
          <w:tcPr>
            <w:tcW w:w="1276" w:type="dxa"/>
            <w:vAlign w:val="center"/>
          </w:tcPr>
          <w:p>
            <w:pPr>
              <w:ind w:left="-57" w:right="-57"/>
              <w:jc w:val="right"/>
              <w:rPr>
                <w:rFonts w:ascii="Times New Roman" w:hAnsi="Times New Roman"/>
              </w:rPr>
            </w:pPr>
            <w:r>
              <w:rPr>
                <w:rFonts w:ascii="Times New Roman" w:hAnsi="Times New Roman"/>
              </w:rPr>
              <w:t>20 377,31</w:t>
            </w:r>
          </w:p>
        </w:tc>
        <w:tc>
          <w:tcPr>
            <w:tcW w:w="1134" w:type="dxa"/>
            <w:shd w:val="clear" w:color="auto" w:fill="auto"/>
            <w:vAlign w:val="center"/>
          </w:tcPr>
          <w:p>
            <w:pPr>
              <w:ind w:left="-57" w:right="-57"/>
              <w:jc w:val="right"/>
              <w:rPr>
                <w:rFonts w:ascii="Times New Roman" w:hAnsi="Times New Roman"/>
              </w:rPr>
            </w:pPr>
            <w:r>
              <w:rPr>
                <w:rFonts w:ascii="Times New Roman" w:hAnsi="Times New Roman"/>
              </w:rPr>
              <w:t>15 162,60</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23 423,35</w:t>
            </w:r>
          </w:p>
        </w:tc>
        <w:tc>
          <w:tcPr>
            <w:tcW w:w="850" w:type="dxa"/>
            <w:vAlign w:val="center"/>
          </w:tcPr>
          <w:p>
            <w:pPr>
              <w:ind w:left="-57" w:right="-57"/>
              <w:jc w:val="center"/>
              <w:rPr>
                <w:rFonts w:ascii="Times New Roman" w:hAnsi="Times New Roman"/>
              </w:rPr>
            </w:pPr>
            <w:r>
              <w:rPr>
                <w:rFonts w:ascii="Times New Roman" w:hAnsi="Times New Roman"/>
              </w:rPr>
              <w:t>154,5</w:t>
            </w:r>
          </w:p>
        </w:tc>
        <w:tc>
          <w:tcPr>
            <w:tcW w:w="1135" w:type="dxa"/>
            <w:shd w:val="clear" w:color="auto" w:fill="auto"/>
            <w:vAlign w:val="center"/>
          </w:tcPr>
          <w:p>
            <w:pPr>
              <w:ind w:left="-57" w:right="-57"/>
              <w:jc w:val="right"/>
              <w:rPr>
                <w:rFonts w:ascii="Times New Roman" w:hAnsi="Times New Roman"/>
              </w:rPr>
            </w:pPr>
            <w:r>
              <w:rPr>
                <w:rFonts w:ascii="Times New Roman" w:hAnsi="Times New Roman"/>
              </w:rPr>
              <w:t>17 562,33</w:t>
            </w:r>
          </w:p>
        </w:tc>
        <w:tc>
          <w:tcPr>
            <w:tcW w:w="1134" w:type="dxa"/>
            <w:shd w:val="clear" w:color="auto" w:fill="auto"/>
            <w:vAlign w:val="center"/>
          </w:tcPr>
          <w:p>
            <w:pPr>
              <w:ind w:left="-57" w:right="-57"/>
              <w:jc w:val="right"/>
              <w:rPr>
                <w:rFonts w:ascii="Times New Roman" w:hAnsi="Times New Roman"/>
              </w:rPr>
            </w:pPr>
            <w:r>
              <w:rPr>
                <w:rFonts w:ascii="Times New Roman" w:hAnsi="Times New Roman"/>
              </w:rPr>
              <w:t>18 937,25</w:t>
            </w:r>
          </w:p>
        </w:tc>
      </w:tr>
      <w:tr>
        <w:trPr>
          <w:trHeight w:val="357"/>
        </w:trPr>
        <w:tc>
          <w:tcPr>
            <w:tcW w:w="390" w:type="dxa"/>
            <w:shd w:val="clear" w:color="auto" w:fill="auto"/>
            <w:vAlign w:val="center"/>
          </w:tcPr>
          <w:p>
            <w:pPr>
              <w:ind w:left="-57" w:right="-57"/>
              <w:rPr>
                <w:rFonts w:ascii="Times New Roman" w:hAnsi="Times New Roman"/>
              </w:rPr>
            </w:pPr>
            <w:r>
              <w:rPr>
                <w:rFonts w:ascii="Times New Roman" w:hAnsi="Times New Roman"/>
              </w:rPr>
              <w:t>1.1</w:t>
            </w:r>
          </w:p>
        </w:tc>
        <w:tc>
          <w:tcPr>
            <w:tcW w:w="2741" w:type="dxa"/>
            <w:shd w:val="clear" w:color="auto" w:fill="auto"/>
            <w:vAlign w:val="center"/>
          </w:tcPr>
          <w:p>
            <w:pPr>
              <w:ind w:left="-57" w:right="-57"/>
              <w:rPr>
                <w:rFonts w:ascii="Times New Roman" w:hAnsi="Times New Roman"/>
                <w:sz w:val="22"/>
                <w:szCs w:val="22"/>
              </w:rPr>
            </w:pPr>
            <w:r>
              <w:rPr>
                <w:rFonts w:ascii="Times New Roman" w:hAnsi="Times New Roman"/>
                <w:sz w:val="22"/>
                <w:szCs w:val="22"/>
              </w:rPr>
              <w:t>в том числе: АО "СХК"</w:t>
            </w:r>
          </w:p>
        </w:tc>
        <w:tc>
          <w:tcPr>
            <w:tcW w:w="1276" w:type="dxa"/>
            <w:vAlign w:val="center"/>
          </w:tcPr>
          <w:p>
            <w:pPr>
              <w:ind w:left="-57" w:right="-57"/>
              <w:jc w:val="right"/>
              <w:rPr>
                <w:rFonts w:ascii="Times New Roman" w:hAnsi="Times New Roman"/>
              </w:rPr>
            </w:pPr>
            <w:r>
              <w:rPr>
                <w:rFonts w:ascii="Times New Roman" w:hAnsi="Times New Roman"/>
              </w:rPr>
              <w:t>5 500,00</w:t>
            </w:r>
          </w:p>
        </w:tc>
        <w:tc>
          <w:tcPr>
            <w:tcW w:w="1134" w:type="dxa"/>
            <w:shd w:val="clear" w:color="auto" w:fill="auto"/>
            <w:vAlign w:val="center"/>
          </w:tcPr>
          <w:p>
            <w:pPr>
              <w:ind w:left="-57" w:right="-57"/>
              <w:jc w:val="right"/>
              <w:rPr>
                <w:rFonts w:ascii="Times New Roman" w:hAnsi="Times New Roman"/>
              </w:rPr>
            </w:pPr>
            <w:r>
              <w:rPr>
                <w:rFonts w:ascii="Times New Roman" w:hAnsi="Times New Roman"/>
              </w:rPr>
              <w:t>4 000,00</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11 400,00</w:t>
            </w:r>
          </w:p>
        </w:tc>
        <w:tc>
          <w:tcPr>
            <w:tcW w:w="850" w:type="dxa"/>
            <w:vAlign w:val="center"/>
          </w:tcPr>
          <w:p>
            <w:pPr>
              <w:ind w:left="-57" w:right="-57"/>
              <w:jc w:val="center"/>
              <w:rPr>
                <w:rFonts w:ascii="Times New Roman" w:hAnsi="Times New Roman"/>
              </w:rPr>
            </w:pPr>
            <w:r>
              <w:rPr>
                <w:rFonts w:ascii="Times New Roman" w:hAnsi="Times New Roman"/>
              </w:rPr>
              <w:t>285,0</w:t>
            </w:r>
          </w:p>
        </w:tc>
        <w:tc>
          <w:tcPr>
            <w:tcW w:w="1135" w:type="dxa"/>
            <w:shd w:val="clear" w:color="auto" w:fill="auto"/>
            <w:vAlign w:val="center"/>
          </w:tcPr>
          <w:p>
            <w:pPr>
              <w:ind w:left="-57" w:right="-57"/>
              <w:jc w:val="right"/>
              <w:rPr>
                <w:rFonts w:ascii="Times New Roman" w:hAnsi="Times New Roman"/>
              </w:rPr>
            </w:pPr>
            <w:r>
              <w:rPr>
                <w:rFonts w:ascii="Times New Roman" w:hAnsi="Times New Roman"/>
              </w:rPr>
              <w:t>11 800,00</w:t>
            </w:r>
          </w:p>
        </w:tc>
        <w:tc>
          <w:tcPr>
            <w:tcW w:w="1134" w:type="dxa"/>
            <w:shd w:val="clear" w:color="auto" w:fill="auto"/>
            <w:vAlign w:val="center"/>
          </w:tcPr>
          <w:p>
            <w:pPr>
              <w:ind w:left="-57" w:right="-57"/>
              <w:jc w:val="right"/>
              <w:rPr>
                <w:rFonts w:ascii="Times New Roman" w:hAnsi="Times New Roman"/>
              </w:rPr>
            </w:pPr>
            <w:r>
              <w:rPr>
                <w:rFonts w:ascii="Times New Roman" w:hAnsi="Times New Roman"/>
              </w:rPr>
              <w:t>12 200,00</w:t>
            </w:r>
          </w:p>
        </w:tc>
      </w:tr>
      <w:tr>
        <w:trPr>
          <w:trHeight w:val="355"/>
        </w:trPr>
        <w:tc>
          <w:tcPr>
            <w:tcW w:w="390" w:type="dxa"/>
            <w:shd w:val="clear" w:color="auto" w:fill="auto"/>
            <w:vAlign w:val="center"/>
          </w:tcPr>
          <w:p>
            <w:pPr>
              <w:ind w:left="-57" w:right="-57"/>
              <w:rPr>
                <w:rFonts w:ascii="Times New Roman" w:hAnsi="Times New Roman"/>
              </w:rPr>
            </w:pPr>
            <w:r>
              <w:rPr>
                <w:rFonts w:ascii="Times New Roman" w:hAnsi="Times New Roman"/>
              </w:rPr>
              <w:t>1.2</w:t>
            </w:r>
          </w:p>
        </w:tc>
        <w:tc>
          <w:tcPr>
            <w:tcW w:w="2741" w:type="dxa"/>
            <w:shd w:val="clear" w:color="auto" w:fill="auto"/>
            <w:vAlign w:val="center"/>
          </w:tcPr>
          <w:p>
            <w:pPr>
              <w:ind w:left="-57" w:right="-57"/>
              <w:rPr>
                <w:rFonts w:ascii="Times New Roman" w:hAnsi="Times New Roman"/>
                <w:sz w:val="22"/>
                <w:szCs w:val="22"/>
              </w:rPr>
            </w:pPr>
            <w:r>
              <w:rPr>
                <w:rFonts w:ascii="Times New Roman" w:hAnsi="Times New Roman"/>
                <w:sz w:val="22"/>
                <w:szCs w:val="22"/>
              </w:rPr>
              <w:t>АО "РИР"</w:t>
            </w:r>
          </w:p>
        </w:tc>
        <w:tc>
          <w:tcPr>
            <w:tcW w:w="1276" w:type="dxa"/>
            <w:vAlign w:val="center"/>
          </w:tcPr>
          <w:p>
            <w:pPr>
              <w:ind w:left="-57" w:right="-57"/>
              <w:jc w:val="right"/>
              <w:rPr>
                <w:rFonts w:ascii="Times New Roman" w:hAnsi="Times New Roman"/>
              </w:rPr>
            </w:pPr>
            <w:r>
              <w:rPr>
                <w:rFonts w:ascii="Times New Roman" w:hAnsi="Times New Roman"/>
              </w:rPr>
              <w:t>10 371,30</w:t>
            </w:r>
          </w:p>
        </w:tc>
        <w:tc>
          <w:tcPr>
            <w:tcW w:w="1134" w:type="dxa"/>
            <w:shd w:val="clear" w:color="auto" w:fill="auto"/>
            <w:noWrap/>
            <w:vAlign w:val="center"/>
          </w:tcPr>
          <w:p>
            <w:pPr>
              <w:ind w:left="-57" w:right="-57"/>
              <w:jc w:val="right"/>
              <w:rPr>
                <w:rFonts w:ascii="Times New Roman" w:hAnsi="Times New Roman"/>
              </w:rPr>
            </w:pPr>
            <w:r>
              <w:rPr>
                <w:rFonts w:ascii="Times New Roman" w:hAnsi="Times New Roman"/>
              </w:rPr>
              <w:t>7 614,99</w:t>
            </w:r>
          </w:p>
        </w:tc>
        <w:tc>
          <w:tcPr>
            <w:tcW w:w="992" w:type="dxa"/>
            <w:shd w:val="clear" w:color="auto" w:fill="auto"/>
            <w:noWrap/>
            <w:vAlign w:val="center"/>
          </w:tcPr>
          <w:p>
            <w:pPr>
              <w:ind w:left="-57" w:right="-57"/>
              <w:jc w:val="right"/>
              <w:rPr>
                <w:rFonts w:ascii="Times New Roman" w:hAnsi="Times New Roman"/>
              </w:rPr>
            </w:pPr>
            <w:r>
              <w:rPr>
                <w:rFonts w:ascii="Times New Roman" w:hAnsi="Times New Roman"/>
              </w:rPr>
              <w:t>8 346,84</w:t>
            </w:r>
          </w:p>
        </w:tc>
        <w:tc>
          <w:tcPr>
            <w:tcW w:w="850" w:type="dxa"/>
            <w:vAlign w:val="center"/>
          </w:tcPr>
          <w:p>
            <w:pPr>
              <w:ind w:left="-57" w:right="-57"/>
              <w:jc w:val="center"/>
              <w:rPr>
                <w:rFonts w:ascii="Times New Roman" w:hAnsi="Times New Roman"/>
              </w:rPr>
            </w:pPr>
            <w:r>
              <w:rPr>
                <w:rFonts w:ascii="Times New Roman" w:hAnsi="Times New Roman"/>
              </w:rPr>
              <w:t>109,6</w:t>
            </w:r>
          </w:p>
        </w:tc>
        <w:tc>
          <w:tcPr>
            <w:tcW w:w="1135" w:type="dxa"/>
            <w:shd w:val="clear" w:color="auto" w:fill="auto"/>
            <w:noWrap/>
            <w:vAlign w:val="center"/>
          </w:tcPr>
          <w:p>
            <w:pPr>
              <w:ind w:left="-57" w:right="-57"/>
              <w:jc w:val="right"/>
              <w:rPr>
                <w:rFonts w:ascii="Times New Roman" w:hAnsi="Times New Roman"/>
              </w:rPr>
            </w:pPr>
            <w:r>
              <w:rPr>
                <w:rFonts w:ascii="Times New Roman" w:hAnsi="Times New Roman"/>
              </w:rPr>
              <w:t>1 925,24</w:t>
            </w:r>
          </w:p>
        </w:tc>
        <w:tc>
          <w:tcPr>
            <w:tcW w:w="1134" w:type="dxa"/>
            <w:shd w:val="clear" w:color="auto" w:fill="auto"/>
            <w:noWrap/>
            <w:vAlign w:val="center"/>
          </w:tcPr>
          <w:p>
            <w:pPr>
              <w:ind w:left="-57" w:right="-57"/>
              <w:jc w:val="right"/>
              <w:rPr>
                <w:rFonts w:ascii="Times New Roman" w:hAnsi="Times New Roman"/>
              </w:rPr>
            </w:pPr>
            <w:r>
              <w:rPr>
                <w:rFonts w:ascii="Times New Roman" w:hAnsi="Times New Roman"/>
              </w:rPr>
              <w:t>2 746,68</w:t>
            </w:r>
          </w:p>
        </w:tc>
      </w:tr>
      <w:tr>
        <w:trPr>
          <w:trHeight w:val="335"/>
        </w:trPr>
        <w:tc>
          <w:tcPr>
            <w:tcW w:w="390" w:type="dxa"/>
            <w:shd w:val="clear" w:color="auto" w:fill="auto"/>
            <w:vAlign w:val="center"/>
          </w:tcPr>
          <w:p>
            <w:pPr>
              <w:ind w:left="-57" w:right="-57"/>
              <w:rPr>
                <w:rFonts w:ascii="Times New Roman" w:hAnsi="Times New Roman"/>
              </w:rPr>
            </w:pPr>
            <w:r>
              <w:rPr>
                <w:rFonts w:ascii="Times New Roman" w:hAnsi="Times New Roman"/>
              </w:rPr>
              <w:t>1.3</w:t>
            </w:r>
          </w:p>
        </w:tc>
        <w:tc>
          <w:tcPr>
            <w:tcW w:w="2741" w:type="dxa"/>
            <w:shd w:val="clear" w:color="auto" w:fill="auto"/>
            <w:vAlign w:val="center"/>
          </w:tcPr>
          <w:p>
            <w:pPr>
              <w:ind w:left="-57" w:right="-57"/>
              <w:rPr>
                <w:rFonts w:ascii="Times New Roman" w:hAnsi="Times New Roman"/>
                <w:sz w:val="22"/>
                <w:szCs w:val="22"/>
              </w:rPr>
            </w:pPr>
            <w:r>
              <w:rPr>
                <w:rFonts w:ascii="Times New Roman" w:hAnsi="Times New Roman"/>
                <w:sz w:val="22"/>
                <w:szCs w:val="22"/>
              </w:rPr>
              <w:t>прочие</w:t>
            </w:r>
          </w:p>
        </w:tc>
        <w:tc>
          <w:tcPr>
            <w:tcW w:w="1276" w:type="dxa"/>
            <w:vAlign w:val="center"/>
          </w:tcPr>
          <w:p>
            <w:pPr>
              <w:ind w:left="-57" w:right="-57"/>
              <w:jc w:val="right"/>
              <w:rPr>
                <w:rFonts w:ascii="Times New Roman" w:hAnsi="Times New Roman"/>
              </w:rPr>
            </w:pPr>
            <w:r>
              <w:rPr>
                <w:rFonts w:ascii="Times New Roman" w:hAnsi="Times New Roman"/>
              </w:rPr>
              <w:t>4 506,01</w:t>
            </w:r>
          </w:p>
        </w:tc>
        <w:tc>
          <w:tcPr>
            <w:tcW w:w="1134" w:type="dxa"/>
            <w:shd w:val="clear" w:color="auto" w:fill="auto"/>
            <w:vAlign w:val="center"/>
          </w:tcPr>
          <w:p>
            <w:pPr>
              <w:ind w:left="-57" w:right="-57"/>
              <w:jc w:val="right"/>
              <w:rPr>
                <w:rFonts w:ascii="Times New Roman" w:hAnsi="Times New Roman"/>
              </w:rPr>
            </w:pPr>
            <w:r>
              <w:rPr>
                <w:rFonts w:ascii="Times New Roman" w:hAnsi="Times New Roman"/>
              </w:rPr>
              <w:t>3 547,61</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3 689,51</w:t>
            </w:r>
          </w:p>
        </w:tc>
        <w:tc>
          <w:tcPr>
            <w:tcW w:w="850" w:type="dxa"/>
            <w:vAlign w:val="center"/>
          </w:tcPr>
          <w:p>
            <w:pPr>
              <w:ind w:left="-57" w:right="-57"/>
              <w:jc w:val="center"/>
              <w:rPr>
                <w:rFonts w:ascii="Times New Roman" w:hAnsi="Times New Roman"/>
              </w:rPr>
            </w:pPr>
            <w:r>
              <w:rPr>
                <w:rFonts w:ascii="Times New Roman" w:hAnsi="Times New Roman"/>
              </w:rPr>
              <w:t>104,0</w:t>
            </w:r>
          </w:p>
        </w:tc>
        <w:tc>
          <w:tcPr>
            <w:tcW w:w="1135" w:type="dxa"/>
            <w:shd w:val="clear" w:color="auto" w:fill="auto"/>
            <w:vAlign w:val="center"/>
          </w:tcPr>
          <w:p>
            <w:pPr>
              <w:ind w:left="-57" w:right="-57"/>
              <w:jc w:val="right"/>
              <w:rPr>
                <w:rFonts w:ascii="Times New Roman" w:hAnsi="Times New Roman"/>
              </w:rPr>
            </w:pPr>
            <w:r>
              <w:rPr>
                <w:rFonts w:ascii="Times New Roman" w:hAnsi="Times New Roman"/>
              </w:rPr>
              <w:t>3 837,09</w:t>
            </w:r>
          </w:p>
        </w:tc>
        <w:tc>
          <w:tcPr>
            <w:tcW w:w="1134" w:type="dxa"/>
            <w:shd w:val="clear" w:color="auto" w:fill="auto"/>
            <w:vAlign w:val="center"/>
          </w:tcPr>
          <w:p>
            <w:pPr>
              <w:ind w:left="-57" w:right="-57"/>
              <w:jc w:val="right"/>
              <w:rPr>
                <w:rFonts w:ascii="Times New Roman" w:hAnsi="Times New Roman"/>
              </w:rPr>
            </w:pPr>
            <w:r>
              <w:rPr>
                <w:rFonts w:ascii="Times New Roman" w:hAnsi="Times New Roman"/>
              </w:rPr>
              <w:t>3 990,57</w:t>
            </w:r>
          </w:p>
        </w:tc>
      </w:tr>
      <w:tr>
        <w:trPr>
          <w:trHeight w:val="280"/>
        </w:trPr>
        <w:tc>
          <w:tcPr>
            <w:tcW w:w="390" w:type="dxa"/>
            <w:shd w:val="clear" w:color="auto" w:fill="auto"/>
            <w:vAlign w:val="center"/>
          </w:tcPr>
          <w:p>
            <w:pPr>
              <w:ind w:left="-57" w:right="-57"/>
              <w:rPr>
                <w:rFonts w:ascii="Times New Roman" w:hAnsi="Times New Roman"/>
              </w:rPr>
            </w:pPr>
            <w:r>
              <w:rPr>
                <w:rFonts w:ascii="Times New Roman" w:hAnsi="Times New Roman"/>
              </w:rPr>
              <w:t>2</w:t>
            </w:r>
          </w:p>
        </w:tc>
        <w:tc>
          <w:tcPr>
            <w:tcW w:w="2741" w:type="dxa"/>
            <w:shd w:val="clear" w:color="auto" w:fill="auto"/>
            <w:vAlign w:val="center"/>
          </w:tcPr>
          <w:p>
            <w:pPr>
              <w:ind w:left="-57" w:right="-57"/>
              <w:rPr>
                <w:rFonts w:ascii="Times New Roman" w:hAnsi="Times New Roman"/>
                <w:sz w:val="22"/>
                <w:szCs w:val="22"/>
              </w:rPr>
            </w:pPr>
            <w:r>
              <w:rPr>
                <w:rFonts w:ascii="Times New Roman" w:hAnsi="Times New Roman"/>
                <w:sz w:val="22"/>
                <w:szCs w:val="22"/>
              </w:rPr>
              <w:t xml:space="preserve">Фактическое поступление в бюджет ЗАТО Северск </w:t>
            </w:r>
          </w:p>
          <w:p>
            <w:pPr>
              <w:ind w:left="-57" w:right="-57"/>
              <w:rPr>
                <w:rFonts w:ascii="Times New Roman" w:hAnsi="Times New Roman"/>
                <w:sz w:val="22"/>
                <w:szCs w:val="22"/>
              </w:rPr>
            </w:pPr>
            <w:r>
              <w:rPr>
                <w:rFonts w:ascii="Times New Roman" w:hAnsi="Times New Roman"/>
                <w:sz w:val="22"/>
                <w:szCs w:val="22"/>
              </w:rPr>
              <w:t>(с учетом норматива 60% и зачета переплат по итогам отчетного периода)</w:t>
            </w:r>
          </w:p>
        </w:tc>
        <w:tc>
          <w:tcPr>
            <w:tcW w:w="1276" w:type="dxa"/>
            <w:vAlign w:val="center"/>
          </w:tcPr>
          <w:p>
            <w:pPr>
              <w:ind w:left="-57" w:right="-57"/>
              <w:jc w:val="right"/>
              <w:rPr>
                <w:rFonts w:ascii="Times New Roman" w:hAnsi="Times New Roman"/>
              </w:rPr>
            </w:pPr>
            <w:r>
              <w:rPr>
                <w:rFonts w:ascii="Times New Roman" w:hAnsi="Times New Roman"/>
              </w:rPr>
              <w:t>12 226,39</w:t>
            </w:r>
          </w:p>
        </w:tc>
        <w:tc>
          <w:tcPr>
            <w:tcW w:w="1134" w:type="dxa"/>
            <w:shd w:val="clear" w:color="auto" w:fill="auto"/>
            <w:vAlign w:val="center"/>
          </w:tcPr>
          <w:p>
            <w:pPr>
              <w:ind w:left="-57" w:right="-57"/>
              <w:jc w:val="right"/>
              <w:rPr>
                <w:rFonts w:ascii="Times New Roman" w:hAnsi="Times New Roman"/>
              </w:rPr>
            </w:pPr>
            <w:r>
              <w:rPr>
                <w:rFonts w:ascii="Times New Roman" w:hAnsi="Times New Roman"/>
              </w:rPr>
              <w:t>8 027,96</w:t>
            </w:r>
          </w:p>
        </w:tc>
        <w:tc>
          <w:tcPr>
            <w:tcW w:w="992" w:type="dxa"/>
            <w:shd w:val="clear" w:color="auto" w:fill="auto"/>
            <w:vAlign w:val="center"/>
          </w:tcPr>
          <w:p>
            <w:pPr>
              <w:ind w:left="-57" w:right="-57"/>
              <w:jc w:val="right"/>
              <w:rPr>
                <w:rFonts w:ascii="Times New Roman" w:hAnsi="Times New Roman"/>
              </w:rPr>
            </w:pPr>
            <w:r>
              <w:rPr>
                <w:rFonts w:ascii="Times New Roman" w:hAnsi="Times New Roman"/>
              </w:rPr>
              <w:t>14 061,81</w:t>
            </w:r>
          </w:p>
        </w:tc>
        <w:tc>
          <w:tcPr>
            <w:tcW w:w="850" w:type="dxa"/>
            <w:vAlign w:val="center"/>
          </w:tcPr>
          <w:p>
            <w:pPr>
              <w:ind w:left="-57" w:right="-57"/>
              <w:jc w:val="center"/>
              <w:rPr>
                <w:rFonts w:ascii="Times New Roman" w:hAnsi="Times New Roman"/>
              </w:rPr>
            </w:pPr>
            <w:r>
              <w:rPr>
                <w:rFonts w:ascii="Times New Roman" w:hAnsi="Times New Roman"/>
              </w:rPr>
              <w:t>175,2</w:t>
            </w:r>
          </w:p>
        </w:tc>
        <w:tc>
          <w:tcPr>
            <w:tcW w:w="1135" w:type="dxa"/>
            <w:shd w:val="clear" w:color="auto" w:fill="auto"/>
            <w:vAlign w:val="center"/>
          </w:tcPr>
          <w:p>
            <w:pPr>
              <w:ind w:left="-57" w:right="-57"/>
              <w:jc w:val="right"/>
              <w:rPr>
                <w:rFonts w:ascii="Times New Roman" w:hAnsi="Times New Roman"/>
              </w:rPr>
            </w:pPr>
            <w:r>
              <w:rPr>
                <w:rFonts w:ascii="Times New Roman" w:hAnsi="Times New Roman"/>
              </w:rPr>
              <w:t>10 537,39</w:t>
            </w:r>
          </w:p>
        </w:tc>
        <w:tc>
          <w:tcPr>
            <w:tcW w:w="1134" w:type="dxa"/>
            <w:shd w:val="clear" w:color="auto" w:fill="auto"/>
            <w:vAlign w:val="center"/>
          </w:tcPr>
          <w:p>
            <w:pPr>
              <w:ind w:left="-57" w:right="-57"/>
              <w:jc w:val="right"/>
              <w:rPr>
                <w:rFonts w:ascii="Times New Roman" w:hAnsi="Times New Roman"/>
              </w:rPr>
            </w:pPr>
            <w:r>
              <w:rPr>
                <w:rFonts w:ascii="Times New Roman" w:hAnsi="Times New Roman"/>
              </w:rPr>
              <w:t>11 362,35</w:t>
            </w:r>
          </w:p>
        </w:tc>
      </w:tr>
    </w:tbl>
    <w:p>
      <w:pPr>
        <w:rPr>
          <w:b/>
          <w:bCs/>
          <w:iCs/>
          <w:sz w:val="24"/>
          <w:szCs w:val="24"/>
        </w:rPr>
      </w:pPr>
    </w:p>
    <w:p>
      <w:pPr>
        <w:spacing w:before="120"/>
        <w:jc w:val="center"/>
        <w:rPr>
          <w:b/>
          <w:bCs/>
          <w:iCs/>
          <w:sz w:val="24"/>
          <w:szCs w:val="24"/>
        </w:rPr>
      </w:pPr>
    </w:p>
    <w:p>
      <w:pPr>
        <w:spacing w:before="120"/>
        <w:jc w:val="center"/>
        <w:rPr>
          <w:b/>
          <w:bCs/>
          <w:iCs/>
          <w:sz w:val="24"/>
          <w:szCs w:val="24"/>
        </w:rPr>
      </w:pPr>
      <w:r>
        <w:rPr>
          <w:b/>
          <w:bCs/>
          <w:iCs/>
          <w:sz w:val="24"/>
          <w:szCs w:val="24"/>
        </w:rPr>
        <w:lastRenderedPageBreak/>
        <w:t xml:space="preserve">1.4.3. Доходы от оказания платных услуг (работ) </w:t>
      </w:r>
    </w:p>
    <w:p>
      <w:pPr>
        <w:spacing w:after="120"/>
        <w:jc w:val="center"/>
        <w:rPr>
          <w:b/>
          <w:bCs/>
          <w:iCs/>
          <w:sz w:val="24"/>
          <w:szCs w:val="24"/>
        </w:rPr>
      </w:pPr>
      <w:r>
        <w:rPr>
          <w:b/>
          <w:bCs/>
          <w:iCs/>
          <w:sz w:val="24"/>
          <w:szCs w:val="24"/>
        </w:rPr>
        <w:t>и компенсации затрат государства</w:t>
      </w:r>
    </w:p>
    <w:p>
      <w:pPr>
        <w:ind w:right="43" w:firstLine="720"/>
        <w:jc w:val="both"/>
        <w:rPr>
          <w:rFonts w:ascii="Times New Roman" w:hAnsi="Times New Roman"/>
          <w:sz w:val="24"/>
        </w:rPr>
      </w:pPr>
      <w:r>
        <w:rPr>
          <w:rFonts w:ascii="Times New Roman" w:hAnsi="Times New Roman"/>
          <w:sz w:val="24"/>
        </w:rPr>
        <w:t>Прогноз поступлений в бюджет доходов от оказания платных услуг (работ) и компенсации затрат государства выполнен на основании данных главных администраторов.</w:t>
      </w:r>
    </w:p>
    <w:p>
      <w:pPr>
        <w:ind w:right="43" w:firstLine="720"/>
        <w:jc w:val="both"/>
        <w:rPr>
          <w:rFonts w:ascii="Times New Roman" w:hAnsi="Times New Roman"/>
          <w:sz w:val="24"/>
        </w:rPr>
      </w:pPr>
      <w:r>
        <w:rPr>
          <w:rFonts w:ascii="Times New Roman" w:hAnsi="Times New Roman"/>
          <w:sz w:val="24"/>
        </w:rPr>
        <w:t>Норматив зачисления доходов по указанной статье в бюджет ЗАТО Северск составляет 100%.</w:t>
      </w:r>
    </w:p>
    <w:p>
      <w:pPr>
        <w:ind w:right="43" w:firstLine="720"/>
        <w:jc w:val="both"/>
        <w:rPr>
          <w:rFonts w:ascii="Times New Roman" w:hAnsi="Times New Roman"/>
          <w:sz w:val="24"/>
        </w:rPr>
      </w:pPr>
      <w:r>
        <w:rPr>
          <w:rFonts w:ascii="Times New Roman" w:hAnsi="Times New Roman"/>
          <w:sz w:val="24"/>
        </w:rPr>
        <w:t xml:space="preserve">Доходы от оказания платных услуг (работ) и компенсации затрат государства </w:t>
      </w:r>
      <w:r>
        <w:rPr>
          <w:rFonts w:ascii="Times New Roman" w:hAnsi="Times New Roman"/>
          <w:sz w:val="24"/>
        </w:rPr>
        <w:br/>
        <w:t>на 2021 год прогнозируются в сумме 4 325,53 тыс.руб., что на 840,15 тыс.руб. (на 16,3%) меньше оценки 2020 года.</w:t>
      </w:r>
    </w:p>
    <w:p>
      <w:pPr>
        <w:ind w:right="43" w:firstLine="709"/>
        <w:jc w:val="both"/>
        <w:rPr>
          <w:rFonts w:ascii="Times New Roman" w:hAnsi="Times New Roman"/>
          <w:sz w:val="24"/>
        </w:rPr>
      </w:pPr>
      <w:r>
        <w:rPr>
          <w:rFonts w:ascii="Times New Roman" w:hAnsi="Times New Roman"/>
          <w:sz w:val="24"/>
        </w:rPr>
        <w:t xml:space="preserve">Поступления на 2022 - 2023 годы прогнозируются в сумме 4 385,12 тыс.руб. </w:t>
      </w:r>
      <w:r>
        <w:rPr>
          <w:rFonts w:ascii="Times New Roman" w:hAnsi="Times New Roman"/>
          <w:sz w:val="24"/>
        </w:rPr>
        <w:br/>
        <w:t xml:space="preserve">и 4 472,05 тыс.руб. соответственно. </w:t>
      </w:r>
    </w:p>
    <w:p>
      <w:pPr>
        <w:ind w:right="43" w:firstLine="709"/>
        <w:jc w:val="both"/>
        <w:rPr>
          <w:rFonts w:ascii="Times New Roman" w:hAnsi="Times New Roman"/>
          <w:sz w:val="24"/>
          <w:szCs w:val="24"/>
        </w:rPr>
      </w:pPr>
      <w:r>
        <w:rPr>
          <w:rFonts w:ascii="Times New Roman" w:hAnsi="Times New Roman"/>
          <w:sz w:val="24"/>
          <w:szCs w:val="24"/>
        </w:rPr>
        <w:t xml:space="preserve">Прогноз поступлений </w:t>
      </w:r>
      <w:r>
        <w:rPr>
          <w:rFonts w:ascii="Times New Roman" w:hAnsi="Times New Roman"/>
          <w:sz w:val="24"/>
        </w:rPr>
        <w:t xml:space="preserve">по данной статье </w:t>
      </w:r>
      <w:r>
        <w:rPr>
          <w:rFonts w:ascii="Times New Roman" w:hAnsi="Times New Roman"/>
          <w:sz w:val="24"/>
          <w:szCs w:val="24"/>
        </w:rPr>
        <w:t>сформирован по следующим подстатьям:</w:t>
      </w:r>
    </w:p>
    <w:p>
      <w:pPr>
        <w:ind w:right="43" w:firstLine="709"/>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lang w:val="en-US"/>
        </w:rPr>
        <w:t> </w:t>
      </w:r>
      <w:r>
        <w:rPr>
          <w:rFonts w:ascii="Times New Roman" w:hAnsi="Times New Roman"/>
          <w:sz w:val="24"/>
        </w:rPr>
        <w:t>от оказания платных услуг (работ) от муниципального казенного учреждения ЗАТО Северск «Централизованная бухгалтерия образовательных учреждений»</w:t>
      </w:r>
      <w:r>
        <w:rPr>
          <w:rFonts w:ascii="Times New Roman" w:hAnsi="Times New Roman"/>
          <w:sz w:val="24"/>
          <w:szCs w:val="24"/>
        </w:rPr>
        <w:t xml:space="preserve"> (администратор - Управление образования Администрации ЗАТО Северск);</w:t>
      </w:r>
    </w:p>
    <w:p>
      <w:pPr>
        <w:ind w:right="43" w:firstLine="709"/>
        <w:jc w:val="both"/>
        <w:rPr>
          <w:rFonts w:ascii="Times New Roman" w:hAnsi="Times New Roman"/>
          <w:sz w:val="24"/>
          <w:szCs w:val="24"/>
        </w:rPr>
      </w:pPr>
      <w:r>
        <w:rPr>
          <w:rFonts w:ascii="Times New Roman" w:hAnsi="Times New Roman"/>
          <w:sz w:val="24"/>
          <w:szCs w:val="24"/>
        </w:rPr>
        <w:t>-</w:t>
      </w:r>
      <w:r>
        <w:rPr>
          <w:rFonts w:ascii="Times New Roman" w:hAnsi="Times New Roman"/>
          <w:sz w:val="24"/>
          <w:lang w:val="en-US"/>
        </w:rPr>
        <w:t> </w:t>
      </w:r>
      <w:r>
        <w:rPr>
          <w:rFonts w:ascii="Times New Roman" w:hAnsi="Times New Roman"/>
          <w:sz w:val="24"/>
        </w:rPr>
        <w:t>от компенсации затрат государства, а именно: возмещение коммунальных расходов от эксплуатации муниципального имущества</w:t>
      </w:r>
      <w:r>
        <w:rPr>
          <w:rFonts w:ascii="Times New Roman" w:hAnsi="Times New Roman"/>
          <w:sz w:val="24"/>
          <w:szCs w:val="24"/>
        </w:rPr>
        <w:t xml:space="preserve"> (администратор – УИО Администрации ЗАТО Северск, Счетная палата ЗАТО Северск), возврат дебиторской задолженности прошлых лет (администратор - Управление образования Администрации ЗАТО Северск).</w:t>
      </w:r>
    </w:p>
    <w:p>
      <w:pPr>
        <w:ind w:right="43" w:firstLine="709"/>
        <w:jc w:val="both"/>
        <w:rPr>
          <w:rFonts w:ascii="Times New Roman" w:hAnsi="Times New Roman"/>
          <w:sz w:val="24"/>
          <w:szCs w:val="24"/>
        </w:rPr>
      </w:pPr>
      <w:r>
        <w:rPr>
          <w:rFonts w:ascii="Times New Roman" w:hAnsi="Times New Roman"/>
          <w:sz w:val="24"/>
          <w:szCs w:val="24"/>
        </w:rPr>
        <w:t>Доля поступлений в 2021 – 2023 годы в структуре налоговых и неналоговых доходов составит 0,4%, в общей сумме доходов бюджета ЗАТО Северск – 0,1%.</w:t>
      </w:r>
    </w:p>
    <w:p>
      <w:pPr>
        <w:spacing w:before="120"/>
        <w:ind w:firstLine="709"/>
        <w:jc w:val="both"/>
        <w:rPr>
          <w:rFonts w:ascii="Times New Roman" w:hAnsi="Times New Roman"/>
          <w:sz w:val="24"/>
          <w:szCs w:val="24"/>
        </w:rPr>
      </w:pPr>
      <w:r>
        <w:rPr>
          <w:rFonts w:ascii="Times New Roman" w:hAnsi="Times New Roman"/>
          <w:sz w:val="24"/>
          <w:szCs w:val="24"/>
        </w:rPr>
        <w:t xml:space="preserve">Таблица 23 – Расчет поступления доходов от оказания платных услуг (работ) </w:t>
      </w:r>
      <w:r>
        <w:rPr>
          <w:rFonts w:ascii="Times New Roman" w:hAnsi="Times New Roman"/>
          <w:sz w:val="24"/>
          <w:szCs w:val="24"/>
        </w:rPr>
        <w:br/>
        <w:t>и компенсации затрат государства</w:t>
      </w:r>
    </w:p>
    <w:tbl>
      <w:tblPr>
        <w:tblpPr w:leftFromText="180" w:rightFromText="180" w:vertAnchor="text" w:horzAnchor="margin" w:tblpY="14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3118"/>
        <w:gridCol w:w="1134"/>
        <w:gridCol w:w="993"/>
        <w:gridCol w:w="1134"/>
        <w:gridCol w:w="708"/>
        <w:gridCol w:w="1134"/>
        <w:gridCol w:w="993"/>
      </w:tblGrid>
      <w:tr>
        <w:trPr>
          <w:trHeight w:val="313"/>
        </w:trPr>
        <w:tc>
          <w:tcPr>
            <w:tcW w:w="392" w:type="dxa"/>
            <w:vMerge w:val="restart"/>
            <w:shd w:val="clear" w:color="auto" w:fill="FFFFFF"/>
            <w:vAlign w:val="center"/>
          </w:tcPr>
          <w:p>
            <w:pPr>
              <w:rPr>
                <w:rFonts w:ascii="Times New Roman" w:hAnsi="Times New Roman"/>
                <w:bCs/>
                <w:iCs/>
              </w:rPr>
            </w:pPr>
            <w:r>
              <w:rPr>
                <w:rFonts w:ascii="Times New Roman" w:hAnsi="Times New Roman"/>
                <w:bCs/>
                <w:iCs/>
              </w:rPr>
              <w:t>№</w:t>
            </w:r>
          </w:p>
        </w:tc>
        <w:tc>
          <w:tcPr>
            <w:tcW w:w="3118" w:type="dxa"/>
            <w:vMerge w:val="restart"/>
            <w:shd w:val="clear" w:color="auto" w:fill="FFFFFF"/>
            <w:noWrap/>
            <w:vAlign w:val="center"/>
          </w:tcPr>
          <w:p>
            <w:pPr>
              <w:jc w:val="center"/>
              <w:rPr>
                <w:rFonts w:ascii="Times New Roman" w:hAnsi="Times New Roman"/>
                <w:bCs/>
                <w:iCs/>
              </w:rPr>
            </w:pPr>
            <w:r>
              <w:rPr>
                <w:rFonts w:ascii="Times New Roman" w:hAnsi="Times New Roman"/>
                <w:bCs/>
                <w:iCs/>
              </w:rPr>
              <w:t xml:space="preserve">Наименование </w:t>
            </w:r>
          </w:p>
        </w:tc>
        <w:tc>
          <w:tcPr>
            <w:tcW w:w="2127" w:type="dxa"/>
            <w:gridSpan w:val="2"/>
            <w:shd w:val="clear" w:color="auto" w:fill="FFFFFF"/>
            <w:vAlign w:val="center"/>
          </w:tcPr>
          <w:p>
            <w:pPr>
              <w:ind w:left="-108" w:right="-108"/>
              <w:jc w:val="center"/>
              <w:rPr>
                <w:rFonts w:ascii="Times New Roman" w:hAnsi="Times New Roman"/>
              </w:rPr>
            </w:pPr>
            <w:r>
              <w:rPr>
                <w:rFonts w:ascii="Times New Roman" w:hAnsi="Times New Roman"/>
              </w:rPr>
              <w:t>2020 год, тыс.руб.</w:t>
            </w:r>
          </w:p>
        </w:tc>
        <w:tc>
          <w:tcPr>
            <w:tcW w:w="1842" w:type="dxa"/>
            <w:gridSpan w:val="2"/>
            <w:vAlign w:val="center"/>
          </w:tcPr>
          <w:p>
            <w:pPr>
              <w:ind w:left="-108" w:right="-108"/>
              <w:jc w:val="center"/>
              <w:rPr>
                <w:rFonts w:ascii="Times New Roman" w:hAnsi="Times New Roman"/>
              </w:rPr>
            </w:pPr>
            <w:r>
              <w:rPr>
                <w:rFonts w:ascii="Times New Roman" w:hAnsi="Times New Roman"/>
              </w:rPr>
              <w:t>2021 год</w:t>
            </w:r>
          </w:p>
        </w:tc>
        <w:tc>
          <w:tcPr>
            <w:tcW w:w="1134"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2022 года, тыс.руб.</w:t>
            </w:r>
          </w:p>
        </w:tc>
        <w:tc>
          <w:tcPr>
            <w:tcW w:w="993"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2023 года, тыс.руб.</w:t>
            </w:r>
          </w:p>
        </w:tc>
      </w:tr>
      <w:tr>
        <w:trPr>
          <w:trHeight w:val="664"/>
        </w:trPr>
        <w:tc>
          <w:tcPr>
            <w:tcW w:w="392" w:type="dxa"/>
            <w:vMerge/>
            <w:shd w:val="clear" w:color="auto" w:fill="FFFFFF"/>
            <w:vAlign w:val="center"/>
          </w:tcPr>
          <w:p>
            <w:pPr>
              <w:rPr>
                <w:rFonts w:ascii="Times New Roman" w:hAnsi="Times New Roman"/>
                <w:bCs/>
                <w:iCs/>
                <w:sz w:val="22"/>
                <w:szCs w:val="22"/>
                <w:highlight w:val="yellow"/>
              </w:rPr>
            </w:pPr>
          </w:p>
        </w:tc>
        <w:tc>
          <w:tcPr>
            <w:tcW w:w="3118" w:type="dxa"/>
            <w:vMerge/>
            <w:shd w:val="clear" w:color="auto" w:fill="FFFFFF"/>
            <w:noWrap/>
            <w:vAlign w:val="center"/>
          </w:tcPr>
          <w:p>
            <w:pPr>
              <w:jc w:val="center"/>
              <w:rPr>
                <w:rFonts w:ascii="Times New Roman" w:hAnsi="Times New Roman"/>
                <w:sz w:val="22"/>
                <w:szCs w:val="22"/>
                <w:highlight w:val="yellow"/>
              </w:rPr>
            </w:pPr>
          </w:p>
        </w:tc>
        <w:tc>
          <w:tcPr>
            <w:tcW w:w="1134" w:type="dxa"/>
            <w:shd w:val="clear" w:color="auto" w:fill="FFFFFF"/>
            <w:vAlign w:val="center"/>
          </w:tcPr>
          <w:p>
            <w:pPr>
              <w:ind w:left="-108" w:right="-108"/>
              <w:jc w:val="center"/>
              <w:rPr>
                <w:rFonts w:ascii="Times New Roman" w:hAnsi="Times New Roman"/>
                <w:bCs/>
                <w:sz w:val="22"/>
                <w:szCs w:val="22"/>
                <w:highlight w:val="yellow"/>
              </w:rPr>
            </w:pPr>
            <w:r>
              <w:rPr>
                <w:rFonts w:ascii="Times New Roman" w:hAnsi="Times New Roman"/>
              </w:rPr>
              <w:t>Первонач. утверждено</w:t>
            </w:r>
          </w:p>
        </w:tc>
        <w:tc>
          <w:tcPr>
            <w:tcW w:w="993" w:type="dxa"/>
            <w:shd w:val="clear" w:color="auto" w:fill="FFFFFF"/>
            <w:vAlign w:val="center"/>
          </w:tcPr>
          <w:p>
            <w:pPr>
              <w:ind w:left="-108" w:right="-108"/>
              <w:jc w:val="center"/>
              <w:rPr>
                <w:rFonts w:ascii="Times New Roman" w:hAnsi="Times New Roman"/>
                <w:bCs/>
                <w:sz w:val="22"/>
                <w:szCs w:val="22"/>
                <w:highlight w:val="yellow"/>
              </w:rPr>
            </w:pPr>
            <w:r>
              <w:rPr>
                <w:rFonts w:ascii="Times New Roman" w:hAnsi="Times New Roman"/>
              </w:rPr>
              <w:t>Оценка</w:t>
            </w:r>
          </w:p>
        </w:tc>
        <w:tc>
          <w:tcPr>
            <w:tcW w:w="1134" w:type="dxa"/>
            <w:vAlign w:val="center"/>
          </w:tcPr>
          <w:p>
            <w:pPr>
              <w:ind w:left="-108" w:right="-108"/>
              <w:jc w:val="center"/>
              <w:rPr>
                <w:rFonts w:ascii="Times New Roman" w:hAnsi="Times New Roman"/>
              </w:rPr>
            </w:pPr>
            <w:r>
              <w:rPr>
                <w:rFonts w:ascii="Times New Roman" w:hAnsi="Times New Roman"/>
              </w:rPr>
              <w:t>Прогноз, тыс.руб.</w:t>
            </w:r>
          </w:p>
        </w:tc>
        <w:tc>
          <w:tcPr>
            <w:tcW w:w="708" w:type="dxa"/>
            <w:vAlign w:val="center"/>
          </w:tcPr>
          <w:p>
            <w:pPr>
              <w:ind w:left="-108" w:right="-108"/>
              <w:jc w:val="center"/>
              <w:rPr>
                <w:rFonts w:ascii="Times New Roman" w:hAnsi="Times New Roman"/>
              </w:rPr>
            </w:pPr>
            <w:r>
              <w:rPr>
                <w:rFonts w:ascii="Times New Roman" w:hAnsi="Times New Roman"/>
              </w:rPr>
              <w:t>% к оценке 2020г.</w:t>
            </w:r>
          </w:p>
        </w:tc>
        <w:tc>
          <w:tcPr>
            <w:tcW w:w="1134" w:type="dxa"/>
            <w:vMerge/>
            <w:shd w:val="clear" w:color="auto" w:fill="auto"/>
            <w:vAlign w:val="center"/>
          </w:tcPr>
          <w:p>
            <w:pPr>
              <w:ind w:right="43"/>
              <w:jc w:val="center"/>
              <w:rPr>
                <w:rFonts w:ascii="Times New Roman" w:hAnsi="Times New Roman"/>
                <w:sz w:val="22"/>
                <w:szCs w:val="22"/>
                <w:highlight w:val="yellow"/>
              </w:rPr>
            </w:pPr>
          </w:p>
        </w:tc>
        <w:tc>
          <w:tcPr>
            <w:tcW w:w="993" w:type="dxa"/>
            <w:vMerge/>
            <w:shd w:val="clear" w:color="auto" w:fill="auto"/>
            <w:vAlign w:val="center"/>
          </w:tcPr>
          <w:p>
            <w:pPr>
              <w:jc w:val="center"/>
              <w:rPr>
                <w:rFonts w:ascii="Times New Roman" w:hAnsi="Times New Roman"/>
                <w:sz w:val="22"/>
                <w:szCs w:val="22"/>
                <w:highlight w:val="yellow"/>
              </w:rPr>
            </w:pPr>
          </w:p>
        </w:tc>
      </w:tr>
      <w:tr>
        <w:trPr>
          <w:trHeight w:val="274"/>
        </w:trPr>
        <w:tc>
          <w:tcPr>
            <w:tcW w:w="392" w:type="dxa"/>
            <w:shd w:val="clear" w:color="auto" w:fill="FFFFFF"/>
            <w:vAlign w:val="center"/>
          </w:tcPr>
          <w:p>
            <w:pPr>
              <w:ind w:right="-56"/>
              <w:rPr>
                <w:rFonts w:ascii="Times New Roman" w:hAnsi="Times New Roman"/>
                <w:bCs/>
                <w:sz w:val="22"/>
                <w:szCs w:val="22"/>
              </w:rPr>
            </w:pPr>
            <w:r>
              <w:rPr>
                <w:rFonts w:ascii="Times New Roman" w:hAnsi="Times New Roman"/>
                <w:bCs/>
                <w:sz w:val="22"/>
                <w:szCs w:val="22"/>
              </w:rPr>
              <w:t>1</w:t>
            </w:r>
          </w:p>
        </w:tc>
        <w:tc>
          <w:tcPr>
            <w:tcW w:w="3118" w:type="dxa"/>
            <w:shd w:val="clear" w:color="auto" w:fill="FFFFFF"/>
            <w:vAlign w:val="center"/>
          </w:tcPr>
          <w:p>
            <w:pPr>
              <w:ind w:left="-57" w:right="-57"/>
              <w:rPr>
                <w:rFonts w:ascii="Times New Roman" w:hAnsi="Times New Roman"/>
                <w:sz w:val="22"/>
                <w:szCs w:val="22"/>
              </w:rPr>
            </w:pPr>
            <w:r>
              <w:rPr>
                <w:rFonts w:ascii="Times New Roman" w:hAnsi="Times New Roman"/>
                <w:sz w:val="22"/>
                <w:szCs w:val="22"/>
              </w:rPr>
              <w:t>Доходы от оказания платных услуг (МКУ ЦБОУ)</w:t>
            </w:r>
          </w:p>
        </w:tc>
        <w:tc>
          <w:tcPr>
            <w:tcW w:w="1134" w:type="dxa"/>
            <w:shd w:val="clear" w:color="auto" w:fill="FFFFFF"/>
            <w:vAlign w:val="center"/>
          </w:tcPr>
          <w:p>
            <w:pPr>
              <w:ind w:left="-57" w:right="-57"/>
              <w:jc w:val="right"/>
              <w:rPr>
                <w:rFonts w:ascii="Times New Roman" w:hAnsi="Times New Roman"/>
                <w:bCs/>
                <w:sz w:val="22"/>
                <w:szCs w:val="22"/>
              </w:rPr>
            </w:pPr>
            <w:r>
              <w:rPr>
                <w:rFonts w:ascii="Times New Roman" w:hAnsi="Times New Roman"/>
                <w:bCs/>
                <w:sz w:val="22"/>
                <w:szCs w:val="22"/>
              </w:rPr>
              <w:t>2 402,70</w:t>
            </w:r>
          </w:p>
        </w:tc>
        <w:tc>
          <w:tcPr>
            <w:tcW w:w="993" w:type="dxa"/>
            <w:shd w:val="clear" w:color="auto" w:fill="FFFFFF"/>
            <w:noWrap/>
            <w:vAlign w:val="center"/>
          </w:tcPr>
          <w:p>
            <w:pPr>
              <w:ind w:left="-57" w:right="-57"/>
              <w:jc w:val="right"/>
              <w:rPr>
                <w:rFonts w:ascii="Times New Roman" w:hAnsi="Times New Roman"/>
                <w:bCs/>
                <w:sz w:val="22"/>
                <w:szCs w:val="22"/>
              </w:rPr>
            </w:pPr>
            <w:r>
              <w:rPr>
                <w:rFonts w:ascii="Times New Roman" w:hAnsi="Times New Roman"/>
                <w:bCs/>
                <w:sz w:val="22"/>
                <w:szCs w:val="22"/>
              </w:rPr>
              <w:t>1 212,44</w:t>
            </w:r>
          </w:p>
        </w:tc>
        <w:tc>
          <w:tcPr>
            <w:tcW w:w="1134" w:type="dxa"/>
            <w:vAlign w:val="center"/>
          </w:tcPr>
          <w:p>
            <w:pPr>
              <w:ind w:left="-57" w:right="-57"/>
              <w:jc w:val="right"/>
              <w:rPr>
                <w:rFonts w:ascii="Times New Roman" w:hAnsi="Times New Roman"/>
                <w:bCs/>
                <w:sz w:val="22"/>
                <w:szCs w:val="22"/>
              </w:rPr>
            </w:pPr>
            <w:r>
              <w:rPr>
                <w:rFonts w:ascii="Times New Roman" w:hAnsi="Times New Roman"/>
                <w:bCs/>
                <w:sz w:val="22"/>
                <w:szCs w:val="22"/>
              </w:rPr>
              <w:t>2 199,76</w:t>
            </w:r>
          </w:p>
        </w:tc>
        <w:tc>
          <w:tcPr>
            <w:tcW w:w="708" w:type="dxa"/>
            <w:vAlign w:val="center"/>
          </w:tcPr>
          <w:p>
            <w:pPr>
              <w:ind w:left="-57" w:right="-57"/>
              <w:jc w:val="center"/>
              <w:rPr>
                <w:rFonts w:ascii="Times New Roman" w:hAnsi="Times New Roman"/>
                <w:bCs/>
                <w:sz w:val="22"/>
                <w:szCs w:val="22"/>
              </w:rPr>
            </w:pPr>
            <w:r>
              <w:rPr>
                <w:rFonts w:ascii="Times New Roman" w:hAnsi="Times New Roman"/>
                <w:bCs/>
                <w:sz w:val="22"/>
                <w:szCs w:val="22"/>
              </w:rPr>
              <w:t>182,0</w:t>
            </w:r>
          </w:p>
        </w:tc>
        <w:tc>
          <w:tcPr>
            <w:tcW w:w="1134"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2 199,76</w:t>
            </w:r>
          </w:p>
        </w:tc>
        <w:tc>
          <w:tcPr>
            <w:tcW w:w="993"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2 199,76</w:t>
            </w:r>
          </w:p>
        </w:tc>
      </w:tr>
      <w:tr>
        <w:trPr>
          <w:trHeight w:val="461"/>
        </w:trPr>
        <w:tc>
          <w:tcPr>
            <w:tcW w:w="392" w:type="dxa"/>
            <w:shd w:val="clear" w:color="auto" w:fill="FFFFFF"/>
            <w:vAlign w:val="center"/>
          </w:tcPr>
          <w:p>
            <w:pPr>
              <w:ind w:right="-56"/>
              <w:rPr>
                <w:rFonts w:ascii="Times New Roman" w:hAnsi="Times New Roman"/>
                <w:bCs/>
                <w:sz w:val="22"/>
                <w:szCs w:val="22"/>
              </w:rPr>
            </w:pPr>
            <w:r>
              <w:rPr>
                <w:rFonts w:ascii="Times New Roman" w:hAnsi="Times New Roman"/>
                <w:bCs/>
                <w:sz w:val="22"/>
                <w:szCs w:val="22"/>
              </w:rPr>
              <w:t>2</w:t>
            </w:r>
          </w:p>
        </w:tc>
        <w:tc>
          <w:tcPr>
            <w:tcW w:w="3118" w:type="dxa"/>
            <w:shd w:val="clear" w:color="auto" w:fill="FFFFFF"/>
            <w:vAlign w:val="center"/>
          </w:tcPr>
          <w:p>
            <w:pPr>
              <w:ind w:left="-57" w:right="-57"/>
              <w:rPr>
                <w:rFonts w:ascii="Times New Roman" w:hAnsi="Times New Roman"/>
                <w:sz w:val="22"/>
                <w:szCs w:val="22"/>
              </w:rPr>
            </w:pPr>
            <w:r>
              <w:rPr>
                <w:rFonts w:ascii="Times New Roman" w:hAnsi="Times New Roman"/>
                <w:sz w:val="22"/>
                <w:szCs w:val="22"/>
              </w:rPr>
              <w:t>Доходы от эксплуатации имущества</w:t>
            </w:r>
          </w:p>
        </w:tc>
        <w:tc>
          <w:tcPr>
            <w:tcW w:w="1134" w:type="dxa"/>
            <w:shd w:val="clear" w:color="auto" w:fill="FFFFFF"/>
            <w:vAlign w:val="center"/>
          </w:tcPr>
          <w:p>
            <w:pPr>
              <w:ind w:left="-57" w:right="-57"/>
              <w:jc w:val="right"/>
              <w:rPr>
                <w:rFonts w:ascii="Times New Roman" w:hAnsi="Times New Roman"/>
                <w:bCs/>
                <w:sz w:val="22"/>
                <w:szCs w:val="22"/>
              </w:rPr>
            </w:pPr>
            <w:r>
              <w:rPr>
                <w:rFonts w:ascii="Times New Roman" w:hAnsi="Times New Roman"/>
                <w:bCs/>
                <w:sz w:val="22"/>
                <w:szCs w:val="22"/>
              </w:rPr>
              <w:t>2 008,10</w:t>
            </w:r>
          </w:p>
        </w:tc>
        <w:tc>
          <w:tcPr>
            <w:tcW w:w="993" w:type="dxa"/>
            <w:shd w:val="clear" w:color="auto" w:fill="FFFFFF"/>
            <w:noWrap/>
            <w:vAlign w:val="center"/>
          </w:tcPr>
          <w:p>
            <w:pPr>
              <w:ind w:left="-57" w:right="-57"/>
              <w:jc w:val="right"/>
              <w:rPr>
                <w:rFonts w:ascii="Times New Roman" w:hAnsi="Times New Roman"/>
                <w:bCs/>
                <w:sz w:val="22"/>
                <w:szCs w:val="22"/>
              </w:rPr>
            </w:pPr>
            <w:r>
              <w:rPr>
                <w:rFonts w:ascii="Times New Roman" w:hAnsi="Times New Roman"/>
                <w:bCs/>
                <w:sz w:val="22"/>
                <w:szCs w:val="22"/>
              </w:rPr>
              <w:t>2 021,40</w:t>
            </w:r>
          </w:p>
        </w:tc>
        <w:tc>
          <w:tcPr>
            <w:tcW w:w="1134" w:type="dxa"/>
            <w:vAlign w:val="center"/>
          </w:tcPr>
          <w:p>
            <w:pPr>
              <w:ind w:left="-57" w:right="-57"/>
              <w:jc w:val="right"/>
              <w:rPr>
                <w:rFonts w:ascii="Times New Roman" w:hAnsi="Times New Roman"/>
                <w:bCs/>
                <w:sz w:val="22"/>
                <w:szCs w:val="22"/>
              </w:rPr>
            </w:pPr>
            <w:r>
              <w:rPr>
                <w:rFonts w:ascii="Times New Roman" w:hAnsi="Times New Roman"/>
                <w:bCs/>
                <w:sz w:val="22"/>
                <w:szCs w:val="22"/>
              </w:rPr>
              <w:t>2 101,77</w:t>
            </w:r>
          </w:p>
        </w:tc>
        <w:tc>
          <w:tcPr>
            <w:tcW w:w="708" w:type="dxa"/>
            <w:vAlign w:val="center"/>
          </w:tcPr>
          <w:p>
            <w:pPr>
              <w:ind w:left="-57" w:right="-57"/>
              <w:jc w:val="center"/>
              <w:rPr>
                <w:rFonts w:ascii="Times New Roman" w:hAnsi="Times New Roman"/>
                <w:bCs/>
                <w:sz w:val="22"/>
                <w:szCs w:val="22"/>
              </w:rPr>
            </w:pPr>
            <w:r>
              <w:rPr>
                <w:rFonts w:ascii="Times New Roman" w:hAnsi="Times New Roman"/>
                <w:bCs/>
                <w:sz w:val="22"/>
                <w:szCs w:val="22"/>
              </w:rPr>
              <w:t>104,0</w:t>
            </w:r>
          </w:p>
        </w:tc>
        <w:tc>
          <w:tcPr>
            <w:tcW w:w="1134"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2 185,36</w:t>
            </w:r>
          </w:p>
        </w:tc>
        <w:tc>
          <w:tcPr>
            <w:tcW w:w="993"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2 272,29</w:t>
            </w:r>
          </w:p>
        </w:tc>
      </w:tr>
      <w:tr>
        <w:trPr>
          <w:trHeight w:val="309"/>
        </w:trPr>
        <w:tc>
          <w:tcPr>
            <w:tcW w:w="392" w:type="dxa"/>
            <w:shd w:val="clear" w:color="auto" w:fill="FFFFFF"/>
            <w:vAlign w:val="center"/>
          </w:tcPr>
          <w:p>
            <w:pPr>
              <w:ind w:right="-56"/>
              <w:rPr>
                <w:rFonts w:ascii="Times New Roman" w:hAnsi="Times New Roman"/>
                <w:bCs/>
                <w:sz w:val="22"/>
                <w:szCs w:val="22"/>
              </w:rPr>
            </w:pPr>
            <w:r>
              <w:rPr>
                <w:rFonts w:ascii="Times New Roman" w:hAnsi="Times New Roman"/>
                <w:bCs/>
                <w:sz w:val="22"/>
                <w:szCs w:val="22"/>
              </w:rPr>
              <w:t>3</w:t>
            </w:r>
          </w:p>
        </w:tc>
        <w:tc>
          <w:tcPr>
            <w:tcW w:w="3118" w:type="dxa"/>
            <w:shd w:val="clear" w:color="auto" w:fill="FFFFFF"/>
            <w:noWrap/>
            <w:vAlign w:val="center"/>
          </w:tcPr>
          <w:p>
            <w:pPr>
              <w:ind w:left="-57" w:right="-57"/>
              <w:rPr>
                <w:rFonts w:ascii="Times New Roman" w:hAnsi="Times New Roman"/>
                <w:sz w:val="22"/>
                <w:szCs w:val="22"/>
              </w:rPr>
            </w:pPr>
            <w:r>
              <w:rPr>
                <w:rFonts w:ascii="Times New Roman" w:hAnsi="Times New Roman"/>
                <w:sz w:val="22"/>
                <w:szCs w:val="22"/>
              </w:rPr>
              <w:t>Задолженность прошлых лет</w:t>
            </w:r>
          </w:p>
        </w:tc>
        <w:tc>
          <w:tcPr>
            <w:tcW w:w="1134" w:type="dxa"/>
            <w:shd w:val="clear" w:color="auto" w:fill="FFFFFF"/>
            <w:vAlign w:val="center"/>
          </w:tcPr>
          <w:p>
            <w:pPr>
              <w:ind w:left="-57" w:right="-57"/>
              <w:jc w:val="right"/>
              <w:rPr>
                <w:rFonts w:ascii="Times New Roman" w:hAnsi="Times New Roman"/>
                <w:bCs/>
                <w:sz w:val="22"/>
                <w:szCs w:val="22"/>
              </w:rPr>
            </w:pPr>
            <w:r>
              <w:rPr>
                <w:rFonts w:ascii="Times New Roman" w:hAnsi="Times New Roman"/>
                <w:bCs/>
                <w:sz w:val="22"/>
                <w:szCs w:val="22"/>
              </w:rPr>
              <w:t>1 706,28</w:t>
            </w:r>
          </w:p>
        </w:tc>
        <w:tc>
          <w:tcPr>
            <w:tcW w:w="993" w:type="dxa"/>
            <w:shd w:val="clear" w:color="auto" w:fill="FFFFFF"/>
            <w:noWrap/>
            <w:vAlign w:val="center"/>
          </w:tcPr>
          <w:p>
            <w:pPr>
              <w:ind w:left="-57" w:right="-57"/>
              <w:jc w:val="right"/>
              <w:rPr>
                <w:rFonts w:ascii="Times New Roman" w:hAnsi="Times New Roman"/>
                <w:bCs/>
                <w:sz w:val="22"/>
                <w:szCs w:val="22"/>
              </w:rPr>
            </w:pPr>
            <w:r>
              <w:rPr>
                <w:rFonts w:ascii="Times New Roman" w:hAnsi="Times New Roman"/>
                <w:bCs/>
                <w:sz w:val="22"/>
                <w:szCs w:val="22"/>
              </w:rPr>
              <w:t>1 931,84</w:t>
            </w:r>
          </w:p>
        </w:tc>
        <w:tc>
          <w:tcPr>
            <w:tcW w:w="1134" w:type="dxa"/>
            <w:vAlign w:val="center"/>
          </w:tcPr>
          <w:p>
            <w:pPr>
              <w:ind w:left="-57" w:right="-57"/>
              <w:jc w:val="right"/>
              <w:rPr>
                <w:rFonts w:ascii="Times New Roman" w:hAnsi="Times New Roman"/>
                <w:bCs/>
                <w:sz w:val="22"/>
                <w:szCs w:val="22"/>
              </w:rPr>
            </w:pPr>
            <w:r>
              <w:rPr>
                <w:rFonts w:ascii="Times New Roman" w:hAnsi="Times New Roman"/>
                <w:bCs/>
                <w:sz w:val="22"/>
                <w:szCs w:val="22"/>
              </w:rPr>
              <w:t>24,00</w:t>
            </w:r>
          </w:p>
        </w:tc>
        <w:tc>
          <w:tcPr>
            <w:tcW w:w="708" w:type="dxa"/>
            <w:vAlign w:val="center"/>
          </w:tcPr>
          <w:p>
            <w:pPr>
              <w:ind w:left="-57" w:right="-57"/>
              <w:jc w:val="center"/>
              <w:rPr>
                <w:rFonts w:ascii="Times New Roman" w:hAnsi="Times New Roman"/>
                <w:bCs/>
                <w:sz w:val="22"/>
                <w:szCs w:val="22"/>
              </w:rPr>
            </w:pPr>
            <w:r>
              <w:rPr>
                <w:rFonts w:ascii="Times New Roman" w:hAnsi="Times New Roman"/>
                <w:bCs/>
                <w:sz w:val="22"/>
                <w:szCs w:val="22"/>
              </w:rPr>
              <w:t>2,0</w:t>
            </w:r>
          </w:p>
        </w:tc>
        <w:tc>
          <w:tcPr>
            <w:tcW w:w="1134"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w:t>
            </w:r>
          </w:p>
        </w:tc>
        <w:tc>
          <w:tcPr>
            <w:tcW w:w="993"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w:t>
            </w:r>
          </w:p>
        </w:tc>
      </w:tr>
      <w:tr>
        <w:trPr>
          <w:trHeight w:val="440"/>
        </w:trPr>
        <w:tc>
          <w:tcPr>
            <w:tcW w:w="392" w:type="dxa"/>
            <w:shd w:val="clear" w:color="auto" w:fill="FFFFFF"/>
            <w:vAlign w:val="center"/>
          </w:tcPr>
          <w:p>
            <w:pPr>
              <w:ind w:right="-56"/>
              <w:rPr>
                <w:rFonts w:ascii="Times New Roman" w:hAnsi="Times New Roman"/>
                <w:bCs/>
                <w:sz w:val="22"/>
                <w:szCs w:val="22"/>
              </w:rPr>
            </w:pPr>
            <w:r>
              <w:rPr>
                <w:rFonts w:ascii="Times New Roman" w:hAnsi="Times New Roman"/>
                <w:bCs/>
                <w:sz w:val="22"/>
                <w:szCs w:val="22"/>
              </w:rPr>
              <w:t>4</w:t>
            </w:r>
          </w:p>
        </w:tc>
        <w:tc>
          <w:tcPr>
            <w:tcW w:w="3118" w:type="dxa"/>
            <w:shd w:val="clear" w:color="auto" w:fill="FFFFFF"/>
            <w:noWrap/>
            <w:vAlign w:val="center"/>
          </w:tcPr>
          <w:p>
            <w:pPr>
              <w:spacing w:before="20" w:after="20"/>
              <w:ind w:left="-57" w:right="-57"/>
              <w:rPr>
                <w:rFonts w:ascii="Times New Roman" w:hAnsi="Times New Roman"/>
                <w:sz w:val="22"/>
                <w:szCs w:val="22"/>
              </w:rPr>
            </w:pPr>
            <w:r>
              <w:rPr>
                <w:rFonts w:ascii="Times New Roman" w:hAnsi="Times New Roman"/>
                <w:sz w:val="22"/>
                <w:szCs w:val="22"/>
              </w:rPr>
              <w:t>Итого</w:t>
            </w:r>
          </w:p>
        </w:tc>
        <w:tc>
          <w:tcPr>
            <w:tcW w:w="1134" w:type="dxa"/>
            <w:shd w:val="clear" w:color="auto" w:fill="FFFFFF"/>
            <w:vAlign w:val="center"/>
          </w:tcPr>
          <w:p>
            <w:pPr>
              <w:ind w:left="-57" w:right="-57"/>
              <w:jc w:val="right"/>
              <w:rPr>
                <w:rFonts w:ascii="Times New Roman" w:hAnsi="Times New Roman"/>
                <w:bCs/>
                <w:sz w:val="22"/>
                <w:szCs w:val="22"/>
              </w:rPr>
            </w:pPr>
            <w:r>
              <w:rPr>
                <w:rFonts w:ascii="Times New Roman" w:hAnsi="Times New Roman"/>
                <w:bCs/>
                <w:sz w:val="22"/>
                <w:szCs w:val="22"/>
              </w:rPr>
              <w:t>6 117,08</w:t>
            </w:r>
          </w:p>
        </w:tc>
        <w:tc>
          <w:tcPr>
            <w:tcW w:w="993" w:type="dxa"/>
            <w:shd w:val="clear" w:color="auto" w:fill="FFFFFF"/>
            <w:noWrap/>
            <w:vAlign w:val="center"/>
          </w:tcPr>
          <w:p>
            <w:pPr>
              <w:ind w:left="-57" w:right="-57"/>
              <w:jc w:val="right"/>
              <w:rPr>
                <w:rFonts w:ascii="Times New Roman" w:hAnsi="Times New Roman"/>
                <w:bCs/>
                <w:sz w:val="22"/>
                <w:szCs w:val="22"/>
              </w:rPr>
            </w:pPr>
            <w:r>
              <w:rPr>
                <w:rFonts w:ascii="Times New Roman" w:hAnsi="Times New Roman"/>
                <w:bCs/>
                <w:sz w:val="22"/>
                <w:szCs w:val="22"/>
              </w:rPr>
              <w:t>5 165,68</w:t>
            </w:r>
          </w:p>
        </w:tc>
        <w:tc>
          <w:tcPr>
            <w:tcW w:w="1134" w:type="dxa"/>
            <w:vAlign w:val="center"/>
          </w:tcPr>
          <w:p>
            <w:pPr>
              <w:ind w:left="-57" w:right="-57"/>
              <w:jc w:val="right"/>
              <w:rPr>
                <w:rFonts w:ascii="Times New Roman" w:hAnsi="Times New Roman"/>
                <w:bCs/>
                <w:sz w:val="22"/>
                <w:szCs w:val="22"/>
              </w:rPr>
            </w:pPr>
            <w:r>
              <w:rPr>
                <w:rFonts w:ascii="Times New Roman" w:hAnsi="Times New Roman"/>
                <w:bCs/>
                <w:sz w:val="22"/>
                <w:szCs w:val="22"/>
              </w:rPr>
              <w:t>4 325,53</w:t>
            </w:r>
          </w:p>
        </w:tc>
        <w:tc>
          <w:tcPr>
            <w:tcW w:w="708" w:type="dxa"/>
            <w:vAlign w:val="center"/>
          </w:tcPr>
          <w:p>
            <w:pPr>
              <w:ind w:left="-57" w:right="-57"/>
              <w:jc w:val="center"/>
              <w:rPr>
                <w:rFonts w:ascii="Times New Roman" w:hAnsi="Times New Roman"/>
                <w:bCs/>
                <w:sz w:val="22"/>
                <w:szCs w:val="22"/>
              </w:rPr>
            </w:pPr>
            <w:r>
              <w:rPr>
                <w:rFonts w:ascii="Times New Roman" w:hAnsi="Times New Roman"/>
                <w:bCs/>
                <w:sz w:val="22"/>
                <w:szCs w:val="22"/>
              </w:rPr>
              <w:t>83,7</w:t>
            </w:r>
          </w:p>
        </w:tc>
        <w:tc>
          <w:tcPr>
            <w:tcW w:w="1134"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4 385,12</w:t>
            </w:r>
          </w:p>
        </w:tc>
        <w:tc>
          <w:tcPr>
            <w:tcW w:w="993"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4 472,05</w:t>
            </w:r>
          </w:p>
        </w:tc>
      </w:tr>
    </w:tbl>
    <w:p>
      <w:pPr>
        <w:spacing w:before="240" w:after="120"/>
        <w:jc w:val="center"/>
        <w:rPr>
          <w:b/>
          <w:bCs/>
          <w:iCs/>
          <w:sz w:val="24"/>
          <w:szCs w:val="24"/>
        </w:rPr>
      </w:pPr>
      <w:r>
        <w:rPr>
          <w:b/>
          <w:bCs/>
          <w:iCs/>
          <w:sz w:val="24"/>
          <w:szCs w:val="24"/>
        </w:rPr>
        <w:t>1.4.4. Доходы от продажи материальных и нематериальных активов</w:t>
      </w:r>
    </w:p>
    <w:p>
      <w:pPr>
        <w:ind w:right="43" w:firstLine="720"/>
        <w:jc w:val="both"/>
        <w:rPr>
          <w:rFonts w:ascii="Times New Roman" w:hAnsi="Times New Roman"/>
          <w:sz w:val="24"/>
        </w:rPr>
      </w:pPr>
      <w:r>
        <w:rPr>
          <w:rFonts w:ascii="Times New Roman" w:hAnsi="Times New Roman"/>
          <w:sz w:val="24"/>
        </w:rPr>
        <w:t>Прогноз поступлений в бюджет доходов от продажи материальных и нематериальных активов выполнен согласно прогнозному плану (программе) приватизации муниципального имущества, а также с учетом поступления доходов в порядке приватизации муниципального имущества, арендуемого субъектами малого и среднего бизнеса, с оплатой в рассрочку на три года (Федеральный закон от 22.07.2008 № 159–ФЗ) и доходов от продажи земельных участков. Главный администратор доходов – Управление имущественных отношений Администрации ЗАТО Северск.</w:t>
      </w:r>
    </w:p>
    <w:p>
      <w:pPr>
        <w:ind w:right="43" w:firstLine="720"/>
        <w:jc w:val="both"/>
        <w:rPr>
          <w:rFonts w:ascii="Times New Roman" w:hAnsi="Times New Roman"/>
          <w:sz w:val="24"/>
        </w:rPr>
      </w:pPr>
      <w:r>
        <w:rPr>
          <w:rFonts w:ascii="Times New Roman" w:hAnsi="Times New Roman"/>
          <w:sz w:val="24"/>
        </w:rPr>
        <w:t>Норматив зачисления доходов от продажи материальных и нематериальных активов в бюджет ЗАТО Северск составляет 100%.</w:t>
      </w:r>
    </w:p>
    <w:p>
      <w:pPr>
        <w:ind w:right="43" w:firstLine="720"/>
        <w:jc w:val="both"/>
        <w:rPr>
          <w:rFonts w:ascii="Times New Roman" w:hAnsi="Times New Roman"/>
          <w:sz w:val="24"/>
          <w:highlight w:val="yellow"/>
        </w:rPr>
      </w:pPr>
      <w:r>
        <w:rPr>
          <w:rFonts w:ascii="Times New Roman" w:hAnsi="Times New Roman"/>
          <w:sz w:val="24"/>
        </w:rPr>
        <w:t xml:space="preserve">Доходы от продажи материальных и нематериальных активов на 2021 год прогнозируются в сумме 4 607,83 тыс.руб., что на 5 017,72 тыс.руб. (на 52,1%) меньше оценки 2020 года. </w:t>
      </w:r>
    </w:p>
    <w:p>
      <w:pPr>
        <w:ind w:right="43" w:firstLine="720"/>
        <w:jc w:val="both"/>
        <w:rPr>
          <w:rFonts w:ascii="Times New Roman" w:hAnsi="Times New Roman"/>
          <w:sz w:val="24"/>
        </w:rPr>
      </w:pPr>
      <w:r>
        <w:rPr>
          <w:rFonts w:ascii="Times New Roman" w:hAnsi="Times New Roman"/>
          <w:sz w:val="24"/>
        </w:rPr>
        <w:t xml:space="preserve">Доходы на 2022 год прогнозируются в сумме 3 976,01 тыс.руб., на 2023 год в сумме 3 104,45 тыс.руб. </w:t>
      </w:r>
    </w:p>
    <w:p>
      <w:pPr>
        <w:ind w:right="43" w:firstLine="720"/>
        <w:jc w:val="both"/>
        <w:rPr>
          <w:rFonts w:ascii="Times New Roman" w:hAnsi="Times New Roman"/>
          <w:sz w:val="24"/>
        </w:rPr>
      </w:pPr>
      <w:r>
        <w:rPr>
          <w:rFonts w:ascii="Times New Roman" w:hAnsi="Times New Roman"/>
          <w:sz w:val="24"/>
        </w:rPr>
        <w:t xml:space="preserve">Доля поступлений в 2021 году в структуре налоговых и неналоговых доходов составит 0,4%, в общей сумме доходов бюджета ЗАТО Северск – 0,1%. </w:t>
      </w:r>
    </w:p>
    <w:p>
      <w:pPr>
        <w:ind w:right="43" w:firstLine="720"/>
        <w:jc w:val="both"/>
        <w:rPr>
          <w:rFonts w:ascii="Times New Roman" w:hAnsi="Times New Roman"/>
          <w:sz w:val="24"/>
        </w:rPr>
      </w:pPr>
      <w:r>
        <w:rPr>
          <w:rFonts w:ascii="Times New Roman" w:hAnsi="Times New Roman"/>
          <w:sz w:val="24"/>
        </w:rPr>
        <w:lastRenderedPageBreak/>
        <w:t xml:space="preserve">В 2022 и 2023 годах доля в структуре налоговых и неналоговых доходов составит 0,4% и 0,3% соответственно, в общей сумме доходов бюджета ЗАТО Северск – по 0,1%. </w:t>
      </w:r>
    </w:p>
    <w:p>
      <w:pPr>
        <w:suppressAutoHyphens/>
        <w:spacing w:before="120" w:after="120"/>
        <w:ind w:firstLine="709"/>
        <w:jc w:val="both"/>
        <w:rPr>
          <w:rFonts w:ascii="Times New Roman" w:hAnsi="Times New Roman"/>
          <w:sz w:val="24"/>
          <w:lang w:eastAsia="ar-SA"/>
        </w:rPr>
      </w:pPr>
      <w:r>
        <w:rPr>
          <w:rFonts w:ascii="Times New Roman" w:hAnsi="Times New Roman"/>
          <w:sz w:val="24"/>
          <w:lang w:eastAsia="ar-SA"/>
        </w:rPr>
        <w:t xml:space="preserve">Таблица 24 - Доходы от продажи материальных и нематериальных активов                  </w:t>
      </w:r>
    </w:p>
    <w:tbl>
      <w:tblPr>
        <w:tblW w:w="936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
        <w:gridCol w:w="3118"/>
        <w:gridCol w:w="1134"/>
        <w:gridCol w:w="992"/>
        <w:gridCol w:w="993"/>
        <w:gridCol w:w="708"/>
        <w:gridCol w:w="993"/>
        <w:gridCol w:w="992"/>
      </w:tblGrid>
      <w:tr>
        <w:trPr>
          <w:trHeight w:val="313"/>
        </w:trPr>
        <w:tc>
          <w:tcPr>
            <w:tcW w:w="438" w:type="dxa"/>
            <w:vMerge w:val="restart"/>
            <w:shd w:val="clear" w:color="auto" w:fill="auto"/>
            <w:vAlign w:val="center"/>
          </w:tcPr>
          <w:p>
            <w:pPr>
              <w:jc w:val="center"/>
              <w:rPr>
                <w:bCs/>
                <w:iCs/>
                <w:sz w:val="22"/>
                <w:szCs w:val="22"/>
              </w:rPr>
            </w:pPr>
            <w:r>
              <w:rPr>
                <w:bCs/>
                <w:iCs/>
                <w:sz w:val="22"/>
                <w:szCs w:val="22"/>
              </w:rPr>
              <w:t>№</w:t>
            </w:r>
          </w:p>
        </w:tc>
        <w:tc>
          <w:tcPr>
            <w:tcW w:w="3118" w:type="dxa"/>
            <w:vMerge w:val="restart"/>
            <w:shd w:val="clear" w:color="auto" w:fill="FFFFFF"/>
            <w:noWrap/>
            <w:vAlign w:val="center"/>
          </w:tcPr>
          <w:p>
            <w:pPr>
              <w:jc w:val="center"/>
              <w:rPr>
                <w:bCs/>
                <w:iCs/>
                <w:sz w:val="22"/>
                <w:szCs w:val="22"/>
              </w:rPr>
            </w:pPr>
            <w:r>
              <w:rPr>
                <w:bCs/>
                <w:iCs/>
                <w:sz w:val="22"/>
                <w:szCs w:val="22"/>
              </w:rPr>
              <w:t>Наименование показателей</w:t>
            </w:r>
          </w:p>
        </w:tc>
        <w:tc>
          <w:tcPr>
            <w:tcW w:w="2126" w:type="dxa"/>
            <w:gridSpan w:val="2"/>
            <w:shd w:val="clear" w:color="auto" w:fill="FFFFFF"/>
            <w:vAlign w:val="center"/>
          </w:tcPr>
          <w:p>
            <w:pPr>
              <w:ind w:left="-108" w:right="-108"/>
              <w:jc w:val="center"/>
              <w:rPr>
                <w:rFonts w:ascii="Times New Roman" w:hAnsi="Times New Roman"/>
              </w:rPr>
            </w:pPr>
            <w:r>
              <w:rPr>
                <w:rFonts w:ascii="Times New Roman" w:hAnsi="Times New Roman"/>
              </w:rPr>
              <w:t>2020 год, тыс.руб.</w:t>
            </w:r>
          </w:p>
        </w:tc>
        <w:tc>
          <w:tcPr>
            <w:tcW w:w="1701" w:type="dxa"/>
            <w:gridSpan w:val="2"/>
            <w:vAlign w:val="center"/>
          </w:tcPr>
          <w:p>
            <w:pPr>
              <w:ind w:left="-108" w:right="-108"/>
              <w:jc w:val="center"/>
              <w:rPr>
                <w:rFonts w:ascii="Times New Roman" w:hAnsi="Times New Roman"/>
              </w:rPr>
            </w:pPr>
            <w:r>
              <w:rPr>
                <w:rFonts w:ascii="Times New Roman" w:hAnsi="Times New Roman"/>
              </w:rPr>
              <w:t>2021 год</w:t>
            </w:r>
          </w:p>
        </w:tc>
        <w:tc>
          <w:tcPr>
            <w:tcW w:w="993"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2022 года, тыс.руб.</w:t>
            </w:r>
          </w:p>
        </w:tc>
        <w:tc>
          <w:tcPr>
            <w:tcW w:w="992" w:type="dxa"/>
            <w:vMerge w:val="restart"/>
            <w:shd w:val="clear" w:color="auto" w:fill="auto"/>
            <w:vAlign w:val="center"/>
          </w:tcPr>
          <w:p>
            <w:pPr>
              <w:ind w:left="-108" w:right="-108"/>
              <w:jc w:val="center"/>
              <w:rPr>
                <w:rFonts w:ascii="Times New Roman" w:hAnsi="Times New Roman"/>
              </w:rPr>
            </w:pPr>
            <w:r>
              <w:rPr>
                <w:rFonts w:ascii="Times New Roman" w:hAnsi="Times New Roman"/>
              </w:rPr>
              <w:t>Прогноз 2023 года, тыс.руб.</w:t>
            </w:r>
          </w:p>
        </w:tc>
      </w:tr>
      <w:tr>
        <w:trPr>
          <w:trHeight w:val="293"/>
        </w:trPr>
        <w:tc>
          <w:tcPr>
            <w:tcW w:w="438" w:type="dxa"/>
            <w:vMerge/>
            <w:shd w:val="clear" w:color="auto" w:fill="auto"/>
            <w:vAlign w:val="center"/>
          </w:tcPr>
          <w:p>
            <w:pPr>
              <w:jc w:val="center"/>
              <w:rPr>
                <w:bCs/>
                <w:iCs/>
                <w:sz w:val="22"/>
                <w:szCs w:val="22"/>
                <w:highlight w:val="yellow"/>
              </w:rPr>
            </w:pPr>
          </w:p>
        </w:tc>
        <w:tc>
          <w:tcPr>
            <w:tcW w:w="3118" w:type="dxa"/>
            <w:vMerge/>
            <w:shd w:val="clear" w:color="auto" w:fill="FFFFFF"/>
            <w:noWrap/>
            <w:vAlign w:val="center"/>
          </w:tcPr>
          <w:p>
            <w:pPr>
              <w:jc w:val="center"/>
              <w:rPr>
                <w:sz w:val="22"/>
                <w:szCs w:val="22"/>
                <w:highlight w:val="yellow"/>
              </w:rPr>
            </w:pPr>
          </w:p>
        </w:tc>
        <w:tc>
          <w:tcPr>
            <w:tcW w:w="1134" w:type="dxa"/>
            <w:shd w:val="clear" w:color="auto" w:fill="FFFFFF"/>
            <w:vAlign w:val="center"/>
          </w:tcPr>
          <w:p>
            <w:pPr>
              <w:ind w:left="-108" w:right="-108"/>
              <w:jc w:val="center"/>
              <w:rPr>
                <w:rFonts w:ascii="Times New Roman" w:hAnsi="Times New Roman"/>
                <w:bCs/>
                <w:sz w:val="22"/>
                <w:szCs w:val="22"/>
                <w:highlight w:val="yellow"/>
              </w:rPr>
            </w:pPr>
            <w:r>
              <w:rPr>
                <w:rFonts w:ascii="Times New Roman" w:hAnsi="Times New Roman"/>
              </w:rPr>
              <w:t>Первонач. утверждено</w:t>
            </w:r>
          </w:p>
        </w:tc>
        <w:tc>
          <w:tcPr>
            <w:tcW w:w="992" w:type="dxa"/>
            <w:shd w:val="clear" w:color="auto" w:fill="FFFFFF"/>
            <w:vAlign w:val="center"/>
          </w:tcPr>
          <w:p>
            <w:pPr>
              <w:ind w:left="-108" w:right="-108"/>
              <w:jc w:val="center"/>
              <w:rPr>
                <w:rFonts w:ascii="Times New Roman" w:hAnsi="Times New Roman"/>
                <w:bCs/>
                <w:sz w:val="22"/>
                <w:szCs w:val="22"/>
                <w:highlight w:val="yellow"/>
              </w:rPr>
            </w:pPr>
            <w:r>
              <w:rPr>
                <w:rFonts w:ascii="Times New Roman" w:hAnsi="Times New Roman"/>
              </w:rPr>
              <w:t>Оценка</w:t>
            </w:r>
          </w:p>
        </w:tc>
        <w:tc>
          <w:tcPr>
            <w:tcW w:w="993" w:type="dxa"/>
            <w:vAlign w:val="center"/>
          </w:tcPr>
          <w:p>
            <w:pPr>
              <w:ind w:left="-108" w:right="-108"/>
              <w:jc w:val="center"/>
              <w:rPr>
                <w:rFonts w:ascii="Times New Roman" w:hAnsi="Times New Roman"/>
              </w:rPr>
            </w:pPr>
            <w:r>
              <w:rPr>
                <w:rFonts w:ascii="Times New Roman" w:hAnsi="Times New Roman"/>
              </w:rPr>
              <w:t>Прогноз, тыс.руб.</w:t>
            </w:r>
          </w:p>
        </w:tc>
        <w:tc>
          <w:tcPr>
            <w:tcW w:w="708" w:type="dxa"/>
            <w:vAlign w:val="center"/>
          </w:tcPr>
          <w:p>
            <w:pPr>
              <w:ind w:left="-108" w:right="-108"/>
              <w:jc w:val="center"/>
              <w:rPr>
                <w:rFonts w:ascii="Times New Roman" w:hAnsi="Times New Roman"/>
              </w:rPr>
            </w:pPr>
            <w:r>
              <w:rPr>
                <w:rFonts w:ascii="Times New Roman" w:hAnsi="Times New Roman"/>
              </w:rPr>
              <w:t>% к оценке 2020г.</w:t>
            </w:r>
          </w:p>
        </w:tc>
        <w:tc>
          <w:tcPr>
            <w:tcW w:w="993" w:type="dxa"/>
            <w:vMerge/>
            <w:shd w:val="clear" w:color="auto" w:fill="auto"/>
            <w:vAlign w:val="center"/>
          </w:tcPr>
          <w:p>
            <w:pPr>
              <w:ind w:right="43"/>
              <w:jc w:val="center"/>
              <w:rPr>
                <w:rFonts w:ascii="Times New Roman" w:hAnsi="Times New Roman"/>
                <w:sz w:val="22"/>
                <w:szCs w:val="22"/>
                <w:highlight w:val="yellow"/>
              </w:rPr>
            </w:pPr>
          </w:p>
        </w:tc>
        <w:tc>
          <w:tcPr>
            <w:tcW w:w="992" w:type="dxa"/>
            <w:vMerge/>
            <w:shd w:val="clear" w:color="auto" w:fill="auto"/>
            <w:vAlign w:val="center"/>
          </w:tcPr>
          <w:p>
            <w:pPr>
              <w:jc w:val="center"/>
              <w:rPr>
                <w:sz w:val="22"/>
                <w:szCs w:val="22"/>
                <w:highlight w:val="yellow"/>
              </w:rPr>
            </w:pPr>
          </w:p>
        </w:tc>
      </w:tr>
      <w:tr>
        <w:trPr>
          <w:trHeight w:val="274"/>
        </w:trPr>
        <w:tc>
          <w:tcPr>
            <w:tcW w:w="438" w:type="dxa"/>
            <w:shd w:val="clear" w:color="auto" w:fill="FFFFFF"/>
            <w:vAlign w:val="center"/>
          </w:tcPr>
          <w:p>
            <w:pPr>
              <w:ind w:right="-56"/>
              <w:jc w:val="both"/>
              <w:rPr>
                <w:bCs/>
                <w:sz w:val="22"/>
                <w:szCs w:val="22"/>
              </w:rPr>
            </w:pPr>
            <w:r>
              <w:rPr>
                <w:bCs/>
                <w:sz w:val="22"/>
                <w:szCs w:val="22"/>
              </w:rPr>
              <w:t>1</w:t>
            </w:r>
          </w:p>
        </w:tc>
        <w:tc>
          <w:tcPr>
            <w:tcW w:w="3118" w:type="dxa"/>
            <w:shd w:val="clear" w:color="auto" w:fill="FFFFFF"/>
            <w:vAlign w:val="center"/>
          </w:tcPr>
          <w:p>
            <w:pPr>
              <w:spacing w:before="20" w:after="20"/>
              <w:ind w:left="-57" w:right="-57"/>
              <w:rPr>
                <w:bCs/>
                <w:sz w:val="22"/>
                <w:szCs w:val="22"/>
              </w:rPr>
            </w:pPr>
            <w:r>
              <w:rPr>
                <w:bCs/>
                <w:sz w:val="22"/>
                <w:szCs w:val="22"/>
              </w:rPr>
              <w:t>Доходы от реализации иного имущества, находящегося в собственности городских округов (в части реализации основных средств по указанному имуществу)</w:t>
            </w:r>
          </w:p>
        </w:tc>
        <w:tc>
          <w:tcPr>
            <w:tcW w:w="1134" w:type="dxa"/>
            <w:shd w:val="clear" w:color="auto" w:fill="FFFFFF"/>
            <w:vAlign w:val="center"/>
          </w:tcPr>
          <w:p>
            <w:pPr>
              <w:ind w:left="-57" w:right="-57"/>
              <w:jc w:val="center"/>
              <w:rPr>
                <w:bCs/>
                <w:sz w:val="22"/>
                <w:szCs w:val="22"/>
              </w:rPr>
            </w:pPr>
            <w:r>
              <w:rPr>
                <w:bCs/>
                <w:sz w:val="22"/>
                <w:szCs w:val="22"/>
              </w:rPr>
              <w:t>36 384,34</w:t>
            </w:r>
          </w:p>
        </w:tc>
        <w:tc>
          <w:tcPr>
            <w:tcW w:w="992" w:type="dxa"/>
            <w:shd w:val="clear" w:color="auto" w:fill="FFFFFF"/>
            <w:noWrap/>
            <w:vAlign w:val="center"/>
          </w:tcPr>
          <w:p>
            <w:pPr>
              <w:ind w:left="-57" w:right="-57"/>
              <w:jc w:val="right"/>
              <w:rPr>
                <w:bCs/>
                <w:sz w:val="22"/>
                <w:szCs w:val="22"/>
              </w:rPr>
            </w:pPr>
            <w:r>
              <w:rPr>
                <w:bCs/>
                <w:sz w:val="22"/>
                <w:szCs w:val="22"/>
              </w:rPr>
              <w:t>9 435,55</w:t>
            </w:r>
          </w:p>
        </w:tc>
        <w:tc>
          <w:tcPr>
            <w:tcW w:w="993" w:type="dxa"/>
            <w:vAlign w:val="center"/>
          </w:tcPr>
          <w:p>
            <w:pPr>
              <w:ind w:left="-57" w:right="-57"/>
              <w:jc w:val="center"/>
              <w:rPr>
                <w:bCs/>
                <w:sz w:val="22"/>
                <w:szCs w:val="22"/>
              </w:rPr>
            </w:pPr>
            <w:r>
              <w:rPr>
                <w:bCs/>
                <w:sz w:val="22"/>
                <w:szCs w:val="22"/>
              </w:rPr>
              <w:t>4 436,83</w:t>
            </w:r>
          </w:p>
        </w:tc>
        <w:tc>
          <w:tcPr>
            <w:tcW w:w="708" w:type="dxa"/>
            <w:vAlign w:val="center"/>
          </w:tcPr>
          <w:p>
            <w:pPr>
              <w:ind w:left="-57" w:right="-57"/>
              <w:jc w:val="center"/>
              <w:rPr>
                <w:bCs/>
                <w:sz w:val="22"/>
                <w:szCs w:val="22"/>
              </w:rPr>
            </w:pPr>
            <w:r>
              <w:rPr>
                <w:bCs/>
                <w:sz w:val="22"/>
                <w:szCs w:val="22"/>
              </w:rPr>
              <w:t>47,0</w:t>
            </w:r>
          </w:p>
        </w:tc>
        <w:tc>
          <w:tcPr>
            <w:tcW w:w="993" w:type="dxa"/>
            <w:shd w:val="clear" w:color="auto" w:fill="auto"/>
            <w:noWrap/>
            <w:vAlign w:val="center"/>
          </w:tcPr>
          <w:p>
            <w:pPr>
              <w:ind w:left="-57" w:right="-57"/>
              <w:jc w:val="right"/>
              <w:rPr>
                <w:bCs/>
                <w:sz w:val="22"/>
                <w:szCs w:val="22"/>
              </w:rPr>
            </w:pPr>
            <w:r>
              <w:rPr>
                <w:bCs/>
                <w:sz w:val="22"/>
                <w:szCs w:val="22"/>
              </w:rPr>
              <w:t>3 822,11</w:t>
            </w:r>
          </w:p>
        </w:tc>
        <w:tc>
          <w:tcPr>
            <w:tcW w:w="992" w:type="dxa"/>
            <w:shd w:val="clear" w:color="auto" w:fill="auto"/>
            <w:noWrap/>
            <w:vAlign w:val="center"/>
          </w:tcPr>
          <w:p>
            <w:pPr>
              <w:ind w:left="-57" w:right="-57"/>
              <w:jc w:val="right"/>
              <w:rPr>
                <w:bCs/>
                <w:sz w:val="22"/>
                <w:szCs w:val="22"/>
              </w:rPr>
            </w:pPr>
            <w:r>
              <w:rPr>
                <w:bCs/>
                <w:sz w:val="22"/>
                <w:szCs w:val="22"/>
              </w:rPr>
              <w:t>2 965,95</w:t>
            </w:r>
          </w:p>
        </w:tc>
      </w:tr>
      <w:tr>
        <w:trPr>
          <w:trHeight w:val="535"/>
        </w:trPr>
        <w:tc>
          <w:tcPr>
            <w:tcW w:w="438" w:type="dxa"/>
            <w:shd w:val="clear" w:color="auto" w:fill="FFFFFF"/>
            <w:vAlign w:val="center"/>
          </w:tcPr>
          <w:p>
            <w:pPr>
              <w:ind w:right="-56"/>
              <w:jc w:val="both"/>
              <w:rPr>
                <w:bCs/>
                <w:sz w:val="22"/>
                <w:szCs w:val="22"/>
              </w:rPr>
            </w:pPr>
            <w:r>
              <w:rPr>
                <w:bCs/>
                <w:sz w:val="22"/>
                <w:szCs w:val="22"/>
              </w:rPr>
              <w:t>1.1</w:t>
            </w:r>
          </w:p>
        </w:tc>
        <w:tc>
          <w:tcPr>
            <w:tcW w:w="3118" w:type="dxa"/>
            <w:shd w:val="clear" w:color="auto" w:fill="FFFFFF"/>
            <w:vAlign w:val="center"/>
          </w:tcPr>
          <w:p>
            <w:pPr>
              <w:widowControl w:val="0"/>
              <w:spacing w:before="20" w:after="20"/>
              <w:ind w:left="-57" w:right="-57"/>
              <w:rPr>
                <w:rFonts w:ascii="Times New Roman" w:hAnsi="Times New Roman"/>
                <w:sz w:val="22"/>
                <w:szCs w:val="22"/>
              </w:rPr>
            </w:pPr>
            <w:r>
              <w:rPr>
                <w:rFonts w:ascii="Times New Roman" w:hAnsi="Times New Roman"/>
                <w:sz w:val="22"/>
                <w:szCs w:val="22"/>
              </w:rPr>
              <w:t>из них: по Федеральному закону от 22.07.2008 № 159-ФЗ</w:t>
            </w:r>
          </w:p>
        </w:tc>
        <w:tc>
          <w:tcPr>
            <w:tcW w:w="1134" w:type="dxa"/>
            <w:shd w:val="clear" w:color="auto" w:fill="FFFFFF"/>
            <w:vAlign w:val="center"/>
          </w:tcPr>
          <w:p>
            <w:pPr>
              <w:ind w:left="-57" w:right="-57"/>
              <w:jc w:val="right"/>
              <w:rPr>
                <w:bCs/>
                <w:sz w:val="22"/>
                <w:szCs w:val="22"/>
              </w:rPr>
            </w:pPr>
            <w:r>
              <w:rPr>
                <w:bCs/>
                <w:sz w:val="22"/>
                <w:szCs w:val="22"/>
              </w:rPr>
              <w:t>5 603,00</w:t>
            </w:r>
          </w:p>
        </w:tc>
        <w:tc>
          <w:tcPr>
            <w:tcW w:w="992" w:type="dxa"/>
            <w:shd w:val="clear" w:color="auto" w:fill="FFFFFF"/>
            <w:noWrap/>
            <w:vAlign w:val="center"/>
          </w:tcPr>
          <w:p>
            <w:pPr>
              <w:ind w:left="-57" w:right="-57"/>
              <w:jc w:val="right"/>
              <w:rPr>
                <w:bCs/>
                <w:sz w:val="22"/>
                <w:szCs w:val="22"/>
              </w:rPr>
            </w:pPr>
            <w:r>
              <w:rPr>
                <w:bCs/>
                <w:sz w:val="22"/>
                <w:szCs w:val="22"/>
              </w:rPr>
              <w:t>5 468,05</w:t>
            </w:r>
          </w:p>
        </w:tc>
        <w:tc>
          <w:tcPr>
            <w:tcW w:w="993" w:type="dxa"/>
            <w:vAlign w:val="center"/>
          </w:tcPr>
          <w:p>
            <w:pPr>
              <w:ind w:left="-57" w:right="-57"/>
              <w:jc w:val="right"/>
              <w:rPr>
                <w:bCs/>
                <w:sz w:val="22"/>
                <w:szCs w:val="22"/>
              </w:rPr>
            </w:pPr>
            <w:r>
              <w:rPr>
                <w:bCs/>
                <w:sz w:val="22"/>
                <w:szCs w:val="22"/>
              </w:rPr>
              <w:t>4 436,83</w:t>
            </w:r>
          </w:p>
        </w:tc>
        <w:tc>
          <w:tcPr>
            <w:tcW w:w="708" w:type="dxa"/>
            <w:vAlign w:val="center"/>
          </w:tcPr>
          <w:p>
            <w:pPr>
              <w:ind w:left="-57" w:right="-57"/>
              <w:jc w:val="center"/>
              <w:rPr>
                <w:bCs/>
                <w:sz w:val="22"/>
                <w:szCs w:val="22"/>
              </w:rPr>
            </w:pPr>
            <w:r>
              <w:rPr>
                <w:bCs/>
                <w:sz w:val="22"/>
                <w:szCs w:val="22"/>
              </w:rPr>
              <w:t>81,1</w:t>
            </w:r>
          </w:p>
        </w:tc>
        <w:tc>
          <w:tcPr>
            <w:tcW w:w="993" w:type="dxa"/>
            <w:shd w:val="clear" w:color="auto" w:fill="auto"/>
            <w:noWrap/>
            <w:vAlign w:val="center"/>
          </w:tcPr>
          <w:p>
            <w:pPr>
              <w:ind w:left="-57" w:right="-57"/>
              <w:jc w:val="right"/>
              <w:rPr>
                <w:bCs/>
                <w:sz w:val="22"/>
                <w:szCs w:val="22"/>
              </w:rPr>
            </w:pPr>
            <w:r>
              <w:rPr>
                <w:bCs/>
                <w:sz w:val="22"/>
                <w:szCs w:val="22"/>
              </w:rPr>
              <w:t>3 822,11</w:t>
            </w:r>
          </w:p>
        </w:tc>
        <w:tc>
          <w:tcPr>
            <w:tcW w:w="992" w:type="dxa"/>
            <w:shd w:val="clear" w:color="auto" w:fill="auto"/>
            <w:noWrap/>
            <w:vAlign w:val="center"/>
          </w:tcPr>
          <w:p>
            <w:pPr>
              <w:ind w:left="-57" w:right="-57"/>
              <w:jc w:val="right"/>
              <w:rPr>
                <w:bCs/>
                <w:sz w:val="22"/>
                <w:szCs w:val="22"/>
              </w:rPr>
            </w:pPr>
            <w:r>
              <w:rPr>
                <w:bCs/>
                <w:sz w:val="22"/>
                <w:szCs w:val="22"/>
              </w:rPr>
              <w:t>2 965,95</w:t>
            </w:r>
          </w:p>
        </w:tc>
      </w:tr>
      <w:tr>
        <w:trPr>
          <w:trHeight w:val="475"/>
        </w:trPr>
        <w:tc>
          <w:tcPr>
            <w:tcW w:w="438" w:type="dxa"/>
            <w:shd w:val="clear" w:color="auto" w:fill="FFFFFF"/>
            <w:vAlign w:val="center"/>
          </w:tcPr>
          <w:p>
            <w:pPr>
              <w:ind w:right="-56"/>
              <w:jc w:val="both"/>
              <w:rPr>
                <w:bCs/>
                <w:sz w:val="22"/>
                <w:szCs w:val="22"/>
              </w:rPr>
            </w:pPr>
            <w:r>
              <w:rPr>
                <w:bCs/>
                <w:sz w:val="22"/>
                <w:szCs w:val="22"/>
              </w:rPr>
              <w:t>2</w:t>
            </w:r>
          </w:p>
        </w:tc>
        <w:tc>
          <w:tcPr>
            <w:tcW w:w="3118" w:type="dxa"/>
            <w:shd w:val="clear" w:color="auto" w:fill="FFFFFF"/>
            <w:vAlign w:val="center"/>
          </w:tcPr>
          <w:p>
            <w:pPr>
              <w:spacing w:before="20" w:after="20"/>
              <w:ind w:left="-57" w:right="-57"/>
              <w:rPr>
                <w:bCs/>
                <w:sz w:val="22"/>
                <w:szCs w:val="22"/>
              </w:rPr>
            </w:pPr>
            <w:r>
              <w:rPr>
                <w:bCs/>
                <w:sz w:val="22"/>
                <w:szCs w:val="22"/>
              </w:rPr>
              <w:t xml:space="preserve">Доходы от продажи земельных участков </w:t>
            </w:r>
          </w:p>
        </w:tc>
        <w:tc>
          <w:tcPr>
            <w:tcW w:w="1134" w:type="dxa"/>
            <w:shd w:val="clear" w:color="auto" w:fill="FFFFFF"/>
            <w:vAlign w:val="center"/>
          </w:tcPr>
          <w:p>
            <w:pPr>
              <w:ind w:left="-57" w:right="-57"/>
              <w:jc w:val="right"/>
              <w:rPr>
                <w:bCs/>
                <w:sz w:val="22"/>
                <w:szCs w:val="22"/>
              </w:rPr>
            </w:pPr>
            <w:r>
              <w:rPr>
                <w:bCs/>
                <w:sz w:val="22"/>
                <w:szCs w:val="22"/>
              </w:rPr>
              <w:t>190,00</w:t>
            </w:r>
          </w:p>
        </w:tc>
        <w:tc>
          <w:tcPr>
            <w:tcW w:w="992" w:type="dxa"/>
            <w:shd w:val="clear" w:color="auto" w:fill="FFFFFF"/>
            <w:noWrap/>
            <w:vAlign w:val="center"/>
          </w:tcPr>
          <w:p>
            <w:pPr>
              <w:ind w:left="-57" w:right="-57"/>
              <w:jc w:val="right"/>
              <w:rPr>
                <w:bCs/>
                <w:sz w:val="22"/>
                <w:szCs w:val="22"/>
              </w:rPr>
            </w:pPr>
            <w:r>
              <w:rPr>
                <w:bCs/>
                <w:sz w:val="22"/>
                <w:szCs w:val="22"/>
              </w:rPr>
              <w:t>190,00</w:t>
            </w:r>
          </w:p>
        </w:tc>
        <w:tc>
          <w:tcPr>
            <w:tcW w:w="993" w:type="dxa"/>
            <w:vAlign w:val="center"/>
          </w:tcPr>
          <w:p>
            <w:pPr>
              <w:ind w:left="-57" w:right="-57"/>
              <w:jc w:val="right"/>
              <w:rPr>
                <w:bCs/>
                <w:sz w:val="22"/>
                <w:szCs w:val="22"/>
              </w:rPr>
            </w:pPr>
            <w:r>
              <w:rPr>
                <w:bCs/>
                <w:sz w:val="22"/>
                <w:szCs w:val="22"/>
              </w:rPr>
              <w:t>171,00</w:t>
            </w:r>
          </w:p>
        </w:tc>
        <w:tc>
          <w:tcPr>
            <w:tcW w:w="708" w:type="dxa"/>
            <w:vAlign w:val="center"/>
          </w:tcPr>
          <w:p>
            <w:pPr>
              <w:ind w:left="-57" w:right="-57"/>
              <w:jc w:val="center"/>
              <w:rPr>
                <w:bCs/>
                <w:sz w:val="22"/>
                <w:szCs w:val="22"/>
              </w:rPr>
            </w:pPr>
            <w:r>
              <w:rPr>
                <w:bCs/>
                <w:sz w:val="22"/>
                <w:szCs w:val="22"/>
              </w:rPr>
              <w:t>90,0</w:t>
            </w:r>
          </w:p>
        </w:tc>
        <w:tc>
          <w:tcPr>
            <w:tcW w:w="993" w:type="dxa"/>
            <w:shd w:val="clear" w:color="auto" w:fill="auto"/>
            <w:noWrap/>
            <w:vAlign w:val="center"/>
          </w:tcPr>
          <w:p>
            <w:pPr>
              <w:ind w:left="-57" w:right="-57"/>
              <w:jc w:val="right"/>
              <w:rPr>
                <w:bCs/>
                <w:sz w:val="22"/>
                <w:szCs w:val="22"/>
              </w:rPr>
            </w:pPr>
            <w:r>
              <w:rPr>
                <w:bCs/>
                <w:sz w:val="22"/>
                <w:szCs w:val="22"/>
              </w:rPr>
              <w:t>153,90</w:t>
            </w:r>
          </w:p>
        </w:tc>
        <w:tc>
          <w:tcPr>
            <w:tcW w:w="992" w:type="dxa"/>
            <w:shd w:val="clear" w:color="auto" w:fill="auto"/>
            <w:noWrap/>
            <w:vAlign w:val="center"/>
          </w:tcPr>
          <w:p>
            <w:pPr>
              <w:ind w:left="-57" w:right="-57"/>
              <w:jc w:val="right"/>
              <w:rPr>
                <w:bCs/>
                <w:sz w:val="22"/>
                <w:szCs w:val="22"/>
              </w:rPr>
            </w:pPr>
            <w:r>
              <w:rPr>
                <w:bCs/>
                <w:sz w:val="22"/>
                <w:szCs w:val="22"/>
              </w:rPr>
              <w:t>138,50</w:t>
            </w:r>
          </w:p>
        </w:tc>
      </w:tr>
      <w:tr>
        <w:trPr>
          <w:trHeight w:val="440"/>
        </w:trPr>
        <w:tc>
          <w:tcPr>
            <w:tcW w:w="438" w:type="dxa"/>
            <w:shd w:val="clear" w:color="auto" w:fill="FFFFFF"/>
            <w:vAlign w:val="center"/>
          </w:tcPr>
          <w:p>
            <w:pPr>
              <w:ind w:right="-56"/>
              <w:rPr>
                <w:bCs/>
                <w:sz w:val="22"/>
                <w:szCs w:val="22"/>
              </w:rPr>
            </w:pPr>
            <w:r>
              <w:rPr>
                <w:bCs/>
                <w:sz w:val="22"/>
                <w:szCs w:val="22"/>
              </w:rPr>
              <w:t>3</w:t>
            </w:r>
          </w:p>
        </w:tc>
        <w:tc>
          <w:tcPr>
            <w:tcW w:w="3118" w:type="dxa"/>
            <w:shd w:val="clear" w:color="auto" w:fill="FFFFFF"/>
            <w:noWrap/>
            <w:vAlign w:val="center"/>
          </w:tcPr>
          <w:p>
            <w:pPr>
              <w:spacing w:before="20" w:after="20"/>
              <w:ind w:left="-57" w:right="-57"/>
              <w:rPr>
                <w:bCs/>
                <w:sz w:val="22"/>
                <w:szCs w:val="22"/>
              </w:rPr>
            </w:pPr>
            <w:r>
              <w:rPr>
                <w:bCs/>
                <w:sz w:val="22"/>
                <w:szCs w:val="22"/>
              </w:rPr>
              <w:t>Всего доходов от продажи активов</w:t>
            </w:r>
          </w:p>
        </w:tc>
        <w:tc>
          <w:tcPr>
            <w:tcW w:w="1134" w:type="dxa"/>
            <w:shd w:val="clear" w:color="auto" w:fill="FFFFFF"/>
            <w:vAlign w:val="center"/>
          </w:tcPr>
          <w:p>
            <w:pPr>
              <w:ind w:left="-57" w:right="-57"/>
              <w:jc w:val="right"/>
              <w:rPr>
                <w:bCs/>
                <w:sz w:val="22"/>
                <w:szCs w:val="22"/>
              </w:rPr>
            </w:pPr>
            <w:r>
              <w:rPr>
                <w:bCs/>
                <w:sz w:val="22"/>
                <w:szCs w:val="22"/>
              </w:rPr>
              <w:t>36 574,34</w:t>
            </w:r>
          </w:p>
        </w:tc>
        <w:tc>
          <w:tcPr>
            <w:tcW w:w="992" w:type="dxa"/>
            <w:shd w:val="clear" w:color="auto" w:fill="FFFFFF"/>
            <w:noWrap/>
            <w:vAlign w:val="center"/>
          </w:tcPr>
          <w:p>
            <w:pPr>
              <w:ind w:left="-57" w:right="-57"/>
              <w:jc w:val="right"/>
              <w:rPr>
                <w:bCs/>
                <w:sz w:val="22"/>
                <w:szCs w:val="22"/>
                <w:highlight w:val="yellow"/>
              </w:rPr>
            </w:pPr>
            <w:r>
              <w:rPr>
                <w:bCs/>
                <w:sz w:val="22"/>
                <w:szCs w:val="22"/>
              </w:rPr>
              <w:t>9 625,55</w:t>
            </w:r>
          </w:p>
        </w:tc>
        <w:tc>
          <w:tcPr>
            <w:tcW w:w="993" w:type="dxa"/>
            <w:shd w:val="clear" w:color="auto" w:fill="auto"/>
            <w:vAlign w:val="center"/>
          </w:tcPr>
          <w:p>
            <w:pPr>
              <w:ind w:left="-57" w:right="-57"/>
              <w:jc w:val="right"/>
              <w:rPr>
                <w:bCs/>
                <w:sz w:val="22"/>
                <w:szCs w:val="22"/>
                <w:highlight w:val="yellow"/>
              </w:rPr>
            </w:pPr>
            <w:r>
              <w:rPr>
                <w:bCs/>
                <w:sz w:val="22"/>
                <w:szCs w:val="22"/>
              </w:rPr>
              <w:t>4 607,83</w:t>
            </w:r>
          </w:p>
        </w:tc>
        <w:tc>
          <w:tcPr>
            <w:tcW w:w="708" w:type="dxa"/>
            <w:vAlign w:val="center"/>
          </w:tcPr>
          <w:p>
            <w:pPr>
              <w:ind w:left="-57" w:right="-57"/>
              <w:jc w:val="center"/>
              <w:rPr>
                <w:bCs/>
                <w:sz w:val="22"/>
                <w:szCs w:val="22"/>
                <w:highlight w:val="yellow"/>
              </w:rPr>
            </w:pPr>
            <w:r>
              <w:rPr>
                <w:bCs/>
                <w:sz w:val="22"/>
                <w:szCs w:val="22"/>
              </w:rPr>
              <w:t>47,9</w:t>
            </w:r>
          </w:p>
        </w:tc>
        <w:tc>
          <w:tcPr>
            <w:tcW w:w="993" w:type="dxa"/>
            <w:shd w:val="clear" w:color="auto" w:fill="auto"/>
            <w:noWrap/>
            <w:vAlign w:val="center"/>
          </w:tcPr>
          <w:p>
            <w:pPr>
              <w:ind w:left="-57" w:right="-57"/>
              <w:jc w:val="right"/>
              <w:rPr>
                <w:bCs/>
                <w:sz w:val="22"/>
                <w:szCs w:val="22"/>
              </w:rPr>
            </w:pPr>
            <w:r>
              <w:rPr>
                <w:bCs/>
                <w:sz w:val="22"/>
                <w:szCs w:val="22"/>
              </w:rPr>
              <w:t>3 976,01</w:t>
            </w:r>
          </w:p>
        </w:tc>
        <w:tc>
          <w:tcPr>
            <w:tcW w:w="992" w:type="dxa"/>
            <w:shd w:val="clear" w:color="auto" w:fill="auto"/>
            <w:noWrap/>
            <w:vAlign w:val="center"/>
          </w:tcPr>
          <w:p>
            <w:pPr>
              <w:ind w:left="-57" w:right="-57"/>
              <w:jc w:val="right"/>
              <w:rPr>
                <w:bCs/>
                <w:sz w:val="22"/>
                <w:szCs w:val="22"/>
              </w:rPr>
            </w:pPr>
            <w:r>
              <w:rPr>
                <w:bCs/>
                <w:sz w:val="22"/>
                <w:szCs w:val="22"/>
              </w:rPr>
              <w:t>3 104,45</w:t>
            </w:r>
          </w:p>
        </w:tc>
      </w:tr>
    </w:tbl>
    <w:p>
      <w:pPr>
        <w:suppressAutoHyphens/>
        <w:spacing w:before="240" w:after="120"/>
        <w:ind w:firstLine="709"/>
        <w:jc w:val="center"/>
        <w:rPr>
          <w:rFonts w:ascii="Times New Roman" w:hAnsi="Times New Roman"/>
          <w:b/>
          <w:bCs/>
          <w:iCs/>
          <w:sz w:val="24"/>
          <w:szCs w:val="24"/>
          <w:lang w:eastAsia="ar-SA"/>
        </w:rPr>
      </w:pPr>
      <w:r>
        <w:rPr>
          <w:rFonts w:ascii="Times New Roman" w:hAnsi="Times New Roman"/>
          <w:b/>
          <w:bCs/>
          <w:iCs/>
          <w:sz w:val="24"/>
          <w:szCs w:val="24"/>
          <w:lang w:eastAsia="ar-SA"/>
        </w:rPr>
        <w:t>1.4.5. Штрафы, санкции, возмещение ущерба</w:t>
      </w:r>
    </w:p>
    <w:p>
      <w:pPr>
        <w:suppressAutoHyphens/>
        <w:ind w:firstLine="708"/>
        <w:jc w:val="both"/>
        <w:rPr>
          <w:rFonts w:ascii="Times New Roman" w:hAnsi="Times New Roman"/>
          <w:sz w:val="24"/>
          <w:szCs w:val="24"/>
          <w:lang w:eastAsia="ar-SA"/>
        </w:rPr>
      </w:pPr>
      <w:r>
        <w:rPr>
          <w:rFonts w:ascii="Times New Roman" w:hAnsi="Times New Roman"/>
          <w:sz w:val="24"/>
          <w:lang w:eastAsia="ar-SA"/>
        </w:rPr>
        <w:t xml:space="preserve">Прогнозная сумма поступлений от штрафов, санкций, возмещения ущерба определена на основании данных, представленных главными администраторами доходов бюджета ЗАТО Северск, по закрепленным доходным источникам. </w:t>
      </w:r>
    </w:p>
    <w:p>
      <w:pPr>
        <w:ind w:right="43" w:firstLine="709"/>
        <w:jc w:val="both"/>
        <w:rPr>
          <w:rFonts w:ascii="Times New Roman" w:hAnsi="Times New Roman"/>
          <w:sz w:val="24"/>
          <w:szCs w:val="24"/>
        </w:rPr>
      </w:pPr>
      <w:r>
        <w:rPr>
          <w:rFonts w:ascii="Times New Roman" w:hAnsi="Times New Roman"/>
          <w:sz w:val="24"/>
        </w:rPr>
        <w:t>Доходы от поступления штрафов, санкций, возмещения ущерба на 2021 год прогнозируются в сумме 3 461,21 тыс.руб., что на 2 198,41 тыс.руб. или на 38,8% меньше оценки 2020 года.</w:t>
      </w:r>
      <w:r>
        <w:rPr>
          <w:rFonts w:ascii="Times New Roman" w:hAnsi="Times New Roman"/>
          <w:sz w:val="24"/>
          <w:szCs w:val="24"/>
        </w:rPr>
        <w:t xml:space="preserve"> </w:t>
      </w:r>
    </w:p>
    <w:p>
      <w:pPr>
        <w:ind w:right="43" w:firstLine="709"/>
        <w:jc w:val="both"/>
        <w:rPr>
          <w:rFonts w:ascii="Times New Roman" w:hAnsi="Times New Roman"/>
          <w:sz w:val="24"/>
        </w:rPr>
      </w:pPr>
      <w:r>
        <w:rPr>
          <w:rFonts w:ascii="Times New Roman" w:hAnsi="Times New Roman"/>
          <w:sz w:val="24"/>
        </w:rPr>
        <w:t xml:space="preserve">Поступления на 2022 - 2023 годы прогнозируются в 3 510,65 тыс.руб. </w:t>
      </w:r>
      <w:r>
        <w:rPr>
          <w:rFonts w:ascii="Times New Roman" w:hAnsi="Times New Roman"/>
          <w:sz w:val="24"/>
        </w:rPr>
        <w:br/>
        <w:t xml:space="preserve">и 3 564,75 тыс.руб. соответственно. </w:t>
      </w:r>
    </w:p>
    <w:p>
      <w:pPr>
        <w:ind w:right="43" w:firstLine="709"/>
        <w:jc w:val="both"/>
        <w:rPr>
          <w:rFonts w:ascii="Times New Roman" w:hAnsi="Times New Roman"/>
          <w:sz w:val="24"/>
        </w:rPr>
      </w:pPr>
      <w:r>
        <w:rPr>
          <w:rFonts w:ascii="Times New Roman" w:hAnsi="Times New Roman"/>
          <w:sz w:val="24"/>
        </w:rPr>
        <w:t xml:space="preserve">Доля поступлений в 2021-2023 годах составит по 0,3% в структуре налоговых и неналоговых доходов ежегодно, в общей сумме доходов бюджета ЗАТО Северск – по 0,1%. </w:t>
      </w:r>
    </w:p>
    <w:p>
      <w:pPr>
        <w:ind w:right="43" w:firstLine="709"/>
        <w:jc w:val="both"/>
        <w:rPr>
          <w:rFonts w:ascii="Times New Roman" w:hAnsi="Times New Roman"/>
          <w:sz w:val="24"/>
        </w:rPr>
      </w:pPr>
      <w:r>
        <w:rPr>
          <w:rFonts w:ascii="Times New Roman" w:hAnsi="Times New Roman"/>
          <w:sz w:val="24"/>
        </w:rPr>
        <w:t xml:space="preserve">Снижение прогноза поступлений к оценке текущего года обусловлено тем, что в текущем году </w:t>
      </w:r>
      <w:r>
        <w:rPr>
          <w:rFonts w:ascii="Times New Roman" w:hAnsi="Times New Roman"/>
          <w:sz w:val="24"/>
          <w:szCs w:val="24"/>
        </w:rPr>
        <w:t>в бюджет ЗАТО Северск зачисляются штрафы, вынесенные должностными лицами федеральных и территориальных органов исполнительной власти и их структурными подразделениями, в счет погашения задолженности, образовавшейся до 1 января 2020 года.</w:t>
      </w:r>
    </w:p>
    <w:p>
      <w:pPr>
        <w:suppressAutoHyphens/>
        <w:spacing w:before="120" w:after="60"/>
        <w:ind w:firstLine="709"/>
        <w:jc w:val="both"/>
        <w:rPr>
          <w:rFonts w:ascii="Times New Roman" w:hAnsi="Times New Roman"/>
          <w:sz w:val="24"/>
          <w:highlight w:val="yellow"/>
          <w:lang w:eastAsia="ar-SA"/>
        </w:rPr>
      </w:pPr>
      <w:r>
        <w:rPr>
          <w:rFonts w:ascii="Times New Roman" w:hAnsi="Times New Roman"/>
          <w:sz w:val="24"/>
          <w:lang w:eastAsia="ar-SA"/>
        </w:rPr>
        <w:t>Таблица 25 - Доходы от поступлений штрафов, санкций, возмещения ущерба</w:t>
      </w:r>
      <w:r>
        <w:rPr>
          <w:rFonts w:ascii="Times New Roman" w:hAnsi="Times New Roman"/>
          <w:sz w:val="24"/>
          <w:highlight w:val="yellow"/>
          <w:lang w:eastAsia="ar-SA"/>
        </w:rPr>
        <w:t xml:space="preserve">    </w:t>
      </w:r>
    </w:p>
    <w:tbl>
      <w:tblPr>
        <w:tblW w:w="9651"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
        <w:gridCol w:w="3118"/>
        <w:gridCol w:w="1134"/>
        <w:gridCol w:w="1134"/>
        <w:gridCol w:w="1134"/>
        <w:gridCol w:w="709"/>
        <w:gridCol w:w="992"/>
        <w:gridCol w:w="992"/>
      </w:tblGrid>
      <w:tr>
        <w:trPr>
          <w:trHeight w:val="299"/>
        </w:trPr>
        <w:tc>
          <w:tcPr>
            <w:tcW w:w="438" w:type="dxa"/>
            <w:vMerge w:val="restart"/>
            <w:shd w:val="clear" w:color="auto" w:fill="FFFFFF"/>
            <w:vAlign w:val="center"/>
          </w:tcPr>
          <w:p>
            <w:pPr>
              <w:jc w:val="center"/>
              <w:rPr>
                <w:rFonts w:ascii="Times New Roman" w:hAnsi="Times New Roman"/>
                <w:bCs/>
                <w:iCs/>
              </w:rPr>
            </w:pPr>
            <w:r>
              <w:rPr>
                <w:rFonts w:ascii="Times New Roman" w:hAnsi="Times New Roman"/>
                <w:sz w:val="16"/>
                <w:szCs w:val="16"/>
                <w:highlight w:val="yellow"/>
                <w:lang w:eastAsia="ar-SA"/>
              </w:rPr>
              <w:t xml:space="preserve">             </w:t>
            </w:r>
            <w:r>
              <w:rPr>
                <w:rFonts w:ascii="Times New Roman" w:hAnsi="Times New Roman"/>
                <w:bCs/>
                <w:iCs/>
              </w:rPr>
              <w:t>№</w:t>
            </w:r>
          </w:p>
        </w:tc>
        <w:tc>
          <w:tcPr>
            <w:tcW w:w="3118" w:type="dxa"/>
            <w:vMerge w:val="restart"/>
            <w:shd w:val="clear" w:color="auto" w:fill="FFFFFF"/>
            <w:noWrap/>
            <w:vAlign w:val="center"/>
          </w:tcPr>
          <w:p>
            <w:pPr>
              <w:ind w:left="-57" w:right="-57"/>
              <w:jc w:val="center"/>
              <w:rPr>
                <w:rFonts w:ascii="Times New Roman" w:hAnsi="Times New Roman"/>
              </w:rPr>
            </w:pPr>
            <w:r>
              <w:rPr>
                <w:rFonts w:ascii="Times New Roman" w:hAnsi="Times New Roman"/>
              </w:rPr>
              <w:t>Наименование</w:t>
            </w:r>
          </w:p>
        </w:tc>
        <w:tc>
          <w:tcPr>
            <w:tcW w:w="2268" w:type="dxa"/>
            <w:gridSpan w:val="2"/>
            <w:shd w:val="clear" w:color="auto" w:fill="FFFFFF"/>
            <w:vAlign w:val="center"/>
          </w:tcPr>
          <w:p>
            <w:pPr>
              <w:ind w:left="-57" w:right="-57"/>
              <w:jc w:val="center"/>
              <w:rPr>
                <w:rFonts w:ascii="Times New Roman" w:hAnsi="Times New Roman"/>
              </w:rPr>
            </w:pPr>
            <w:r>
              <w:rPr>
                <w:rFonts w:ascii="Times New Roman" w:hAnsi="Times New Roman"/>
              </w:rPr>
              <w:t>2020 год</w:t>
            </w:r>
          </w:p>
        </w:tc>
        <w:tc>
          <w:tcPr>
            <w:tcW w:w="1843" w:type="dxa"/>
            <w:gridSpan w:val="2"/>
            <w:vAlign w:val="center"/>
          </w:tcPr>
          <w:p>
            <w:pPr>
              <w:ind w:left="-57" w:right="-57"/>
              <w:jc w:val="center"/>
              <w:rPr>
                <w:rFonts w:ascii="Times New Roman" w:hAnsi="Times New Roman"/>
              </w:rPr>
            </w:pPr>
            <w:r>
              <w:rPr>
                <w:rFonts w:ascii="Times New Roman" w:hAnsi="Times New Roman"/>
              </w:rPr>
              <w:t>2021 год</w:t>
            </w:r>
          </w:p>
        </w:tc>
        <w:tc>
          <w:tcPr>
            <w:tcW w:w="992" w:type="dxa"/>
            <w:vMerge w:val="restart"/>
            <w:shd w:val="clear" w:color="auto" w:fill="auto"/>
            <w:vAlign w:val="center"/>
          </w:tcPr>
          <w:p>
            <w:pPr>
              <w:ind w:left="-57" w:right="-57"/>
              <w:jc w:val="center"/>
              <w:rPr>
                <w:rFonts w:ascii="Times New Roman" w:hAnsi="Times New Roman"/>
              </w:rPr>
            </w:pPr>
            <w:r>
              <w:rPr>
                <w:rFonts w:ascii="Times New Roman" w:hAnsi="Times New Roman"/>
              </w:rPr>
              <w:t>Прогноз 2022 года, тыс.руб.</w:t>
            </w:r>
          </w:p>
        </w:tc>
        <w:tc>
          <w:tcPr>
            <w:tcW w:w="992" w:type="dxa"/>
            <w:vMerge w:val="restart"/>
            <w:shd w:val="clear" w:color="auto" w:fill="auto"/>
            <w:vAlign w:val="center"/>
          </w:tcPr>
          <w:p>
            <w:pPr>
              <w:ind w:left="-57" w:right="-57"/>
              <w:jc w:val="center"/>
              <w:rPr>
                <w:rFonts w:ascii="Times New Roman" w:hAnsi="Times New Roman"/>
              </w:rPr>
            </w:pPr>
            <w:r>
              <w:rPr>
                <w:rFonts w:ascii="Times New Roman" w:hAnsi="Times New Roman"/>
              </w:rPr>
              <w:t>Прогноз 2023 года, тыс.руб.</w:t>
            </w:r>
          </w:p>
        </w:tc>
      </w:tr>
      <w:tr>
        <w:trPr>
          <w:trHeight w:val="275"/>
        </w:trPr>
        <w:tc>
          <w:tcPr>
            <w:tcW w:w="438" w:type="dxa"/>
            <w:vMerge/>
            <w:shd w:val="clear" w:color="auto" w:fill="FFFFFF"/>
            <w:vAlign w:val="center"/>
          </w:tcPr>
          <w:p>
            <w:pPr>
              <w:jc w:val="center"/>
              <w:rPr>
                <w:rFonts w:ascii="Times New Roman" w:hAnsi="Times New Roman"/>
                <w:bCs/>
                <w:iCs/>
                <w:sz w:val="22"/>
                <w:szCs w:val="22"/>
                <w:highlight w:val="yellow"/>
              </w:rPr>
            </w:pPr>
          </w:p>
        </w:tc>
        <w:tc>
          <w:tcPr>
            <w:tcW w:w="3118" w:type="dxa"/>
            <w:vMerge/>
            <w:shd w:val="clear" w:color="auto" w:fill="FFFFFF"/>
            <w:noWrap/>
            <w:vAlign w:val="center"/>
          </w:tcPr>
          <w:p>
            <w:pPr>
              <w:ind w:left="-57" w:right="-57"/>
              <w:jc w:val="center"/>
              <w:rPr>
                <w:rFonts w:ascii="Times New Roman" w:hAnsi="Times New Roman"/>
                <w:sz w:val="22"/>
                <w:szCs w:val="22"/>
                <w:highlight w:val="yellow"/>
              </w:rPr>
            </w:pPr>
          </w:p>
        </w:tc>
        <w:tc>
          <w:tcPr>
            <w:tcW w:w="1134" w:type="dxa"/>
            <w:shd w:val="clear" w:color="auto" w:fill="FFFFFF"/>
            <w:vAlign w:val="center"/>
          </w:tcPr>
          <w:p>
            <w:pPr>
              <w:ind w:left="-57" w:right="-57"/>
              <w:jc w:val="center"/>
              <w:rPr>
                <w:rFonts w:ascii="Times New Roman" w:hAnsi="Times New Roman"/>
                <w:bCs/>
                <w:sz w:val="22"/>
                <w:szCs w:val="22"/>
                <w:highlight w:val="yellow"/>
              </w:rPr>
            </w:pPr>
            <w:r>
              <w:rPr>
                <w:rFonts w:ascii="Times New Roman" w:hAnsi="Times New Roman"/>
              </w:rPr>
              <w:t>Первонач. утверждено</w:t>
            </w:r>
          </w:p>
        </w:tc>
        <w:tc>
          <w:tcPr>
            <w:tcW w:w="1134" w:type="dxa"/>
            <w:shd w:val="clear" w:color="auto" w:fill="FFFFFF"/>
            <w:vAlign w:val="center"/>
          </w:tcPr>
          <w:p>
            <w:pPr>
              <w:ind w:left="-57" w:right="-57"/>
              <w:jc w:val="center"/>
              <w:rPr>
                <w:rFonts w:ascii="Times New Roman" w:hAnsi="Times New Roman"/>
                <w:bCs/>
                <w:sz w:val="22"/>
                <w:szCs w:val="22"/>
                <w:highlight w:val="yellow"/>
              </w:rPr>
            </w:pPr>
            <w:r>
              <w:rPr>
                <w:rFonts w:ascii="Times New Roman" w:hAnsi="Times New Roman"/>
              </w:rPr>
              <w:t>Оценка</w:t>
            </w:r>
          </w:p>
        </w:tc>
        <w:tc>
          <w:tcPr>
            <w:tcW w:w="1134" w:type="dxa"/>
            <w:vAlign w:val="center"/>
          </w:tcPr>
          <w:p>
            <w:pPr>
              <w:ind w:left="-57" w:right="-57"/>
              <w:jc w:val="center"/>
              <w:rPr>
                <w:rFonts w:ascii="Times New Roman" w:hAnsi="Times New Roman"/>
              </w:rPr>
            </w:pPr>
            <w:r>
              <w:rPr>
                <w:rFonts w:ascii="Times New Roman" w:hAnsi="Times New Roman"/>
              </w:rPr>
              <w:t>Прогноз, тыс.руб.</w:t>
            </w:r>
          </w:p>
        </w:tc>
        <w:tc>
          <w:tcPr>
            <w:tcW w:w="709" w:type="dxa"/>
            <w:vAlign w:val="center"/>
          </w:tcPr>
          <w:p>
            <w:pPr>
              <w:ind w:left="-57" w:right="-57"/>
              <w:jc w:val="center"/>
              <w:rPr>
                <w:rFonts w:ascii="Times New Roman" w:hAnsi="Times New Roman"/>
              </w:rPr>
            </w:pPr>
            <w:r>
              <w:rPr>
                <w:rFonts w:ascii="Times New Roman" w:hAnsi="Times New Roman"/>
              </w:rPr>
              <w:t>% к оценке 2020г.</w:t>
            </w:r>
          </w:p>
        </w:tc>
        <w:tc>
          <w:tcPr>
            <w:tcW w:w="992" w:type="dxa"/>
            <w:vMerge/>
            <w:shd w:val="clear" w:color="auto" w:fill="auto"/>
            <w:vAlign w:val="center"/>
          </w:tcPr>
          <w:p>
            <w:pPr>
              <w:ind w:left="-57" w:right="-57"/>
              <w:jc w:val="center"/>
              <w:rPr>
                <w:rFonts w:ascii="Times New Roman" w:hAnsi="Times New Roman"/>
                <w:color w:val="FF0000"/>
                <w:sz w:val="22"/>
                <w:szCs w:val="22"/>
                <w:highlight w:val="yellow"/>
              </w:rPr>
            </w:pPr>
          </w:p>
        </w:tc>
        <w:tc>
          <w:tcPr>
            <w:tcW w:w="992" w:type="dxa"/>
            <w:vMerge/>
            <w:shd w:val="clear" w:color="auto" w:fill="auto"/>
            <w:vAlign w:val="center"/>
          </w:tcPr>
          <w:p>
            <w:pPr>
              <w:ind w:left="-57" w:right="-57"/>
              <w:jc w:val="center"/>
              <w:rPr>
                <w:rFonts w:ascii="Times New Roman" w:hAnsi="Times New Roman"/>
                <w:color w:val="FF0000"/>
                <w:sz w:val="22"/>
                <w:szCs w:val="22"/>
                <w:highlight w:val="yellow"/>
              </w:rPr>
            </w:pPr>
          </w:p>
        </w:tc>
      </w:tr>
      <w:tr>
        <w:trPr>
          <w:trHeight w:val="507"/>
        </w:trPr>
        <w:tc>
          <w:tcPr>
            <w:tcW w:w="438" w:type="dxa"/>
            <w:shd w:val="clear" w:color="auto" w:fill="FFFFFF"/>
            <w:vAlign w:val="center"/>
          </w:tcPr>
          <w:p>
            <w:pPr>
              <w:jc w:val="center"/>
              <w:rPr>
                <w:rFonts w:ascii="Times New Roman" w:hAnsi="Times New Roman"/>
                <w:bCs/>
                <w:sz w:val="22"/>
                <w:szCs w:val="22"/>
              </w:rPr>
            </w:pPr>
            <w:r>
              <w:rPr>
                <w:rFonts w:ascii="Times New Roman" w:hAnsi="Times New Roman"/>
                <w:bCs/>
                <w:sz w:val="22"/>
                <w:szCs w:val="22"/>
              </w:rPr>
              <w:t>1</w:t>
            </w:r>
          </w:p>
        </w:tc>
        <w:tc>
          <w:tcPr>
            <w:tcW w:w="3118" w:type="dxa"/>
            <w:shd w:val="clear" w:color="auto" w:fill="FFFFFF"/>
            <w:vAlign w:val="center"/>
          </w:tcPr>
          <w:p>
            <w:pPr>
              <w:widowControl w:val="0"/>
              <w:spacing w:before="20" w:after="20"/>
              <w:ind w:left="-57" w:right="-57"/>
              <w:rPr>
                <w:rFonts w:ascii="Times New Roman" w:hAnsi="Times New Roman"/>
                <w:sz w:val="22"/>
                <w:szCs w:val="22"/>
              </w:rPr>
            </w:pPr>
            <w:r>
              <w:rPr>
                <w:rFonts w:ascii="Times New Roman" w:hAnsi="Times New Roman"/>
                <w:bCs/>
                <w:snapToGrid w:val="0"/>
                <w:sz w:val="22"/>
                <w:szCs w:val="22"/>
              </w:rPr>
              <w:t>УКС Администрации ЗАТО Северск</w:t>
            </w:r>
          </w:p>
        </w:tc>
        <w:tc>
          <w:tcPr>
            <w:tcW w:w="1134" w:type="dxa"/>
            <w:shd w:val="clear" w:color="auto" w:fill="FFFFFF"/>
            <w:vAlign w:val="center"/>
          </w:tcPr>
          <w:p>
            <w:pPr>
              <w:ind w:left="-57" w:right="-57"/>
              <w:jc w:val="right"/>
              <w:rPr>
                <w:rFonts w:ascii="Times New Roman" w:hAnsi="Times New Roman"/>
                <w:bCs/>
                <w:sz w:val="22"/>
                <w:szCs w:val="22"/>
              </w:rPr>
            </w:pPr>
            <w:r>
              <w:rPr>
                <w:rFonts w:ascii="Times New Roman" w:hAnsi="Times New Roman"/>
                <w:bCs/>
                <w:sz w:val="22"/>
                <w:szCs w:val="22"/>
              </w:rPr>
              <w:t>3 578,94</w:t>
            </w:r>
          </w:p>
        </w:tc>
        <w:tc>
          <w:tcPr>
            <w:tcW w:w="1134" w:type="dxa"/>
            <w:shd w:val="clear" w:color="auto" w:fill="FFFFFF"/>
            <w:noWrap/>
            <w:vAlign w:val="center"/>
          </w:tcPr>
          <w:p>
            <w:pPr>
              <w:ind w:left="-57" w:right="-57"/>
              <w:jc w:val="right"/>
              <w:rPr>
                <w:rFonts w:ascii="Times New Roman" w:hAnsi="Times New Roman"/>
                <w:bCs/>
                <w:sz w:val="22"/>
                <w:szCs w:val="22"/>
              </w:rPr>
            </w:pPr>
            <w:r>
              <w:rPr>
                <w:rFonts w:ascii="Times New Roman" w:hAnsi="Times New Roman"/>
                <w:bCs/>
                <w:sz w:val="22"/>
                <w:szCs w:val="22"/>
              </w:rPr>
              <w:t>400,00</w:t>
            </w:r>
          </w:p>
        </w:tc>
        <w:tc>
          <w:tcPr>
            <w:tcW w:w="1134" w:type="dxa"/>
            <w:vAlign w:val="center"/>
          </w:tcPr>
          <w:p>
            <w:pPr>
              <w:ind w:left="-57" w:right="-57"/>
              <w:jc w:val="right"/>
              <w:rPr>
                <w:rFonts w:ascii="Times New Roman" w:hAnsi="Times New Roman"/>
                <w:bCs/>
                <w:sz w:val="22"/>
                <w:szCs w:val="22"/>
              </w:rPr>
            </w:pPr>
            <w:r>
              <w:rPr>
                <w:rFonts w:ascii="Times New Roman" w:hAnsi="Times New Roman"/>
                <w:bCs/>
                <w:sz w:val="22"/>
                <w:szCs w:val="22"/>
              </w:rPr>
              <w:t>416,00</w:t>
            </w:r>
          </w:p>
        </w:tc>
        <w:tc>
          <w:tcPr>
            <w:tcW w:w="709" w:type="dxa"/>
            <w:vAlign w:val="center"/>
          </w:tcPr>
          <w:p>
            <w:pPr>
              <w:ind w:left="-57" w:right="-57"/>
              <w:jc w:val="center"/>
              <w:rPr>
                <w:rFonts w:ascii="Times New Roman" w:hAnsi="Times New Roman"/>
                <w:bCs/>
                <w:color w:val="000000"/>
                <w:sz w:val="22"/>
                <w:szCs w:val="22"/>
              </w:rPr>
            </w:pPr>
            <w:r>
              <w:rPr>
                <w:rFonts w:ascii="Times New Roman" w:hAnsi="Times New Roman"/>
                <w:bCs/>
                <w:color w:val="000000"/>
                <w:sz w:val="22"/>
                <w:szCs w:val="22"/>
              </w:rPr>
              <w:t>104,0</w:t>
            </w:r>
          </w:p>
        </w:tc>
        <w:tc>
          <w:tcPr>
            <w:tcW w:w="992"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434,00</w:t>
            </w:r>
          </w:p>
        </w:tc>
        <w:tc>
          <w:tcPr>
            <w:tcW w:w="992"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452,00</w:t>
            </w:r>
          </w:p>
        </w:tc>
      </w:tr>
      <w:tr>
        <w:trPr>
          <w:trHeight w:val="345"/>
        </w:trPr>
        <w:tc>
          <w:tcPr>
            <w:tcW w:w="438" w:type="dxa"/>
            <w:shd w:val="clear" w:color="auto" w:fill="FFFFFF"/>
            <w:vAlign w:val="center"/>
          </w:tcPr>
          <w:p>
            <w:pPr>
              <w:jc w:val="center"/>
              <w:rPr>
                <w:rFonts w:ascii="Times New Roman" w:hAnsi="Times New Roman"/>
                <w:bCs/>
                <w:sz w:val="22"/>
                <w:szCs w:val="22"/>
              </w:rPr>
            </w:pPr>
            <w:r>
              <w:rPr>
                <w:rFonts w:ascii="Times New Roman" w:hAnsi="Times New Roman"/>
                <w:bCs/>
                <w:sz w:val="22"/>
                <w:szCs w:val="22"/>
              </w:rPr>
              <w:t>2</w:t>
            </w:r>
          </w:p>
        </w:tc>
        <w:tc>
          <w:tcPr>
            <w:tcW w:w="3118" w:type="dxa"/>
            <w:shd w:val="clear" w:color="auto" w:fill="FFFFFF"/>
            <w:vAlign w:val="center"/>
          </w:tcPr>
          <w:p>
            <w:pPr>
              <w:spacing w:before="20" w:after="20"/>
              <w:ind w:left="-57" w:right="-57"/>
              <w:rPr>
                <w:rFonts w:ascii="Times New Roman" w:hAnsi="Times New Roman"/>
                <w:bCs/>
                <w:sz w:val="22"/>
                <w:szCs w:val="22"/>
              </w:rPr>
            </w:pPr>
            <w:r>
              <w:rPr>
                <w:rFonts w:ascii="Times New Roman" w:hAnsi="Times New Roman"/>
                <w:bCs/>
                <w:sz w:val="22"/>
                <w:szCs w:val="22"/>
              </w:rPr>
              <w:t>УЖКХ ТиС</w:t>
            </w:r>
          </w:p>
        </w:tc>
        <w:tc>
          <w:tcPr>
            <w:tcW w:w="1134" w:type="dxa"/>
            <w:shd w:val="clear" w:color="auto" w:fill="FFFFFF"/>
            <w:vAlign w:val="center"/>
          </w:tcPr>
          <w:p>
            <w:pPr>
              <w:ind w:left="-57" w:right="-57"/>
              <w:jc w:val="right"/>
              <w:rPr>
                <w:rFonts w:ascii="Times New Roman" w:hAnsi="Times New Roman"/>
                <w:bCs/>
                <w:sz w:val="22"/>
                <w:szCs w:val="22"/>
              </w:rPr>
            </w:pPr>
            <w:r>
              <w:rPr>
                <w:rFonts w:ascii="Times New Roman" w:hAnsi="Times New Roman"/>
                <w:bCs/>
                <w:sz w:val="22"/>
                <w:szCs w:val="22"/>
              </w:rPr>
              <w:t>1 733,10</w:t>
            </w:r>
          </w:p>
        </w:tc>
        <w:tc>
          <w:tcPr>
            <w:tcW w:w="1134" w:type="dxa"/>
            <w:shd w:val="clear" w:color="auto" w:fill="FFFFFF"/>
            <w:noWrap/>
            <w:vAlign w:val="center"/>
          </w:tcPr>
          <w:p>
            <w:pPr>
              <w:ind w:left="-57" w:right="-57"/>
              <w:jc w:val="right"/>
              <w:rPr>
                <w:rFonts w:ascii="Times New Roman" w:hAnsi="Times New Roman"/>
                <w:bCs/>
                <w:sz w:val="22"/>
                <w:szCs w:val="22"/>
              </w:rPr>
            </w:pPr>
            <w:r>
              <w:rPr>
                <w:rFonts w:ascii="Times New Roman" w:hAnsi="Times New Roman"/>
                <w:bCs/>
                <w:sz w:val="22"/>
                <w:szCs w:val="22"/>
              </w:rPr>
              <w:t>1 059,14</w:t>
            </w:r>
          </w:p>
        </w:tc>
        <w:tc>
          <w:tcPr>
            <w:tcW w:w="1134" w:type="dxa"/>
            <w:vAlign w:val="center"/>
          </w:tcPr>
          <w:p>
            <w:pPr>
              <w:ind w:left="-57" w:right="-57"/>
              <w:jc w:val="right"/>
              <w:rPr>
                <w:rFonts w:ascii="Times New Roman" w:hAnsi="Times New Roman"/>
                <w:bCs/>
                <w:sz w:val="22"/>
                <w:szCs w:val="22"/>
              </w:rPr>
            </w:pPr>
            <w:r>
              <w:rPr>
                <w:rFonts w:ascii="Times New Roman" w:hAnsi="Times New Roman"/>
                <w:bCs/>
                <w:sz w:val="22"/>
                <w:szCs w:val="22"/>
              </w:rPr>
              <w:t>1 054,75</w:t>
            </w:r>
          </w:p>
        </w:tc>
        <w:tc>
          <w:tcPr>
            <w:tcW w:w="709" w:type="dxa"/>
            <w:vAlign w:val="center"/>
          </w:tcPr>
          <w:p>
            <w:pPr>
              <w:ind w:left="-57" w:right="-57"/>
              <w:jc w:val="center"/>
              <w:rPr>
                <w:rFonts w:ascii="Times New Roman" w:hAnsi="Times New Roman"/>
                <w:bCs/>
                <w:color w:val="000000"/>
                <w:sz w:val="22"/>
                <w:szCs w:val="22"/>
              </w:rPr>
            </w:pPr>
            <w:r>
              <w:rPr>
                <w:rFonts w:ascii="Times New Roman" w:hAnsi="Times New Roman"/>
                <w:bCs/>
                <w:color w:val="000000"/>
                <w:sz w:val="22"/>
                <w:szCs w:val="22"/>
              </w:rPr>
              <w:t>99,6</w:t>
            </w:r>
          </w:p>
        </w:tc>
        <w:tc>
          <w:tcPr>
            <w:tcW w:w="992"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1 092,69</w:t>
            </w:r>
          </w:p>
        </w:tc>
        <w:tc>
          <w:tcPr>
            <w:tcW w:w="992"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1 135,29</w:t>
            </w:r>
          </w:p>
        </w:tc>
      </w:tr>
      <w:tr>
        <w:trPr>
          <w:trHeight w:val="280"/>
        </w:trPr>
        <w:tc>
          <w:tcPr>
            <w:tcW w:w="438" w:type="dxa"/>
            <w:shd w:val="clear" w:color="auto" w:fill="FFFFFF"/>
            <w:vAlign w:val="center"/>
          </w:tcPr>
          <w:p>
            <w:pPr>
              <w:jc w:val="center"/>
              <w:rPr>
                <w:rFonts w:ascii="Times New Roman" w:hAnsi="Times New Roman"/>
                <w:bCs/>
                <w:sz w:val="22"/>
                <w:szCs w:val="22"/>
              </w:rPr>
            </w:pPr>
            <w:r>
              <w:rPr>
                <w:rFonts w:ascii="Times New Roman" w:hAnsi="Times New Roman"/>
                <w:bCs/>
                <w:sz w:val="22"/>
                <w:szCs w:val="22"/>
              </w:rPr>
              <w:t>3</w:t>
            </w:r>
          </w:p>
        </w:tc>
        <w:tc>
          <w:tcPr>
            <w:tcW w:w="3118" w:type="dxa"/>
            <w:shd w:val="clear" w:color="auto" w:fill="FFFFFF"/>
            <w:noWrap/>
            <w:vAlign w:val="center"/>
          </w:tcPr>
          <w:p>
            <w:pPr>
              <w:spacing w:before="20" w:after="20"/>
              <w:ind w:left="-57" w:right="-57"/>
              <w:rPr>
                <w:rFonts w:ascii="Times New Roman" w:hAnsi="Times New Roman"/>
                <w:bCs/>
                <w:sz w:val="22"/>
                <w:szCs w:val="22"/>
              </w:rPr>
            </w:pPr>
            <w:r>
              <w:rPr>
                <w:rFonts w:ascii="Times New Roman" w:hAnsi="Times New Roman"/>
                <w:bCs/>
                <w:sz w:val="22"/>
                <w:szCs w:val="22"/>
              </w:rPr>
              <w:t>УИО Администрации ЗАТО Северск</w:t>
            </w:r>
          </w:p>
        </w:tc>
        <w:tc>
          <w:tcPr>
            <w:tcW w:w="1134" w:type="dxa"/>
            <w:shd w:val="clear" w:color="auto" w:fill="FFFFFF"/>
            <w:vAlign w:val="center"/>
          </w:tcPr>
          <w:p>
            <w:pPr>
              <w:ind w:left="-57" w:right="-57"/>
              <w:jc w:val="right"/>
              <w:rPr>
                <w:rFonts w:ascii="Times New Roman" w:hAnsi="Times New Roman"/>
                <w:bCs/>
                <w:sz w:val="22"/>
                <w:szCs w:val="22"/>
              </w:rPr>
            </w:pPr>
            <w:r>
              <w:rPr>
                <w:rFonts w:ascii="Times New Roman" w:hAnsi="Times New Roman"/>
                <w:bCs/>
                <w:sz w:val="22"/>
                <w:szCs w:val="22"/>
              </w:rPr>
              <w:t>16,86</w:t>
            </w:r>
          </w:p>
        </w:tc>
        <w:tc>
          <w:tcPr>
            <w:tcW w:w="1134" w:type="dxa"/>
            <w:shd w:val="clear" w:color="auto" w:fill="FFFFFF"/>
            <w:noWrap/>
            <w:vAlign w:val="center"/>
          </w:tcPr>
          <w:p>
            <w:pPr>
              <w:ind w:left="-57" w:right="-57"/>
              <w:jc w:val="right"/>
              <w:rPr>
                <w:rFonts w:ascii="Times New Roman" w:hAnsi="Times New Roman"/>
                <w:bCs/>
                <w:sz w:val="22"/>
                <w:szCs w:val="22"/>
              </w:rPr>
            </w:pPr>
            <w:r>
              <w:rPr>
                <w:rFonts w:ascii="Times New Roman" w:hAnsi="Times New Roman"/>
                <w:bCs/>
                <w:sz w:val="22"/>
                <w:szCs w:val="22"/>
              </w:rPr>
              <w:t>1 119,87</w:t>
            </w:r>
          </w:p>
        </w:tc>
        <w:tc>
          <w:tcPr>
            <w:tcW w:w="1134" w:type="dxa"/>
            <w:vAlign w:val="center"/>
          </w:tcPr>
          <w:p>
            <w:pPr>
              <w:ind w:left="-57" w:right="-57"/>
              <w:jc w:val="right"/>
              <w:rPr>
                <w:rFonts w:ascii="Times New Roman" w:hAnsi="Times New Roman"/>
                <w:bCs/>
                <w:sz w:val="22"/>
                <w:szCs w:val="22"/>
              </w:rPr>
            </w:pPr>
            <w:r>
              <w:rPr>
                <w:rFonts w:ascii="Times New Roman" w:hAnsi="Times New Roman"/>
                <w:bCs/>
                <w:sz w:val="22"/>
                <w:szCs w:val="22"/>
              </w:rPr>
              <w:t>1 069,36</w:t>
            </w:r>
          </w:p>
        </w:tc>
        <w:tc>
          <w:tcPr>
            <w:tcW w:w="709" w:type="dxa"/>
            <w:vAlign w:val="center"/>
          </w:tcPr>
          <w:p>
            <w:pPr>
              <w:ind w:left="-57" w:right="-57"/>
              <w:jc w:val="center"/>
              <w:rPr>
                <w:rFonts w:ascii="Times New Roman" w:hAnsi="Times New Roman"/>
                <w:bCs/>
                <w:color w:val="000000"/>
                <w:sz w:val="22"/>
                <w:szCs w:val="22"/>
              </w:rPr>
            </w:pPr>
            <w:r>
              <w:rPr>
                <w:rFonts w:ascii="Times New Roman" w:hAnsi="Times New Roman"/>
                <w:bCs/>
                <w:color w:val="000000"/>
                <w:sz w:val="22"/>
                <w:szCs w:val="22"/>
              </w:rPr>
              <w:t>95,5</w:t>
            </w:r>
          </w:p>
        </w:tc>
        <w:tc>
          <w:tcPr>
            <w:tcW w:w="992" w:type="dxa"/>
            <w:shd w:val="clear" w:color="auto" w:fill="auto"/>
            <w:noWrap/>
            <w:vAlign w:val="center"/>
          </w:tcPr>
          <w:p>
            <w:r>
              <w:rPr>
                <w:rFonts w:ascii="Times New Roman" w:hAnsi="Times New Roman"/>
                <w:bCs/>
                <w:sz w:val="22"/>
                <w:szCs w:val="22"/>
              </w:rPr>
              <w:t>1 069,36</w:t>
            </w:r>
          </w:p>
        </w:tc>
        <w:tc>
          <w:tcPr>
            <w:tcW w:w="992" w:type="dxa"/>
            <w:shd w:val="clear" w:color="auto" w:fill="auto"/>
            <w:noWrap/>
            <w:vAlign w:val="center"/>
          </w:tcPr>
          <w:p>
            <w:r>
              <w:rPr>
                <w:rFonts w:ascii="Times New Roman" w:hAnsi="Times New Roman"/>
                <w:bCs/>
                <w:sz w:val="22"/>
                <w:szCs w:val="22"/>
              </w:rPr>
              <w:t>1 069,36</w:t>
            </w:r>
          </w:p>
        </w:tc>
      </w:tr>
      <w:tr>
        <w:trPr>
          <w:trHeight w:val="280"/>
        </w:trPr>
        <w:tc>
          <w:tcPr>
            <w:tcW w:w="438" w:type="dxa"/>
            <w:shd w:val="clear" w:color="auto" w:fill="FFFFFF"/>
            <w:vAlign w:val="center"/>
          </w:tcPr>
          <w:p>
            <w:pPr>
              <w:jc w:val="center"/>
              <w:rPr>
                <w:rFonts w:ascii="Times New Roman" w:hAnsi="Times New Roman"/>
                <w:bCs/>
                <w:sz w:val="22"/>
                <w:szCs w:val="22"/>
              </w:rPr>
            </w:pPr>
            <w:r>
              <w:rPr>
                <w:rFonts w:ascii="Times New Roman" w:hAnsi="Times New Roman"/>
                <w:bCs/>
                <w:sz w:val="22"/>
                <w:szCs w:val="22"/>
              </w:rPr>
              <w:t>4</w:t>
            </w:r>
          </w:p>
        </w:tc>
        <w:tc>
          <w:tcPr>
            <w:tcW w:w="3118" w:type="dxa"/>
            <w:shd w:val="clear" w:color="auto" w:fill="FFFFFF"/>
            <w:noWrap/>
            <w:vAlign w:val="center"/>
          </w:tcPr>
          <w:p>
            <w:pPr>
              <w:spacing w:before="20" w:after="20"/>
              <w:ind w:left="-57" w:right="-57"/>
              <w:rPr>
                <w:rFonts w:ascii="Times New Roman" w:hAnsi="Times New Roman"/>
                <w:bCs/>
                <w:sz w:val="22"/>
                <w:szCs w:val="22"/>
              </w:rPr>
            </w:pPr>
            <w:r>
              <w:rPr>
                <w:rFonts w:ascii="Times New Roman" w:hAnsi="Times New Roman"/>
                <w:bCs/>
                <w:sz w:val="22"/>
                <w:szCs w:val="22"/>
              </w:rPr>
              <w:t>Прочие администраторы</w:t>
            </w:r>
          </w:p>
        </w:tc>
        <w:tc>
          <w:tcPr>
            <w:tcW w:w="1134" w:type="dxa"/>
            <w:shd w:val="clear" w:color="auto" w:fill="FFFFFF"/>
            <w:vAlign w:val="center"/>
          </w:tcPr>
          <w:p>
            <w:pPr>
              <w:ind w:left="-57" w:right="-57"/>
              <w:jc w:val="right"/>
              <w:rPr>
                <w:rFonts w:ascii="Times New Roman" w:hAnsi="Times New Roman"/>
                <w:bCs/>
                <w:sz w:val="22"/>
                <w:szCs w:val="22"/>
              </w:rPr>
            </w:pPr>
            <w:r>
              <w:rPr>
                <w:rFonts w:ascii="Times New Roman" w:hAnsi="Times New Roman"/>
                <w:bCs/>
                <w:sz w:val="22"/>
                <w:szCs w:val="22"/>
              </w:rPr>
              <w:t xml:space="preserve">330,72 </w:t>
            </w:r>
          </w:p>
        </w:tc>
        <w:tc>
          <w:tcPr>
            <w:tcW w:w="1134" w:type="dxa"/>
            <w:shd w:val="clear" w:color="auto" w:fill="FFFFFF"/>
            <w:noWrap/>
            <w:vAlign w:val="center"/>
          </w:tcPr>
          <w:p>
            <w:pPr>
              <w:ind w:left="-57" w:right="-57"/>
              <w:jc w:val="right"/>
              <w:rPr>
                <w:rFonts w:ascii="Times New Roman" w:hAnsi="Times New Roman"/>
                <w:bCs/>
                <w:sz w:val="22"/>
                <w:szCs w:val="22"/>
                <w:highlight w:val="yellow"/>
              </w:rPr>
            </w:pPr>
            <w:r>
              <w:rPr>
                <w:rFonts w:ascii="Times New Roman" w:hAnsi="Times New Roman"/>
                <w:bCs/>
                <w:sz w:val="22"/>
                <w:szCs w:val="22"/>
              </w:rPr>
              <w:t>3 080,61</w:t>
            </w:r>
          </w:p>
        </w:tc>
        <w:tc>
          <w:tcPr>
            <w:tcW w:w="1134" w:type="dxa"/>
            <w:vAlign w:val="center"/>
          </w:tcPr>
          <w:p>
            <w:pPr>
              <w:ind w:left="-57" w:right="-57"/>
              <w:jc w:val="right"/>
              <w:rPr>
                <w:rFonts w:ascii="Times New Roman" w:hAnsi="Times New Roman"/>
                <w:bCs/>
                <w:sz w:val="22"/>
                <w:szCs w:val="22"/>
                <w:highlight w:val="yellow"/>
              </w:rPr>
            </w:pPr>
            <w:r>
              <w:rPr>
                <w:rFonts w:ascii="Times New Roman" w:hAnsi="Times New Roman"/>
                <w:bCs/>
                <w:sz w:val="22"/>
                <w:szCs w:val="22"/>
              </w:rPr>
              <w:t>921,10</w:t>
            </w:r>
          </w:p>
        </w:tc>
        <w:tc>
          <w:tcPr>
            <w:tcW w:w="709" w:type="dxa"/>
            <w:vAlign w:val="center"/>
          </w:tcPr>
          <w:p>
            <w:pPr>
              <w:ind w:left="-57" w:right="-57"/>
              <w:jc w:val="center"/>
              <w:rPr>
                <w:rFonts w:ascii="Times New Roman" w:hAnsi="Times New Roman"/>
                <w:bCs/>
                <w:color w:val="000000"/>
                <w:sz w:val="22"/>
                <w:szCs w:val="22"/>
              </w:rPr>
            </w:pPr>
            <w:r>
              <w:rPr>
                <w:rFonts w:ascii="Times New Roman" w:hAnsi="Times New Roman"/>
                <w:bCs/>
                <w:color w:val="000000"/>
                <w:sz w:val="22"/>
                <w:szCs w:val="22"/>
              </w:rPr>
              <w:t>29,9</w:t>
            </w:r>
          </w:p>
        </w:tc>
        <w:tc>
          <w:tcPr>
            <w:tcW w:w="992"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914,60</w:t>
            </w:r>
          </w:p>
        </w:tc>
        <w:tc>
          <w:tcPr>
            <w:tcW w:w="992" w:type="dxa"/>
            <w:shd w:val="clear" w:color="auto" w:fill="auto"/>
            <w:noWrap/>
            <w:vAlign w:val="center"/>
          </w:tcPr>
          <w:p>
            <w:pPr>
              <w:ind w:left="-57" w:right="-57"/>
              <w:jc w:val="right"/>
              <w:rPr>
                <w:rFonts w:ascii="Times New Roman" w:hAnsi="Times New Roman"/>
                <w:bCs/>
                <w:sz w:val="22"/>
                <w:szCs w:val="22"/>
              </w:rPr>
            </w:pPr>
            <w:r>
              <w:rPr>
                <w:rFonts w:ascii="Times New Roman" w:hAnsi="Times New Roman"/>
                <w:bCs/>
                <w:sz w:val="22"/>
                <w:szCs w:val="22"/>
              </w:rPr>
              <w:t>908,10</w:t>
            </w:r>
          </w:p>
        </w:tc>
      </w:tr>
      <w:tr>
        <w:trPr>
          <w:trHeight w:val="409"/>
        </w:trPr>
        <w:tc>
          <w:tcPr>
            <w:tcW w:w="438" w:type="dxa"/>
            <w:shd w:val="clear" w:color="auto" w:fill="FFFFFF"/>
            <w:vAlign w:val="center"/>
          </w:tcPr>
          <w:p>
            <w:pPr>
              <w:shd w:val="clear" w:color="auto" w:fill="FFFFFF" w:themeFill="background1"/>
              <w:jc w:val="center"/>
              <w:rPr>
                <w:rFonts w:ascii="Times New Roman" w:hAnsi="Times New Roman"/>
                <w:bCs/>
                <w:sz w:val="22"/>
                <w:szCs w:val="22"/>
              </w:rPr>
            </w:pPr>
            <w:r>
              <w:rPr>
                <w:rFonts w:ascii="Times New Roman" w:hAnsi="Times New Roman"/>
                <w:bCs/>
                <w:sz w:val="22"/>
                <w:szCs w:val="22"/>
              </w:rPr>
              <w:t>5</w:t>
            </w:r>
          </w:p>
        </w:tc>
        <w:tc>
          <w:tcPr>
            <w:tcW w:w="3118" w:type="dxa"/>
            <w:shd w:val="clear" w:color="auto" w:fill="FFFFFF"/>
            <w:noWrap/>
            <w:vAlign w:val="center"/>
          </w:tcPr>
          <w:p>
            <w:pPr>
              <w:shd w:val="clear" w:color="auto" w:fill="FFFFFF" w:themeFill="background1"/>
              <w:spacing w:before="20" w:after="20"/>
              <w:ind w:left="-57" w:right="-57"/>
              <w:rPr>
                <w:rFonts w:ascii="Times New Roman" w:hAnsi="Times New Roman"/>
                <w:bCs/>
                <w:sz w:val="22"/>
                <w:szCs w:val="22"/>
              </w:rPr>
            </w:pPr>
            <w:r>
              <w:rPr>
                <w:rFonts w:ascii="Times New Roman" w:hAnsi="Times New Roman"/>
                <w:bCs/>
                <w:sz w:val="22"/>
                <w:szCs w:val="22"/>
              </w:rPr>
              <w:t>Всего доходов по штрафам</w:t>
            </w:r>
          </w:p>
        </w:tc>
        <w:tc>
          <w:tcPr>
            <w:tcW w:w="1134" w:type="dxa"/>
            <w:shd w:val="clear" w:color="auto" w:fill="FFFFFF"/>
            <w:vAlign w:val="center"/>
          </w:tcPr>
          <w:p>
            <w:pPr>
              <w:shd w:val="clear" w:color="auto" w:fill="FFFFFF" w:themeFill="background1"/>
              <w:ind w:left="-57" w:right="-57"/>
              <w:jc w:val="right"/>
              <w:rPr>
                <w:rFonts w:ascii="Times New Roman" w:hAnsi="Times New Roman"/>
                <w:bCs/>
                <w:sz w:val="22"/>
                <w:szCs w:val="22"/>
              </w:rPr>
            </w:pPr>
            <w:r>
              <w:rPr>
                <w:rFonts w:ascii="Times New Roman" w:hAnsi="Times New Roman"/>
                <w:bCs/>
                <w:sz w:val="22"/>
                <w:szCs w:val="22"/>
              </w:rPr>
              <w:t>5 659,62</w:t>
            </w:r>
          </w:p>
        </w:tc>
        <w:tc>
          <w:tcPr>
            <w:tcW w:w="1134" w:type="dxa"/>
            <w:shd w:val="clear" w:color="auto" w:fill="FFFFFF"/>
            <w:noWrap/>
            <w:vAlign w:val="center"/>
          </w:tcPr>
          <w:p>
            <w:pPr>
              <w:shd w:val="clear" w:color="auto" w:fill="FFFFFF" w:themeFill="background1"/>
              <w:ind w:left="-57" w:right="-57"/>
              <w:jc w:val="right"/>
              <w:rPr>
                <w:rFonts w:ascii="Times New Roman" w:hAnsi="Times New Roman"/>
                <w:bCs/>
                <w:sz w:val="22"/>
                <w:szCs w:val="22"/>
                <w:highlight w:val="yellow"/>
              </w:rPr>
            </w:pPr>
            <w:r>
              <w:rPr>
                <w:rFonts w:ascii="Times New Roman" w:hAnsi="Times New Roman"/>
                <w:bCs/>
                <w:sz w:val="22"/>
                <w:szCs w:val="22"/>
              </w:rPr>
              <w:t>5 659,62</w:t>
            </w:r>
          </w:p>
        </w:tc>
        <w:tc>
          <w:tcPr>
            <w:tcW w:w="1134" w:type="dxa"/>
            <w:vAlign w:val="center"/>
          </w:tcPr>
          <w:p>
            <w:pPr>
              <w:shd w:val="clear" w:color="auto" w:fill="FFFFFF" w:themeFill="background1"/>
              <w:ind w:left="-57" w:right="-57"/>
              <w:jc w:val="right"/>
              <w:rPr>
                <w:rFonts w:ascii="Times New Roman" w:hAnsi="Times New Roman"/>
                <w:bCs/>
                <w:sz w:val="22"/>
                <w:szCs w:val="22"/>
              </w:rPr>
            </w:pPr>
            <w:r>
              <w:rPr>
                <w:rFonts w:ascii="Times New Roman" w:hAnsi="Times New Roman"/>
                <w:bCs/>
                <w:sz w:val="22"/>
                <w:szCs w:val="22"/>
              </w:rPr>
              <w:t>3 461,21</w:t>
            </w:r>
          </w:p>
        </w:tc>
        <w:tc>
          <w:tcPr>
            <w:tcW w:w="709" w:type="dxa"/>
            <w:vAlign w:val="center"/>
          </w:tcPr>
          <w:p>
            <w:pPr>
              <w:shd w:val="clear" w:color="auto" w:fill="FFFFFF" w:themeFill="background1"/>
              <w:ind w:left="-57" w:right="-57"/>
              <w:jc w:val="center"/>
              <w:rPr>
                <w:rFonts w:ascii="Times New Roman" w:hAnsi="Times New Roman"/>
                <w:bCs/>
                <w:color w:val="000000"/>
                <w:sz w:val="22"/>
                <w:szCs w:val="22"/>
              </w:rPr>
            </w:pPr>
            <w:r>
              <w:rPr>
                <w:rFonts w:ascii="Times New Roman" w:hAnsi="Times New Roman"/>
                <w:bCs/>
                <w:color w:val="000000"/>
                <w:sz w:val="22"/>
                <w:szCs w:val="22"/>
              </w:rPr>
              <w:t>61,2</w:t>
            </w:r>
          </w:p>
        </w:tc>
        <w:tc>
          <w:tcPr>
            <w:tcW w:w="992" w:type="dxa"/>
            <w:shd w:val="clear" w:color="auto" w:fill="auto"/>
            <w:noWrap/>
            <w:vAlign w:val="center"/>
          </w:tcPr>
          <w:p>
            <w:pPr>
              <w:shd w:val="clear" w:color="auto" w:fill="FFFFFF" w:themeFill="background1"/>
              <w:ind w:left="-57" w:right="-57"/>
              <w:jc w:val="right"/>
              <w:rPr>
                <w:rFonts w:ascii="Times New Roman" w:hAnsi="Times New Roman"/>
                <w:bCs/>
                <w:sz w:val="22"/>
                <w:szCs w:val="22"/>
              </w:rPr>
            </w:pPr>
            <w:r>
              <w:rPr>
                <w:rFonts w:ascii="Times New Roman" w:hAnsi="Times New Roman"/>
                <w:bCs/>
                <w:sz w:val="22"/>
                <w:szCs w:val="22"/>
              </w:rPr>
              <w:t>3 510,65</w:t>
            </w:r>
          </w:p>
        </w:tc>
        <w:tc>
          <w:tcPr>
            <w:tcW w:w="992" w:type="dxa"/>
            <w:shd w:val="clear" w:color="auto" w:fill="auto"/>
            <w:noWrap/>
            <w:vAlign w:val="center"/>
          </w:tcPr>
          <w:p>
            <w:pPr>
              <w:shd w:val="clear" w:color="auto" w:fill="FFFFFF" w:themeFill="background1"/>
              <w:ind w:left="-57" w:right="-57"/>
              <w:jc w:val="right"/>
              <w:rPr>
                <w:rFonts w:ascii="Times New Roman" w:hAnsi="Times New Roman"/>
                <w:bCs/>
                <w:sz w:val="22"/>
                <w:szCs w:val="22"/>
              </w:rPr>
            </w:pPr>
            <w:r>
              <w:rPr>
                <w:rFonts w:ascii="Times New Roman" w:hAnsi="Times New Roman"/>
                <w:bCs/>
                <w:sz w:val="22"/>
                <w:szCs w:val="22"/>
              </w:rPr>
              <w:t>3 564,75</w:t>
            </w:r>
          </w:p>
        </w:tc>
      </w:tr>
    </w:tbl>
    <w:p>
      <w:pPr>
        <w:shd w:val="clear" w:color="auto" w:fill="FFFFFF" w:themeFill="background1"/>
        <w:ind w:right="43"/>
        <w:jc w:val="both"/>
        <w:rPr>
          <w:rFonts w:ascii="Times New Roman" w:hAnsi="Times New Roman"/>
          <w:sz w:val="10"/>
          <w:szCs w:val="10"/>
          <w:highlight w:val="yellow"/>
        </w:rPr>
      </w:pPr>
    </w:p>
    <w:p>
      <w:pPr>
        <w:ind w:right="43" w:firstLine="709"/>
        <w:jc w:val="both"/>
        <w:rPr>
          <w:rFonts w:ascii="Times New Roman" w:hAnsi="Times New Roman"/>
          <w:sz w:val="24"/>
        </w:rPr>
      </w:pPr>
      <w:r>
        <w:rPr>
          <w:rFonts w:ascii="Times New Roman" w:hAnsi="Times New Roman"/>
          <w:sz w:val="24"/>
        </w:rPr>
        <w:t xml:space="preserve">В соответствии с нормами действующего </w:t>
      </w:r>
      <w:r>
        <w:rPr>
          <w:rFonts w:ascii="Times New Roman" w:hAnsi="Times New Roman"/>
          <w:sz w:val="24"/>
          <w:szCs w:val="24"/>
        </w:rPr>
        <w:t xml:space="preserve">законодательства с 01.01.2020 штрафы, вынесенные должностными лицами федеральных и территориальных органов </w:t>
      </w:r>
      <w:r>
        <w:rPr>
          <w:rFonts w:ascii="Times New Roman" w:hAnsi="Times New Roman"/>
          <w:sz w:val="24"/>
          <w:szCs w:val="24"/>
        </w:rPr>
        <w:lastRenderedPageBreak/>
        <w:t xml:space="preserve">исполнительной власти и их структурными подразделениями, зачисляются в бюджеты тех уровней, из которых финансируется деятельность данных органов. </w:t>
      </w:r>
    </w:p>
    <w:p>
      <w:pPr>
        <w:shd w:val="clear" w:color="auto" w:fill="FFFFFF" w:themeFill="background1"/>
        <w:suppressAutoHyphens/>
        <w:ind w:firstLine="709"/>
        <w:jc w:val="both"/>
        <w:rPr>
          <w:rFonts w:ascii="Times New Roman" w:hAnsi="Times New Roman"/>
          <w:bCs/>
          <w:sz w:val="24"/>
          <w:lang w:eastAsia="ar-SA"/>
        </w:rPr>
      </w:pPr>
      <w:r>
        <w:rPr>
          <w:rFonts w:ascii="Times New Roman" w:hAnsi="Times New Roman"/>
          <w:sz w:val="24"/>
          <w:shd w:val="clear" w:color="auto" w:fill="FFFFFF" w:themeFill="background1"/>
          <w:lang w:eastAsia="ar-SA"/>
        </w:rPr>
        <w:t xml:space="preserve">Наибольший объем поступлений по данной статье прогнозируется </w:t>
      </w:r>
      <w:r>
        <w:rPr>
          <w:rFonts w:ascii="Times New Roman" w:hAnsi="Times New Roman"/>
          <w:sz w:val="24"/>
          <w:szCs w:val="24"/>
          <w:shd w:val="clear" w:color="auto" w:fill="FFFFFF" w:themeFill="background1"/>
          <w:lang w:eastAsia="ar-SA"/>
        </w:rPr>
        <w:t>по штрафам, администрируемым УИО Администрации ЗАТО Северск</w:t>
      </w:r>
      <w:r>
        <w:rPr>
          <w:rFonts w:ascii="Times New Roman" w:hAnsi="Times New Roman"/>
          <w:sz w:val="24"/>
          <w:shd w:val="clear" w:color="auto" w:fill="FFFFFF" w:themeFill="background1"/>
          <w:lang w:eastAsia="ar-SA"/>
        </w:rPr>
        <w:t xml:space="preserve"> и </w:t>
      </w:r>
      <w:r>
        <w:rPr>
          <w:rFonts w:ascii="Times New Roman" w:hAnsi="Times New Roman"/>
          <w:sz w:val="24"/>
          <w:szCs w:val="24"/>
          <w:shd w:val="clear" w:color="auto" w:fill="FFFFFF" w:themeFill="background1"/>
          <w:lang w:eastAsia="ar-SA"/>
        </w:rPr>
        <w:t>УЖКХ ТиС.</w:t>
      </w:r>
      <w:r>
        <w:rPr>
          <w:rFonts w:ascii="Times New Roman" w:hAnsi="Times New Roman"/>
          <w:sz w:val="24"/>
          <w:szCs w:val="24"/>
          <w:lang w:eastAsia="ar-SA"/>
        </w:rPr>
        <w:t xml:space="preserve"> </w:t>
      </w:r>
      <w:r>
        <w:rPr>
          <w:rFonts w:ascii="Times New Roman" w:hAnsi="Times New Roman"/>
          <w:bCs/>
          <w:sz w:val="24"/>
          <w:lang w:eastAsia="ar-SA"/>
        </w:rPr>
        <w:t>На их долю прогнозируется почти 61,4% поступлений по данной статье.</w:t>
      </w:r>
    </w:p>
    <w:p>
      <w:pPr>
        <w:ind w:right="43" w:firstLine="709"/>
        <w:jc w:val="both"/>
        <w:rPr>
          <w:rFonts w:ascii="Times New Roman" w:hAnsi="Times New Roman"/>
          <w:b/>
          <w:sz w:val="24"/>
        </w:rPr>
      </w:pPr>
    </w:p>
    <w:p>
      <w:pPr>
        <w:ind w:right="43" w:firstLine="709"/>
        <w:jc w:val="center"/>
        <w:rPr>
          <w:rFonts w:ascii="Times New Roman" w:hAnsi="Times New Roman"/>
          <w:b/>
          <w:sz w:val="24"/>
        </w:rPr>
      </w:pPr>
      <w:r>
        <w:rPr>
          <w:rFonts w:ascii="Times New Roman" w:hAnsi="Times New Roman"/>
          <w:b/>
          <w:sz w:val="24"/>
        </w:rPr>
        <w:t>1.4.6. Прочие неналоговые доходы</w:t>
      </w:r>
    </w:p>
    <w:p>
      <w:pPr>
        <w:ind w:right="43" w:firstLine="709"/>
        <w:jc w:val="both"/>
        <w:rPr>
          <w:rFonts w:ascii="Times New Roman" w:hAnsi="Times New Roman"/>
          <w:sz w:val="24"/>
        </w:rPr>
      </w:pPr>
      <w:r>
        <w:rPr>
          <w:rFonts w:ascii="Times New Roman" w:hAnsi="Times New Roman"/>
          <w:sz w:val="24"/>
        </w:rPr>
        <w:t xml:space="preserve">Прогноз поступлений доходов выполнен на основе данных главного администратора доходов – Управления имущественных отношений Администрации ЗАТО Северск с учетом сложившегося уровня фактических поступлений.  </w:t>
      </w:r>
    </w:p>
    <w:p>
      <w:pPr>
        <w:ind w:right="43" w:firstLine="709"/>
        <w:jc w:val="both"/>
        <w:rPr>
          <w:rFonts w:ascii="Times New Roman" w:hAnsi="Times New Roman"/>
          <w:sz w:val="24"/>
        </w:rPr>
      </w:pPr>
      <w:r>
        <w:rPr>
          <w:rFonts w:ascii="Times New Roman" w:hAnsi="Times New Roman"/>
          <w:sz w:val="24"/>
        </w:rPr>
        <w:t xml:space="preserve">Доходы от прочих неналоговых поступлений на 2021-2013 годы прогнозируются в сумме по 60,00 тыс.руб. ежегодно (платежи за вырубку леса). </w:t>
      </w:r>
    </w:p>
    <w:p>
      <w:pPr>
        <w:ind w:right="43" w:firstLine="709"/>
        <w:jc w:val="both"/>
        <w:rPr>
          <w:rFonts w:ascii="Times New Roman" w:hAnsi="Times New Roman"/>
          <w:sz w:val="24"/>
        </w:rPr>
      </w:pPr>
      <w:r>
        <w:rPr>
          <w:rFonts w:ascii="Times New Roman" w:hAnsi="Times New Roman"/>
          <w:sz w:val="24"/>
        </w:rPr>
        <w:t>Норматив зачисления по прочим неналоговым доходам в бюджет ЗАТО Северск составляет 100%.</w:t>
      </w:r>
    </w:p>
    <w:p>
      <w:pPr>
        <w:ind w:right="43" w:firstLine="709"/>
        <w:jc w:val="both"/>
        <w:rPr>
          <w:rFonts w:ascii="Times New Roman" w:hAnsi="Times New Roman"/>
          <w:sz w:val="24"/>
        </w:rPr>
      </w:pPr>
    </w:p>
    <w:p>
      <w:pPr>
        <w:ind w:right="43" w:firstLine="709"/>
        <w:jc w:val="center"/>
        <w:rPr>
          <w:rFonts w:ascii="Times New Roman" w:hAnsi="Times New Roman"/>
          <w:b/>
          <w:sz w:val="24"/>
        </w:rPr>
      </w:pPr>
      <w:r>
        <w:rPr>
          <w:rFonts w:ascii="Times New Roman" w:hAnsi="Times New Roman"/>
          <w:b/>
          <w:sz w:val="24"/>
        </w:rPr>
        <w:t>1.5. Безвозмездные поступления от других бюджетов</w:t>
      </w:r>
    </w:p>
    <w:p>
      <w:pPr>
        <w:ind w:right="43" w:firstLine="709"/>
        <w:jc w:val="center"/>
        <w:rPr>
          <w:rFonts w:ascii="Times New Roman" w:hAnsi="Times New Roman"/>
          <w:b/>
          <w:sz w:val="24"/>
        </w:rPr>
      </w:pPr>
      <w:r>
        <w:rPr>
          <w:rFonts w:ascii="Times New Roman" w:hAnsi="Times New Roman"/>
          <w:b/>
          <w:sz w:val="24"/>
        </w:rPr>
        <w:t>бюджетной системы Российской Федерации</w:t>
      </w:r>
    </w:p>
    <w:p>
      <w:pPr>
        <w:ind w:right="43" w:firstLine="709"/>
        <w:jc w:val="both"/>
        <w:rPr>
          <w:rFonts w:ascii="Times New Roman" w:hAnsi="Times New Roman"/>
          <w:sz w:val="24"/>
        </w:rPr>
      </w:pPr>
      <w:r>
        <w:rPr>
          <w:rFonts w:ascii="Times New Roman" w:hAnsi="Times New Roman"/>
          <w:sz w:val="24"/>
        </w:rPr>
        <w:t>Прогноз по данной подгруппе доходов выполнен согласно проектам Федерального закона «О федеральном бюджете на 2021 год и на плановый период 2022 и 2023 годов» и Закона Томской области «Об областном бюджете на 2021 год и на плановый период 2022 и 2023 годов».</w:t>
      </w:r>
    </w:p>
    <w:p>
      <w:pPr>
        <w:ind w:right="43" w:firstLine="709"/>
        <w:jc w:val="both"/>
        <w:rPr>
          <w:rFonts w:ascii="Times New Roman" w:hAnsi="Times New Roman"/>
          <w:sz w:val="24"/>
        </w:rPr>
      </w:pPr>
      <w:r>
        <w:rPr>
          <w:rFonts w:ascii="Times New Roman" w:hAnsi="Times New Roman"/>
          <w:sz w:val="24"/>
        </w:rPr>
        <w:t xml:space="preserve">Безвозмездные поступления от других бюджетов бюджетной системы Российской Федерации на 2021 год прогнозируются в сумме 2 953 376,83 тыс.руб., на 630 428,79 тыс.руб. или на 17,6%  ниже оценки 2020 года (к первоначально утвержденному прогнозу рост на 8,0% или на 217 911,63 тыс.руб.). Доля безвозмездных поступлений в 2021 году составит 72,7% от общей суммы доходов бюджета. </w:t>
      </w:r>
    </w:p>
    <w:p>
      <w:pPr>
        <w:ind w:right="43" w:firstLine="709"/>
        <w:jc w:val="both"/>
        <w:rPr>
          <w:rFonts w:ascii="Times New Roman" w:hAnsi="Times New Roman"/>
          <w:sz w:val="24"/>
        </w:rPr>
      </w:pPr>
      <w:r>
        <w:rPr>
          <w:rFonts w:ascii="Times New Roman" w:hAnsi="Times New Roman"/>
          <w:sz w:val="24"/>
        </w:rPr>
        <w:t xml:space="preserve">Безвозмездные поступления на 2022 год планируются в сумме 2 470 920,10 тыс.руб. (68,9% к общей сумме доходов) и на 2023 год - 2 430 629,10 тыс.руб. (68,5% к общей сумме доходов). </w:t>
      </w:r>
    </w:p>
    <w:p>
      <w:pPr>
        <w:spacing w:before="120" w:after="60"/>
        <w:ind w:right="45" w:firstLine="709"/>
        <w:jc w:val="both"/>
        <w:rPr>
          <w:rFonts w:ascii="Times New Roman" w:hAnsi="Times New Roman"/>
          <w:sz w:val="24"/>
        </w:rPr>
      </w:pPr>
      <w:r>
        <w:rPr>
          <w:rFonts w:ascii="Times New Roman" w:hAnsi="Times New Roman"/>
          <w:sz w:val="24"/>
        </w:rPr>
        <w:t>Таблица 26 - Безвозмездные поступления от других бюджетов</w:t>
      </w:r>
    </w:p>
    <w:tbl>
      <w:tblPr>
        <w:tblW w:w="9458" w:type="dxa"/>
        <w:tblInd w:w="96" w:type="dxa"/>
        <w:tblLook w:val="0000" w:firstRow="0" w:lastRow="0" w:firstColumn="0" w:lastColumn="0" w:noHBand="0" w:noVBand="0"/>
      </w:tblPr>
      <w:tblGrid>
        <w:gridCol w:w="542"/>
        <w:gridCol w:w="1736"/>
        <w:gridCol w:w="1317"/>
        <w:gridCol w:w="1298"/>
        <w:gridCol w:w="1263"/>
        <w:gridCol w:w="750"/>
        <w:gridCol w:w="1276"/>
        <w:gridCol w:w="1276"/>
      </w:tblGrid>
      <w:tr>
        <w:trPr>
          <w:trHeight w:val="235"/>
        </w:trPr>
        <w:tc>
          <w:tcPr>
            <w:tcW w:w="542" w:type="dxa"/>
            <w:vMerge w:val="restart"/>
            <w:tcBorders>
              <w:top w:val="single" w:sz="4" w:space="0" w:color="auto"/>
              <w:left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w:t>
            </w:r>
          </w:p>
        </w:tc>
        <w:tc>
          <w:tcPr>
            <w:tcW w:w="1736" w:type="dxa"/>
            <w:vMerge w:val="restart"/>
            <w:tcBorders>
              <w:top w:val="single" w:sz="4" w:space="0" w:color="auto"/>
              <w:left w:val="single" w:sz="4" w:space="0" w:color="auto"/>
              <w:right w:val="single" w:sz="4" w:space="0" w:color="auto"/>
            </w:tcBorders>
            <w:shd w:val="clear" w:color="auto" w:fill="auto"/>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Наименование  показателей</w:t>
            </w:r>
          </w:p>
        </w:tc>
        <w:tc>
          <w:tcPr>
            <w:tcW w:w="2615" w:type="dxa"/>
            <w:gridSpan w:val="2"/>
            <w:tcBorders>
              <w:top w:val="single" w:sz="4" w:space="0" w:color="auto"/>
              <w:left w:val="single" w:sz="4" w:space="0" w:color="auto"/>
              <w:bottom w:val="single" w:sz="4" w:space="0" w:color="auto"/>
              <w:right w:val="single" w:sz="4" w:space="0" w:color="auto"/>
            </w:tcBorders>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2020 год</w:t>
            </w:r>
          </w:p>
        </w:tc>
        <w:tc>
          <w:tcPr>
            <w:tcW w:w="2013" w:type="dxa"/>
            <w:gridSpan w:val="2"/>
            <w:tcBorders>
              <w:top w:val="single" w:sz="4" w:space="0" w:color="auto"/>
              <w:left w:val="nil"/>
              <w:bottom w:val="single" w:sz="4" w:space="0" w:color="auto"/>
              <w:right w:val="single" w:sz="4" w:space="0" w:color="auto"/>
            </w:tcBorders>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2021 год</w:t>
            </w:r>
          </w:p>
        </w:tc>
        <w:tc>
          <w:tcPr>
            <w:tcW w:w="1276" w:type="dxa"/>
            <w:vMerge w:val="restart"/>
            <w:tcBorders>
              <w:top w:val="single" w:sz="4" w:space="0" w:color="auto"/>
              <w:left w:val="nil"/>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Прогноз</w:t>
            </w:r>
          </w:p>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2022 года</w:t>
            </w:r>
          </w:p>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тыс.руб.</w:t>
            </w:r>
          </w:p>
        </w:tc>
        <w:tc>
          <w:tcPr>
            <w:tcW w:w="1276" w:type="dxa"/>
            <w:vMerge w:val="restart"/>
            <w:tcBorders>
              <w:top w:val="single" w:sz="4" w:space="0" w:color="auto"/>
              <w:left w:val="nil"/>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Прогноз</w:t>
            </w:r>
          </w:p>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2023 года</w:t>
            </w:r>
          </w:p>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тыс.руб.</w:t>
            </w:r>
          </w:p>
        </w:tc>
      </w:tr>
      <w:tr>
        <w:trPr>
          <w:trHeight w:val="376"/>
        </w:trPr>
        <w:tc>
          <w:tcPr>
            <w:tcW w:w="542" w:type="dxa"/>
            <w:vMerge/>
            <w:tcBorders>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p>
        </w:tc>
        <w:tc>
          <w:tcPr>
            <w:tcW w:w="1736" w:type="dxa"/>
            <w:vMerge/>
            <w:tcBorders>
              <w:left w:val="single" w:sz="4" w:space="0" w:color="auto"/>
              <w:bottom w:val="single" w:sz="4" w:space="0" w:color="auto"/>
              <w:right w:val="single" w:sz="4" w:space="0" w:color="auto"/>
            </w:tcBorders>
            <w:shd w:val="clear" w:color="auto" w:fill="auto"/>
            <w:vAlign w:val="center"/>
          </w:tcPr>
          <w:p>
            <w:pPr>
              <w:widowControl w:val="0"/>
              <w:spacing w:before="20" w:after="20"/>
              <w:ind w:left="-57" w:right="-57"/>
              <w:rPr>
                <w:rFonts w:ascii="Times New Roman" w:hAnsi="Times New Roman"/>
                <w:bCs/>
                <w:snapToGrid w:val="0"/>
                <w:sz w:val="22"/>
                <w:szCs w:val="22"/>
              </w:rPr>
            </w:pPr>
          </w:p>
        </w:tc>
        <w:tc>
          <w:tcPr>
            <w:tcW w:w="1317" w:type="dxa"/>
            <w:tcBorders>
              <w:top w:val="single" w:sz="4" w:space="0" w:color="auto"/>
              <w:left w:val="single" w:sz="4" w:space="0" w:color="auto"/>
              <w:bottom w:val="single" w:sz="4" w:space="0" w:color="auto"/>
              <w:right w:val="single" w:sz="4" w:space="0" w:color="auto"/>
            </w:tcBorders>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Первонач. утверждено</w:t>
            </w:r>
          </w:p>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тыс.руб.</w:t>
            </w:r>
          </w:p>
        </w:tc>
        <w:tc>
          <w:tcPr>
            <w:tcW w:w="1298"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jc w:val="center"/>
              <w:rPr>
                <w:rFonts w:ascii="Times New Roman" w:hAnsi="Times New Roman"/>
                <w:bCs/>
                <w:snapToGrid w:val="0"/>
                <w:sz w:val="22"/>
                <w:szCs w:val="22"/>
              </w:rPr>
            </w:pPr>
            <w:r>
              <w:rPr>
                <w:rFonts w:ascii="Times New Roman" w:hAnsi="Times New Roman"/>
                <w:bCs/>
                <w:snapToGrid w:val="0"/>
                <w:sz w:val="22"/>
                <w:szCs w:val="22"/>
              </w:rPr>
              <w:t>Оценка</w:t>
            </w:r>
          </w:p>
          <w:p>
            <w:pPr>
              <w:widowControl w:val="0"/>
              <w:spacing w:before="20" w:after="20"/>
              <w:jc w:val="center"/>
              <w:rPr>
                <w:rFonts w:ascii="Times New Roman" w:hAnsi="Times New Roman"/>
                <w:bCs/>
                <w:snapToGrid w:val="0"/>
                <w:sz w:val="22"/>
                <w:szCs w:val="22"/>
              </w:rPr>
            </w:pPr>
            <w:r>
              <w:rPr>
                <w:rFonts w:ascii="Times New Roman" w:hAnsi="Times New Roman"/>
                <w:bCs/>
                <w:snapToGrid w:val="0"/>
                <w:sz w:val="22"/>
                <w:szCs w:val="22"/>
              </w:rPr>
              <w:t>тыс.руб.</w:t>
            </w:r>
          </w:p>
        </w:tc>
        <w:tc>
          <w:tcPr>
            <w:tcW w:w="1263" w:type="dxa"/>
            <w:tcBorders>
              <w:top w:val="single" w:sz="4" w:space="0" w:color="auto"/>
              <w:left w:val="nil"/>
              <w:bottom w:val="single" w:sz="4" w:space="0" w:color="auto"/>
              <w:right w:val="single" w:sz="4" w:space="0" w:color="auto"/>
            </w:tcBorders>
            <w:vAlign w:val="center"/>
          </w:tcPr>
          <w:p>
            <w:pPr>
              <w:widowControl w:val="0"/>
              <w:spacing w:before="20" w:after="20"/>
              <w:ind w:right="-57"/>
              <w:jc w:val="center"/>
              <w:rPr>
                <w:rFonts w:ascii="Times New Roman" w:hAnsi="Times New Roman"/>
                <w:bCs/>
                <w:snapToGrid w:val="0"/>
                <w:sz w:val="22"/>
                <w:szCs w:val="22"/>
              </w:rPr>
            </w:pPr>
            <w:r>
              <w:rPr>
                <w:rFonts w:ascii="Times New Roman" w:hAnsi="Times New Roman"/>
                <w:bCs/>
                <w:snapToGrid w:val="0"/>
                <w:sz w:val="22"/>
                <w:szCs w:val="22"/>
              </w:rPr>
              <w:t>Прогноз</w:t>
            </w:r>
          </w:p>
          <w:p>
            <w:pPr>
              <w:widowControl w:val="0"/>
              <w:spacing w:before="20" w:after="20"/>
              <w:ind w:right="-57"/>
              <w:jc w:val="center"/>
              <w:rPr>
                <w:rFonts w:ascii="Times New Roman" w:hAnsi="Times New Roman"/>
                <w:bCs/>
                <w:snapToGrid w:val="0"/>
                <w:sz w:val="22"/>
                <w:szCs w:val="22"/>
              </w:rPr>
            </w:pPr>
            <w:r>
              <w:rPr>
                <w:rFonts w:ascii="Times New Roman" w:hAnsi="Times New Roman"/>
                <w:bCs/>
                <w:snapToGrid w:val="0"/>
                <w:sz w:val="22"/>
                <w:szCs w:val="22"/>
              </w:rPr>
              <w:t>тыс.руб.</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 к оценке 2020г.</w:t>
            </w:r>
          </w:p>
        </w:tc>
        <w:tc>
          <w:tcPr>
            <w:tcW w:w="1276" w:type="dxa"/>
            <w:vMerge/>
            <w:tcBorders>
              <w:left w:val="nil"/>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p>
        </w:tc>
        <w:tc>
          <w:tcPr>
            <w:tcW w:w="1276" w:type="dxa"/>
            <w:vMerge/>
            <w:tcBorders>
              <w:left w:val="nil"/>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p>
        </w:tc>
      </w:tr>
      <w:tr>
        <w:trPr>
          <w:trHeight w:val="397"/>
        </w:trPr>
        <w:tc>
          <w:tcPr>
            <w:tcW w:w="542"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1</w:t>
            </w:r>
          </w:p>
        </w:tc>
        <w:tc>
          <w:tcPr>
            <w:tcW w:w="1736" w:type="dxa"/>
            <w:tcBorders>
              <w:top w:val="nil"/>
              <w:left w:val="nil"/>
              <w:bottom w:val="single" w:sz="4" w:space="0" w:color="auto"/>
              <w:right w:val="single" w:sz="4" w:space="0" w:color="auto"/>
            </w:tcBorders>
            <w:shd w:val="clear" w:color="auto" w:fill="auto"/>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Дотации, в том числе:</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1 285 339,40</w:t>
            </w:r>
          </w:p>
        </w:tc>
        <w:tc>
          <w:tcPr>
            <w:tcW w:w="1298"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1 389 355,33</w:t>
            </w:r>
          </w:p>
        </w:tc>
        <w:tc>
          <w:tcPr>
            <w:tcW w:w="1263"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1 389 355,33</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100,0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1 004 000,30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1 011 128,00</w:t>
            </w:r>
          </w:p>
        </w:tc>
      </w:tr>
      <w:tr>
        <w:trPr>
          <w:trHeight w:val="397"/>
        </w:trPr>
        <w:tc>
          <w:tcPr>
            <w:tcW w:w="542"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1.1</w:t>
            </w:r>
          </w:p>
        </w:tc>
        <w:tc>
          <w:tcPr>
            <w:tcW w:w="1736" w:type="dxa"/>
            <w:tcBorders>
              <w:top w:val="nil"/>
              <w:left w:val="nil"/>
              <w:bottom w:val="single" w:sz="4" w:space="0" w:color="auto"/>
              <w:right w:val="single" w:sz="4" w:space="0" w:color="auto"/>
            </w:tcBorders>
            <w:shd w:val="clear" w:color="auto" w:fill="auto"/>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из федерального бюджета</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785 819,00</w:t>
            </w:r>
          </w:p>
        </w:tc>
        <w:tc>
          <w:tcPr>
            <w:tcW w:w="1298" w:type="dxa"/>
            <w:tcBorders>
              <w:top w:val="nil"/>
              <w:left w:val="single" w:sz="4" w:space="0" w:color="auto"/>
              <w:bottom w:val="single" w:sz="4" w:space="0" w:color="auto"/>
              <w:right w:val="single" w:sz="4" w:space="0" w:color="auto"/>
            </w:tcBorders>
            <w:shd w:val="clear" w:color="auto" w:fill="auto"/>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785 819,00</w:t>
            </w:r>
          </w:p>
        </w:tc>
        <w:tc>
          <w:tcPr>
            <w:tcW w:w="1263"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785 819,00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100,0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631 086,00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631 086,00</w:t>
            </w:r>
          </w:p>
        </w:tc>
      </w:tr>
      <w:tr>
        <w:trPr>
          <w:trHeight w:val="397"/>
        </w:trPr>
        <w:tc>
          <w:tcPr>
            <w:tcW w:w="542"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1.2</w:t>
            </w:r>
          </w:p>
        </w:tc>
        <w:tc>
          <w:tcPr>
            <w:tcW w:w="1736" w:type="dxa"/>
            <w:tcBorders>
              <w:top w:val="nil"/>
              <w:left w:val="nil"/>
              <w:bottom w:val="single" w:sz="4" w:space="0" w:color="auto"/>
              <w:right w:val="single" w:sz="4" w:space="0" w:color="auto"/>
            </w:tcBorders>
            <w:shd w:val="clear" w:color="auto" w:fill="auto"/>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из областного бюджета</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499 520,40</w:t>
            </w:r>
          </w:p>
        </w:tc>
        <w:tc>
          <w:tcPr>
            <w:tcW w:w="1298"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603 536,33</w:t>
            </w:r>
          </w:p>
        </w:tc>
        <w:tc>
          <w:tcPr>
            <w:tcW w:w="1263"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603 536,33</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100,0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372 914,30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380 042,00</w:t>
            </w:r>
          </w:p>
        </w:tc>
      </w:tr>
      <w:tr>
        <w:trPr>
          <w:trHeight w:val="397"/>
        </w:trPr>
        <w:tc>
          <w:tcPr>
            <w:tcW w:w="542"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1.2.1</w:t>
            </w:r>
          </w:p>
        </w:tc>
        <w:tc>
          <w:tcPr>
            <w:tcW w:w="1736" w:type="dxa"/>
            <w:tcBorders>
              <w:top w:val="nil"/>
              <w:left w:val="nil"/>
              <w:bottom w:val="single" w:sz="4" w:space="0" w:color="auto"/>
              <w:right w:val="single" w:sz="4" w:space="0" w:color="auto"/>
            </w:tcBorders>
            <w:shd w:val="clear" w:color="auto" w:fill="auto"/>
            <w:vAlign w:val="center"/>
          </w:tcPr>
          <w:p>
            <w:pPr>
              <w:widowControl w:val="0"/>
              <w:spacing w:before="20" w:after="20"/>
              <w:ind w:left="-57" w:right="-72"/>
              <w:jc w:val="right"/>
              <w:rPr>
                <w:rFonts w:ascii="Times New Roman" w:hAnsi="Times New Roman"/>
                <w:bCs/>
                <w:snapToGrid w:val="0"/>
              </w:rPr>
            </w:pPr>
            <w:r>
              <w:rPr>
                <w:rFonts w:ascii="Times New Roman" w:hAnsi="Times New Roman"/>
                <w:bCs/>
                <w:snapToGrid w:val="0"/>
              </w:rPr>
              <w:t>в том числе:</w:t>
            </w:r>
          </w:p>
          <w:p>
            <w:pPr>
              <w:widowControl w:val="0"/>
              <w:spacing w:before="20" w:after="20"/>
              <w:ind w:left="-57" w:right="-72"/>
              <w:jc w:val="right"/>
              <w:rPr>
                <w:rFonts w:ascii="Times New Roman" w:hAnsi="Times New Roman"/>
                <w:bCs/>
                <w:snapToGrid w:val="0"/>
              </w:rPr>
            </w:pPr>
            <w:r>
              <w:rPr>
                <w:rFonts w:ascii="Times New Roman" w:hAnsi="Times New Roman"/>
                <w:bCs/>
                <w:snapToGrid w:val="0"/>
              </w:rPr>
              <w:t>на выравнивание</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228 530,60</w:t>
            </w:r>
          </w:p>
        </w:tc>
        <w:tc>
          <w:tcPr>
            <w:tcW w:w="1298"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228 350,60</w:t>
            </w:r>
          </w:p>
        </w:tc>
        <w:tc>
          <w:tcPr>
            <w:tcW w:w="1263" w:type="dxa"/>
            <w:tcBorders>
              <w:top w:val="single" w:sz="4" w:space="0" w:color="auto"/>
              <w:left w:val="nil"/>
              <w:bottom w:val="single" w:sz="4" w:space="0" w:color="auto"/>
              <w:right w:val="single" w:sz="4" w:space="0" w:color="auto"/>
            </w:tcBorders>
            <w:vAlign w:val="center"/>
          </w:tcPr>
          <w:p>
            <w:pPr>
              <w:rPr>
                <w:rFonts w:ascii="Times New Roman" w:hAnsi="Times New Roman"/>
                <w:bCs/>
                <w:snapToGrid w:val="0"/>
                <w:sz w:val="22"/>
                <w:szCs w:val="22"/>
              </w:rPr>
            </w:pPr>
            <w:r>
              <w:rPr>
                <w:rFonts w:ascii="Times New Roman" w:hAnsi="Times New Roman"/>
                <w:bCs/>
                <w:snapToGrid w:val="0"/>
                <w:sz w:val="22"/>
                <w:szCs w:val="22"/>
              </w:rPr>
              <w:t>235 410,50</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103,1</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242 384,30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249 512,00</w:t>
            </w:r>
          </w:p>
        </w:tc>
      </w:tr>
      <w:tr>
        <w:trPr>
          <w:trHeight w:val="397"/>
        </w:trPr>
        <w:tc>
          <w:tcPr>
            <w:tcW w:w="542"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1.2.2</w:t>
            </w:r>
          </w:p>
        </w:tc>
        <w:tc>
          <w:tcPr>
            <w:tcW w:w="1736" w:type="dxa"/>
            <w:tcBorders>
              <w:top w:val="nil"/>
              <w:left w:val="nil"/>
              <w:bottom w:val="single" w:sz="4" w:space="0" w:color="auto"/>
              <w:right w:val="single" w:sz="4" w:space="0" w:color="auto"/>
            </w:tcBorders>
            <w:shd w:val="clear" w:color="auto" w:fill="auto"/>
            <w:vAlign w:val="center"/>
          </w:tcPr>
          <w:p>
            <w:pPr>
              <w:widowControl w:val="0"/>
              <w:spacing w:before="20" w:after="20"/>
              <w:ind w:left="-57" w:right="-72"/>
              <w:jc w:val="right"/>
              <w:rPr>
                <w:rFonts w:ascii="Times New Roman" w:hAnsi="Times New Roman"/>
                <w:bCs/>
                <w:snapToGrid w:val="0"/>
              </w:rPr>
            </w:pPr>
            <w:r>
              <w:rPr>
                <w:rFonts w:ascii="Times New Roman" w:hAnsi="Times New Roman"/>
                <w:bCs/>
                <w:snapToGrid w:val="0"/>
              </w:rPr>
              <w:t>на сбаланси-рованность</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270 989,80</w:t>
            </w:r>
          </w:p>
        </w:tc>
        <w:tc>
          <w:tcPr>
            <w:tcW w:w="1298"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375 005,73</w:t>
            </w:r>
          </w:p>
        </w:tc>
        <w:tc>
          <w:tcPr>
            <w:tcW w:w="1263" w:type="dxa"/>
            <w:tcBorders>
              <w:top w:val="single" w:sz="4" w:space="0" w:color="auto"/>
              <w:left w:val="nil"/>
              <w:bottom w:val="single" w:sz="4" w:space="0" w:color="auto"/>
              <w:right w:val="single" w:sz="4" w:space="0" w:color="auto"/>
            </w:tcBorders>
            <w:vAlign w:val="center"/>
          </w:tcPr>
          <w:p>
            <w:pPr>
              <w:rPr>
                <w:rFonts w:ascii="Times New Roman" w:hAnsi="Times New Roman"/>
                <w:bCs/>
                <w:snapToGrid w:val="0"/>
                <w:sz w:val="22"/>
                <w:szCs w:val="22"/>
              </w:rPr>
            </w:pPr>
            <w:r>
              <w:rPr>
                <w:rFonts w:ascii="Times New Roman" w:hAnsi="Times New Roman"/>
                <w:bCs/>
                <w:snapToGrid w:val="0"/>
                <w:sz w:val="22"/>
                <w:szCs w:val="22"/>
              </w:rPr>
              <w:t>368 125,83</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98,2</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130 530,00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130 530,00</w:t>
            </w:r>
          </w:p>
        </w:tc>
      </w:tr>
      <w:tr>
        <w:trPr>
          <w:trHeight w:val="397"/>
        </w:trPr>
        <w:tc>
          <w:tcPr>
            <w:tcW w:w="542"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2</w:t>
            </w:r>
          </w:p>
        </w:tc>
        <w:tc>
          <w:tcPr>
            <w:tcW w:w="1736" w:type="dxa"/>
            <w:tcBorders>
              <w:top w:val="nil"/>
              <w:left w:val="nil"/>
              <w:bottom w:val="single" w:sz="4" w:space="0" w:color="auto"/>
              <w:right w:val="single" w:sz="4" w:space="0" w:color="auto"/>
            </w:tcBorders>
            <w:shd w:val="clear" w:color="auto" w:fill="auto"/>
            <w:vAlign w:val="center"/>
          </w:tcPr>
          <w:p>
            <w:pPr>
              <w:widowControl w:val="0"/>
              <w:spacing w:before="20" w:after="20"/>
              <w:ind w:left="-57" w:right="-109"/>
              <w:rPr>
                <w:rFonts w:ascii="Times New Roman" w:hAnsi="Times New Roman"/>
                <w:bCs/>
                <w:snapToGrid w:val="0"/>
                <w:sz w:val="22"/>
                <w:szCs w:val="22"/>
              </w:rPr>
            </w:pPr>
            <w:r>
              <w:rPr>
                <w:rFonts w:ascii="Times New Roman" w:hAnsi="Times New Roman"/>
                <w:bCs/>
                <w:snapToGrid w:val="0"/>
                <w:sz w:val="22"/>
                <w:szCs w:val="22"/>
              </w:rPr>
              <w:t xml:space="preserve">Субсидии </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80 487,80</w:t>
            </w:r>
          </w:p>
        </w:tc>
        <w:tc>
          <w:tcPr>
            <w:tcW w:w="1298"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531 689,39</w:t>
            </w:r>
          </w:p>
        </w:tc>
        <w:tc>
          <w:tcPr>
            <w:tcW w:w="1263" w:type="dxa"/>
            <w:tcBorders>
              <w:top w:val="single" w:sz="4" w:space="0" w:color="auto"/>
              <w:left w:val="nil"/>
              <w:bottom w:val="single" w:sz="4" w:space="0" w:color="auto"/>
              <w:right w:val="single" w:sz="4" w:space="0" w:color="auto"/>
            </w:tcBorders>
            <w:shd w:val="clear" w:color="auto" w:fill="auto"/>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107 733,60</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20,3</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90 631,90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43 718,20</w:t>
            </w:r>
          </w:p>
        </w:tc>
      </w:tr>
      <w:tr>
        <w:trPr>
          <w:trHeight w:val="397"/>
        </w:trPr>
        <w:tc>
          <w:tcPr>
            <w:tcW w:w="542"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3</w:t>
            </w:r>
          </w:p>
        </w:tc>
        <w:tc>
          <w:tcPr>
            <w:tcW w:w="1736" w:type="dxa"/>
            <w:tcBorders>
              <w:top w:val="nil"/>
              <w:left w:val="nil"/>
              <w:bottom w:val="single" w:sz="4" w:space="0" w:color="auto"/>
              <w:right w:val="single" w:sz="4" w:space="0" w:color="auto"/>
            </w:tcBorders>
            <w:shd w:val="clear" w:color="auto" w:fill="auto"/>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 xml:space="preserve">Субвенции </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1 280 667,60</w:t>
            </w:r>
          </w:p>
        </w:tc>
        <w:tc>
          <w:tcPr>
            <w:tcW w:w="1298" w:type="dxa"/>
            <w:tcBorders>
              <w:top w:val="nil"/>
              <w:left w:val="single" w:sz="4" w:space="0" w:color="auto"/>
              <w:bottom w:val="single" w:sz="4" w:space="0" w:color="auto"/>
              <w:right w:val="single" w:sz="4" w:space="0" w:color="auto"/>
            </w:tcBorders>
            <w:shd w:val="clear" w:color="auto" w:fill="auto"/>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1 344 250,44</w:t>
            </w:r>
          </w:p>
        </w:tc>
        <w:tc>
          <w:tcPr>
            <w:tcW w:w="1263" w:type="dxa"/>
            <w:tcBorders>
              <w:top w:val="single" w:sz="4" w:space="0" w:color="auto"/>
              <w:left w:val="nil"/>
              <w:bottom w:val="single" w:sz="4" w:space="0" w:color="auto"/>
              <w:right w:val="single" w:sz="4" w:space="0" w:color="auto"/>
            </w:tcBorders>
            <w:shd w:val="clear" w:color="auto" w:fill="auto"/>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1 368 518,40</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101,8</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1 368 518,40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1 368 518,40</w:t>
            </w:r>
          </w:p>
        </w:tc>
      </w:tr>
      <w:tr>
        <w:trPr>
          <w:trHeight w:val="397"/>
        </w:trPr>
        <w:tc>
          <w:tcPr>
            <w:tcW w:w="542" w:type="dxa"/>
            <w:tcBorders>
              <w:top w:val="nil"/>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4</w:t>
            </w:r>
          </w:p>
        </w:tc>
        <w:tc>
          <w:tcPr>
            <w:tcW w:w="1736" w:type="dxa"/>
            <w:tcBorders>
              <w:top w:val="nil"/>
              <w:left w:val="nil"/>
              <w:bottom w:val="single" w:sz="4" w:space="0" w:color="auto"/>
              <w:right w:val="single" w:sz="4" w:space="0" w:color="auto"/>
            </w:tcBorders>
            <w:shd w:val="clear" w:color="auto" w:fill="auto"/>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 xml:space="preserve">Иные межбюджетные трансферты </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88 970,40</w:t>
            </w:r>
          </w:p>
        </w:tc>
        <w:tc>
          <w:tcPr>
            <w:tcW w:w="1298" w:type="dxa"/>
            <w:tcBorders>
              <w:top w:val="nil"/>
              <w:left w:val="single" w:sz="4" w:space="0" w:color="auto"/>
              <w:bottom w:val="single" w:sz="4" w:space="0" w:color="auto"/>
              <w:right w:val="single" w:sz="4" w:space="0" w:color="auto"/>
            </w:tcBorders>
            <w:shd w:val="clear" w:color="auto" w:fill="auto"/>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318 510,46</w:t>
            </w:r>
          </w:p>
        </w:tc>
        <w:tc>
          <w:tcPr>
            <w:tcW w:w="1263" w:type="dxa"/>
            <w:tcBorders>
              <w:top w:val="single" w:sz="4" w:space="0" w:color="auto"/>
              <w:left w:val="nil"/>
              <w:bottom w:val="single" w:sz="4" w:space="0" w:color="auto"/>
              <w:right w:val="single" w:sz="4" w:space="0" w:color="auto"/>
            </w:tcBorders>
            <w:shd w:val="clear" w:color="auto" w:fill="auto"/>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87 769,50</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center"/>
              <w:rPr>
                <w:rFonts w:ascii="Times New Roman" w:hAnsi="Times New Roman"/>
                <w:bCs/>
                <w:snapToGrid w:val="0"/>
                <w:sz w:val="22"/>
                <w:szCs w:val="22"/>
              </w:rPr>
            </w:pPr>
            <w:r>
              <w:rPr>
                <w:rFonts w:ascii="Times New Roman" w:hAnsi="Times New Roman"/>
                <w:bCs/>
                <w:snapToGrid w:val="0"/>
                <w:sz w:val="22"/>
                <w:szCs w:val="22"/>
              </w:rPr>
              <w:t>27,6</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7 769,50</w:t>
            </w:r>
          </w:p>
        </w:tc>
        <w:tc>
          <w:tcPr>
            <w:tcW w:w="1276" w:type="dxa"/>
            <w:tcBorders>
              <w:top w:val="nil"/>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7 264,50</w:t>
            </w:r>
          </w:p>
        </w:tc>
      </w:tr>
      <w:tr>
        <w:trPr>
          <w:trHeight w:val="397"/>
        </w:trPr>
        <w:tc>
          <w:tcPr>
            <w:tcW w:w="542"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5</w:t>
            </w:r>
          </w:p>
        </w:tc>
        <w:tc>
          <w:tcPr>
            <w:tcW w:w="1736" w:type="dxa"/>
            <w:tcBorders>
              <w:top w:val="single" w:sz="4" w:space="0" w:color="auto"/>
              <w:left w:val="nil"/>
              <w:bottom w:val="single" w:sz="4" w:space="0" w:color="auto"/>
              <w:right w:val="single" w:sz="4" w:space="0" w:color="auto"/>
            </w:tcBorders>
            <w:shd w:val="clear" w:color="auto" w:fill="auto"/>
            <w:vAlign w:val="center"/>
          </w:tcPr>
          <w:p>
            <w:pPr>
              <w:widowControl w:val="0"/>
              <w:spacing w:before="20" w:after="20"/>
              <w:ind w:left="-57" w:right="-57"/>
              <w:rPr>
                <w:rFonts w:ascii="Times New Roman" w:hAnsi="Times New Roman"/>
                <w:bCs/>
                <w:snapToGrid w:val="0"/>
                <w:sz w:val="22"/>
                <w:szCs w:val="22"/>
              </w:rPr>
            </w:pPr>
            <w:r>
              <w:rPr>
                <w:rFonts w:ascii="Times New Roman" w:hAnsi="Times New Roman"/>
                <w:bCs/>
                <w:snapToGrid w:val="0"/>
                <w:sz w:val="22"/>
                <w:szCs w:val="22"/>
              </w:rPr>
              <w:t>ВСЕГО</w:t>
            </w:r>
          </w:p>
        </w:tc>
        <w:tc>
          <w:tcPr>
            <w:tcW w:w="1317"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2 735 465,20</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3 583 805,62</w:t>
            </w:r>
          </w:p>
        </w:tc>
        <w:tc>
          <w:tcPr>
            <w:tcW w:w="1263" w:type="dxa"/>
            <w:tcBorders>
              <w:top w:val="single" w:sz="4" w:space="0" w:color="auto"/>
              <w:left w:val="nil"/>
              <w:bottom w:val="single" w:sz="4" w:space="0" w:color="auto"/>
              <w:right w:val="single" w:sz="4" w:space="0" w:color="auto"/>
            </w:tcBorders>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2 953 376,83</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82,4</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2 470 920,10</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widowControl w:val="0"/>
              <w:spacing w:before="20" w:after="20"/>
              <w:ind w:left="-57" w:right="-57"/>
              <w:jc w:val="right"/>
              <w:rPr>
                <w:rFonts w:ascii="Times New Roman" w:hAnsi="Times New Roman"/>
                <w:bCs/>
                <w:snapToGrid w:val="0"/>
                <w:sz w:val="22"/>
                <w:szCs w:val="22"/>
              </w:rPr>
            </w:pPr>
            <w:r>
              <w:rPr>
                <w:rFonts w:ascii="Times New Roman" w:hAnsi="Times New Roman"/>
                <w:bCs/>
                <w:snapToGrid w:val="0"/>
                <w:sz w:val="22"/>
                <w:szCs w:val="22"/>
              </w:rPr>
              <w:t>2 430 629,10</w:t>
            </w:r>
          </w:p>
        </w:tc>
      </w:tr>
    </w:tbl>
    <w:p>
      <w:pPr>
        <w:ind w:right="43"/>
        <w:jc w:val="both"/>
        <w:rPr>
          <w:rFonts w:ascii="Times New Roman" w:hAnsi="Times New Roman"/>
          <w:sz w:val="24"/>
        </w:rPr>
      </w:pPr>
    </w:p>
    <w:p>
      <w:pPr>
        <w:autoSpaceDE w:val="0"/>
        <w:autoSpaceDN w:val="0"/>
        <w:adjustRightInd w:val="0"/>
        <w:ind w:firstLine="709"/>
        <w:jc w:val="both"/>
        <w:rPr>
          <w:rFonts w:ascii="Times New Roman" w:hAnsi="Times New Roman"/>
          <w:sz w:val="24"/>
          <w:szCs w:val="24"/>
        </w:rPr>
      </w:pPr>
      <w:r>
        <w:rPr>
          <w:rFonts w:ascii="Times New Roman" w:hAnsi="Times New Roman"/>
          <w:sz w:val="24"/>
        </w:rPr>
        <w:t xml:space="preserve">В связи с отсутствием данных о размере дотаций </w:t>
      </w:r>
      <w:r>
        <w:rPr>
          <w:rFonts w:ascii="Times New Roman" w:hAnsi="Times New Roman"/>
          <w:sz w:val="24"/>
          <w:szCs w:val="24"/>
        </w:rPr>
        <w:t xml:space="preserve">за счет средств федерального бюджета на 2021 год в проект бюджета ЗАТО Северск включена прогнозная сумма </w:t>
      </w:r>
      <w:r>
        <w:rPr>
          <w:rFonts w:ascii="Times New Roman" w:hAnsi="Times New Roman"/>
          <w:sz w:val="24"/>
          <w:szCs w:val="24"/>
        </w:rPr>
        <w:lastRenderedPageBreak/>
        <w:t>дотации бюджетам городских округов, связанной с особым режимом безопасного функционирования ЗАТО, в объеме текущего года (785 819,00 тыс.руб.). На 2022-2023 годы дотация из федерального бюджета прогнозируется в размере по 631 086,00 тыс.руб. согласно Федеральному закону от 02.12.2019 № 380-ФЗ «О федеральном бюджете на 2020 год и на плановый период 2021 и 2022 годов».</w:t>
      </w:r>
    </w:p>
    <w:p>
      <w:pPr>
        <w:ind w:right="43" w:firstLine="709"/>
        <w:jc w:val="both"/>
        <w:rPr>
          <w:rFonts w:ascii="Times New Roman" w:hAnsi="Times New Roman"/>
          <w:sz w:val="24"/>
        </w:rPr>
      </w:pPr>
      <w:r>
        <w:rPr>
          <w:rFonts w:ascii="Times New Roman" w:hAnsi="Times New Roman"/>
          <w:sz w:val="24"/>
        </w:rPr>
        <w:t xml:space="preserve">За счет средств областного бюджета прогнозируются поступления целевой и нецелевой финансовой помощи  на 2021 год в общей сумме 2 67 557,83 тыс.руб., на 2022 год – 1 839 834,10 тыс.руб., на 2022 год – 1 799 543,10 тыс.руб. согласно объемам, доведенным Департаментом финансов Томской области. </w:t>
      </w:r>
    </w:p>
    <w:p>
      <w:pPr>
        <w:spacing w:before="240"/>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РАСХОДЫ</w:t>
      </w:r>
    </w:p>
    <w:p>
      <w:pPr>
        <w:spacing w:before="240" w:after="120"/>
        <w:jc w:val="center"/>
        <w:rPr>
          <w:rFonts w:ascii="Times New Roman" w:hAnsi="Times New Roman"/>
          <w:b/>
          <w:sz w:val="24"/>
          <w:szCs w:val="24"/>
        </w:rPr>
      </w:pPr>
      <w:r>
        <w:rPr>
          <w:rFonts w:ascii="Times New Roman" w:hAnsi="Times New Roman"/>
          <w:b/>
          <w:sz w:val="24"/>
          <w:szCs w:val="24"/>
        </w:rPr>
        <w:t>2.1. Общие положения</w:t>
      </w:r>
    </w:p>
    <w:p>
      <w:pPr>
        <w:ind w:firstLine="720"/>
        <w:jc w:val="both"/>
        <w:rPr>
          <w:rFonts w:ascii="Times New Roman" w:hAnsi="Times New Roman"/>
          <w:sz w:val="24"/>
          <w:szCs w:val="24"/>
          <w:highlight w:val="yellow"/>
        </w:rPr>
      </w:pPr>
      <w:r>
        <w:rPr>
          <w:rFonts w:ascii="Times New Roman" w:hAnsi="Times New Roman"/>
          <w:sz w:val="24"/>
          <w:szCs w:val="24"/>
        </w:rPr>
        <w:t xml:space="preserve">Планирование бюджетных ассигнований бюджета ЗАТО Северск на 2021 год  </w:t>
      </w:r>
      <w:r>
        <w:rPr>
          <w:rFonts w:ascii="Times New Roman" w:hAnsi="Times New Roman"/>
          <w:sz w:val="24"/>
          <w:szCs w:val="24"/>
        </w:rPr>
        <w:br/>
      </w:r>
      <w:r>
        <w:rPr>
          <w:sz w:val="24"/>
          <w:szCs w:val="24"/>
        </w:rPr>
        <w:t xml:space="preserve">и на плановый период 2022 и 2023 </w:t>
      </w:r>
      <w:r>
        <w:rPr>
          <w:rFonts w:ascii="Times New Roman" w:hAnsi="Times New Roman"/>
          <w:sz w:val="24"/>
          <w:szCs w:val="24"/>
        </w:rPr>
        <w:t xml:space="preserve">годов осуществлено на основании прогноза доходов бюджета ЗАТО Северск на среднесрочный период согласно методическим </w:t>
      </w:r>
      <w:r>
        <w:rPr>
          <w:sz w:val="24"/>
          <w:szCs w:val="24"/>
        </w:rPr>
        <w:t xml:space="preserve">рекомендациям </w:t>
      </w:r>
      <w:r>
        <w:rPr>
          <w:rFonts w:ascii="Times New Roman" w:hAnsi="Times New Roman"/>
          <w:sz w:val="24"/>
          <w:szCs w:val="24"/>
        </w:rPr>
        <w:t xml:space="preserve">Департамента финансов Томской области и порядку планирования бюджетных ассигнований бюджета ЗАТО Северск на очередной финансовый год и плановый период, утвержденному Приказом начальника Финансового управления Администрации ЗАТО Северск от 15.04.2016 № 40.  </w:t>
      </w:r>
    </w:p>
    <w:p>
      <w:pPr>
        <w:spacing w:before="120"/>
        <w:ind w:firstLine="720"/>
        <w:jc w:val="both"/>
        <w:rPr>
          <w:sz w:val="24"/>
          <w:szCs w:val="24"/>
        </w:rPr>
      </w:pPr>
      <w:r>
        <w:rPr>
          <w:sz w:val="24"/>
          <w:szCs w:val="24"/>
        </w:rPr>
        <w:t>Расчеты по расходам на 2021 год и на плановый период 2022 и 2023 годов осуществлены по программно-целевому принципу формирования бюджета.</w:t>
      </w:r>
    </w:p>
    <w:p>
      <w:pPr>
        <w:spacing w:before="120"/>
        <w:ind w:firstLine="720"/>
        <w:jc w:val="both"/>
        <w:rPr>
          <w:sz w:val="24"/>
          <w:szCs w:val="24"/>
        </w:rPr>
      </w:pPr>
      <w:r>
        <w:rPr>
          <w:sz w:val="24"/>
          <w:szCs w:val="24"/>
        </w:rPr>
        <w:t>Функциональная структура не претерпела изменений на предстоящую среднесрочную перспективу. Большая часть бюджетных ассигнований традиционно будет направляться на осуществление расходов социальной направленности.</w:t>
      </w:r>
    </w:p>
    <w:p>
      <w:pPr>
        <w:spacing w:before="120" w:after="120"/>
        <w:ind w:firstLine="709"/>
        <w:jc w:val="both"/>
        <w:rPr>
          <w:rFonts w:ascii="Times New Roman" w:hAnsi="Times New Roman"/>
          <w:sz w:val="24"/>
          <w:szCs w:val="24"/>
        </w:rPr>
      </w:pPr>
      <w:r>
        <w:rPr>
          <w:rFonts w:ascii="Times New Roman" w:hAnsi="Times New Roman"/>
          <w:sz w:val="24"/>
          <w:szCs w:val="24"/>
        </w:rPr>
        <w:t>Наибольшую долю в структуре расходов занимают расходы по направлениям «Образование», «Национальная экономика», «</w:t>
      </w:r>
      <w:r>
        <w:rPr>
          <w:rFonts w:ascii="Times New Roman" w:hAnsi="Times New Roman"/>
          <w:color w:val="000000"/>
          <w:sz w:val="24"/>
          <w:szCs w:val="24"/>
        </w:rPr>
        <w:t>Общегосударственные расходы</w:t>
      </w:r>
      <w:r>
        <w:rPr>
          <w:rFonts w:ascii="Times New Roman" w:hAnsi="Times New Roman"/>
          <w:sz w:val="24"/>
          <w:szCs w:val="24"/>
        </w:rPr>
        <w:t xml:space="preserve">». </w:t>
      </w:r>
    </w:p>
    <w:p>
      <w:pPr>
        <w:spacing w:before="240" w:after="120"/>
        <w:ind w:firstLine="567"/>
        <w:jc w:val="both"/>
        <w:rPr>
          <w:rFonts w:ascii="Times New Roman" w:hAnsi="Times New Roman"/>
          <w:sz w:val="24"/>
          <w:szCs w:val="24"/>
        </w:rPr>
      </w:pPr>
      <w:r>
        <w:rPr>
          <w:rFonts w:ascii="Times New Roman" w:hAnsi="Times New Roman"/>
          <w:sz w:val="24"/>
          <w:szCs w:val="24"/>
        </w:rPr>
        <w:t>Таблица  27 - Структура и динамика расходов бюджета на 2021-2023 годы</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310"/>
        <w:gridCol w:w="1276"/>
        <w:gridCol w:w="567"/>
        <w:gridCol w:w="1383"/>
        <w:gridCol w:w="567"/>
        <w:gridCol w:w="1275"/>
        <w:gridCol w:w="1276"/>
      </w:tblGrid>
      <w:tr>
        <w:trPr>
          <w:trHeight w:val="201"/>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lang w:val="en-US"/>
              </w:rPr>
              <w:t>Направления расходов</w:t>
            </w:r>
          </w:p>
        </w:tc>
        <w:tc>
          <w:tcPr>
            <w:tcW w:w="3153" w:type="dxa"/>
            <w:gridSpan w:val="3"/>
            <w:tcBorders>
              <w:top w:val="single" w:sz="4" w:space="0" w:color="auto"/>
              <w:left w:val="single" w:sz="4" w:space="0" w:color="auto"/>
              <w:right w:val="single" w:sz="4" w:space="0" w:color="auto"/>
            </w:tcBorders>
            <w:vAlign w:val="center"/>
          </w:tcPr>
          <w:p>
            <w:pPr>
              <w:ind w:left="-57" w:right="-57"/>
              <w:jc w:val="center"/>
              <w:rPr>
                <w:rFonts w:ascii="Times New Roman" w:hAnsi="Times New Roman"/>
                <w:color w:val="000000"/>
              </w:rPr>
            </w:pPr>
            <w:r>
              <w:rPr>
                <w:rFonts w:ascii="Times New Roman" w:hAnsi="Times New Roman"/>
                <w:color w:val="000000"/>
              </w:rPr>
              <w:t>2020 год</w:t>
            </w:r>
          </w:p>
        </w:tc>
        <w:tc>
          <w:tcPr>
            <w:tcW w:w="1950" w:type="dxa"/>
            <w:gridSpan w:val="2"/>
            <w:tcBorders>
              <w:top w:val="single" w:sz="4" w:space="0" w:color="auto"/>
              <w:left w:val="single" w:sz="4" w:space="0" w:color="auto"/>
              <w:bottom w:val="single" w:sz="4" w:space="0" w:color="auto"/>
              <w:right w:val="single" w:sz="4" w:space="0" w:color="auto"/>
            </w:tcBorders>
            <w:vAlign w:val="center"/>
            <w:hideMark/>
          </w:tcPr>
          <w:p>
            <w:pPr>
              <w:ind w:left="-57" w:right="-57"/>
              <w:jc w:val="center"/>
              <w:rPr>
                <w:rFonts w:ascii="Times New Roman" w:hAnsi="Times New Roman"/>
              </w:rPr>
            </w:pPr>
            <w:r>
              <w:rPr>
                <w:rFonts w:ascii="Times New Roman" w:hAnsi="Times New Roman"/>
              </w:rPr>
              <w:t>Прогноз 2021 года</w:t>
            </w:r>
          </w:p>
        </w:tc>
        <w:tc>
          <w:tcPr>
            <w:tcW w:w="1275" w:type="dxa"/>
            <w:vMerge w:val="restart"/>
            <w:tcBorders>
              <w:top w:val="single" w:sz="4" w:space="0" w:color="auto"/>
              <w:left w:val="single" w:sz="4" w:space="0" w:color="auto"/>
              <w:right w:val="single" w:sz="4" w:space="0" w:color="auto"/>
            </w:tcBorders>
            <w:vAlign w:val="center"/>
            <w:hideMark/>
          </w:tcPr>
          <w:p>
            <w:pPr>
              <w:ind w:left="-57" w:right="-57"/>
              <w:jc w:val="center"/>
              <w:rPr>
                <w:rFonts w:ascii="Times New Roman" w:hAnsi="Times New Roman"/>
                <w:color w:val="000000"/>
              </w:rPr>
            </w:pPr>
            <w:r>
              <w:rPr>
                <w:rFonts w:ascii="Times New Roman" w:hAnsi="Times New Roman"/>
                <w:color w:val="000000"/>
              </w:rPr>
              <w:t xml:space="preserve">Прогноз </w:t>
            </w:r>
          </w:p>
          <w:p>
            <w:pPr>
              <w:ind w:left="-57" w:right="-57"/>
              <w:jc w:val="center"/>
              <w:rPr>
                <w:rFonts w:ascii="Times New Roman" w:hAnsi="Times New Roman"/>
                <w:color w:val="000000"/>
              </w:rPr>
            </w:pPr>
            <w:r>
              <w:rPr>
                <w:rFonts w:ascii="Times New Roman" w:hAnsi="Times New Roman"/>
                <w:color w:val="000000"/>
              </w:rPr>
              <w:t>2022 года, тыс.руб.</w:t>
            </w:r>
          </w:p>
        </w:tc>
        <w:tc>
          <w:tcPr>
            <w:tcW w:w="1276" w:type="dxa"/>
            <w:vMerge w:val="restart"/>
            <w:tcBorders>
              <w:top w:val="single" w:sz="4" w:space="0" w:color="auto"/>
              <w:left w:val="single" w:sz="4" w:space="0" w:color="auto"/>
              <w:right w:val="single" w:sz="4" w:space="0" w:color="auto"/>
            </w:tcBorders>
            <w:vAlign w:val="center"/>
            <w:hideMark/>
          </w:tcPr>
          <w:p>
            <w:pPr>
              <w:ind w:left="-57" w:right="-57"/>
              <w:jc w:val="center"/>
              <w:rPr>
                <w:rFonts w:ascii="Times New Roman" w:hAnsi="Times New Roman"/>
                <w:color w:val="000000"/>
              </w:rPr>
            </w:pPr>
            <w:r>
              <w:rPr>
                <w:rFonts w:ascii="Times New Roman" w:hAnsi="Times New Roman"/>
                <w:color w:val="000000"/>
              </w:rPr>
              <w:t xml:space="preserve">Прогноз </w:t>
            </w:r>
          </w:p>
          <w:p>
            <w:pPr>
              <w:ind w:left="-57" w:right="-57"/>
              <w:jc w:val="center"/>
              <w:rPr>
                <w:rFonts w:ascii="Times New Roman" w:hAnsi="Times New Roman"/>
                <w:color w:val="000000"/>
              </w:rPr>
            </w:pPr>
            <w:r>
              <w:rPr>
                <w:rFonts w:ascii="Times New Roman" w:hAnsi="Times New Roman"/>
                <w:color w:val="000000"/>
              </w:rPr>
              <w:t>2023 года, тыс.руб.</w:t>
            </w:r>
          </w:p>
        </w:tc>
      </w:tr>
      <w:tr>
        <w:trPr>
          <w:trHeight w:val="1000"/>
        </w:trPr>
        <w:tc>
          <w:tcPr>
            <w:tcW w:w="1843"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highlight w:val="yellow"/>
              </w:rPr>
            </w:pPr>
          </w:p>
        </w:tc>
        <w:tc>
          <w:tcPr>
            <w:tcW w:w="1310" w:type="dxa"/>
            <w:tcBorders>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Первона-чально утверждено,</w:t>
            </w:r>
          </w:p>
          <w:p>
            <w:pPr>
              <w:ind w:left="-57" w:right="-57"/>
              <w:jc w:val="center"/>
              <w:rPr>
                <w:rFonts w:ascii="Times New Roman" w:hAnsi="Times New Roman"/>
                <w:color w:val="000000"/>
              </w:rPr>
            </w:pPr>
            <w:r>
              <w:rPr>
                <w:rFonts w:ascii="Times New Roman" w:hAnsi="Times New Roman"/>
              </w:rPr>
              <w:t>тыс.руб</w:t>
            </w:r>
          </w:p>
        </w:tc>
        <w:tc>
          <w:tcPr>
            <w:tcW w:w="1276" w:type="dxa"/>
            <w:tcBorders>
              <w:top w:val="single" w:sz="4" w:space="0" w:color="auto"/>
              <w:left w:val="single" w:sz="4" w:space="0" w:color="auto"/>
              <w:bottom w:val="single" w:sz="4" w:space="0" w:color="auto"/>
              <w:right w:val="single" w:sz="4" w:space="0" w:color="auto"/>
            </w:tcBorders>
            <w:vAlign w:val="center"/>
            <w:hideMark/>
          </w:tcPr>
          <w:p>
            <w:pPr>
              <w:ind w:left="-57" w:right="-57"/>
              <w:jc w:val="center"/>
              <w:rPr>
                <w:rFonts w:ascii="Times New Roman" w:hAnsi="Times New Roman"/>
                <w:color w:val="000000"/>
              </w:rPr>
            </w:pPr>
            <w:r>
              <w:rPr>
                <w:rFonts w:ascii="Times New Roman" w:hAnsi="Times New Roman"/>
                <w:color w:val="000000"/>
              </w:rPr>
              <w:t>Оценка, тыс.руб.</w:t>
            </w:r>
          </w:p>
        </w:tc>
        <w:tc>
          <w:tcPr>
            <w:tcW w:w="567" w:type="dxa"/>
            <w:tcBorders>
              <w:top w:val="single" w:sz="4" w:space="0" w:color="auto"/>
              <w:left w:val="single" w:sz="4" w:space="0" w:color="auto"/>
              <w:bottom w:val="single" w:sz="4" w:space="0" w:color="auto"/>
              <w:right w:val="single" w:sz="4" w:space="0" w:color="auto"/>
            </w:tcBorders>
            <w:vAlign w:val="center"/>
            <w:hideMark/>
          </w:tcPr>
          <w:p>
            <w:pPr>
              <w:ind w:left="-57" w:right="-57"/>
              <w:jc w:val="center"/>
              <w:rPr>
                <w:rFonts w:ascii="Times New Roman" w:hAnsi="Times New Roman"/>
                <w:color w:val="000000"/>
              </w:rPr>
            </w:pPr>
            <w:r>
              <w:rPr>
                <w:rFonts w:ascii="Times New Roman" w:hAnsi="Times New Roman"/>
                <w:color w:val="000000"/>
              </w:rPr>
              <w:t>Доля</w:t>
            </w:r>
          </w:p>
        </w:tc>
        <w:tc>
          <w:tcPr>
            <w:tcW w:w="1383" w:type="dxa"/>
            <w:tcBorders>
              <w:top w:val="single" w:sz="4" w:space="0" w:color="auto"/>
              <w:left w:val="single" w:sz="4" w:space="0" w:color="auto"/>
              <w:bottom w:val="single" w:sz="4" w:space="0" w:color="auto"/>
              <w:right w:val="single" w:sz="4" w:space="0" w:color="auto"/>
            </w:tcBorders>
            <w:vAlign w:val="center"/>
            <w:hideMark/>
          </w:tcPr>
          <w:p>
            <w:pPr>
              <w:ind w:left="-57" w:right="-57"/>
              <w:jc w:val="center"/>
              <w:rPr>
                <w:rFonts w:ascii="Times New Roman" w:hAnsi="Times New Roman"/>
                <w:color w:val="000000"/>
              </w:rPr>
            </w:pPr>
            <w:r>
              <w:rPr>
                <w:rFonts w:ascii="Times New Roman" w:hAnsi="Times New Roman"/>
                <w:color w:val="000000"/>
              </w:rPr>
              <w:t>Сумма, тыс.руб.</w:t>
            </w:r>
          </w:p>
        </w:tc>
        <w:tc>
          <w:tcPr>
            <w:tcW w:w="567" w:type="dxa"/>
            <w:tcBorders>
              <w:top w:val="single" w:sz="4" w:space="0" w:color="auto"/>
              <w:left w:val="single" w:sz="4" w:space="0" w:color="auto"/>
              <w:bottom w:val="single" w:sz="4" w:space="0" w:color="auto"/>
              <w:right w:val="single" w:sz="4" w:space="0" w:color="auto"/>
            </w:tcBorders>
            <w:vAlign w:val="center"/>
            <w:hideMark/>
          </w:tcPr>
          <w:p>
            <w:pPr>
              <w:ind w:left="-57" w:right="-57"/>
              <w:jc w:val="center"/>
              <w:rPr>
                <w:rFonts w:ascii="Times New Roman" w:hAnsi="Times New Roman"/>
                <w:color w:val="000000"/>
              </w:rPr>
            </w:pPr>
            <w:r>
              <w:rPr>
                <w:rFonts w:ascii="Times New Roman" w:hAnsi="Times New Roman"/>
                <w:color w:val="000000"/>
              </w:rPr>
              <w:t>Доля</w:t>
            </w:r>
          </w:p>
        </w:tc>
        <w:tc>
          <w:tcPr>
            <w:tcW w:w="1275" w:type="dxa"/>
            <w:vMerge/>
            <w:tcBorders>
              <w:left w:val="single" w:sz="4" w:space="0" w:color="auto"/>
              <w:bottom w:val="single" w:sz="4" w:space="0" w:color="auto"/>
              <w:right w:val="single" w:sz="4" w:space="0" w:color="auto"/>
            </w:tcBorders>
            <w:vAlign w:val="center"/>
            <w:hideMark/>
          </w:tcPr>
          <w:p>
            <w:pPr>
              <w:ind w:left="-57" w:right="-57"/>
              <w:jc w:val="center"/>
              <w:rPr>
                <w:rFonts w:ascii="Times New Roman" w:hAnsi="Times New Roman"/>
                <w:color w:val="000000"/>
              </w:rPr>
            </w:pPr>
          </w:p>
        </w:tc>
        <w:tc>
          <w:tcPr>
            <w:tcW w:w="1276" w:type="dxa"/>
            <w:vMerge/>
            <w:tcBorders>
              <w:left w:val="single" w:sz="4" w:space="0" w:color="auto"/>
              <w:bottom w:val="single" w:sz="4" w:space="0" w:color="auto"/>
              <w:right w:val="single" w:sz="4" w:space="0" w:color="auto"/>
            </w:tcBorders>
            <w:vAlign w:val="center"/>
            <w:hideMark/>
          </w:tcPr>
          <w:p>
            <w:pPr>
              <w:ind w:left="-57" w:right="-57"/>
              <w:jc w:val="center"/>
              <w:rPr>
                <w:rFonts w:ascii="Times New Roman" w:hAnsi="Times New Roman"/>
                <w:color w:val="000000"/>
                <w:highlight w:val="yellow"/>
              </w:rPr>
            </w:pPr>
          </w:p>
        </w:tc>
      </w:tr>
      <w:tr>
        <w:tc>
          <w:tcPr>
            <w:tcW w:w="1843" w:type="dxa"/>
            <w:tcBorders>
              <w:top w:val="single" w:sz="4" w:space="0" w:color="auto"/>
              <w:left w:val="single" w:sz="4" w:space="0" w:color="auto"/>
              <w:bottom w:val="single" w:sz="4" w:space="0" w:color="auto"/>
              <w:right w:val="single" w:sz="4" w:space="0" w:color="auto"/>
            </w:tcBorders>
            <w:vAlign w:val="center"/>
          </w:tcPr>
          <w:p>
            <w:pPr>
              <w:ind w:right="-108"/>
              <w:jc w:val="center"/>
              <w:rPr>
                <w:rFonts w:ascii="Times New Roman" w:hAnsi="Times New Roman"/>
                <w:color w:val="000000"/>
              </w:rPr>
            </w:pPr>
            <w:r>
              <w:rPr>
                <w:rFonts w:ascii="Times New Roman" w:hAnsi="Times New Roman"/>
                <w:color w:val="000000"/>
              </w:rPr>
              <w:t>1</w:t>
            </w:r>
          </w:p>
        </w:tc>
        <w:tc>
          <w:tcPr>
            <w:tcW w:w="1310"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2</w:t>
            </w: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3</w:t>
            </w:r>
          </w:p>
        </w:tc>
        <w:tc>
          <w:tcPr>
            <w:tcW w:w="567"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4</w:t>
            </w:r>
          </w:p>
        </w:tc>
        <w:tc>
          <w:tcPr>
            <w:tcW w:w="1383"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5</w:t>
            </w:r>
          </w:p>
        </w:tc>
        <w:tc>
          <w:tcPr>
            <w:tcW w:w="567"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6</w:t>
            </w:r>
          </w:p>
        </w:tc>
        <w:tc>
          <w:tcPr>
            <w:tcW w:w="1275"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7</w:t>
            </w: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8</w:t>
            </w:r>
          </w:p>
        </w:tc>
      </w:tr>
      <w:tr>
        <w:trPr>
          <w:trHeight w:val="607"/>
        </w:trPr>
        <w:tc>
          <w:tcPr>
            <w:tcW w:w="1843" w:type="dxa"/>
            <w:tcBorders>
              <w:top w:val="single" w:sz="4" w:space="0" w:color="auto"/>
              <w:left w:val="single" w:sz="4" w:space="0" w:color="auto"/>
              <w:bottom w:val="single" w:sz="4" w:space="0" w:color="auto"/>
              <w:right w:val="single" w:sz="4" w:space="0" w:color="auto"/>
            </w:tcBorders>
            <w:vAlign w:val="center"/>
            <w:hideMark/>
          </w:tcPr>
          <w:p>
            <w:pPr>
              <w:ind w:right="-108"/>
              <w:rPr>
                <w:rFonts w:ascii="Times New Roman" w:hAnsi="Times New Roman"/>
                <w:color w:val="000000"/>
              </w:rPr>
            </w:pPr>
            <w:r>
              <w:rPr>
                <w:rFonts w:ascii="Times New Roman" w:hAnsi="Times New Roman"/>
                <w:color w:val="000000"/>
              </w:rPr>
              <w:t xml:space="preserve">Общегосударст-венные расходы </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358 971,09</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364 044,81</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7,6</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340 155,95</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8,2</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344 300,65</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395 786,81</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rPr>
            </w:pPr>
            <w:r>
              <w:rPr>
                <w:rFonts w:ascii="Times New Roman" w:hAnsi="Times New Roman"/>
                <w:color w:val="000000"/>
              </w:rPr>
              <w:t xml:space="preserve">Национальная оборона </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79,11</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79,11</w:t>
            </w:r>
          </w:p>
        </w:tc>
        <w:tc>
          <w:tcPr>
            <w:tcW w:w="567"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0,0</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79,11</w:t>
            </w:r>
          </w:p>
        </w:tc>
        <w:tc>
          <w:tcPr>
            <w:tcW w:w="567"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0,0</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68,00</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68,00</w:t>
            </w:r>
          </w:p>
        </w:tc>
      </w:tr>
      <w:tr>
        <w:tc>
          <w:tcPr>
            <w:tcW w:w="1843"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highlight w:val="yellow"/>
              </w:rPr>
            </w:pPr>
            <w:r>
              <w:rPr>
                <w:rFonts w:ascii="Times New Roman" w:hAnsi="Times New Roman"/>
                <w:color w:val="000000"/>
              </w:rPr>
              <w:t>Национальная безопасность и правоохранитель-ная деятельность</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25 968,22</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26 103,90</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0,5</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26 031,23</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0,6</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20 585,26</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20 246,42</w:t>
            </w:r>
          </w:p>
        </w:tc>
      </w:tr>
      <w:t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color w:val="000000"/>
              </w:rPr>
            </w:pPr>
            <w:r>
              <w:rPr>
                <w:rFonts w:ascii="Times New Roman" w:hAnsi="Times New Roman"/>
                <w:color w:val="000000"/>
              </w:rPr>
              <w:t>Национальная экономика</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503 032,99</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561 015,91</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11,7</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514 274,49</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12,4</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363 219,24</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357 296,73</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color w:val="000000"/>
              </w:rPr>
            </w:pPr>
            <w:r>
              <w:rPr>
                <w:rFonts w:ascii="Times New Roman" w:hAnsi="Times New Roman"/>
                <w:color w:val="000000"/>
              </w:rPr>
              <w:t>ЖКХ</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219 744,23</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349 598,21</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7,3</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215 375,17</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5,2</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207 673,53</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156 143,90</w:t>
            </w:r>
          </w:p>
        </w:tc>
      </w:tr>
      <w:tr>
        <w:tc>
          <w:tcPr>
            <w:tcW w:w="1843" w:type="dxa"/>
            <w:tcBorders>
              <w:top w:val="single" w:sz="4" w:space="0" w:color="auto"/>
              <w:left w:val="single" w:sz="4" w:space="0" w:color="auto"/>
              <w:bottom w:val="single" w:sz="4" w:space="0" w:color="auto"/>
              <w:right w:val="single" w:sz="4" w:space="0" w:color="auto"/>
            </w:tcBorders>
            <w:vAlign w:val="center"/>
            <w:hideMark/>
          </w:tcPr>
          <w:p>
            <w:pPr>
              <w:ind w:right="-162"/>
              <w:jc w:val="both"/>
              <w:rPr>
                <w:rFonts w:ascii="Times New Roman" w:hAnsi="Times New Roman"/>
                <w:color w:val="000000"/>
              </w:rPr>
            </w:pPr>
            <w:r>
              <w:rPr>
                <w:rFonts w:ascii="Times New Roman" w:hAnsi="Times New Roman"/>
                <w:color w:val="000000"/>
              </w:rPr>
              <w:t xml:space="preserve">Охрана </w:t>
            </w:r>
          </w:p>
          <w:p>
            <w:pPr>
              <w:ind w:right="-162"/>
              <w:jc w:val="both"/>
              <w:rPr>
                <w:rFonts w:ascii="Times New Roman" w:hAnsi="Times New Roman"/>
                <w:color w:val="000000"/>
              </w:rPr>
            </w:pPr>
            <w:r>
              <w:rPr>
                <w:rFonts w:ascii="Times New Roman" w:hAnsi="Times New Roman"/>
                <w:color w:val="000000"/>
              </w:rPr>
              <w:t>окружающей среды</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300,10</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199,20</w:t>
            </w:r>
          </w:p>
        </w:tc>
        <w:tc>
          <w:tcPr>
            <w:tcW w:w="567"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0,0</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293,20</w:t>
            </w:r>
          </w:p>
        </w:tc>
        <w:tc>
          <w:tcPr>
            <w:tcW w:w="567"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0,0</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199,20</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199,20</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color w:val="000000"/>
              </w:rPr>
            </w:pPr>
            <w:r>
              <w:rPr>
                <w:rFonts w:ascii="Times New Roman" w:hAnsi="Times New Roman"/>
                <w:color w:val="000000"/>
              </w:rPr>
              <w:t>Образование</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2 308 632,55</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2 675 480,10</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56,0</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2 330 379,81</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56,1</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2 071 494,05</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2 056 629,22</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color w:val="000000"/>
              </w:rPr>
            </w:pPr>
            <w:r>
              <w:rPr>
                <w:rFonts w:ascii="Times New Roman" w:hAnsi="Times New Roman"/>
                <w:color w:val="000000"/>
              </w:rPr>
              <w:t>Культура</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228 494,00</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413 269,10</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8,6</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280 073,42</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6,7</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216 664,13</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205 821,79</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color w:val="000000"/>
              </w:rPr>
            </w:pPr>
            <w:r>
              <w:rPr>
                <w:rFonts w:ascii="Times New Roman" w:hAnsi="Times New Roman"/>
                <w:color w:val="000000"/>
              </w:rPr>
              <w:t>Здравоохранение</w:t>
            </w:r>
          </w:p>
        </w:tc>
        <w:tc>
          <w:tcPr>
            <w:tcW w:w="1310" w:type="dxa"/>
            <w:tcBorders>
              <w:top w:val="single" w:sz="4" w:space="0" w:color="auto"/>
              <w:left w:val="single" w:sz="4" w:space="0" w:color="auto"/>
              <w:bottom w:val="single" w:sz="4" w:space="0" w:color="auto"/>
              <w:right w:val="single" w:sz="4" w:space="0" w:color="auto"/>
            </w:tcBorders>
            <w:vAlign w:val="center"/>
          </w:tcPr>
          <w:p>
            <w:pPr>
              <w:rPr>
                <w:rFonts w:ascii="Times New Roman" w:hAnsi="Times New Roman"/>
                <w:sz w:val="24"/>
                <w:szCs w:val="24"/>
              </w:rPr>
            </w:pPr>
            <w:r>
              <w:rPr>
                <w:rFonts w:ascii="Times New Roman" w:hAnsi="Times New Roman"/>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8 442,51</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0,2</w:t>
            </w:r>
          </w:p>
        </w:tc>
        <w:tc>
          <w:tcPr>
            <w:tcW w:w="1383"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sz w:val="24"/>
                <w:szCs w:val="24"/>
              </w:rPr>
            </w:pPr>
            <w:r>
              <w:rPr>
                <w:rFonts w:ascii="Times New Roman" w:hAnsi="Times New Roman"/>
              </w:rPr>
              <w:t> </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sz w:val="24"/>
                <w:szCs w:val="24"/>
              </w:rPr>
            </w:pPr>
            <w:r>
              <w:rPr>
                <w:rFonts w:ascii="Times New Roman" w:hAnsi="Times New Roman"/>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sz w:val="24"/>
                <w:szCs w:val="24"/>
              </w:rPr>
            </w:pPr>
            <w:r>
              <w:rPr>
                <w:rFonts w:ascii="Times New Roman" w:hAnsi="Times New Roman"/>
              </w:rPr>
              <w:t> </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color w:val="000000"/>
              </w:rPr>
            </w:pPr>
            <w:r>
              <w:rPr>
                <w:rFonts w:ascii="Times New Roman" w:hAnsi="Times New Roman"/>
                <w:color w:val="000000"/>
              </w:rPr>
              <w:t>Социальная политика</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98 462,68</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115 322,14</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2,4</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94 216,07</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2,3</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71 860,41</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68 314,33</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tcPr>
          <w:p>
            <w:pPr>
              <w:ind w:right="-108"/>
              <w:jc w:val="center"/>
              <w:rPr>
                <w:rFonts w:ascii="Times New Roman" w:hAnsi="Times New Roman"/>
                <w:color w:val="000000"/>
              </w:rPr>
            </w:pPr>
            <w:r>
              <w:rPr>
                <w:rFonts w:ascii="Times New Roman" w:hAnsi="Times New Roman"/>
                <w:color w:val="000000"/>
              </w:rPr>
              <w:lastRenderedPageBreak/>
              <w:t>1</w:t>
            </w:r>
          </w:p>
        </w:tc>
        <w:tc>
          <w:tcPr>
            <w:tcW w:w="1310"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2</w:t>
            </w: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3</w:t>
            </w:r>
          </w:p>
        </w:tc>
        <w:tc>
          <w:tcPr>
            <w:tcW w:w="567"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4</w:t>
            </w:r>
          </w:p>
        </w:tc>
        <w:tc>
          <w:tcPr>
            <w:tcW w:w="1383"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5</w:t>
            </w:r>
          </w:p>
        </w:tc>
        <w:tc>
          <w:tcPr>
            <w:tcW w:w="567"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6</w:t>
            </w:r>
          </w:p>
        </w:tc>
        <w:tc>
          <w:tcPr>
            <w:tcW w:w="1275"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7</w:t>
            </w: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8</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color w:val="000000"/>
              </w:rPr>
            </w:pPr>
            <w:r>
              <w:rPr>
                <w:rFonts w:ascii="Times New Roman" w:hAnsi="Times New Roman"/>
                <w:color w:val="000000"/>
              </w:rPr>
              <w:t>Физическая культура</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154 712,04</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256 963,25</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5,4</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323 645,83</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7,8</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263 704,71</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260 476,25</w:t>
            </w:r>
          </w:p>
        </w:tc>
      </w:tr>
      <w:t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color w:val="000000"/>
              </w:rPr>
            </w:pPr>
            <w:r>
              <w:rPr>
                <w:rFonts w:ascii="Times New Roman" w:hAnsi="Times New Roman"/>
                <w:color w:val="000000"/>
              </w:rPr>
              <w:t>Обслуживание мун.долга</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16 719,32</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16 719,32</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0,3</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27 881,74</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0,7</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27 636,63</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26 153,08</w:t>
            </w:r>
          </w:p>
        </w:tc>
      </w:tr>
      <w:tr>
        <w:trPr>
          <w:trHeight w:val="397"/>
        </w:trPr>
        <w:tc>
          <w:tcPr>
            <w:tcW w:w="1843"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b/>
                <w:color w:val="000000"/>
              </w:rPr>
            </w:pPr>
            <w:r>
              <w:rPr>
                <w:rFonts w:ascii="Times New Roman" w:hAnsi="Times New Roman"/>
                <w:b/>
                <w:color w:val="000000"/>
              </w:rPr>
              <w:t>Всего расходы</w:t>
            </w:r>
          </w:p>
        </w:tc>
        <w:tc>
          <w:tcPr>
            <w:tcW w:w="13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b/>
                <w:bCs/>
                <w:sz w:val="24"/>
                <w:szCs w:val="24"/>
              </w:rPr>
            </w:pPr>
            <w:r>
              <w:rPr>
                <w:rFonts w:ascii="Times New Roman" w:hAnsi="Times New Roman"/>
                <w:b/>
                <w:bCs/>
              </w:rPr>
              <w:t>3 915 116,33</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
                <w:bCs/>
                <w:sz w:val="24"/>
                <w:szCs w:val="24"/>
              </w:rPr>
            </w:pPr>
            <w:r>
              <w:rPr>
                <w:rFonts w:ascii="Times New Roman" w:hAnsi="Times New Roman"/>
                <w:b/>
                <w:bCs/>
              </w:rPr>
              <w:t>4 787 237,56</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
              </w:rPr>
            </w:pPr>
            <w:r>
              <w:rPr>
                <w:rFonts w:ascii="Times New Roman" w:hAnsi="Times New Roman"/>
                <w:b/>
              </w:rPr>
              <w:t>100</w:t>
            </w:r>
          </w:p>
        </w:tc>
        <w:tc>
          <w:tcPr>
            <w:tcW w:w="138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
                <w:bCs/>
                <w:sz w:val="24"/>
                <w:szCs w:val="24"/>
              </w:rPr>
            </w:pPr>
            <w:r>
              <w:rPr>
                <w:rFonts w:ascii="Times New Roman" w:hAnsi="Times New Roman"/>
                <w:b/>
                <w:bCs/>
              </w:rPr>
              <w:t>4 152 406,02</w:t>
            </w:r>
          </w:p>
        </w:tc>
        <w:tc>
          <w:tcPr>
            <w:tcW w:w="56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
              </w:rPr>
            </w:pPr>
            <w:r>
              <w:rPr>
                <w:rFonts w:ascii="Times New Roman" w:hAnsi="Times New Roman"/>
                <w:b/>
              </w:rPr>
              <w:t>100</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
                <w:bCs/>
                <w:sz w:val="24"/>
                <w:szCs w:val="24"/>
              </w:rPr>
            </w:pPr>
            <w:r>
              <w:rPr>
                <w:rFonts w:ascii="Times New Roman" w:hAnsi="Times New Roman"/>
                <w:b/>
                <w:bCs/>
              </w:rPr>
              <w:t>3 587 405,81</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
                <w:bCs/>
                <w:sz w:val="24"/>
                <w:szCs w:val="24"/>
              </w:rPr>
            </w:pPr>
            <w:r>
              <w:rPr>
                <w:rFonts w:ascii="Times New Roman" w:hAnsi="Times New Roman"/>
                <w:b/>
                <w:bCs/>
              </w:rPr>
              <w:t>3 547 135,73</w:t>
            </w:r>
          </w:p>
        </w:tc>
      </w:tr>
    </w:tbl>
    <w:p>
      <w:pPr>
        <w:ind w:firstLine="709"/>
        <w:jc w:val="both"/>
        <w:rPr>
          <w:rFonts w:ascii="Times New Roman" w:hAnsi="Times New Roman"/>
          <w:sz w:val="24"/>
          <w:szCs w:val="24"/>
        </w:rPr>
      </w:pPr>
    </w:p>
    <w:p>
      <w:pPr>
        <w:ind w:firstLine="709"/>
        <w:jc w:val="both"/>
        <w:rPr>
          <w:rFonts w:ascii="Times New Roman" w:hAnsi="Times New Roman"/>
          <w:sz w:val="24"/>
          <w:szCs w:val="24"/>
        </w:rPr>
      </w:pPr>
      <w:r>
        <w:rPr>
          <w:rFonts w:ascii="Times New Roman" w:hAnsi="Times New Roman"/>
          <w:sz w:val="24"/>
          <w:szCs w:val="24"/>
        </w:rPr>
        <w:t>По структуре направлений расходов в сравнении с 2020 годом изменения обусловлены с</w:t>
      </w:r>
      <w:r>
        <w:rPr>
          <w:sz w:val="24"/>
          <w:szCs w:val="24"/>
        </w:rPr>
        <w:t>окращением нецелевой финансовой помощи на плановый период на 20 % по сумме дотации федерального бюджета и на 38% по дотации областного бюджета, а также</w:t>
      </w:r>
      <w:r>
        <w:rPr>
          <w:rFonts w:ascii="Times New Roman" w:hAnsi="Times New Roman"/>
          <w:sz w:val="24"/>
          <w:szCs w:val="24"/>
        </w:rPr>
        <w:t xml:space="preserve"> отсутствием на период формирования бюджета распределения целевых средств областного и федерального бюджетов:</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по разделу «Жилищно-коммунальное хозяйство»  уменьшение связано с отсутствием межбюджетных трансфертов для реализации мероприятий по формированию современной городской среды ЗАТО Северск, а также снижением расходов по осуществлению бюджетных инвестиций в объекты капитального строительства ;</w:t>
      </w:r>
    </w:p>
    <w:p>
      <w:pPr>
        <w:pStyle w:val="ab"/>
        <w:ind w:firstLine="709"/>
      </w:pPr>
      <w:r>
        <w:t>- по разделам «Образование», «Культура», «</w:t>
      </w:r>
      <w:r>
        <w:rPr>
          <w:color w:val="000000"/>
        </w:rPr>
        <w:t xml:space="preserve">Физическая культура» </w:t>
      </w:r>
      <w:r>
        <w:t>уменьшение связано с отсутствием бюджетных ассигнований на повышение заработной платы согласно Указу Президента Российской Федерации от 7 мая 2012 года № 597 «О мероприятиях по реализации государственной социальной политики».</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Кроме того, из раздела «Образование» в раздел «Физическая культура» перераспределены расходы  </w:t>
      </w:r>
      <w:r>
        <w:rPr>
          <w:sz w:val="24"/>
          <w:szCs w:val="24"/>
        </w:rPr>
        <w:t>учреждений дополнительного образования физкультурно-спортивной направленности. Перераспределение выполнено в соответствии с пунктом 9 поручений протокола расширенного заседания проектного комитета от 30.09.2020 по направлению «Демография». В настоящее время на федеральном уровне рассматривается вопрос о сохранении расходов учреждениям физкультурно-спортивной направленности в подразделе «</w:t>
      </w:r>
      <w:r>
        <w:rPr>
          <w:rFonts w:cs="Times New Roman CYR"/>
          <w:sz w:val="24"/>
          <w:szCs w:val="24"/>
        </w:rPr>
        <w:t>Дополнительное образование детей</w:t>
      </w:r>
      <w:r>
        <w:rPr>
          <w:sz w:val="24"/>
          <w:szCs w:val="24"/>
        </w:rPr>
        <w:t>». С учетом принятия правовых актов структура расходов по разделам возможно будет изменена;</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по разделу «Социальная политика» снижение расходов на 2021 год обусловлено отсутствием средств федерального и областного бюджетов, которые поступают в течение очередного финансового года, по следующим мероприятиям:  предоставление жилья детям-сиротам и детям, оставшимся без попечения родителей; предоставление молодым семьям в установленном порядке социальных выплат на приобретение (строительство) жилья; реализация проекта Губернаторская ипотека» на территории Томской области</w:t>
      </w:r>
    </w:p>
    <w:p>
      <w:pPr>
        <w:jc w:val="center"/>
        <w:rPr>
          <w:rFonts w:ascii="Times New Roman" w:hAnsi="Times New Roman"/>
          <w:noProof/>
          <w:sz w:val="24"/>
          <w:szCs w:val="24"/>
        </w:rPr>
      </w:pPr>
      <w:r>
        <w:rPr>
          <w:rFonts w:ascii="Times New Roman" w:hAnsi="Times New Roman"/>
          <w:noProof/>
          <w:sz w:val="24"/>
          <w:szCs w:val="24"/>
        </w:rPr>
        <w:drawing>
          <wp:inline distT="0" distB="0" distL="0" distR="0">
            <wp:extent cx="5783580" cy="30861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jc w:val="center"/>
        <w:rPr>
          <w:rFonts w:ascii="Times New Roman" w:hAnsi="Times New Roman"/>
          <w:sz w:val="24"/>
          <w:szCs w:val="24"/>
        </w:rPr>
      </w:pPr>
      <w:r>
        <w:rPr>
          <w:rFonts w:ascii="Times New Roman" w:hAnsi="Times New Roman"/>
          <w:sz w:val="24"/>
          <w:szCs w:val="24"/>
        </w:rPr>
        <w:t xml:space="preserve">Рисунок 4 - Расходы бюджета ЗАТО Северск на 2021 год </w:t>
      </w:r>
    </w:p>
    <w:p>
      <w:pPr>
        <w:jc w:val="center"/>
        <w:rPr>
          <w:rFonts w:ascii="Times New Roman" w:hAnsi="Times New Roman"/>
          <w:sz w:val="24"/>
          <w:szCs w:val="24"/>
        </w:rPr>
      </w:pPr>
      <w:r>
        <w:rPr>
          <w:rFonts w:ascii="Times New Roman" w:hAnsi="Times New Roman"/>
          <w:sz w:val="24"/>
          <w:szCs w:val="24"/>
        </w:rPr>
        <w:t>по функциональной структуре, млн.руб.</w:t>
      </w:r>
    </w:p>
    <w:p>
      <w:pPr>
        <w:spacing w:before="120" w:after="120" w:line="264" w:lineRule="auto"/>
        <w:ind w:firstLine="709"/>
        <w:jc w:val="both"/>
        <w:rPr>
          <w:rFonts w:ascii="Times New Roman" w:hAnsi="Times New Roman"/>
          <w:sz w:val="24"/>
          <w:szCs w:val="24"/>
        </w:rPr>
      </w:pPr>
      <w:r>
        <w:rPr>
          <w:rFonts w:ascii="Times New Roman" w:hAnsi="Times New Roman"/>
          <w:sz w:val="24"/>
          <w:szCs w:val="24"/>
        </w:rPr>
        <w:lastRenderedPageBreak/>
        <w:t xml:space="preserve">В связи с неполным распределением целевых межбюджетных трансфертов </w:t>
      </w:r>
      <w:r>
        <w:rPr>
          <w:rFonts w:ascii="Times New Roman" w:hAnsi="Times New Roman"/>
          <w:sz w:val="24"/>
          <w:szCs w:val="24"/>
        </w:rPr>
        <w:br/>
        <w:t xml:space="preserve">из областного бюджета бюджету ЗАТО Северск структура распределения расходов </w:t>
      </w:r>
      <w:r>
        <w:rPr>
          <w:rFonts w:ascii="Times New Roman" w:hAnsi="Times New Roman"/>
          <w:sz w:val="24"/>
          <w:szCs w:val="24"/>
        </w:rPr>
        <w:br/>
        <w:t xml:space="preserve">на 2021 год и на плановый период по источникам финансирования отличается </w:t>
      </w:r>
      <w:r>
        <w:rPr>
          <w:rFonts w:ascii="Times New Roman" w:hAnsi="Times New Roman"/>
          <w:sz w:val="24"/>
          <w:szCs w:val="24"/>
        </w:rPr>
        <w:br/>
        <w:t xml:space="preserve">от структуры 2020 года. </w:t>
      </w:r>
    </w:p>
    <w:p>
      <w:pPr>
        <w:tabs>
          <w:tab w:val="left" w:pos="-142"/>
          <w:tab w:val="left" w:pos="567"/>
        </w:tabs>
        <w:spacing w:before="60" w:after="120"/>
        <w:rPr>
          <w:rFonts w:ascii="Times New Roman" w:hAnsi="Times New Roman"/>
          <w:sz w:val="24"/>
          <w:szCs w:val="24"/>
        </w:rPr>
      </w:pPr>
      <w:r>
        <w:rPr>
          <w:rFonts w:ascii="Times New Roman" w:hAnsi="Times New Roman"/>
          <w:sz w:val="24"/>
          <w:szCs w:val="24"/>
        </w:rPr>
        <w:tab/>
        <w:t xml:space="preserve">Таблица 28 - Структура распределения расходов по источникам финансирования </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9"/>
        <w:gridCol w:w="1559"/>
        <w:gridCol w:w="1276"/>
        <w:gridCol w:w="709"/>
        <w:gridCol w:w="1275"/>
        <w:gridCol w:w="736"/>
        <w:gridCol w:w="1276"/>
        <w:gridCol w:w="1276"/>
      </w:tblGrid>
      <w:tr>
        <w:trPr>
          <w:trHeight w:val="241"/>
          <w:jc w:val="center"/>
        </w:trPr>
        <w:tc>
          <w:tcPr>
            <w:tcW w:w="1589" w:type="dxa"/>
            <w:vMerge w:val="restart"/>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Наименование</w:t>
            </w:r>
          </w:p>
        </w:tc>
        <w:tc>
          <w:tcPr>
            <w:tcW w:w="3544" w:type="dxa"/>
            <w:gridSpan w:val="3"/>
            <w:tcBorders>
              <w:top w:val="single" w:sz="4" w:space="0" w:color="auto"/>
              <w:left w:val="single" w:sz="4" w:space="0" w:color="auto"/>
              <w:right w:val="single" w:sz="4" w:space="0" w:color="auto"/>
            </w:tcBorders>
            <w:vAlign w:val="center"/>
          </w:tcPr>
          <w:p>
            <w:pPr>
              <w:jc w:val="center"/>
              <w:rPr>
                <w:rFonts w:ascii="Times New Roman" w:hAnsi="Times New Roman"/>
                <w:bCs/>
              </w:rPr>
            </w:pPr>
            <w:r>
              <w:rPr>
                <w:rFonts w:ascii="Times New Roman" w:hAnsi="Times New Roman"/>
                <w:bCs/>
              </w:rPr>
              <w:t>2020 год</w:t>
            </w:r>
          </w:p>
        </w:tc>
        <w:tc>
          <w:tcPr>
            <w:tcW w:w="2011" w:type="dxa"/>
            <w:gridSpan w:val="2"/>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Прогноз 2021 года</w:t>
            </w:r>
          </w:p>
        </w:tc>
        <w:tc>
          <w:tcPr>
            <w:tcW w:w="1276" w:type="dxa"/>
            <w:vMerge w:val="restart"/>
            <w:tcBorders>
              <w:top w:val="single" w:sz="4" w:space="0" w:color="auto"/>
              <w:left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Прогноз 2022 года, тыс.руб.</w:t>
            </w:r>
          </w:p>
        </w:tc>
        <w:tc>
          <w:tcPr>
            <w:tcW w:w="1276" w:type="dxa"/>
            <w:vMerge w:val="restart"/>
            <w:tcBorders>
              <w:top w:val="single" w:sz="4" w:space="0" w:color="auto"/>
              <w:left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Прогноз 2023 года, тыс.руб.</w:t>
            </w:r>
          </w:p>
        </w:tc>
      </w:tr>
      <w:tr>
        <w:trPr>
          <w:trHeight w:val="372"/>
          <w:jc w:val="center"/>
        </w:trPr>
        <w:tc>
          <w:tcPr>
            <w:tcW w:w="1589"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559" w:type="dxa"/>
            <w:tcBorders>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Первоначально утверждено,</w:t>
            </w:r>
          </w:p>
          <w:p>
            <w:pPr>
              <w:jc w:val="center"/>
              <w:rPr>
                <w:rFonts w:ascii="Times New Roman" w:hAnsi="Times New Roman"/>
                <w:bCs/>
              </w:rPr>
            </w:pPr>
            <w:r>
              <w:rPr>
                <w:rFonts w:ascii="Times New Roman" w:hAnsi="Times New Roman"/>
              </w:rPr>
              <w:t>тыс.руб</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bCs/>
              </w:rPr>
            </w:pPr>
            <w:r>
              <w:rPr>
                <w:rFonts w:ascii="Times New Roman" w:hAnsi="Times New Roman"/>
                <w:bCs/>
              </w:rPr>
              <w:t>Оценка,</w:t>
            </w:r>
          </w:p>
          <w:p>
            <w:pPr>
              <w:jc w:val="center"/>
              <w:rPr>
                <w:rFonts w:ascii="Times New Roman" w:hAnsi="Times New Roman"/>
              </w:rPr>
            </w:pPr>
            <w:r>
              <w:rPr>
                <w:rFonts w:ascii="Times New Roman" w:hAnsi="Times New Roman"/>
                <w:bCs/>
              </w:rPr>
              <w:t>тыс. руб.</w:t>
            </w:r>
          </w:p>
        </w:tc>
        <w:tc>
          <w:tcPr>
            <w:tcW w:w="709"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Доля,</w:t>
            </w:r>
          </w:p>
          <w:p>
            <w:pPr>
              <w:jc w:val="center"/>
              <w:rPr>
                <w:rFonts w:ascii="Times New Roman" w:hAnsi="Times New Roman"/>
              </w:rPr>
            </w:pPr>
            <w:r>
              <w:rPr>
                <w:rFonts w:ascii="Times New Roman" w:hAnsi="Times New Roman"/>
              </w:rPr>
              <w:t>%</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bCs/>
              </w:rPr>
            </w:pPr>
            <w:r>
              <w:rPr>
                <w:rFonts w:ascii="Times New Roman" w:hAnsi="Times New Roman"/>
              </w:rPr>
              <w:t>тыс.руб.</w:t>
            </w:r>
          </w:p>
        </w:tc>
        <w:tc>
          <w:tcPr>
            <w:tcW w:w="736"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Доля,</w:t>
            </w:r>
          </w:p>
          <w:p>
            <w:pPr>
              <w:jc w:val="center"/>
              <w:rPr>
                <w:rFonts w:ascii="Times New Roman" w:hAnsi="Times New Roman"/>
                <w:bCs/>
              </w:rPr>
            </w:pPr>
            <w:r>
              <w:rPr>
                <w:rFonts w:ascii="Times New Roman" w:hAnsi="Times New Roman"/>
              </w:rPr>
              <w:t>%</w:t>
            </w:r>
          </w:p>
        </w:tc>
        <w:tc>
          <w:tcPr>
            <w:tcW w:w="1276" w:type="dxa"/>
            <w:vMerge/>
            <w:tcBorders>
              <w:left w:val="single" w:sz="4" w:space="0" w:color="auto"/>
              <w:bottom w:val="single" w:sz="4" w:space="0" w:color="auto"/>
              <w:right w:val="single" w:sz="4" w:space="0" w:color="auto"/>
            </w:tcBorders>
            <w:vAlign w:val="center"/>
            <w:hideMark/>
          </w:tcPr>
          <w:p>
            <w:pPr>
              <w:jc w:val="center"/>
              <w:rPr>
                <w:rFonts w:ascii="Times New Roman" w:hAnsi="Times New Roman"/>
              </w:rPr>
            </w:pPr>
          </w:p>
        </w:tc>
        <w:tc>
          <w:tcPr>
            <w:tcW w:w="1276" w:type="dxa"/>
            <w:vMerge/>
            <w:tcBorders>
              <w:left w:val="single" w:sz="4" w:space="0" w:color="auto"/>
              <w:bottom w:val="single" w:sz="4" w:space="0" w:color="auto"/>
              <w:right w:val="single" w:sz="4" w:space="0" w:color="auto"/>
            </w:tcBorders>
            <w:vAlign w:val="center"/>
            <w:hideMark/>
          </w:tcPr>
          <w:p>
            <w:pPr>
              <w:jc w:val="center"/>
              <w:rPr>
                <w:rFonts w:ascii="Times New Roman" w:hAnsi="Times New Roman"/>
              </w:rPr>
            </w:pPr>
          </w:p>
        </w:tc>
      </w:tr>
      <w:tr>
        <w:trPr>
          <w:trHeight w:val="279"/>
          <w:jc w:val="center"/>
        </w:trPr>
        <w:tc>
          <w:tcPr>
            <w:tcW w:w="1589" w:type="dxa"/>
            <w:tcBorders>
              <w:top w:val="single" w:sz="4" w:space="0" w:color="auto"/>
              <w:left w:val="single" w:sz="4" w:space="0" w:color="auto"/>
              <w:bottom w:val="single" w:sz="4" w:space="0" w:color="auto"/>
              <w:right w:val="single" w:sz="4" w:space="0" w:color="auto"/>
            </w:tcBorders>
            <w:vAlign w:val="center"/>
            <w:hideMark/>
          </w:tcPr>
          <w:p>
            <w:pPr>
              <w:pStyle w:val="aff1"/>
              <w:spacing w:after="60"/>
              <w:ind w:left="0"/>
              <w:rPr>
                <w:rFonts w:ascii="Times New Roman" w:hAnsi="Times New Roman"/>
              </w:rPr>
            </w:pPr>
            <w:r>
              <w:rPr>
                <w:rFonts w:ascii="Times New Roman" w:hAnsi="Times New Roman"/>
              </w:rPr>
              <w:t>Всего расходы, в т.ч. за счет:</w:t>
            </w:r>
          </w:p>
        </w:tc>
        <w:tc>
          <w:tcPr>
            <w:tcW w:w="1559"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bCs/>
                <w:sz w:val="24"/>
                <w:szCs w:val="24"/>
              </w:rPr>
            </w:pPr>
            <w:r>
              <w:rPr>
                <w:rFonts w:ascii="Times New Roman" w:hAnsi="Times New Roman"/>
                <w:bCs/>
              </w:rPr>
              <w:t>3 915 116,33</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Cs/>
                <w:sz w:val="24"/>
                <w:szCs w:val="24"/>
              </w:rPr>
            </w:pPr>
            <w:r>
              <w:rPr>
                <w:rFonts w:ascii="Times New Roman" w:hAnsi="Times New Roman"/>
                <w:bCs/>
              </w:rPr>
              <w:t>4 787 237,56</w:t>
            </w:r>
          </w:p>
        </w:tc>
        <w:tc>
          <w:tcPr>
            <w:tcW w:w="709" w:type="dxa"/>
            <w:tcBorders>
              <w:top w:val="single" w:sz="4" w:space="0" w:color="auto"/>
              <w:left w:val="single" w:sz="4" w:space="0" w:color="auto"/>
              <w:bottom w:val="single" w:sz="4" w:space="0" w:color="auto"/>
              <w:right w:val="single" w:sz="4" w:space="0" w:color="auto"/>
            </w:tcBorders>
            <w:vAlign w:val="center"/>
          </w:tcPr>
          <w:p>
            <w:pPr>
              <w:spacing w:after="60"/>
              <w:jc w:val="right"/>
              <w:rPr>
                <w:rFonts w:ascii="Times New Roman" w:hAnsi="Times New Roman"/>
                <w:b/>
              </w:rPr>
            </w:pP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highlight w:val="yellow"/>
              </w:rPr>
            </w:pPr>
            <w:r>
              <w:rPr>
                <w:rFonts w:ascii="Times New Roman" w:hAnsi="Times New Roman"/>
                <w:bCs/>
              </w:rPr>
              <w:t>4 152 406,02</w:t>
            </w:r>
          </w:p>
        </w:tc>
        <w:tc>
          <w:tcPr>
            <w:tcW w:w="736" w:type="dxa"/>
            <w:tcBorders>
              <w:top w:val="single" w:sz="4" w:space="0" w:color="auto"/>
              <w:left w:val="single" w:sz="4" w:space="0" w:color="auto"/>
              <w:bottom w:val="single" w:sz="4" w:space="0" w:color="auto"/>
              <w:right w:val="single" w:sz="4" w:space="0" w:color="auto"/>
            </w:tcBorders>
            <w:vAlign w:val="center"/>
            <w:hideMark/>
          </w:tcPr>
          <w:p>
            <w:pPr>
              <w:spacing w:after="60"/>
              <w:jc w:val="right"/>
              <w:rPr>
                <w:rFonts w:ascii="Times New Roman" w:hAnsi="Times New Roman"/>
                <w:highlight w:val="yellow"/>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Cs/>
                <w:sz w:val="24"/>
                <w:szCs w:val="24"/>
                <w:highlight w:val="yellow"/>
              </w:rPr>
            </w:pPr>
            <w:r>
              <w:rPr>
                <w:rFonts w:ascii="Times New Roman" w:hAnsi="Times New Roman"/>
                <w:bCs/>
              </w:rPr>
              <w:t>3 587 405,81</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Cs/>
                <w:sz w:val="24"/>
                <w:szCs w:val="24"/>
                <w:highlight w:val="yellow"/>
              </w:rPr>
            </w:pPr>
            <w:r>
              <w:rPr>
                <w:rFonts w:ascii="Times New Roman" w:hAnsi="Times New Roman"/>
                <w:bCs/>
              </w:rPr>
              <w:t>3 547 135,73</w:t>
            </w:r>
          </w:p>
        </w:tc>
      </w:tr>
      <w:tr>
        <w:trPr>
          <w:trHeight w:val="465"/>
          <w:jc w:val="center"/>
        </w:trPr>
        <w:tc>
          <w:tcPr>
            <w:tcW w:w="1589" w:type="dxa"/>
            <w:tcBorders>
              <w:top w:val="single" w:sz="4" w:space="0" w:color="auto"/>
              <w:left w:val="single" w:sz="4" w:space="0" w:color="auto"/>
              <w:bottom w:val="single" w:sz="4" w:space="0" w:color="auto"/>
              <w:right w:val="single" w:sz="4" w:space="0" w:color="auto"/>
            </w:tcBorders>
            <w:vAlign w:val="center"/>
            <w:hideMark/>
          </w:tcPr>
          <w:p>
            <w:pPr>
              <w:pStyle w:val="aff1"/>
              <w:tabs>
                <w:tab w:val="left" w:pos="426"/>
              </w:tabs>
              <w:spacing w:after="60"/>
              <w:ind w:left="0"/>
              <w:rPr>
                <w:rFonts w:ascii="Times New Roman" w:hAnsi="Times New Roman"/>
              </w:rPr>
            </w:pPr>
            <w:r>
              <w:rPr>
                <w:rFonts w:ascii="Times New Roman" w:hAnsi="Times New Roman"/>
              </w:rPr>
              <w:t>Нецелевых средств</w:t>
            </w:r>
          </w:p>
        </w:tc>
        <w:tc>
          <w:tcPr>
            <w:tcW w:w="1559"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2 464 990,53</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2 591 791,08</w:t>
            </w:r>
          </w:p>
        </w:tc>
        <w:tc>
          <w:tcPr>
            <w:tcW w:w="709" w:type="dxa"/>
            <w:tcBorders>
              <w:top w:val="single" w:sz="4" w:space="0" w:color="auto"/>
              <w:left w:val="single" w:sz="4" w:space="0" w:color="auto"/>
              <w:bottom w:val="single" w:sz="4" w:space="0" w:color="auto"/>
              <w:right w:val="single" w:sz="4" w:space="0" w:color="auto"/>
            </w:tcBorders>
            <w:vAlign w:val="center"/>
          </w:tcPr>
          <w:p>
            <w:pPr>
              <w:spacing w:after="60"/>
              <w:jc w:val="right"/>
              <w:rPr>
                <w:rFonts w:ascii="Times New Roman" w:hAnsi="Times New Roman"/>
              </w:rPr>
            </w:pPr>
            <w:r>
              <w:rPr>
                <w:rFonts w:ascii="Times New Roman" w:hAnsi="Times New Roman"/>
              </w:rPr>
              <w:t>54,1</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2 588 384,52</w:t>
            </w:r>
          </w:p>
        </w:tc>
        <w:tc>
          <w:tcPr>
            <w:tcW w:w="73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highlight w:val="yellow"/>
              </w:rPr>
            </w:pPr>
            <w:r>
              <w:rPr>
                <w:rFonts w:ascii="Times New Roman" w:hAnsi="Times New Roman"/>
              </w:rPr>
              <w:t>62,3</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2 120 486,01</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2 127 634,63</w:t>
            </w:r>
          </w:p>
        </w:tc>
      </w:tr>
      <w:tr>
        <w:trPr>
          <w:trHeight w:val="359"/>
          <w:jc w:val="center"/>
        </w:trPr>
        <w:tc>
          <w:tcPr>
            <w:tcW w:w="1589" w:type="dxa"/>
            <w:tcBorders>
              <w:top w:val="single" w:sz="4" w:space="0" w:color="auto"/>
              <w:left w:val="single" w:sz="4" w:space="0" w:color="auto"/>
              <w:bottom w:val="single" w:sz="4" w:space="0" w:color="auto"/>
              <w:right w:val="single" w:sz="4" w:space="0" w:color="auto"/>
            </w:tcBorders>
            <w:vAlign w:val="center"/>
            <w:hideMark/>
          </w:tcPr>
          <w:p>
            <w:pPr>
              <w:pStyle w:val="aff1"/>
              <w:spacing w:after="60"/>
              <w:ind w:left="0"/>
              <w:rPr>
                <w:rFonts w:ascii="Times New Roman" w:hAnsi="Times New Roman"/>
              </w:rPr>
            </w:pPr>
            <w:r>
              <w:rPr>
                <w:rFonts w:ascii="Times New Roman" w:hAnsi="Times New Roman"/>
              </w:rPr>
              <w:t>Целевых средств</w:t>
            </w:r>
          </w:p>
        </w:tc>
        <w:tc>
          <w:tcPr>
            <w:tcW w:w="1559"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bCs/>
                <w:iCs/>
                <w:sz w:val="24"/>
                <w:szCs w:val="24"/>
              </w:rPr>
            </w:pPr>
            <w:r>
              <w:rPr>
                <w:rFonts w:ascii="Times New Roman" w:hAnsi="Times New Roman"/>
                <w:bCs/>
                <w:iCs/>
              </w:rPr>
              <w:t>1 450 125,80</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Cs/>
                <w:iCs/>
                <w:sz w:val="24"/>
                <w:szCs w:val="24"/>
              </w:rPr>
            </w:pPr>
            <w:r>
              <w:rPr>
                <w:rFonts w:ascii="Times New Roman" w:hAnsi="Times New Roman"/>
                <w:bCs/>
                <w:iCs/>
              </w:rPr>
              <w:t>2 195 446,48</w:t>
            </w:r>
          </w:p>
        </w:tc>
        <w:tc>
          <w:tcPr>
            <w:tcW w:w="709"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45,9</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Cs/>
                <w:iCs/>
                <w:sz w:val="24"/>
                <w:szCs w:val="24"/>
              </w:rPr>
            </w:pPr>
            <w:r>
              <w:rPr>
                <w:rFonts w:ascii="Times New Roman" w:hAnsi="Times New Roman"/>
                <w:bCs/>
                <w:iCs/>
              </w:rPr>
              <w:t>1 564 021,50</w:t>
            </w:r>
          </w:p>
        </w:tc>
        <w:tc>
          <w:tcPr>
            <w:tcW w:w="73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37,7</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Cs/>
                <w:iCs/>
                <w:sz w:val="24"/>
                <w:szCs w:val="24"/>
              </w:rPr>
            </w:pPr>
            <w:r>
              <w:rPr>
                <w:rFonts w:ascii="Times New Roman" w:hAnsi="Times New Roman"/>
                <w:bCs/>
                <w:iCs/>
              </w:rPr>
              <w:t>1 466 919,80</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bCs/>
                <w:iCs/>
                <w:sz w:val="24"/>
                <w:szCs w:val="24"/>
              </w:rPr>
            </w:pPr>
            <w:r>
              <w:rPr>
                <w:rFonts w:ascii="Times New Roman" w:hAnsi="Times New Roman"/>
                <w:bCs/>
                <w:iCs/>
              </w:rPr>
              <w:t>1 419 501,10</w:t>
            </w:r>
          </w:p>
        </w:tc>
      </w:tr>
    </w:tbl>
    <w:p>
      <w:pPr>
        <w:tabs>
          <w:tab w:val="left" w:pos="-142"/>
          <w:tab w:val="left" w:pos="567"/>
        </w:tabs>
        <w:ind w:firstLine="567"/>
        <w:rPr>
          <w:rFonts w:ascii="Times New Roman" w:hAnsi="Times New Roman"/>
          <w:sz w:val="16"/>
          <w:szCs w:val="16"/>
        </w:rPr>
      </w:pPr>
    </w:p>
    <w:p>
      <w:pPr>
        <w:tabs>
          <w:tab w:val="left" w:pos="-142"/>
          <w:tab w:val="left" w:pos="567"/>
        </w:tabs>
        <w:ind w:firstLine="567"/>
        <w:jc w:val="both"/>
        <w:rPr>
          <w:rFonts w:ascii="Times New Roman" w:hAnsi="Times New Roman"/>
          <w:sz w:val="24"/>
          <w:szCs w:val="24"/>
        </w:rPr>
      </w:pPr>
      <w:r>
        <w:rPr>
          <w:rFonts w:ascii="Times New Roman" w:hAnsi="Times New Roman"/>
          <w:sz w:val="24"/>
          <w:szCs w:val="24"/>
        </w:rPr>
        <w:t xml:space="preserve">За счет нецелевых средств (налоговых и неналоговых доходов, дотаций) расходы на 8,2 пункта выше к уровню отчетного года; соответственно, за счет целевых межбюджетных трансфертов ниже на 8,2 пункта. </w:t>
      </w:r>
    </w:p>
    <w:p>
      <w:pPr>
        <w:tabs>
          <w:tab w:val="left" w:pos="-142"/>
          <w:tab w:val="left" w:pos="567"/>
        </w:tabs>
        <w:ind w:firstLine="567"/>
        <w:jc w:val="both"/>
        <w:rPr>
          <w:rFonts w:ascii="Times New Roman" w:hAnsi="Times New Roman"/>
          <w:sz w:val="24"/>
          <w:szCs w:val="24"/>
        </w:rPr>
      </w:pPr>
      <w:r>
        <w:rPr>
          <w:rFonts w:ascii="Times New Roman" w:hAnsi="Times New Roman"/>
          <w:sz w:val="24"/>
          <w:szCs w:val="24"/>
        </w:rPr>
        <w:t xml:space="preserve">              %</w:t>
      </w:r>
    </w:p>
    <w:p>
      <w:pPr>
        <w:tabs>
          <w:tab w:val="left" w:pos="-142"/>
          <w:tab w:val="left" w:pos="567"/>
        </w:tabs>
        <w:ind w:firstLine="567"/>
        <w:jc w:val="both"/>
        <w:rPr>
          <w:rFonts w:ascii="Times New Roman" w:hAnsi="Times New Roman"/>
          <w:sz w:val="24"/>
          <w:szCs w:val="24"/>
        </w:rPr>
      </w:pPr>
      <w:r>
        <w:rPr>
          <w:b/>
          <w:noProof/>
        </w:rPr>
        <w:drawing>
          <wp:inline distT="0" distB="0" distL="0" distR="0">
            <wp:extent cx="4884420" cy="2026920"/>
            <wp:effectExtent l="38100" t="57150" r="30480" b="30480"/>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pStyle w:val="ab"/>
        <w:jc w:val="center"/>
        <w:rPr>
          <w:noProof/>
        </w:rPr>
      </w:pPr>
      <w:r>
        <w:rPr>
          <w:noProof/>
        </w:rPr>
        <w:t>Рисунок 5 – Расходы бюджета ЗАТО Северск в 2021 году в разрезе источников, %</w:t>
      </w:r>
    </w:p>
    <w:p>
      <w:pPr>
        <w:pStyle w:val="ab"/>
        <w:jc w:val="center"/>
      </w:pPr>
    </w:p>
    <w:p>
      <w:pPr>
        <w:tabs>
          <w:tab w:val="left" w:pos="-142"/>
          <w:tab w:val="left" w:pos="709"/>
        </w:tabs>
        <w:spacing w:line="264" w:lineRule="auto"/>
        <w:jc w:val="both"/>
        <w:rPr>
          <w:rFonts w:ascii="Times New Roman" w:hAnsi="Times New Roman"/>
          <w:sz w:val="10"/>
          <w:szCs w:val="10"/>
        </w:rPr>
      </w:pPr>
    </w:p>
    <w:p>
      <w:pPr>
        <w:jc w:val="center"/>
        <w:rPr>
          <w:rFonts w:ascii="Times New Roman" w:hAnsi="Times New Roman"/>
          <w:b/>
          <w:sz w:val="24"/>
          <w:szCs w:val="24"/>
        </w:rPr>
      </w:pPr>
      <w:r>
        <w:rPr>
          <w:rFonts w:ascii="Times New Roman" w:hAnsi="Times New Roman"/>
          <w:b/>
          <w:sz w:val="24"/>
          <w:szCs w:val="24"/>
        </w:rPr>
        <w:t xml:space="preserve">2.2. Формирование бюджетных ассигнований </w:t>
      </w:r>
    </w:p>
    <w:p>
      <w:pPr>
        <w:spacing w:after="120"/>
        <w:jc w:val="center"/>
        <w:rPr>
          <w:rFonts w:ascii="Times New Roman" w:hAnsi="Times New Roman"/>
          <w:b/>
          <w:sz w:val="24"/>
          <w:szCs w:val="24"/>
        </w:rPr>
      </w:pPr>
      <w:r>
        <w:rPr>
          <w:rFonts w:ascii="Times New Roman" w:hAnsi="Times New Roman"/>
          <w:b/>
          <w:sz w:val="24"/>
          <w:szCs w:val="24"/>
        </w:rPr>
        <w:t xml:space="preserve">в ведомственной структуре расходов </w:t>
      </w:r>
    </w:p>
    <w:p>
      <w:pPr>
        <w:ind w:firstLine="709"/>
        <w:jc w:val="both"/>
        <w:rPr>
          <w:rFonts w:ascii="Times New Roman" w:hAnsi="Times New Roman"/>
          <w:sz w:val="24"/>
          <w:szCs w:val="24"/>
        </w:rPr>
      </w:pPr>
      <w:r>
        <w:rPr>
          <w:rFonts w:ascii="Times New Roman" w:hAnsi="Times New Roman"/>
          <w:sz w:val="24"/>
          <w:szCs w:val="24"/>
        </w:rPr>
        <w:t xml:space="preserve">Ведомственная структура расходов бюджета ЗАТО Северск сформирована в соответствии с действующим законодательством по разделам, подразделам, целевым статьям и видам расходов по 12 главным распорядителям средств бюджета ЗАТО Северск. </w:t>
      </w:r>
    </w:p>
    <w:p>
      <w:pPr>
        <w:spacing w:before="120" w:after="120"/>
        <w:ind w:firstLine="709"/>
        <w:jc w:val="both"/>
        <w:rPr>
          <w:rFonts w:ascii="Times New Roman" w:hAnsi="Times New Roman"/>
          <w:sz w:val="24"/>
          <w:szCs w:val="24"/>
        </w:rPr>
      </w:pPr>
      <w:r>
        <w:rPr>
          <w:rFonts w:ascii="Times New Roman" w:hAnsi="Times New Roman"/>
          <w:sz w:val="24"/>
          <w:szCs w:val="24"/>
        </w:rPr>
        <w:t>Таблица 29 - Объем ассигнований в разрезе ГРБС</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6"/>
        <w:gridCol w:w="1378"/>
        <w:gridCol w:w="1314"/>
        <w:gridCol w:w="1276"/>
        <w:gridCol w:w="908"/>
        <w:gridCol w:w="1360"/>
        <w:gridCol w:w="1276"/>
      </w:tblGrid>
      <w:tr>
        <w:tc>
          <w:tcPr>
            <w:tcW w:w="1986"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Наименование ГРБС</w:t>
            </w:r>
          </w:p>
        </w:tc>
        <w:tc>
          <w:tcPr>
            <w:tcW w:w="1378" w:type="dxa"/>
            <w:vMerge w:val="restart"/>
            <w:tcBorders>
              <w:top w:val="single" w:sz="4" w:space="0" w:color="auto"/>
              <w:left w:val="single" w:sz="4" w:space="0" w:color="auto"/>
              <w:right w:val="single" w:sz="4" w:space="0" w:color="auto"/>
            </w:tcBorders>
            <w:vAlign w:val="center"/>
          </w:tcPr>
          <w:p>
            <w:pPr>
              <w:jc w:val="center"/>
              <w:rPr>
                <w:rFonts w:ascii="Times New Roman" w:hAnsi="Times New Roman"/>
              </w:rPr>
            </w:pPr>
            <w:r>
              <w:rPr>
                <w:rFonts w:ascii="Times New Roman" w:hAnsi="Times New Roman"/>
              </w:rPr>
              <w:t>Первона-чально утверждено,</w:t>
            </w:r>
          </w:p>
          <w:p>
            <w:pPr>
              <w:jc w:val="center"/>
              <w:rPr>
                <w:rFonts w:ascii="Times New Roman" w:hAnsi="Times New Roman"/>
              </w:rPr>
            </w:pPr>
            <w:r>
              <w:rPr>
                <w:rFonts w:ascii="Times New Roman" w:hAnsi="Times New Roman"/>
              </w:rPr>
              <w:t>тыс.руб.</w:t>
            </w:r>
          </w:p>
        </w:tc>
        <w:tc>
          <w:tcPr>
            <w:tcW w:w="1314"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Оценка</w:t>
            </w:r>
          </w:p>
          <w:p>
            <w:pPr>
              <w:jc w:val="center"/>
              <w:rPr>
                <w:rFonts w:ascii="Times New Roman" w:hAnsi="Times New Roman"/>
              </w:rPr>
            </w:pPr>
            <w:r>
              <w:rPr>
                <w:rFonts w:ascii="Times New Roman" w:hAnsi="Times New Roman"/>
              </w:rPr>
              <w:t>2020 года, тыс.руб.</w:t>
            </w:r>
          </w:p>
        </w:tc>
        <w:tc>
          <w:tcPr>
            <w:tcW w:w="2184" w:type="dxa"/>
            <w:gridSpan w:val="2"/>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 2021 года</w:t>
            </w:r>
          </w:p>
        </w:tc>
        <w:tc>
          <w:tcPr>
            <w:tcW w:w="1360"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2022 года, тыс.руб.</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2023 года, тыс.руб.</w:t>
            </w:r>
          </w:p>
        </w:tc>
      </w:tr>
      <w:tr>
        <w:trPr>
          <w:trHeight w:val="874"/>
        </w:trPr>
        <w:tc>
          <w:tcPr>
            <w:tcW w:w="1986"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highlight w:val="yellow"/>
              </w:rPr>
            </w:pPr>
          </w:p>
        </w:tc>
        <w:tc>
          <w:tcPr>
            <w:tcW w:w="1378" w:type="dxa"/>
            <w:vMerge/>
            <w:tcBorders>
              <w:left w:val="single" w:sz="4" w:space="0" w:color="auto"/>
              <w:bottom w:val="single" w:sz="4" w:space="0" w:color="auto"/>
              <w:right w:val="single" w:sz="4" w:space="0" w:color="auto"/>
            </w:tcBorders>
            <w:vAlign w:val="center"/>
          </w:tcPr>
          <w:p>
            <w:pPr>
              <w:rPr>
                <w:rFonts w:ascii="Times New Roman" w:hAnsi="Times New Roman"/>
                <w:highlight w:val="yellow"/>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highlight w:val="yellow"/>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Сумма,</w:t>
            </w:r>
          </w:p>
          <w:p>
            <w:pPr>
              <w:jc w:val="center"/>
              <w:rPr>
                <w:rFonts w:ascii="Times New Roman" w:hAnsi="Times New Roman"/>
              </w:rPr>
            </w:pPr>
            <w:r>
              <w:rPr>
                <w:rFonts w:ascii="Times New Roman" w:hAnsi="Times New Roman"/>
              </w:rPr>
              <w:t>тыс.руб.</w:t>
            </w:r>
          </w:p>
        </w:tc>
        <w:tc>
          <w:tcPr>
            <w:tcW w:w="908" w:type="dxa"/>
            <w:tcBorders>
              <w:top w:val="single" w:sz="4" w:space="0" w:color="auto"/>
              <w:left w:val="single" w:sz="4" w:space="0" w:color="auto"/>
              <w:bottom w:val="single" w:sz="4" w:space="0" w:color="auto"/>
              <w:right w:val="single" w:sz="4" w:space="0" w:color="auto"/>
            </w:tcBorders>
            <w:vAlign w:val="center"/>
            <w:hideMark/>
          </w:tcPr>
          <w:p>
            <w:pPr>
              <w:ind w:left="-108" w:right="-108"/>
              <w:jc w:val="center"/>
              <w:rPr>
                <w:rFonts w:ascii="Times New Roman" w:hAnsi="Times New Roman"/>
              </w:rPr>
            </w:pPr>
            <w:r>
              <w:rPr>
                <w:rFonts w:ascii="Times New Roman" w:hAnsi="Times New Roman"/>
              </w:rPr>
              <w:t xml:space="preserve">% </w:t>
            </w:r>
          </w:p>
          <w:p>
            <w:pPr>
              <w:ind w:left="-108" w:right="-108"/>
              <w:jc w:val="center"/>
              <w:rPr>
                <w:rFonts w:ascii="Times New Roman" w:hAnsi="Times New Roman"/>
              </w:rPr>
            </w:pPr>
            <w:r>
              <w:rPr>
                <w:rFonts w:ascii="Times New Roman" w:hAnsi="Times New Roman"/>
              </w:rPr>
              <w:t>к 2020 г.</w:t>
            </w:r>
          </w:p>
        </w:tc>
        <w:tc>
          <w:tcPr>
            <w:tcW w:w="1360"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r>
      <w:tr>
        <w:tc>
          <w:tcPr>
            <w:tcW w:w="1986"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rPr>
            </w:pPr>
            <w:r>
              <w:rPr>
                <w:rFonts w:ascii="Times New Roman" w:hAnsi="Times New Roman"/>
              </w:rPr>
              <w:t>1</w:t>
            </w:r>
          </w:p>
        </w:tc>
        <w:tc>
          <w:tcPr>
            <w:tcW w:w="1378"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2</w:t>
            </w:r>
          </w:p>
        </w:tc>
        <w:tc>
          <w:tcPr>
            <w:tcW w:w="1314"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3</w:t>
            </w: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4</w:t>
            </w:r>
          </w:p>
        </w:tc>
        <w:tc>
          <w:tcPr>
            <w:tcW w:w="908"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5</w:t>
            </w:r>
          </w:p>
        </w:tc>
        <w:tc>
          <w:tcPr>
            <w:tcW w:w="1360"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6</w:t>
            </w: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7</w:t>
            </w:r>
          </w:p>
        </w:tc>
      </w:tr>
      <w:tr>
        <w:trPr>
          <w:trHeight w:val="451"/>
        </w:trP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Дума ЗАТО Северск</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57 771,80</w:t>
            </w:r>
          </w:p>
        </w:tc>
        <w:tc>
          <w:tcPr>
            <w:tcW w:w="131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57 823,48</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56 496,61</w:t>
            </w:r>
          </w:p>
        </w:tc>
        <w:tc>
          <w:tcPr>
            <w:tcW w:w="90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97,7</w:t>
            </w:r>
          </w:p>
        </w:tc>
        <w:tc>
          <w:tcPr>
            <w:tcW w:w="136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44 631,97</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43 893,78</w:t>
            </w:r>
          </w:p>
        </w:tc>
      </w:tr>
      <w:tr>
        <w:trPr>
          <w:trHeight w:val="557"/>
        </w:trP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Счетная палата ЗАТО Северск</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15 213,52</w:t>
            </w:r>
          </w:p>
        </w:tc>
        <w:tc>
          <w:tcPr>
            <w:tcW w:w="131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15 277,65</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15 115,16</w:t>
            </w:r>
          </w:p>
        </w:tc>
        <w:tc>
          <w:tcPr>
            <w:tcW w:w="90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98,9</w:t>
            </w:r>
          </w:p>
        </w:tc>
        <w:tc>
          <w:tcPr>
            <w:tcW w:w="136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11 940,88</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11 743,39</w:t>
            </w:r>
          </w:p>
        </w:tc>
      </w:tr>
      <w:tr>
        <w:trPr>
          <w:trHeight w:val="551"/>
        </w:trP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Администрация ЗАТО Северск</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312 382,99</w:t>
            </w:r>
          </w:p>
        </w:tc>
        <w:tc>
          <w:tcPr>
            <w:tcW w:w="131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359 346,59</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296 013,76</w:t>
            </w:r>
          </w:p>
        </w:tc>
        <w:tc>
          <w:tcPr>
            <w:tcW w:w="90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82,4</w:t>
            </w:r>
          </w:p>
        </w:tc>
        <w:tc>
          <w:tcPr>
            <w:tcW w:w="136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247 347,74</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243 801,66</w:t>
            </w:r>
          </w:p>
        </w:tc>
      </w:tr>
      <w:t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Финансовое управление</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51 512,91</w:t>
            </w:r>
          </w:p>
        </w:tc>
        <w:tc>
          <w:tcPr>
            <w:tcW w:w="131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50 408,68</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62 171,64</w:t>
            </w:r>
          </w:p>
        </w:tc>
        <w:tc>
          <w:tcPr>
            <w:tcW w:w="90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123,3</w:t>
            </w:r>
          </w:p>
        </w:tc>
        <w:tc>
          <w:tcPr>
            <w:tcW w:w="136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114 938,60</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166 824,05</w:t>
            </w:r>
          </w:p>
        </w:tc>
      </w:tr>
      <w:tr>
        <w:tc>
          <w:tcPr>
            <w:tcW w:w="1986"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rPr>
            </w:pPr>
            <w:r>
              <w:rPr>
                <w:rFonts w:ascii="Times New Roman" w:hAnsi="Times New Roman"/>
              </w:rPr>
              <w:lastRenderedPageBreak/>
              <w:t>1</w:t>
            </w:r>
          </w:p>
        </w:tc>
        <w:tc>
          <w:tcPr>
            <w:tcW w:w="1378"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2</w:t>
            </w:r>
          </w:p>
        </w:tc>
        <w:tc>
          <w:tcPr>
            <w:tcW w:w="1314"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3</w:t>
            </w: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4</w:t>
            </w:r>
          </w:p>
        </w:tc>
        <w:tc>
          <w:tcPr>
            <w:tcW w:w="908"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5</w:t>
            </w:r>
          </w:p>
        </w:tc>
        <w:tc>
          <w:tcPr>
            <w:tcW w:w="1360"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6</w:t>
            </w: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7</w:t>
            </w:r>
          </w:p>
        </w:tc>
      </w:tr>
      <w:tr>
        <w:tc>
          <w:tcPr>
            <w:tcW w:w="1986" w:type="dxa"/>
            <w:tcBorders>
              <w:top w:val="single" w:sz="4" w:space="0" w:color="auto"/>
              <w:left w:val="single" w:sz="4" w:space="0" w:color="auto"/>
              <w:bottom w:val="single" w:sz="4" w:space="0" w:color="auto"/>
              <w:right w:val="single" w:sz="4" w:space="0" w:color="auto"/>
            </w:tcBorders>
            <w:hideMark/>
          </w:tcPr>
          <w:p>
            <w:pPr>
              <w:pStyle w:val="1"/>
              <w:jc w:val="left"/>
              <w:rPr>
                <w:rFonts w:ascii="Times New Roman" w:hAnsi="Times New Roman"/>
                <w:b w:val="0"/>
                <w:sz w:val="20"/>
              </w:rPr>
            </w:pPr>
            <w:r>
              <w:rPr>
                <w:rFonts w:ascii="Times New Roman" w:hAnsi="Times New Roman"/>
                <w:b w:val="0"/>
                <w:sz w:val="20"/>
              </w:rPr>
              <w:t>УМСП ФКиС</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391 365,35</w:t>
            </w:r>
          </w:p>
        </w:tc>
        <w:tc>
          <w:tcPr>
            <w:tcW w:w="131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490 345,76</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419 499,46</w:t>
            </w:r>
          </w:p>
        </w:tc>
        <w:tc>
          <w:tcPr>
            <w:tcW w:w="90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85,6</w:t>
            </w:r>
          </w:p>
        </w:tc>
        <w:tc>
          <w:tcPr>
            <w:tcW w:w="13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334 954,74</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328 820,98</w:t>
            </w:r>
          </w:p>
        </w:tc>
      </w:tr>
      <w:tr>
        <w:tc>
          <w:tcPr>
            <w:tcW w:w="1986" w:type="dxa"/>
            <w:tcBorders>
              <w:top w:val="single" w:sz="4" w:space="0" w:color="auto"/>
              <w:left w:val="single" w:sz="4" w:space="0" w:color="auto"/>
              <w:bottom w:val="single" w:sz="4" w:space="0" w:color="auto"/>
              <w:right w:val="single" w:sz="4" w:space="0" w:color="auto"/>
            </w:tcBorders>
            <w:hideMark/>
          </w:tcPr>
          <w:p>
            <w:pPr>
              <w:pStyle w:val="1"/>
              <w:jc w:val="left"/>
              <w:rPr>
                <w:rFonts w:ascii="Times New Roman" w:hAnsi="Times New Roman"/>
                <w:b w:val="0"/>
                <w:sz w:val="20"/>
              </w:rPr>
            </w:pPr>
            <w:r>
              <w:rPr>
                <w:rFonts w:ascii="Times New Roman" w:hAnsi="Times New Roman"/>
                <w:b w:val="0"/>
                <w:sz w:val="20"/>
              </w:rPr>
              <w:t>Управление культуры</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322 606,45</w:t>
            </w:r>
          </w:p>
        </w:tc>
        <w:tc>
          <w:tcPr>
            <w:tcW w:w="131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539 617,46</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380 403,04</w:t>
            </w:r>
          </w:p>
        </w:tc>
        <w:tc>
          <w:tcPr>
            <w:tcW w:w="90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70,5</w:t>
            </w:r>
          </w:p>
        </w:tc>
        <w:tc>
          <w:tcPr>
            <w:tcW w:w="13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302 573,65</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295 921,14</w:t>
            </w:r>
          </w:p>
        </w:tc>
      </w:tr>
      <w:tr>
        <w:tc>
          <w:tcPr>
            <w:tcW w:w="1986" w:type="dxa"/>
            <w:tcBorders>
              <w:top w:val="single" w:sz="4" w:space="0" w:color="auto"/>
              <w:left w:val="single" w:sz="4" w:space="0" w:color="auto"/>
              <w:bottom w:val="single" w:sz="4" w:space="0" w:color="auto"/>
              <w:right w:val="single" w:sz="4" w:space="0" w:color="auto"/>
            </w:tcBorders>
            <w:hideMark/>
          </w:tcPr>
          <w:p>
            <w:pPr>
              <w:pStyle w:val="1"/>
              <w:jc w:val="left"/>
              <w:rPr>
                <w:rFonts w:ascii="Times New Roman" w:hAnsi="Times New Roman"/>
                <w:sz w:val="20"/>
              </w:rPr>
            </w:pPr>
            <w:r>
              <w:rPr>
                <w:rFonts w:ascii="Times New Roman" w:hAnsi="Times New Roman"/>
                <w:b w:val="0"/>
                <w:sz w:val="20"/>
              </w:rPr>
              <w:t>Управление по делам защиты населения и территорий от ЧС</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25 869,42</w:t>
            </w:r>
          </w:p>
        </w:tc>
        <w:tc>
          <w:tcPr>
            <w:tcW w:w="131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26 017,00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25 932,43</w:t>
            </w:r>
          </w:p>
        </w:tc>
        <w:tc>
          <w:tcPr>
            <w:tcW w:w="90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99,7</w:t>
            </w:r>
          </w:p>
        </w:tc>
        <w:tc>
          <w:tcPr>
            <w:tcW w:w="13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20 486,46</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20 147,62</w:t>
            </w:r>
          </w:p>
        </w:tc>
      </w:tr>
      <w:t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Управление образования</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1 966 179,13</w:t>
            </w:r>
          </w:p>
        </w:tc>
        <w:tc>
          <w:tcPr>
            <w:tcW w:w="131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2 315 281,20</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2 069 261,37</w:t>
            </w:r>
          </w:p>
        </w:tc>
        <w:tc>
          <w:tcPr>
            <w:tcW w:w="90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89,4</w:t>
            </w:r>
          </w:p>
        </w:tc>
        <w:tc>
          <w:tcPr>
            <w:tcW w:w="136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1 910 144,67</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1 898 185,14</w:t>
            </w:r>
          </w:p>
        </w:tc>
      </w:tr>
      <w:t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УИО</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84 114,38</w:t>
            </w:r>
          </w:p>
        </w:tc>
        <w:tc>
          <w:tcPr>
            <w:tcW w:w="131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90 067,77</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82 985,22</w:t>
            </w:r>
          </w:p>
        </w:tc>
        <w:tc>
          <w:tcPr>
            <w:tcW w:w="90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92,1</w:t>
            </w:r>
          </w:p>
        </w:tc>
        <w:tc>
          <w:tcPr>
            <w:tcW w:w="136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65 557,81</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4"/>
                <w:szCs w:val="24"/>
              </w:rPr>
            </w:pPr>
            <w:r>
              <w:rPr>
                <w:rFonts w:ascii="Times New Roman" w:hAnsi="Times New Roman"/>
              </w:rPr>
              <w:t>64 473,52</w:t>
            </w:r>
          </w:p>
        </w:tc>
      </w:tr>
      <w:t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 xml:space="preserve">УЖКХ ТиС </w:t>
            </w:r>
          </w:p>
        </w:tc>
        <w:tc>
          <w:tcPr>
            <w:tcW w:w="137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397 655,96</w:t>
            </w:r>
          </w:p>
        </w:tc>
        <w:tc>
          <w:tcPr>
            <w:tcW w:w="131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439 563,27</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405 274,40</w:t>
            </w:r>
          </w:p>
        </w:tc>
        <w:tc>
          <w:tcPr>
            <w:tcW w:w="90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92,2</w:t>
            </w:r>
          </w:p>
        </w:tc>
        <w:tc>
          <w:tcPr>
            <w:tcW w:w="13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320 502,87</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4"/>
                <w:szCs w:val="24"/>
              </w:rPr>
            </w:pPr>
            <w:r>
              <w:rPr>
                <w:rFonts w:ascii="Times New Roman" w:hAnsi="Times New Roman"/>
              </w:rPr>
              <w:t>315 378,70</w:t>
            </w:r>
          </w:p>
        </w:tc>
      </w:tr>
      <w:t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УКС</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rFonts w:ascii="Times New Roman" w:hAnsi="Times New Roman"/>
                <w:sz w:val="24"/>
                <w:szCs w:val="24"/>
              </w:rPr>
            </w:pPr>
            <w:r>
              <w:rPr>
                <w:rFonts w:ascii="Times New Roman" w:hAnsi="Times New Roman"/>
              </w:rPr>
              <w:t>245 025,84</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4"/>
                <w:szCs w:val="24"/>
              </w:rPr>
            </w:pPr>
            <w:r>
              <w:rPr>
                <w:rFonts w:ascii="Times New Roman" w:hAnsi="Times New Roman"/>
              </w:rPr>
              <w:t>353 343,84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4"/>
                <w:szCs w:val="24"/>
              </w:rPr>
            </w:pPr>
            <w:r>
              <w:rPr>
                <w:rFonts w:ascii="Times New Roman" w:hAnsi="Times New Roman"/>
              </w:rPr>
              <w:t>291 460,24</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rFonts w:ascii="Times New Roman" w:hAnsi="Times New Roman"/>
                <w:sz w:val="24"/>
                <w:szCs w:val="24"/>
              </w:rPr>
            </w:pPr>
            <w:r>
              <w:rPr>
                <w:rFonts w:ascii="Times New Roman" w:hAnsi="Times New Roman"/>
              </w:rPr>
              <w:t>82,5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4"/>
                <w:szCs w:val="24"/>
              </w:rPr>
            </w:pPr>
            <w:r>
              <w:rPr>
                <w:rFonts w:ascii="Times New Roman" w:hAnsi="Times New Roman"/>
              </w:rPr>
              <w:t>176 117,04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4"/>
                <w:szCs w:val="24"/>
              </w:rPr>
            </w:pPr>
            <w:r>
              <w:rPr>
                <w:rFonts w:ascii="Times New Roman" w:hAnsi="Times New Roman"/>
              </w:rPr>
              <w:t>120 332,62</w:t>
            </w:r>
          </w:p>
        </w:tc>
      </w:tr>
      <w:t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rPr>
            </w:pPr>
            <w:r>
              <w:rPr>
                <w:rFonts w:ascii="Times New Roman" w:hAnsi="Times New Roman"/>
              </w:rPr>
              <w:t>УВГТ</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rFonts w:ascii="Times New Roman" w:hAnsi="Times New Roman"/>
                <w:sz w:val="24"/>
                <w:szCs w:val="24"/>
              </w:rPr>
            </w:pPr>
            <w:r>
              <w:rPr>
                <w:rFonts w:ascii="Times New Roman" w:hAnsi="Times New Roman"/>
              </w:rPr>
              <w:t>45 418,58</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4"/>
                <w:szCs w:val="24"/>
              </w:rPr>
            </w:pPr>
            <w:r>
              <w:rPr>
                <w:rFonts w:ascii="Times New Roman" w:hAnsi="Times New Roman"/>
              </w:rPr>
              <w:t>50 144,86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4"/>
                <w:szCs w:val="24"/>
              </w:rPr>
            </w:pPr>
            <w:r>
              <w:rPr>
                <w:rFonts w:ascii="Times New Roman" w:hAnsi="Times New Roman"/>
              </w:rPr>
              <w:t>47 792,69</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rFonts w:ascii="Times New Roman" w:hAnsi="Times New Roman"/>
                <w:sz w:val="24"/>
                <w:szCs w:val="24"/>
              </w:rPr>
            </w:pPr>
            <w:r>
              <w:rPr>
                <w:rFonts w:ascii="Times New Roman" w:hAnsi="Times New Roman"/>
              </w:rPr>
              <w:t>95,3</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4"/>
                <w:szCs w:val="24"/>
              </w:rPr>
            </w:pPr>
            <w:r>
              <w:rPr>
                <w:rFonts w:ascii="Times New Roman" w:hAnsi="Times New Roman"/>
              </w:rPr>
              <w:t>38 209,38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4"/>
                <w:szCs w:val="24"/>
              </w:rPr>
            </w:pPr>
            <w:r>
              <w:rPr>
                <w:rFonts w:ascii="Times New Roman" w:hAnsi="Times New Roman"/>
              </w:rPr>
              <w:t>37 613,13</w:t>
            </w:r>
          </w:p>
        </w:tc>
      </w:tr>
      <w:tr>
        <w:tc>
          <w:tcPr>
            <w:tcW w:w="1986"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b/>
              </w:rPr>
            </w:pPr>
            <w:r>
              <w:rPr>
                <w:rFonts w:ascii="Times New Roman" w:hAnsi="Times New Roman"/>
                <w:b/>
              </w:rPr>
              <w:t>Всего:</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rFonts w:ascii="Times New Roman" w:hAnsi="Times New Roman"/>
                <w:b/>
                <w:bCs/>
                <w:sz w:val="24"/>
                <w:szCs w:val="24"/>
              </w:rPr>
            </w:pPr>
            <w:r>
              <w:rPr>
                <w:rFonts w:ascii="Times New Roman" w:hAnsi="Times New Roman"/>
                <w:b/>
                <w:bCs/>
              </w:rPr>
              <w:t>3 915 116,33</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b/>
                <w:bCs/>
                <w:sz w:val="24"/>
                <w:szCs w:val="24"/>
              </w:rPr>
            </w:pPr>
            <w:r>
              <w:rPr>
                <w:rFonts w:ascii="Times New Roman" w:hAnsi="Times New Roman"/>
                <w:b/>
                <w:bCs/>
              </w:rPr>
              <w:t>4 787 237,56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b/>
                <w:bCs/>
                <w:sz w:val="24"/>
                <w:szCs w:val="24"/>
              </w:rPr>
            </w:pPr>
            <w:r>
              <w:rPr>
                <w:rFonts w:ascii="Times New Roman" w:hAnsi="Times New Roman"/>
                <w:b/>
                <w:bCs/>
              </w:rPr>
              <w:t>4 152 406,02</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rFonts w:ascii="Times New Roman" w:hAnsi="Times New Roman"/>
                <w:b/>
                <w:bCs/>
                <w:sz w:val="24"/>
                <w:szCs w:val="24"/>
              </w:rPr>
            </w:pPr>
            <w:r>
              <w:rPr>
                <w:rFonts w:ascii="Times New Roman" w:hAnsi="Times New Roman"/>
                <w:b/>
                <w:bCs/>
              </w:rPr>
              <w:t>86,7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b/>
                <w:bCs/>
                <w:sz w:val="24"/>
                <w:szCs w:val="24"/>
              </w:rPr>
            </w:pPr>
            <w:r>
              <w:rPr>
                <w:rFonts w:ascii="Times New Roman" w:hAnsi="Times New Roman"/>
                <w:b/>
                <w:bCs/>
              </w:rPr>
              <w:t>3 587 405,81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b/>
                <w:bCs/>
                <w:sz w:val="24"/>
                <w:szCs w:val="24"/>
              </w:rPr>
            </w:pPr>
            <w:r>
              <w:rPr>
                <w:rFonts w:ascii="Times New Roman" w:hAnsi="Times New Roman"/>
                <w:b/>
                <w:bCs/>
              </w:rPr>
              <w:t>3 547 135,73</w:t>
            </w:r>
          </w:p>
        </w:tc>
      </w:tr>
    </w:tbl>
    <w:p>
      <w:pPr>
        <w:rPr>
          <w:rFonts w:ascii="Times New Roman" w:hAnsi="Times New Roman"/>
          <w:b/>
          <w:color w:val="FF0000"/>
          <w:sz w:val="16"/>
          <w:szCs w:val="16"/>
        </w:rPr>
      </w:pPr>
    </w:p>
    <w:p>
      <w:pPr>
        <w:ind w:firstLine="709"/>
        <w:jc w:val="both"/>
        <w:rPr>
          <w:rFonts w:ascii="Times New Roman" w:hAnsi="Times New Roman"/>
          <w:noProof/>
          <w:sz w:val="24"/>
          <w:szCs w:val="24"/>
        </w:rPr>
      </w:pPr>
      <w:r>
        <w:rPr>
          <w:rFonts w:ascii="Times New Roman" w:hAnsi="Times New Roman"/>
          <w:noProof/>
          <w:sz w:val="24"/>
          <w:szCs w:val="24"/>
        </w:rPr>
        <w:t xml:space="preserve">По ГРБС, имеющим в расходах высокую долю целевых средств межбюджетных трасфертов, отмечается снижение к уровню 2020 года. </w:t>
      </w:r>
    </w:p>
    <w:p>
      <w:pPr>
        <w:ind w:firstLine="709"/>
        <w:jc w:val="both"/>
        <w:rPr>
          <w:rFonts w:ascii="Times New Roman" w:hAnsi="Times New Roman"/>
          <w:noProof/>
          <w:sz w:val="24"/>
          <w:szCs w:val="24"/>
        </w:rPr>
      </w:pPr>
      <w:r>
        <w:rPr>
          <w:rFonts w:ascii="Times New Roman" w:hAnsi="Times New Roman"/>
          <w:noProof/>
          <w:sz w:val="24"/>
          <w:szCs w:val="24"/>
        </w:rPr>
        <w:t xml:space="preserve">По ГРБС, расходы которых финансируются за счет средств местного бюджета, изменения к уровню 2020 года несущественные. </w:t>
      </w:r>
    </w:p>
    <w:p>
      <w:pPr>
        <w:ind w:firstLine="709"/>
        <w:jc w:val="both"/>
        <w:rPr>
          <w:rFonts w:ascii="Times New Roman" w:hAnsi="Times New Roman"/>
          <w:noProof/>
          <w:sz w:val="24"/>
          <w:szCs w:val="24"/>
        </w:rPr>
      </w:pPr>
      <w:r>
        <w:rPr>
          <w:rFonts w:ascii="Times New Roman" w:hAnsi="Times New Roman"/>
          <w:noProof/>
          <w:sz w:val="24"/>
          <w:szCs w:val="24"/>
        </w:rPr>
        <w:t>Рост расходов в 2021 году по Финансовому управлению на 23,3% обусловлен увеличением расходов по обслуживанию муниципального долга, а по 2022 и 2023 годам за счет необходимости формирования условно утвержденных расходов в суммах 53 013,00 тыс.руб. и 106 382,00 тыс.руб. соответственно согласно статье 184.1. Бюджетного кодекса Российской Федерации.</w:t>
      </w:r>
    </w:p>
    <w:p>
      <w:pPr>
        <w:ind w:firstLine="709"/>
        <w:jc w:val="both"/>
        <w:rPr>
          <w:rFonts w:ascii="Times New Roman" w:hAnsi="Times New Roman"/>
          <w:noProof/>
          <w:sz w:val="24"/>
          <w:szCs w:val="24"/>
          <w:highlight w:val="yellow"/>
        </w:rPr>
      </w:pPr>
    </w:p>
    <w:p>
      <w:pPr>
        <w:ind w:left="12" w:hanging="12"/>
        <w:jc w:val="center"/>
        <w:rPr>
          <w:rFonts w:ascii="Times New Roman" w:hAnsi="Times New Roman"/>
          <w:noProof/>
          <w:sz w:val="24"/>
          <w:szCs w:val="24"/>
          <w:highlight w:val="yellow"/>
        </w:rPr>
      </w:pPr>
      <w:r>
        <w:rPr>
          <w:rFonts w:ascii="Times New Roman" w:hAnsi="Times New Roman"/>
          <w:noProof/>
          <w:sz w:val="24"/>
          <w:szCs w:val="24"/>
        </w:rPr>
        <w:drawing>
          <wp:inline distT="0" distB="0" distL="0" distR="0">
            <wp:extent cx="5526156" cy="3665551"/>
            <wp:effectExtent l="0" t="0" r="0" b="0"/>
            <wp:docPr id="11"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ind w:left="12" w:hanging="12"/>
        <w:jc w:val="center"/>
        <w:rPr>
          <w:rFonts w:ascii="Times New Roman" w:hAnsi="Times New Roman"/>
          <w:noProof/>
          <w:sz w:val="24"/>
          <w:szCs w:val="24"/>
          <w:highlight w:val="yellow"/>
        </w:rPr>
      </w:pPr>
    </w:p>
    <w:p>
      <w:pPr>
        <w:ind w:left="12" w:hanging="12"/>
        <w:jc w:val="center"/>
        <w:rPr>
          <w:rFonts w:ascii="Times New Roman" w:hAnsi="Times New Roman"/>
          <w:noProof/>
          <w:sz w:val="24"/>
          <w:szCs w:val="24"/>
        </w:rPr>
      </w:pPr>
      <w:r>
        <w:rPr>
          <w:rFonts w:ascii="Times New Roman" w:hAnsi="Times New Roman"/>
          <w:noProof/>
          <w:sz w:val="24"/>
          <w:szCs w:val="24"/>
        </w:rPr>
        <w:t>Рисунок 6 - Расходы бюджета ЗАТО Северск на 2021 год по ведомственной структуре</w:t>
      </w:r>
    </w:p>
    <w:p>
      <w:pPr>
        <w:ind w:firstLine="709"/>
        <w:jc w:val="both"/>
        <w:rPr>
          <w:rFonts w:ascii="Times New Roman" w:hAnsi="Times New Roman"/>
          <w:noProof/>
          <w:sz w:val="24"/>
          <w:szCs w:val="24"/>
          <w:highlight w:val="yellow"/>
        </w:rPr>
      </w:pPr>
    </w:p>
    <w:p>
      <w:pPr>
        <w:pStyle w:val="ab"/>
        <w:spacing w:before="120" w:after="120"/>
        <w:ind w:firstLine="709"/>
        <w:jc w:val="center"/>
        <w:rPr>
          <w:b/>
        </w:rPr>
      </w:pPr>
      <w:r>
        <w:rPr>
          <w:b/>
        </w:rPr>
        <w:t>2.3. Ассигнования на действующие и принимаемые обязательства</w:t>
      </w:r>
    </w:p>
    <w:p>
      <w:pPr>
        <w:ind w:firstLine="720"/>
        <w:jc w:val="both"/>
        <w:rPr>
          <w:rFonts w:ascii="Times New Roman" w:hAnsi="Times New Roman"/>
          <w:sz w:val="24"/>
          <w:szCs w:val="24"/>
        </w:rPr>
      </w:pPr>
      <w:r>
        <w:rPr>
          <w:rFonts w:ascii="Times New Roman" w:hAnsi="Times New Roman"/>
          <w:sz w:val="24"/>
          <w:szCs w:val="24"/>
        </w:rPr>
        <w:t>За базу для формирования действующих расходных обязательств на 2021 год приняты показатели сводной бюджетной росписи на 2020 год с учетом их корректировки по единой методике:</w:t>
      </w:r>
    </w:p>
    <w:p>
      <w:pPr>
        <w:pStyle w:val="ab"/>
        <w:numPr>
          <w:ilvl w:val="0"/>
          <w:numId w:val="29"/>
        </w:numPr>
        <w:ind w:left="0" w:firstLine="709"/>
      </w:pPr>
      <w:r>
        <w:rPr>
          <w:spacing w:val="-5"/>
        </w:rPr>
        <w:lastRenderedPageBreak/>
        <w:t xml:space="preserve">расходы определены в условиях 2020 года, без индексации (за исключением расходов по коммунальным платежам), </w:t>
      </w:r>
      <w:r>
        <w:t xml:space="preserve">с учетом оптимизационных мер, проведенных </w:t>
      </w:r>
      <w:r>
        <w:br/>
        <w:t>в 2020 году;</w:t>
      </w:r>
    </w:p>
    <w:p>
      <w:pPr>
        <w:numPr>
          <w:ilvl w:val="0"/>
          <w:numId w:val="29"/>
        </w:numPr>
        <w:tabs>
          <w:tab w:val="left" w:pos="0"/>
        </w:tabs>
        <w:ind w:left="0" w:firstLine="709"/>
        <w:jc w:val="both"/>
        <w:rPr>
          <w:rFonts w:ascii="Times New Roman" w:hAnsi="Times New Roman"/>
          <w:sz w:val="24"/>
          <w:szCs w:val="24"/>
        </w:rPr>
      </w:pPr>
      <w:r>
        <w:rPr>
          <w:rFonts w:ascii="Times New Roman" w:hAnsi="Times New Roman"/>
          <w:sz w:val="24"/>
          <w:szCs w:val="24"/>
        </w:rPr>
        <w:t>исключены расходы, производимые по разовым решениям и расходы, срок реализации которых ограничен рамками года, предшествующего планируемому, включая исполнение решений за счет резервных фондов;</w:t>
      </w:r>
    </w:p>
    <w:p>
      <w:pPr>
        <w:pStyle w:val="ab"/>
        <w:numPr>
          <w:ilvl w:val="0"/>
          <w:numId w:val="29"/>
        </w:numPr>
        <w:ind w:left="0" w:firstLine="709"/>
        <w:rPr>
          <w:spacing w:val="-5"/>
        </w:rPr>
      </w:pPr>
      <w:r>
        <w:t xml:space="preserve">учтены отчисления  страховых взносов в Пенсионный фонд Российской Федерации, Фонд социального страхования Российской Федерации и Федеральный </w:t>
      </w:r>
      <w:r>
        <w:br/>
        <w:t xml:space="preserve">и Территориальный фонды обязательного медицинского </w:t>
      </w:r>
      <w:r>
        <w:rPr>
          <w:spacing w:val="-5"/>
        </w:rPr>
        <w:t>страхования,  от несчастных случаев  – в размере 30,2%;</w:t>
      </w:r>
    </w:p>
    <w:p>
      <w:pPr>
        <w:pStyle w:val="ab"/>
        <w:numPr>
          <w:ilvl w:val="0"/>
          <w:numId w:val="29"/>
        </w:numPr>
        <w:ind w:left="0" w:firstLine="709"/>
        <w:rPr>
          <w:spacing w:val="-5"/>
        </w:rPr>
      </w:pPr>
      <w:r>
        <w:t>выполнен досчет ассигнований до годовой потребности по решениям, реализация которых производилась в 2020 году не с начала года;</w:t>
      </w:r>
    </w:p>
    <w:p>
      <w:pPr>
        <w:numPr>
          <w:ilvl w:val="0"/>
          <w:numId w:val="29"/>
        </w:numPr>
        <w:tabs>
          <w:tab w:val="left" w:pos="1134"/>
        </w:tabs>
        <w:ind w:left="0" w:firstLine="709"/>
        <w:jc w:val="both"/>
        <w:rPr>
          <w:rFonts w:ascii="Times New Roman" w:hAnsi="Times New Roman"/>
          <w:sz w:val="24"/>
          <w:szCs w:val="24"/>
        </w:rPr>
      </w:pPr>
      <w:r>
        <w:rPr>
          <w:rFonts w:ascii="Times New Roman" w:hAnsi="Times New Roman"/>
          <w:sz w:val="24"/>
          <w:szCs w:val="24"/>
        </w:rPr>
        <w:t xml:space="preserve">увеличены расходы на обслуживание муниципального долга в связи с его ростом на </w:t>
      </w:r>
      <w:r>
        <w:rPr>
          <w:sz w:val="24"/>
          <w:szCs w:val="24"/>
        </w:rPr>
        <w:t>11 162,42 </w:t>
      </w:r>
      <w:r>
        <w:rPr>
          <w:rFonts w:ascii="Times New Roman" w:hAnsi="Times New Roman"/>
          <w:sz w:val="24"/>
          <w:szCs w:val="24"/>
        </w:rPr>
        <w:t>тыс.руб.;</w:t>
      </w:r>
    </w:p>
    <w:p>
      <w:pPr>
        <w:numPr>
          <w:ilvl w:val="0"/>
          <w:numId w:val="29"/>
        </w:numPr>
        <w:tabs>
          <w:tab w:val="left" w:pos="1134"/>
        </w:tabs>
        <w:ind w:left="0" w:firstLine="709"/>
        <w:jc w:val="both"/>
        <w:rPr>
          <w:rFonts w:ascii="Times New Roman" w:hAnsi="Times New Roman"/>
          <w:sz w:val="24"/>
          <w:szCs w:val="24"/>
        </w:rPr>
      </w:pPr>
      <w:r>
        <w:rPr>
          <w:rFonts w:ascii="Times New Roman" w:hAnsi="Times New Roman"/>
          <w:sz w:val="24"/>
          <w:szCs w:val="24"/>
        </w:rPr>
        <w:t xml:space="preserve">увеличены расходы на коммунальные услуги в сумме </w:t>
      </w:r>
      <w:r>
        <w:rPr>
          <w:sz w:val="24"/>
          <w:szCs w:val="24"/>
        </w:rPr>
        <w:t>24 341,02</w:t>
      </w:r>
      <w:r>
        <w:rPr>
          <w:rFonts w:ascii="Times New Roman" w:hAnsi="Times New Roman"/>
          <w:sz w:val="24"/>
          <w:szCs w:val="24"/>
        </w:rPr>
        <w:t xml:space="preserve"> тыс.руб. </w:t>
      </w:r>
      <w:r>
        <w:rPr>
          <w:sz w:val="24"/>
          <w:szCs w:val="24"/>
        </w:rPr>
        <w:t xml:space="preserve">в связи с ростом тарифов и на электро-, теплоэнергию, водоснабжения и водоотведения; восстановлением расходов, уменьшенных в связи с введением ограничительных мер </w:t>
      </w:r>
      <w:r>
        <w:rPr>
          <w:sz w:val="24"/>
          <w:szCs w:val="24"/>
        </w:rPr>
        <w:br/>
        <w:t>в целях предупреждения и нераспространения новой коронавирусной инфекции (COVID-19)</w:t>
      </w:r>
      <w:r>
        <w:rPr>
          <w:rFonts w:ascii="Times New Roman" w:hAnsi="Times New Roman"/>
          <w:sz w:val="24"/>
          <w:szCs w:val="24"/>
        </w:rPr>
        <w:t>;</w:t>
      </w:r>
    </w:p>
    <w:p>
      <w:pPr>
        <w:numPr>
          <w:ilvl w:val="0"/>
          <w:numId w:val="29"/>
        </w:numPr>
        <w:tabs>
          <w:tab w:val="left" w:pos="1134"/>
        </w:tabs>
        <w:ind w:left="0" w:firstLine="709"/>
        <w:jc w:val="both"/>
        <w:rPr>
          <w:rFonts w:ascii="Times New Roman" w:hAnsi="Times New Roman"/>
          <w:sz w:val="24"/>
          <w:szCs w:val="24"/>
        </w:rPr>
      </w:pPr>
      <w:r>
        <w:rPr>
          <w:rFonts w:ascii="Times New Roman" w:hAnsi="Times New Roman"/>
          <w:sz w:val="24"/>
          <w:szCs w:val="24"/>
        </w:rPr>
        <w:t xml:space="preserve">увеличены расходы на </w:t>
      </w:r>
      <w:r>
        <w:rPr>
          <w:sz w:val="24"/>
          <w:szCs w:val="24"/>
        </w:rPr>
        <w:t xml:space="preserve">проведение мероприятий по организации отдыха детей в каникулярное время в сумме 11 107,2 тыс.руб. в связи с восстановлением расходов, уменьшенных с введением ограничительных мер в целях предупреждения </w:t>
      </w:r>
      <w:r>
        <w:rPr>
          <w:sz w:val="24"/>
          <w:szCs w:val="24"/>
        </w:rPr>
        <w:br/>
        <w:t>и нераспространения новой коронавирусной инфекции (COVID-19);</w:t>
      </w:r>
    </w:p>
    <w:p>
      <w:pPr>
        <w:numPr>
          <w:ilvl w:val="0"/>
          <w:numId w:val="29"/>
        </w:numPr>
        <w:tabs>
          <w:tab w:val="left" w:pos="1134"/>
        </w:tabs>
        <w:ind w:left="0" w:firstLine="709"/>
        <w:jc w:val="both"/>
        <w:rPr>
          <w:rFonts w:ascii="Times New Roman" w:hAnsi="Times New Roman"/>
          <w:sz w:val="24"/>
          <w:szCs w:val="24"/>
        </w:rPr>
      </w:pPr>
      <w:r>
        <w:rPr>
          <w:rFonts w:ascii="Times New Roman" w:hAnsi="Times New Roman"/>
          <w:sz w:val="24"/>
          <w:szCs w:val="24"/>
        </w:rPr>
        <w:t xml:space="preserve">увеличены расходы </w:t>
      </w:r>
      <w:r>
        <w:rPr>
          <w:sz w:val="24"/>
          <w:szCs w:val="24"/>
        </w:rPr>
        <w:t>на проведение мероприятий по обеспечению временной занятости и трудоустройства несовершеннолетних в возрасте от 14 до 18 лет в свободное от учебы время в сумме 1 805,1 тыс.руб.</w:t>
      </w:r>
      <w:r>
        <w:rPr>
          <w:sz w:val="26"/>
          <w:szCs w:val="26"/>
        </w:rPr>
        <w:t xml:space="preserve"> </w:t>
      </w:r>
      <w:r>
        <w:rPr>
          <w:sz w:val="24"/>
          <w:szCs w:val="24"/>
        </w:rPr>
        <w:t xml:space="preserve">в связи с восстановлением расходов, уменьшенных с введением ограничительных мер в целях предупреждения </w:t>
      </w:r>
      <w:r>
        <w:rPr>
          <w:sz w:val="24"/>
          <w:szCs w:val="24"/>
        </w:rPr>
        <w:br/>
        <w:t>и нераспространения новой коронавирусной инфекции (COVID-19).</w:t>
      </w:r>
    </w:p>
    <w:p>
      <w:pPr>
        <w:tabs>
          <w:tab w:val="left" w:pos="1134"/>
        </w:tabs>
        <w:ind w:left="709"/>
        <w:jc w:val="both"/>
        <w:rPr>
          <w:sz w:val="16"/>
          <w:szCs w:val="16"/>
          <w:highlight w:val="yellow"/>
        </w:rPr>
      </w:pPr>
    </w:p>
    <w:p>
      <w:pPr>
        <w:ind w:firstLine="720"/>
        <w:jc w:val="both"/>
        <w:rPr>
          <w:rFonts w:ascii="Times New Roman" w:hAnsi="Times New Roman"/>
          <w:sz w:val="24"/>
          <w:szCs w:val="24"/>
        </w:rPr>
      </w:pPr>
      <w:r>
        <w:rPr>
          <w:rFonts w:ascii="Times New Roman" w:hAnsi="Times New Roman"/>
          <w:sz w:val="24"/>
          <w:szCs w:val="24"/>
        </w:rPr>
        <w:t>В соответствии с установленным порядком планирования бюджетных ассигнований в принимаемых расходных обязательствах на 2021 год учтены ассигнования на общую сумму 6 306,69 тыс.руб., в том числе:</w:t>
      </w:r>
    </w:p>
    <w:p>
      <w:pPr>
        <w:autoSpaceDE w:val="0"/>
        <w:autoSpaceDN w:val="0"/>
        <w:adjustRightInd w:val="0"/>
        <w:ind w:firstLine="709"/>
        <w:jc w:val="both"/>
        <w:rPr>
          <w:rFonts w:ascii="Times New Roman" w:hAnsi="Times New Roman"/>
          <w:sz w:val="24"/>
          <w:szCs w:val="24"/>
        </w:rPr>
      </w:pPr>
      <w:r>
        <w:rPr>
          <w:sz w:val="24"/>
          <w:szCs w:val="24"/>
        </w:rPr>
        <w:t xml:space="preserve">- увеличены расходы </w:t>
      </w:r>
      <w:r>
        <w:rPr>
          <w:rFonts w:ascii="Times New Roman" w:hAnsi="Times New Roman"/>
          <w:sz w:val="24"/>
          <w:szCs w:val="24"/>
        </w:rPr>
        <w:t>по осуществлению бюджетных инвестиций в объекты капитального строительства (</w:t>
      </w:r>
      <w:r>
        <w:rPr>
          <w:rFonts w:ascii="Times New Roman" w:eastAsia="Calibri" w:hAnsi="Times New Roman"/>
          <w:bCs/>
          <w:sz w:val="24"/>
          <w:szCs w:val="24"/>
          <w:lang w:eastAsia="en-US"/>
        </w:rPr>
        <w:t>строительство инженерной инфраструктуры на территории для размещения индивидуального жилищного строительства в пос.Самусь)</w:t>
      </w:r>
      <w:r>
        <w:rPr>
          <w:sz w:val="24"/>
          <w:szCs w:val="24"/>
        </w:rPr>
        <w:t xml:space="preserve"> в сумме 2 609,43 тыс.руб.;</w:t>
      </w:r>
    </w:p>
    <w:p>
      <w:pPr>
        <w:numPr>
          <w:ilvl w:val="0"/>
          <w:numId w:val="33"/>
        </w:numPr>
        <w:ind w:left="0" w:firstLine="709"/>
        <w:jc w:val="both"/>
        <w:rPr>
          <w:rFonts w:ascii="Times New Roman" w:hAnsi="Times New Roman"/>
          <w:sz w:val="24"/>
          <w:szCs w:val="24"/>
        </w:rPr>
      </w:pPr>
      <w:r>
        <w:rPr>
          <w:sz w:val="24"/>
          <w:szCs w:val="24"/>
        </w:rPr>
        <w:t xml:space="preserve">увеличены расходы на приобретение неисключительных прав на использование дополнительных программных модулей автоматизированной системы «АЦК-Финансы» </w:t>
      </w:r>
      <w:r>
        <w:rPr>
          <w:sz w:val="24"/>
          <w:szCs w:val="24"/>
        </w:rPr>
        <w:br/>
        <w:t>в сумме 2 500,00 тыс.руб.;</w:t>
      </w:r>
    </w:p>
    <w:p>
      <w:pPr>
        <w:numPr>
          <w:ilvl w:val="0"/>
          <w:numId w:val="33"/>
        </w:numPr>
        <w:ind w:left="0" w:firstLine="709"/>
        <w:jc w:val="both"/>
        <w:rPr>
          <w:rFonts w:ascii="Times New Roman" w:hAnsi="Times New Roman"/>
          <w:sz w:val="24"/>
          <w:szCs w:val="24"/>
        </w:rPr>
      </w:pPr>
      <w:r>
        <w:rPr>
          <w:rFonts w:ascii="Times New Roman" w:hAnsi="Times New Roman"/>
          <w:sz w:val="24"/>
          <w:szCs w:val="24"/>
        </w:rPr>
        <w:t xml:space="preserve">увеличены расходы на проведение технического обследования объектов теплоснабжения, водоснабжения и водоотведения ЗАТО Северск п.Самусь и п.Орловка </w:t>
      </w:r>
      <w:r>
        <w:rPr>
          <w:rFonts w:ascii="Times New Roman" w:hAnsi="Times New Roman"/>
          <w:sz w:val="24"/>
          <w:szCs w:val="24"/>
        </w:rPr>
        <w:br/>
        <w:t xml:space="preserve">в целях изготовления отчетов о техническом обследовании, подлежащих включению </w:t>
      </w:r>
      <w:r>
        <w:rPr>
          <w:rFonts w:ascii="Times New Roman" w:hAnsi="Times New Roman"/>
          <w:sz w:val="24"/>
          <w:szCs w:val="24"/>
        </w:rPr>
        <w:br/>
        <w:t>в состав конкурсной документации, необходимой для проведения конкурса на право заключения концессионного соглашения в сумме 1 197,26 тыс.руб.</w:t>
      </w:r>
    </w:p>
    <w:p>
      <w:pPr>
        <w:spacing w:before="240" w:after="120"/>
        <w:jc w:val="center"/>
        <w:rPr>
          <w:rFonts w:ascii="Times New Roman" w:hAnsi="Times New Roman"/>
          <w:b/>
          <w:color w:val="000000"/>
          <w:sz w:val="24"/>
          <w:szCs w:val="24"/>
        </w:rPr>
      </w:pPr>
      <w:r>
        <w:rPr>
          <w:rFonts w:ascii="Times New Roman" w:hAnsi="Times New Roman"/>
          <w:b/>
          <w:color w:val="000000"/>
          <w:sz w:val="24"/>
          <w:szCs w:val="24"/>
        </w:rPr>
        <w:t>2.4. Ассигнования на выполнение муниципальных заданий</w:t>
      </w:r>
    </w:p>
    <w:p>
      <w:pPr>
        <w:pStyle w:val="ConsPlusNormal"/>
        <w:ind w:firstLine="709"/>
        <w:jc w:val="both"/>
        <w:rPr>
          <w:rFonts w:ascii="Times New Roman" w:hAnsi="Times New Roman"/>
          <w:sz w:val="24"/>
          <w:szCs w:val="24"/>
        </w:rPr>
      </w:pPr>
      <w:r>
        <w:rPr>
          <w:rFonts w:ascii="Times New Roman" w:hAnsi="Times New Roman"/>
          <w:sz w:val="24"/>
          <w:szCs w:val="24"/>
        </w:rPr>
        <w:t xml:space="preserve">Проектом бюджета ЗАТО Северск предусмотрено последовательное продолжение реформирования подведомственной сети учреждений бюджетной сферы в соответствии с требованиями законодательства. </w:t>
      </w:r>
    </w:p>
    <w:p>
      <w:pPr>
        <w:pStyle w:val="aff1"/>
        <w:tabs>
          <w:tab w:val="left" w:pos="993"/>
        </w:tabs>
        <w:ind w:left="0" w:firstLine="709"/>
        <w:jc w:val="both"/>
        <w:rPr>
          <w:rFonts w:ascii="Times New Roman" w:hAnsi="Times New Roman"/>
          <w:sz w:val="24"/>
          <w:szCs w:val="24"/>
          <w:highlight w:val="yellow"/>
        </w:rPr>
      </w:pPr>
      <w:r>
        <w:rPr>
          <w:rFonts w:ascii="Times New Roman" w:hAnsi="Times New Roman"/>
          <w:sz w:val="24"/>
          <w:szCs w:val="24"/>
        </w:rPr>
        <w:t xml:space="preserve">На основании статьи 69.2 Бюджетного кодекса Российской Федерации и  постановления Администрации Томской области от 22.08.2017 № 308а  «Об установлении Порядка формирования, ведения и утверждения регионального перечня (классификатора) государственных (муниципальных) услуг и работ» муниципальные задания в 2021 году будут сформированы 4 учредителями для 62 муниципальных учреждений. </w:t>
      </w:r>
    </w:p>
    <w:p>
      <w:pPr>
        <w:pStyle w:val="aff1"/>
        <w:tabs>
          <w:tab w:val="left" w:pos="993"/>
        </w:tabs>
        <w:ind w:left="0" w:firstLine="709"/>
        <w:jc w:val="both"/>
        <w:rPr>
          <w:rFonts w:ascii="Times New Roman" w:hAnsi="Times New Roman"/>
          <w:sz w:val="24"/>
          <w:szCs w:val="24"/>
        </w:rPr>
      </w:pPr>
      <w:r>
        <w:rPr>
          <w:rFonts w:ascii="Times New Roman" w:hAnsi="Times New Roman"/>
          <w:sz w:val="24"/>
          <w:szCs w:val="24"/>
        </w:rPr>
        <w:lastRenderedPageBreak/>
        <w:t>Общая сумма расходов на финансовое обеспечение муниципальных заданий составит на 2021 год 2 788 974,11 тыс.руб. или 67,2% от общего объема ассигнований.</w:t>
      </w:r>
    </w:p>
    <w:p>
      <w:pPr>
        <w:spacing w:after="120"/>
        <w:ind w:firstLine="709"/>
        <w:jc w:val="both"/>
        <w:rPr>
          <w:rFonts w:ascii="Times New Roman" w:hAnsi="Times New Roman"/>
          <w:sz w:val="24"/>
          <w:szCs w:val="24"/>
        </w:rPr>
      </w:pPr>
      <w:r>
        <w:rPr>
          <w:rFonts w:ascii="Times New Roman" w:hAnsi="Times New Roman"/>
          <w:sz w:val="24"/>
          <w:szCs w:val="24"/>
        </w:rPr>
        <w:t xml:space="preserve">Планирование муниципальных заданий является одним из инструментов программно-целевого исполнения бюджета. В составе муниципальных программ реализуются ведомственные целевые программы и основные мероприятия, характеризующие текущую деятельность муниципальных учреждений. Ассигнования на выполнение муниципальных заданий предусмотрены по </w:t>
      </w:r>
      <w:r>
        <w:rPr>
          <w:rFonts w:ascii="Times New Roman" w:hAnsi="Times New Roman"/>
          <w:color w:val="000000"/>
          <w:sz w:val="24"/>
          <w:szCs w:val="24"/>
        </w:rPr>
        <w:t>7</w:t>
      </w:r>
      <w:r>
        <w:rPr>
          <w:rFonts w:ascii="Times New Roman" w:hAnsi="Times New Roman"/>
          <w:sz w:val="24"/>
          <w:szCs w:val="24"/>
        </w:rPr>
        <w:t xml:space="preserve"> муниципальным программам.</w:t>
      </w:r>
    </w:p>
    <w:p>
      <w:pPr>
        <w:spacing w:before="240" w:after="120"/>
        <w:ind w:firstLine="709"/>
        <w:jc w:val="center"/>
        <w:rPr>
          <w:rFonts w:ascii="Times New Roman" w:hAnsi="Times New Roman"/>
          <w:b/>
          <w:i/>
          <w:sz w:val="24"/>
          <w:szCs w:val="24"/>
        </w:rPr>
      </w:pPr>
      <w:r>
        <w:rPr>
          <w:rFonts w:ascii="Times New Roman" w:hAnsi="Times New Roman"/>
          <w:b/>
          <w:i/>
          <w:sz w:val="24"/>
          <w:szCs w:val="24"/>
        </w:rPr>
        <w:t>2.4.1 Муниципальные услуги и работы в сфере образования</w:t>
      </w:r>
    </w:p>
    <w:p>
      <w:pPr>
        <w:ind w:firstLine="709"/>
        <w:jc w:val="both"/>
        <w:rPr>
          <w:rFonts w:ascii="Times New Roman" w:hAnsi="Times New Roman"/>
          <w:sz w:val="24"/>
          <w:szCs w:val="24"/>
        </w:rPr>
      </w:pPr>
      <w:r>
        <w:rPr>
          <w:rFonts w:ascii="Times New Roman" w:hAnsi="Times New Roman"/>
          <w:sz w:val="24"/>
          <w:szCs w:val="24"/>
        </w:rPr>
        <w:t xml:space="preserve">В сфере образования муниципальными учреждениями в период 2021-2023 годов будут оказываться 11 видов муниципальных услуг и выполняться 6 муниципальных работ, общая сумма финансового обеспечения их оказания (выполнения) </w:t>
      </w:r>
      <w:r>
        <w:rPr>
          <w:rFonts w:ascii="Times New Roman" w:hAnsi="Times New Roman"/>
          <w:color w:val="000000" w:themeColor="text1"/>
          <w:sz w:val="24"/>
          <w:szCs w:val="24"/>
        </w:rPr>
        <w:t>составит 2 013 508,0 тыс.руб.</w:t>
      </w:r>
      <w:r>
        <w:rPr>
          <w:rFonts w:ascii="Times New Roman" w:hAnsi="Times New Roman"/>
          <w:sz w:val="24"/>
          <w:szCs w:val="24"/>
        </w:rPr>
        <w:t xml:space="preserve"> </w:t>
      </w:r>
    </w:p>
    <w:p>
      <w:pPr>
        <w:ind w:firstLine="709"/>
        <w:jc w:val="both"/>
        <w:rPr>
          <w:rFonts w:ascii="Times New Roman" w:hAnsi="Times New Roman"/>
          <w:sz w:val="24"/>
          <w:szCs w:val="24"/>
        </w:rPr>
      </w:pPr>
      <w:r>
        <w:rPr>
          <w:rFonts w:ascii="Times New Roman" w:hAnsi="Times New Roman"/>
          <w:sz w:val="24"/>
          <w:szCs w:val="24"/>
        </w:rPr>
        <w:t>Деятельность учреждений, оказывающих услуги в области образования отражена по 2 муниципальным программам, расходы на выполнение муниципальных заданий по которым составят:</w:t>
      </w:r>
    </w:p>
    <w:p>
      <w:pPr>
        <w:ind w:firstLine="709"/>
        <w:jc w:val="both"/>
        <w:rPr>
          <w:rFonts w:ascii="Times New Roman" w:hAnsi="Times New Roman"/>
          <w:sz w:val="24"/>
          <w:szCs w:val="24"/>
        </w:rPr>
      </w:pPr>
      <w:r>
        <w:rPr>
          <w:rFonts w:ascii="Times New Roman" w:hAnsi="Times New Roman"/>
          <w:sz w:val="24"/>
          <w:szCs w:val="24"/>
        </w:rPr>
        <w:t>- по МП «Развитие образования в ЗАТО Северск» 1 903 733,80 тыс.руб.;</w:t>
      </w:r>
    </w:p>
    <w:p>
      <w:pPr>
        <w:ind w:firstLine="709"/>
        <w:jc w:val="both"/>
        <w:rPr>
          <w:rFonts w:ascii="Times New Roman" w:hAnsi="Times New Roman"/>
          <w:sz w:val="24"/>
          <w:szCs w:val="24"/>
        </w:rPr>
      </w:pPr>
      <w:r>
        <w:rPr>
          <w:rFonts w:ascii="Times New Roman" w:hAnsi="Times New Roman"/>
          <w:sz w:val="24"/>
          <w:szCs w:val="24"/>
        </w:rPr>
        <w:t>- по МП «Развитие культуры и туризма в ЗАТО Северск» 109 774,20 тыс.руб.</w:t>
      </w:r>
    </w:p>
    <w:p>
      <w:pPr>
        <w:ind w:firstLine="709"/>
        <w:jc w:val="both"/>
        <w:rPr>
          <w:rFonts w:ascii="Times New Roman" w:hAnsi="Times New Roman"/>
          <w:sz w:val="16"/>
          <w:szCs w:val="16"/>
        </w:rPr>
      </w:pPr>
    </w:p>
    <w:p>
      <w:pPr>
        <w:spacing w:after="120"/>
        <w:ind w:firstLine="709"/>
        <w:jc w:val="both"/>
        <w:rPr>
          <w:rFonts w:ascii="Times New Roman" w:hAnsi="Times New Roman"/>
          <w:sz w:val="24"/>
          <w:szCs w:val="24"/>
        </w:rPr>
      </w:pPr>
      <w:r>
        <w:rPr>
          <w:rFonts w:ascii="Times New Roman" w:hAnsi="Times New Roman"/>
          <w:sz w:val="24"/>
          <w:szCs w:val="24"/>
        </w:rPr>
        <w:t>Таблица 30 - Показатели объема муниципальных услуг и работ в области образования</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119"/>
        <w:gridCol w:w="1843"/>
        <w:gridCol w:w="992"/>
        <w:gridCol w:w="1134"/>
        <w:gridCol w:w="992"/>
        <w:gridCol w:w="993"/>
      </w:tblGrid>
      <w:tr>
        <w:tc>
          <w:tcPr>
            <w:tcW w:w="67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Наименование услуги (работы)</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Наименование и единица измерения показателей объема</w:t>
            </w:r>
          </w:p>
        </w:tc>
        <w:tc>
          <w:tcPr>
            <w:tcW w:w="411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Значения показателей</w:t>
            </w:r>
          </w:p>
        </w:tc>
      </w:tr>
      <w:tr>
        <w:trPr>
          <w:trHeight w:val="822"/>
        </w:trPr>
        <w:tc>
          <w:tcPr>
            <w:tcW w:w="67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p>
        </w:tc>
        <w:tc>
          <w:tcPr>
            <w:tcW w:w="311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2020</w:t>
            </w:r>
          </w:p>
          <w:p>
            <w:pPr>
              <w:shd w:val="clear" w:color="auto" w:fill="FFFFFF" w:themeFill="background1"/>
              <w:jc w:val="center"/>
              <w:rPr>
                <w:rFonts w:ascii="Times New Roman" w:hAnsi="Times New Roman"/>
                <w:color w:val="000000"/>
              </w:rPr>
            </w:pPr>
            <w:r>
              <w:rPr>
                <w:rFonts w:ascii="Times New Roman" w:hAnsi="Times New Roman"/>
                <w:color w:val="000000"/>
              </w:rPr>
              <w:t>год</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2021</w:t>
            </w:r>
          </w:p>
          <w:p>
            <w:pPr>
              <w:shd w:val="clear" w:color="auto" w:fill="FFFFFF" w:themeFill="background1"/>
              <w:jc w:val="center"/>
              <w:rPr>
                <w:rFonts w:ascii="Times New Roman" w:hAnsi="Times New Roman"/>
                <w:color w:val="000000"/>
              </w:rPr>
            </w:pPr>
            <w:r>
              <w:rPr>
                <w:rFonts w:ascii="Times New Roman" w:hAnsi="Times New Roman"/>
                <w:color w:val="000000"/>
              </w:rPr>
              <w:t>год</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2022</w:t>
            </w:r>
          </w:p>
          <w:p>
            <w:pPr>
              <w:shd w:val="clear" w:color="auto" w:fill="FFFFFF" w:themeFill="background1"/>
              <w:jc w:val="center"/>
              <w:rPr>
                <w:rFonts w:ascii="Times New Roman" w:hAnsi="Times New Roman"/>
                <w:color w:val="000000"/>
              </w:rPr>
            </w:pPr>
            <w:r>
              <w:rPr>
                <w:rFonts w:ascii="Times New Roman" w:hAnsi="Times New Roman"/>
                <w:color w:val="000000"/>
              </w:rPr>
              <w:t>год</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2023</w:t>
            </w:r>
          </w:p>
          <w:p>
            <w:pPr>
              <w:shd w:val="clear" w:color="auto" w:fill="FFFFFF" w:themeFill="background1"/>
              <w:jc w:val="center"/>
              <w:rPr>
                <w:rFonts w:ascii="Times New Roman" w:hAnsi="Times New Roman"/>
                <w:color w:val="000000"/>
              </w:rPr>
            </w:pPr>
            <w:r>
              <w:rPr>
                <w:rFonts w:ascii="Times New Roman" w:hAnsi="Times New Roman"/>
                <w:color w:val="000000"/>
              </w:rPr>
              <w:t>год</w:t>
            </w:r>
          </w:p>
        </w:tc>
      </w:tr>
      <w:tr>
        <w:trPr>
          <w:trHeight w:val="278"/>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7</w:t>
            </w:r>
          </w:p>
        </w:tc>
      </w:tr>
      <w:t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1.</w:t>
            </w:r>
          </w:p>
        </w:tc>
        <w:tc>
          <w:tcPr>
            <w:tcW w:w="907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МП «Развитие образования в ЗАТО Северск»</w:t>
            </w:r>
          </w:p>
        </w:tc>
      </w:tr>
      <w:t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1.1</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Присмотр и уход за детьми</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 xml:space="preserve">Число воспитанников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6 623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t>6 397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t>6 397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t>6 397</w:t>
            </w:r>
          </w:p>
        </w:tc>
      </w:tr>
      <w:t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1.2</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Реализация основных общеобразовательных программ дошкольного образования</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 xml:space="preserve">Число обучающихся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6 663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6437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6 437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6 437</w:t>
            </w:r>
          </w:p>
        </w:tc>
      </w:tr>
      <w:tr>
        <w:trPr>
          <w:trHeight w:val="769"/>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color w:val="000000"/>
              </w:rPr>
            </w:pPr>
            <w:r>
              <w:rPr>
                <w:rFonts w:ascii="Times New Roman" w:hAnsi="Times New Roman"/>
                <w:color w:val="000000"/>
              </w:rPr>
              <w:t>Реализация основных общеобразовательных программ начального общего образования</w:t>
            </w: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4796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themeColor="text1"/>
              </w:rPr>
            </w:pPr>
            <w:r>
              <w:rPr>
                <w:rFonts w:ascii="Times New Roman" w:hAnsi="Times New Roman"/>
                <w:color w:val="000000" w:themeColor="text1"/>
              </w:rPr>
              <w:t>4 787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4 787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4 787</w:t>
            </w:r>
          </w:p>
        </w:tc>
      </w:tr>
      <w:tr>
        <w:trPr>
          <w:trHeight w:val="687"/>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1.4</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color w:val="000000"/>
              </w:rPr>
            </w:pPr>
            <w:r>
              <w:rPr>
                <w:rFonts w:ascii="Times New Roman" w:hAnsi="Times New Roman"/>
                <w:color w:val="000000"/>
              </w:rPr>
              <w:t>Реализация основных общеобразовательных программ основного общего образования</w:t>
            </w: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5095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themeColor="text1"/>
              </w:rPr>
            </w:pPr>
            <w:r>
              <w:rPr>
                <w:rFonts w:ascii="Times New Roman" w:hAnsi="Times New Roman"/>
                <w:color w:val="000000" w:themeColor="text1"/>
              </w:rPr>
              <w:t>5 318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5 318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5 318</w:t>
            </w:r>
          </w:p>
        </w:tc>
      </w:tr>
      <w:tr>
        <w:trPr>
          <w:trHeight w:val="697"/>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1.5</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Реализация основных общеобразовательных программ среднего общего образования</w:t>
            </w: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1206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themeColor="text1"/>
              </w:rPr>
            </w:pPr>
            <w:r>
              <w:rPr>
                <w:rFonts w:ascii="Times New Roman" w:hAnsi="Times New Roman"/>
                <w:color w:val="000000" w:themeColor="text1"/>
              </w:rPr>
              <w:t>1199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1199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color w:val="000000"/>
              </w:rPr>
            </w:pPr>
            <w:r>
              <w:rPr>
                <w:rFonts w:ascii="Times New Roman" w:hAnsi="Times New Roman"/>
                <w:color w:val="000000"/>
              </w:rPr>
              <w:t>1199</w:t>
            </w:r>
          </w:p>
        </w:tc>
      </w:tr>
      <w:tr>
        <w:trPr>
          <w:trHeight w:val="5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1.6</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Реализация дополнительных общеразвивающих программ</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Число человеко-часов пребывания</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321  264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321 264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371 890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473 522</w:t>
            </w:r>
          </w:p>
        </w:tc>
      </w:tr>
      <w:tr>
        <w:trPr>
          <w:trHeight w:val="54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1.7</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Психолого-медико-педагогическое обследование детей (дошкольное образование)</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Число</w:t>
            </w:r>
          </w:p>
          <w:p>
            <w:pPr>
              <w:shd w:val="clear" w:color="auto" w:fill="FFFFFF" w:themeFill="background1"/>
              <w:jc w:val="center"/>
              <w:rPr>
                <w:rFonts w:ascii="Times New Roman" w:hAnsi="Times New Roman"/>
                <w:color w:val="000000"/>
              </w:rPr>
            </w:pPr>
            <w:r>
              <w:rPr>
                <w:rFonts w:ascii="Times New Roman" w:hAnsi="Times New Roman"/>
                <w:color w:val="000000"/>
              </w:rPr>
              <w:t>детей</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340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340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340</w:t>
            </w:r>
          </w:p>
        </w:tc>
      </w:tr>
      <w:tr>
        <w:trPr>
          <w:trHeight w:val="5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1.8</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Психолого-медико-педагогическое обследование детей (начальное общее образование)</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Число</w:t>
            </w:r>
          </w:p>
          <w:p>
            <w:pPr>
              <w:shd w:val="clear" w:color="auto" w:fill="FFFFFF" w:themeFill="background1"/>
              <w:jc w:val="center"/>
              <w:rPr>
                <w:rFonts w:ascii="Times New Roman" w:hAnsi="Times New Roman"/>
                <w:color w:val="000000"/>
              </w:rPr>
            </w:pPr>
            <w:r>
              <w:rPr>
                <w:rFonts w:ascii="Times New Roman" w:hAnsi="Times New Roman"/>
                <w:color w:val="000000"/>
              </w:rPr>
              <w:t>детей</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236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236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236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236</w:t>
            </w:r>
          </w:p>
        </w:tc>
      </w:tr>
      <w:tr>
        <w:trPr>
          <w:trHeight w:val="409"/>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1.9</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Психолого-медико-педагогическое обследование детей (основное общее образование)</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Число</w:t>
            </w:r>
          </w:p>
          <w:p>
            <w:pPr>
              <w:shd w:val="clear" w:color="auto" w:fill="FFFFFF" w:themeFill="background1"/>
              <w:jc w:val="center"/>
            </w:pPr>
            <w:r>
              <w:rPr>
                <w:rFonts w:ascii="Times New Roman" w:hAnsi="Times New Roman"/>
                <w:color w:val="000000"/>
              </w:rPr>
              <w:t>детей</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83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83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83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83</w:t>
            </w:r>
          </w:p>
        </w:tc>
      </w:tr>
      <w:tr>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1.10</w:t>
            </w:r>
          </w:p>
          <w:p>
            <w:pPr>
              <w:shd w:val="clear" w:color="auto" w:fill="FFFFFF" w:themeFill="background1"/>
              <w:jc w:val="center"/>
              <w:rPr>
                <w:rFonts w:ascii="Times New Roman" w:hAnsi="Times New Roman"/>
                <w:color w:val="000000"/>
              </w:rPr>
            </w:pP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Психолого-медико-педагогическое обследование детей (среднее общее образование)</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Число</w:t>
            </w:r>
          </w:p>
          <w:p>
            <w:pPr>
              <w:shd w:val="clear" w:color="auto" w:fill="FFFFFF" w:themeFill="background1"/>
              <w:jc w:val="center"/>
              <w:rPr>
                <w:rFonts w:ascii="Times New Roman" w:hAnsi="Times New Roman"/>
                <w:color w:val="000000"/>
              </w:rPr>
            </w:pPr>
            <w:r>
              <w:rPr>
                <w:rFonts w:ascii="Times New Roman" w:hAnsi="Times New Roman"/>
                <w:color w:val="000000"/>
              </w:rPr>
              <w:t>детей</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w:t>
            </w:r>
          </w:p>
        </w:tc>
      </w:tr>
      <w:tr>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color w:val="000000"/>
              </w:rPr>
            </w:pPr>
            <w:r>
              <w:rPr>
                <w:rFonts w:ascii="Times New Roman" w:hAnsi="Times New Roman"/>
                <w:color w:val="000000"/>
              </w:rPr>
              <w:lastRenderedPageBreak/>
              <w:t>1</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color w:val="000000"/>
              </w:rPr>
            </w:pPr>
            <w:r>
              <w:rPr>
                <w:rFonts w:ascii="Times New Roman" w:hAnsi="Times New Roman"/>
                <w:color w:val="000000"/>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color w:val="000000"/>
              </w:rPr>
            </w:pPr>
            <w:r>
              <w:rPr>
                <w:rFonts w:ascii="Times New Roman" w:hAnsi="Times New Roman"/>
                <w:color w:val="000000"/>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color w:val="000000"/>
              </w:rPr>
            </w:pPr>
            <w:r>
              <w:rPr>
                <w:rFonts w:ascii="Times New Roman" w:hAnsi="Times New Roman"/>
                <w:color w:val="000000"/>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color w:val="000000"/>
              </w:rPr>
            </w:pPr>
            <w:r>
              <w:rPr>
                <w:rFonts w:ascii="Times New Roman" w:hAnsi="Times New Roman"/>
                <w:color w:val="000000"/>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color w:val="000000"/>
              </w:rPr>
            </w:pPr>
            <w:r>
              <w:rPr>
                <w:rFonts w:ascii="Times New Roman" w:hAnsi="Times New Roman"/>
                <w:color w:val="000000"/>
              </w:rPr>
              <w:t>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color w:val="000000"/>
              </w:rPr>
            </w:pPr>
            <w:r>
              <w:rPr>
                <w:rFonts w:ascii="Times New Roman" w:hAnsi="Times New Roman"/>
                <w:color w:val="000000"/>
              </w:rPr>
              <w:t>7</w:t>
            </w:r>
          </w:p>
        </w:tc>
      </w:tr>
      <w:tr>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1.11</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Организация и осуществление транспортного обслуживания должностных лиц, работников органов местного самоуправления и подведомственных им муниципальных учреждений в случаях, НПА ОМСУ</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Машино-часы работы автомобилей</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3 675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3 675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3 675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3 675</w:t>
            </w:r>
          </w:p>
        </w:tc>
      </w:tr>
      <w:tr>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1.12</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Техническое сопровождение и эксплуатация, ввод в эксплуатацию компонентов информационно-телекоммуникационной инфраструктуры муниципального образования</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Количество пользователей</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41 231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41 231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41 231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41 231</w:t>
            </w:r>
          </w:p>
        </w:tc>
      </w:tr>
      <w:tr>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1.13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Организация и проведение олимпиад, конкурсов, иных мероприятий для обучающихся муниципальных общеобразовательных организаций, организаций дополнительного образования</w:t>
            </w:r>
          </w:p>
          <w:p>
            <w:pPr>
              <w:shd w:val="clear" w:color="auto" w:fill="FFFFFF" w:themeFill="background1"/>
              <w:rPr>
                <w:rFonts w:ascii="Times New Roman" w:hAnsi="Times New Roman"/>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Количество мероприятий</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100</w:t>
            </w:r>
          </w:p>
        </w:tc>
      </w:tr>
      <w:tr>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1.14</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Содержание (эксплуатация) имущества, находящегося в муниципальной собственности</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Эксплуатируемая площадь зданий и прилегающей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0,73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0,73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0,73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0,73</w:t>
            </w:r>
          </w:p>
        </w:tc>
      </w:tr>
      <w:tr>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1.15</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Организация и проведение методических мероприятий в сфере общего образования для педагогических работников</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Количество мероприятий</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100</w:t>
            </w:r>
          </w:p>
        </w:tc>
      </w:tr>
      <w:tr>
        <w:trPr>
          <w:trHeight w:val="22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1.16</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Осуществление учета детей, подлежащих обучению по образовательным программам дошкольного образования</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Количество детей, поставленных на учет</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930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930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930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930</w:t>
            </w:r>
          </w:p>
        </w:tc>
      </w:tr>
      <w:t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2.</w:t>
            </w:r>
          </w:p>
        </w:tc>
        <w:tc>
          <w:tcPr>
            <w:tcW w:w="907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МП «Развитие культуры и туризма в ЗАТО Северск»</w:t>
            </w:r>
          </w:p>
        </w:tc>
      </w:tr>
      <w:t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ind w:left="-142"/>
              <w:jc w:val="center"/>
              <w:rPr>
                <w:rFonts w:ascii="Times New Roman" w:hAnsi="Times New Roman"/>
                <w:color w:val="000000"/>
              </w:rPr>
            </w:pPr>
            <w:r>
              <w:rPr>
                <w:rFonts w:ascii="Times New Roman" w:hAnsi="Times New Roman"/>
                <w:color w:val="000000"/>
              </w:rPr>
              <w:t>2.1</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Реализация дополнительных общеразвивающих программ</w:t>
            </w:r>
          </w:p>
          <w:p>
            <w:pPr>
              <w:shd w:val="clear" w:color="auto" w:fill="FFFFFF" w:themeFill="background1"/>
              <w:rPr>
                <w:rFonts w:ascii="Times New Roman" w:hAnsi="Times New Roman"/>
                <w:color w:val="000000"/>
              </w:rPr>
            </w:pPr>
            <w:r>
              <w:rPr>
                <w:rFonts w:ascii="Times New Roman" w:hAnsi="Times New Roman"/>
                <w:color w:val="000000"/>
              </w:rPr>
              <w:t>(художественно-эстетическая направленность)</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Число человеко-часов пребывания</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sz w:val="24"/>
                <w:szCs w:val="24"/>
              </w:rPr>
            </w:pPr>
            <w:r>
              <w:t>982 941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sz w:val="24"/>
                <w:szCs w:val="24"/>
              </w:rPr>
            </w:pPr>
            <w:r>
              <w:t>358 312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sz w:val="24"/>
                <w:szCs w:val="24"/>
              </w:rPr>
            </w:pPr>
            <w:r>
              <w:t>351 800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sz w:val="24"/>
                <w:szCs w:val="24"/>
              </w:rPr>
            </w:pPr>
            <w:r>
              <w:t>338 885</w:t>
            </w:r>
          </w:p>
        </w:tc>
      </w:tr>
      <w:t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ind w:left="-142"/>
              <w:jc w:val="center"/>
              <w:rPr>
                <w:rFonts w:ascii="Times New Roman" w:hAnsi="Times New Roman"/>
                <w:color w:val="000000"/>
              </w:rPr>
            </w:pPr>
          </w:p>
          <w:p>
            <w:pPr>
              <w:shd w:val="clear" w:color="auto" w:fill="FFFFFF" w:themeFill="background1"/>
              <w:ind w:left="-142"/>
              <w:jc w:val="center"/>
              <w:rPr>
                <w:rFonts w:ascii="Times New Roman" w:hAnsi="Times New Roman"/>
                <w:color w:val="000000"/>
              </w:rPr>
            </w:pPr>
            <w:r>
              <w:rPr>
                <w:rFonts w:ascii="Times New Roman" w:hAnsi="Times New Roman"/>
                <w:color w:val="000000"/>
              </w:rPr>
              <w:t>2.2.</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Реализация дополнительных предпрофессиональных программ в области искусств</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Число человеко-часов пребывания</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sz w:val="24"/>
                <w:szCs w:val="24"/>
              </w:rPr>
            </w:pPr>
            <w:r>
              <w:t>692 439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sz w:val="24"/>
                <w:szCs w:val="24"/>
              </w:rPr>
            </w:pPr>
            <w:r>
              <w:t>691 380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sz w:val="24"/>
                <w:szCs w:val="24"/>
              </w:rPr>
            </w:pPr>
            <w:r>
              <w:t>700 129</w:t>
            </w:r>
          </w:p>
        </w:tc>
      </w:tr>
      <w:t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ind w:left="-142"/>
              <w:jc w:val="center"/>
              <w:rPr>
                <w:rFonts w:ascii="Times New Roman" w:hAnsi="Times New Roman"/>
                <w:color w:val="000000"/>
              </w:rPr>
            </w:pPr>
            <w:r>
              <w:rPr>
                <w:rFonts w:ascii="Times New Roman" w:hAnsi="Times New Roman"/>
                <w:color w:val="000000"/>
              </w:rPr>
              <w:t>3.</w:t>
            </w:r>
          </w:p>
          <w:p>
            <w:pPr>
              <w:shd w:val="clear" w:color="auto" w:fill="FFFFFF" w:themeFill="background1"/>
              <w:ind w:left="-142"/>
              <w:jc w:val="center"/>
              <w:rPr>
                <w:rFonts w:ascii="Times New Roman" w:hAnsi="Times New Roman"/>
                <w:color w:val="000000"/>
              </w:rPr>
            </w:pPr>
          </w:p>
        </w:tc>
        <w:tc>
          <w:tcPr>
            <w:tcW w:w="907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rPr>
                <w:color w:val="FF0000"/>
              </w:rPr>
            </w:pPr>
            <w:r>
              <w:rPr>
                <w:rFonts w:ascii="Times New Roman" w:hAnsi="Times New Roman"/>
                <w:color w:val="000000"/>
              </w:rPr>
              <w:t xml:space="preserve">МП </w:t>
            </w:r>
            <w:r>
              <w:rPr>
                <w:rFonts w:ascii="Times New Roman" w:hAnsi="Times New Roman"/>
              </w:rPr>
              <w:t>«Развитие физической культуры и спорта в ЗАТО Северск»</w:t>
            </w:r>
          </w:p>
        </w:tc>
      </w:tr>
      <w:t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ind w:left="-142"/>
              <w:jc w:val="center"/>
              <w:rPr>
                <w:rFonts w:ascii="Times New Roman" w:hAnsi="Times New Roman"/>
                <w:color w:val="000000"/>
              </w:rPr>
            </w:pPr>
            <w:r>
              <w:rPr>
                <w:rFonts w:ascii="Times New Roman" w:hAnsi="Times New Roman"/>
                <w:color w:val="000000"/>
              </w:rPr>
              <w:t>3.1.</w:t>
            </w:r>
          </w:p>
          <w:p>
            <w:pPr>
              <w:shd w:val="clear" w:color="auto" w:fill="FFFFFF" w:themeFill="background1"/>
              <w:ind w:left="-142"/>
              <w:jc w:val="center"/>
              <w:rPr>
                <w:rFonts w:ascii="Times New Roman" w:hAnsi="Times New Roman"/>
                <w:color w:val="000000"/>
              </w:rPr>
            </w:pP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color w:val="000000"/>
              </w:rPr>
            </w:pPr>
            <w:r>
              <w:rPr>
                <w:rFonts w:ascii="Times New Roman" w:hAnsi="Times New Roman"/>
                <w:color w:val="000000"/>
              </w:rPr>
              <w:t>Реализация дополнительных общеразвивающих программ (физкультурно-спортивной направленности)</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color w:val="000000"/>
              </w:rPr>
            </w:pPr>
            <w:r>
              <w:rPr>
                <w:rFonts w:ascii="Times New Roman" w:hAnsi="Times New Roman"/>
                <w:color w:val="000000"/>
              </w:rPr>
              <w:t>Число человеко-часов пребывания</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pPr>
            <w:r>
              <w:t>365 826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pPr>
          </w:p>
        </w:tc>
      </w:tr>
    </w:tbl>
    <w:p>
      <w:pPr>
        <w:shd w:val="clear" w:color="auto" w:fill="FFFFFF" w:themeFill="background1"/>
        <w:ind w:firstLine="709"/>
        <w:jc w:val="both"/>
        <w:rPr>
          <w:rFonts w:ascii="Times New Roman" w:hAnsi="Times New Roman"/>
          <w:color w:val="FF0000"/>
          <w:sz w:val="16"/>
          <w:szCs w:val="16"/>
          <w:highlight w:val="yellow"/>
        </w:rPr>
      </w:pPr>
    </w:p>
    <w:p>
      <w:pPr>
        <w:pStyle w:val="1"/>
        <w:ind w:firstLine="709"/>
        <w:jc w:val="both"/>
        <w:rPr>
          <w:rFonts w:ascii="Times New Roman" w:hAnsi="Times New Roman"/>
          <w:b w:val="0"/>
          <w:sz w:val="24"/>
          <w:szCs w:val="24"/>
        </w:rPr>
      </w:pPr>
      <w:r>
        <w:rPr>
          <w:rFonts w:ascii="Times New Roman" w:hAnsi="Times New Roman"/>
          <w:b w:val="0"/>
          <w:sz w:val="24"/>
          <w:szCs w:val="24"/>
        </w:rPr>
        <w:t>По муниципальной услуге, отраженной по строке 2.2, введение натуральных показателей объема услуги обусловлено приведением в соответствие показателей согласно общероссийских базовых (отраслевые) перечней (классификаторов) государственных и муниципальных услуг, оказываемых физическим лицам.</w:t>
      </w:r>
    </w:p>
    <w:p>
      <w:pPr>
        <w:ind w:firstLine="709"/>
        <w:jc w:val="both"/>
        <w:rPr>
          <w:rFonts w:ascii="Times New Roman" w:hAnsi="Times New Roman"/>
          <w:color w:val="FF0000"/>
          <w:sz w:val="24"/>
          <w:szCs w:val="24"/>
        </w:rPr>
      </w:pPr>
      <w:r>
        <w:rPr>
          <w:rFonts w:ascii="Times New Roman" w:hAnsi="Times New Roman"/>
          <w:sz w:val="24"/>
          <w:szCs w:val="24"/>
        </w:rPr>
        <w:t>По муниципальной услуге, отраженной по строке 3.1, исключение натуральных показателей объема услуги обусловлено переводом обучающихся спортивных школ с муниципальной услуги «Реализация дополнительных общеразвивающих программ» (Раздел/Подраздел - 0703) на «Реализация программ спортивной подготовки по олимпийским и неолимпийским видам спорта» (Раздел/Подраздел - 1101).</w:t>
      </w:r>
      <w:r>
        <w:rPr>
          <w:rFonts w:ascii="Times New Roman" w:hAnsi="Times New Roman"/>
          <w:color w:val="FF0000"/>
          <w:sz w:val="24"/>
          <w:szCs w:val="24"/>
        </w:rPr>
        <w:t xml:space="preserve"> </w:t>
      </w:r>
    </w:p>
    <w:p>
      <w:pPr>
        <w:ind w:firstLine="709"/>
        <w:jc w:val="center"/>
        <w:rPr>
          <w:rFonts w:ascii="Times New Roman" w:hAnsi="Times New Roman"/>
          <w:b/>
          <w:i/>
          <w:sz w:val="14"/>
          <w:szCs w:val="14"/>
        </w:rPr>
      </w:pPr>
    </w:p>
    <w:p>
      <w:pPr>
        <w:ind w:firstLine="709"/>
        <w:jc w:val="center"/>
        <w:rPr>
          <w:rFonts w:ascii="Times New Roman" w:hAnsi="Times New Roman"/>
          <w:b/>
          <w:i/>
          <w:sz w:val="24"/>
          <w:szCs w:val="24"/>
        </w:rPr>
      </w:pPr>
    </w:p>
    <w:p>
      <w:pPr>
        <w:ind w:firstLine="709"/>
        <w:jc w:val="center"/>
        <w:rPr>
          <w:rFonts w:ascii="Times New Roman" w:hAnsi="Times New Roman"/>
          <w:b/>
          <w:i/>
          <w:sz w:val="24"/>
          <w:szCs w:val="24"/>
        </w:rPr>
      </w:pPr>
    </w:p>
    <w:p>
      <w:pPr>
        <w:ind w:firstLine="709"/>
        <w:jc w:val="center"/>
        <w:rPr>
          <w:rFonts w:ascii="Times New Roman" w:hAnsi="Times New Roman"/>
          <w:b/>
          <w:i/>
          <w:sz w:val="24"/>
          <w:szCs w:val="24"/>
        </w:rPr>
      </w:pPr>
      <w:r>
        <w:rPr>
          <w:rFonts w:ascii="Times New Roman" w:hAnsi="Times New Roman"/>
          <w:b/>
          <w:i/>
          <w:sz w:val="24"/>
          <w:szCs w:val="24"/>
        </w:rPr>
        <w:lastRenderedPageBreak/>
        <w:t>2.4.2 Муниципальные услуги и работы в сфере культуры</w:t>
      </w:r>
    </w:p>
    <w:p>
      <w:pPr>
        <w:spacing w:before="120" w:after="120"/>
        <w:ind w:firstLine="709"/>
        <w:jc w:val="both"/>
        <w:rPr>
          <w:rFonts w:ascii="Times New Roman" w:hAnsi="Times New Roman"/>
          <w:sz w:val="24"/>
          <w:szCs w:val="24"/>
        </w:rPr>
      </w:pPr>
      <w:r>
        <w:rPr>
          <w:rFonts w:ascii="Times New Roman" w:hAnsi="Times New Roman"/>
          <w:sz w:val="24"/>
          <w:szCs w:val="24"/>
        </w:rPr>
        <w:t xml:space="preserve">Учреждениями культуры в период 2021-2023 годов будут оказываться 4 вида услуг и выполняться 7 работ в рамках МП «Развитие культуры и туризма в ЗАТО Северск», общая сумма финансового обеспечения их оказания (выполнения) составит 236 589,18 тыс.руб. </w:t>
      </w:r>
    </w:p>
    <w:p>
      <w:pPr>
        <w:spacing w:after="120"/>
        <w:ind w:firstLine="709"/>
        <w:jc w:val="both"/>
        <w:rPr>
          <w:rFonts w:ascii="Times New Roman" w:hAnsi="Times New Roman"/>
          <w:sz w:val="24"/>
          <w:szCs w:val="24"/>
        </w:rPr>
      </w:pPr>
      <w:r>
        <w:rPr>
          <w:rFonts w:ascii="Times New Roman" w:hAnsi="Times New Roman"/>
          <w:sz w:val="24"/>
          <w:szCs w:val="24"/>
        </w:rPr>
        <w:t>Таблица 31 - Показатели объема муниципальных услуг (работ) в области культуры</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3544"/>
        <w:gridCol w:w="1701"/>
        <w:gridCol w:w="991"/>
        <w:gridCol w:w="992"/>
        <w:gridCol w:w="993"/>
        <w:gridCol w:w="993"/>
      </w:tblGrid>
      <w:t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Наименование услуги (работы)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 xml:space="preserve">Наименование </w:t>
            </w:r>
          </w:p>
          <w:p>
            <w:pPr>
              <w:jc w:val="center"/>
              <w:rPr>
                <w:rFonts w:ascii="Times New Roman" w:hAnsi="Times New Roman"/>
                <w:color w:val="000000"/>
              </w:rPr>
            </w:pPr>
            <w:r>
              <w:rPr>
                <w:rFonts w:ascii="Times New Roman" w:hAnsi="Times New Roman"/>
                <w:color w:val="000000"/>
              </w:rPr>
              <w:t>и единица измерения показателей объема</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Значения показателей</w:t>
            </w:r>
          </w:p>
        </w:tc>
      </w:tr>
      <w:tr>
        <w:trPr>
          <w:trHeight w:val="1346"/>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p>
        </w:tc>
        <w:tc>
          <w:tcPr>
            <w:tcW w:w="35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2020</w:t>
            </w:r>
          </w:p>
          <w:p>
            <w:pPr>
              <w:jc w:val="center"/>
              <w:rPr>
                <w:rFonts w:ascii="Times New Roman" w:hAnsi="Times New Roman"/>
                <w:color w:val="000000"/>
              </w:rPr>
            </w:pPr>
            <w:r>
              <w:rPr>
                <w:rFonts w:ascii="Times New Roman" w:hAnsi="Times New Roman"/>
                <w:color w:val="000000"/>
              </w:rPr>
              <w:t xml:space="preserve"> год</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2021</w:t>
            </w:r>
          </w:p>
          <w:p>
            <w:pPr>
              <w:jc w:val="center"/>
              <w:rPr>
                <w:rFonts w:ascii="Times New Roman" w:hAnsi="Times New Roman"/>
                <w:color w:val="000000"/>
              </w:rPr>
            </w:pPr>
            <w:r>
              <w:rPr>
                <w:rFonts w:ascii="Times New Roman" w:hAnsi="Times New Roman"/>
                <w:color w:val="000000"/>
              </w:rPr>
              <w:t xml:space="preserve"> год</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 xml:space="preserve">2022 </w:t>
            </w:r>
          </w:p>
          <w:p>
            <w:pPr>
              <w:jc w:val="center"/>
              <w:rPr>
                <w:rFonts w:ascii="Times New Roman" w:hAnsi="Times New Roman"/>
                <w:color w:val="000000"/>
              </w:rPr>
            </w:pPr>
            <w:r>
              <w:rPr>
                <w:rFonts w:ascii="Times New Roman" w:hAnsi="Times New Roman"/>
                <w:color w:val="000000"/>
              </w:rPr>
              <w:t>год</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2023</w:t>
            </w:r>
          </w:p>
          <w:p>
            <w:pPr>
              <w:jc w:val="center"/>
              <w:rPr>
                <w:rFonts w:ascii="Times New Roman" w:hAnsi="Times New Roman"/>
                <w:color w:val="000000"/>
              </w:rPr>
            </w:pPr>
            <w:r>
              <w:rPr>
                <w:rFonts w:ascii="Times New Roman" w:hAnsi="Times New Roman"/>
                <w:color w:val="000000"/>
              </w:rPr>
              <w:t>год</w:t>
            </w:r>
          </w:p>
        </w:tc>
      </w:tr>
      <w:tr>
        <w:trPr>
          <w:trHeight w:val="282"/>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7</w:t>
            </w:r>
          </w:p>
        </w:tc>
      </w:tr>
      <w:tr>
        <w:trPr>
          <w:trHeight w:val="543"/>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Показ (организация показа) спектаклей (театральных постановок)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Число зрителей</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157 830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148 152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149 415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150 929</w:t>
            </w:r>
          </w:p>
        </w:tc>
      </w:tr>
      <w:tr>
        <w:trPr>
          <w:trHeight w:val="529"/>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Показ (организация показа) концертных программ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Число зрителей</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102 000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r>
      <w:tr>
        <w:trPr>
          <w:trHeight w:val="2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3</w:t>
            </w:r>
          </w:p>
        </w:tc>
        <w:tc>
          <w:tcPr>
            <w:tcW w:w="3544" w:type="dxa"/>
            <w:tcBorders>
              <w:left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Создание спектаклей (театральных постановок)</w:t>
            </w:r>
          </w:p>
        </w:tc>
        <w:tc>
          <w:tcPr>
            <w:tcW w:w="1701" w:type="dxa"/>
            <w:vMerge w:val="restart"/>
            <w:tcBorders>
              <w:left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Количество новых постановок</w:t>
            </w:r>
          </w:p>
        </w:tc>
        <w:tc>
          <w:tcPr>
            <w:tcW w:w="991" w:type="dxa"/>
            <w:tcBorders>
              <w:left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9</w:t>
            </w:r>
          </w:p>
        </w:tc>
        <w:tc>
          <w:tcPr>
            <w:tcW w:w="992" w:type="dxa"/>
            <w:tcBorders>
              <w:left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10</w:t>
            </w:r>
          </w:p>
        </w:tc>
        <w:tc>
          <w:tcPr>
            <w:tcW w:w="993" w:type="dxa"/>
            <w:tcBorders>
              <w:left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10</w:t>
            </w:r>
          </w:p>
        </w:tc>
        <w:tc>
          <w:tcPr>
            <w:tcW w:w="993" w:type="dxa"/>
            <w:tcBorders>
              <w:left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10</w:t>
            </w:r>
          </w:p>
        </w:tc>
      </w:tr>
      <w:tr>
        <w:trPr>
          <w:trHeight w:val="539"/>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4</w:t>
            </w:r>
          </w:p>
        </w:tc>
        <w:tc>
          <w:tcPr>
            <w:tcW w:w="3544" w:type="dxa"/>
            <w:tcBorders>
              <w:left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Создание концертов и концертных программ</w:t>
            </w:r>
          </w:p>
        </w:tc>
        <w:tc>
          <w:tcPr>
            <w:tcW w:w="1701" w:type="dxa"/>
            <w:vMerge/>
            <w:tcBorders>
              <w:left w:val="single" w:sz="4" w:space="0" w:color="auto"/>
              <w:right w:val="single" w:sz="4" w:space="0" w:color="auto"/>
            </w:tcBorders>
            <w:shd w:val="clear" w:color="auto" w:fill="auto"/>
            <w:vAlign w:val="center"/>
            <w:hideMark/>
          </w:tcPr>
          <w:p>
            <w:pPr>
              <w:jc w:val="center"/>
              <w:rPr>
                <w:rFonts w:ascii="Times New Roman" w:hAnsi="Times New Roman"/>
                <w:color w:val="000000"/>
              </w:rPr>
            </w:pPr>
          </w:p>
        </w:tc>
        <w:tc>
          <w:tcPr>
            <w:tcW w:w="991" w:type="dxa"/>
            <w:tcBorders>
              <w:left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45</w:t>
            </w:r>
          </w:p>
        </w:tc>
        <w:tc>
          <w:tcPr>
            <w:tcW w:w="992" w:type="dxa"/>
            <w:tcBorders>
              <w:left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c>
          <w:tcPr>
            <w:tcW w:w="993" w:type="dxa"/>
            <w:tcBorders>
              <w:left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c>
          <w:tcPr>
            <w:tcW w:w="993" w:type="dxa"/>
            <w:tcBorders>
              <w:left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r>
      <w:tr>
        <w:trPr>
          <w:trHeight w:val="2118"/>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5</w:t>
            </w:r>
          </w:p>
        </w:tc>
        <w:tc>
          <w:tcPr>
            <w:tcW w:w="3544" w:type="dxa"/>
            <w:tcBorders>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Создание выставок (экспозиций), музеев, организация выездных выставок  (экспозиций) (организация движения выездных выставок (экспозиций) музея, планирование, документирование, реставрационная экспертиза предметов, упаковка предметов, организация перевозки предметов)</w:t>
            </w:r>
          </w:p>
        </w:tc>
        <w:tc>
          <w:tcPr>
            <w:tcW w:w="1701" w:type="dxa"/>
            <w:tcBorders>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Количество экспозиций</w:t>
            </w:r>
          </w:p>
        </w:tc>
        <w:tc>
          <w:tcPr>
            <w:tcW w:w="991"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78</w:t>
            </w:r>
          </w:p>
        </w:tc>
        <w:tc>
          <w:tcPr>
            <w:tcW w:w="992"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81</w:t>
            </w: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83</w:t>
            </w: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85</w:t>
            </w:r>
          </w:p>
        </w:tc>
      </w:tr>
      <w:tr>
        <w:trPr>
          <w:trHeight w:val="54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6</w:t>
            </w:r>
          </w:p>
        </w:tc>
        <w:tc>
          <w:tcPr>
            <w:tcW w:w="3544" w:type="dxa"/>
            <w:tcBorders>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Публичный показ музейных предметов, музейных коллекций</w:t>
            </w:r>
          </w:p>
        </w:tc>
        <w:tc>
          <w:tcPr>
            <w:tcW w:w="1701" w:type="dxa"/>
            <w:tcBorders>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Число посетителей</w:t>
            </w:r>
          </w:p>
        </w:tc>
        <w:tc>
          <w:tcPr>
            <w:tcW w:w="991"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58 400</w:t>
            </w:r>
          </w:p>
        </w:tc>
        <w:tc>
          <w:tcPr>
            <w:tcW w:w="992"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86 913</w:t>
            </w: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89 450</w:t>
            </w: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91 829</w:t>
            </w:r>
          </w:p>
        </w:tc>
      </w:tr>
      <w:tr>
        <w:trPr>
          <w:trHeight w:val="929"/>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7</w:t>
            </w:r>
          </w:p>
        </w:tc>
        <w:tc>
          <w:tcPr>
            <w:tcW w:w="3544" w:type="dxa"/>
            <w:tcBorders>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Библиотечное, библиографическое и информационное обслуживание пользователей библиотеки</w:t>
            </w:r>
          </w:p>
        </w:tc>
        <w:tc>
          <w:tcPr>
            <w:tcW w:w="1701" w:type="dxa"/>
            <w:tcBorders>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Количество посещений</w:t>
            </w:r>
          </w:p>
        </w:tc>
        <w:tc>
          <w:tcPr>
            <w:tcW w:w="991"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343 700</w:t>
            </w:r>
          </w:p>
        </w:tc>
        <w:tc>
          <w:tcPr>
            <w:tcW w:w="992"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358 226</w:t>
            </w: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pPr>
            <w:r>
              <w:t>364 343</w:t>
            </w: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pPr>
            <w:r>
              <w:t>375 342</w:t>
            </w:r>
          </w:p>
        </w:tc>
      </w:tr>
      <w:tr>
        <w:trPr>
          <w:trHeight w:val="641"/>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8</w:t>
            </w:r>
          </w:p>
        </w:tc>
        <w:tc>
          <w:tcPr>
            <w:tcW w:w="3544" w:type="dxa"/>
            <w:tcBorders>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Комплектование и обеспечение сохранности библиотечного фонда</w:t>
            </w:r>
          </w:p>
        </w:tc>
        <w:tc>
          <w:tcPr>
            <w:tcW w:w="1701" w:type="dxa"/>
            <w:tcBorders>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Количество документов</w:t>
            </w:r>
          </w:p>
        </w:tc>
        <w:tc>
          <w:tcPr>
            <w:tcW w:w="991"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362 000</w:t>
            </w:r>
          </w:p>
        </w:tc>
        <w:tc>
          <w:tcPr>
            <w:tcW w:w="992"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364 000</w:t>
            </w: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364 000</w:t>
            </w: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364 000</w:t>
            </w:r>
          </w:p>
        </w:tc>
      </w:tr>
      <w:tr>
        <w:trPr>
          <w:trHeight w:val="635"/>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9</w:t>
            </w:r>
          </w:p>
        </w:tc>
        <w:tc>
          <w:tcPr>
            <w:tcW w:w="3544" w:type="dxa"/>
            <w:tcBorders>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Демонстрация коллекций животных, растений</w:t>
            </w:r>
          </w:p>
        </w:tc>
        <w:tc>
          <w:tcPr>
            <w:tcW w:w="1701" w:type="dxa"/>
            <w:tcBorders>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Число посетителей</w:t>
            </w:r>
          </w:p>
        </w:tc>
        <w:tc>
          <w:tcPr>
            <w:tcW w:w="991"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57 000</w:t>
            </w:r>
          </w:p>
        </w:tc>
        <w:tc>
          <w:tcPr>
            <w:tcW w:w="992"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c>
          <w:tcPr>
            <w:tcW w:w="993" w:type="dxa"/>
            <w:tcBorders>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r>
      <w:tr>
        <w:trPr>
          <w:trHeight w:val="65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hanging="142"/>
              <w:jc w:val="right"/>
              <w:rPr>
                <w:rFonts w:ascii="Times New Roman" w:hAnsi="Times New Roman"/>
                <w:color w:val="000000"/>
              </w:rPr>
            </w:pPr>
            <w:r>
              <w:rPr>
                <w:rFonts w:ascii="Times New Roman" w:hAnsi="Times New Roman"/>
                <w:color w:val="00000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Содержание коллекций диких и домашних животных</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Количество животных</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1 720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1 720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1 720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1 720</w:t>
            </w:r>
          </w:p>
        </w:tc>
      </w:tr>
      <w:tr>
        <w:trPr>
          <w:trHeight w:val="1741"/>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hanging="142"/>
              <w:jc w:val="right"/>
              <w:rPr>
                <w:rFonts w:ascii="Times New Roman" w:hAnsi="Times New Roman"/>
                <w:color w:val="000000"/>
              </w:rPr>
            </w:pPr>
            <w:r>
              <w:rPr>
                <w:rFonts w:ascii="Times New Roman" w:hAnsi="Times New Roman"/>
                <w:color w:val="000000"/>
              </w:rPr>
              <w:t>11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Содержание территории и объектов парков культуры и отдыха (эксплуатационно-техническое обслуживание аттракционного оборудования, малых архитектурных форм, иных объектов парка культуры и отдыха)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Количество объектов</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rPr>
                <w:rFonts w:ascii="Times New Roman" w:hAnsi="Times New Roman"/>
                <w:color w:val="000000"/>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rPr>
                <w:rFonts w:ascii="Times New Roman" w:hAnsi="Times New Roman"/>
                <w:color w:val="000000"/>
              </w:rPr>
              <w:t>30</w:t>
            </w:r>
          </w:p>
        </w:tc>
      </w:tr>
      <w:tr>
        <w:trPr>
          <w:trHeight w:val="1128"/>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hanging="142"/>
              <w:jc w:val="right"/>
              <w:rPr>
                <w:rFonts w:ascii="Times New Roman" w:hAnsi="Times New Roman"/>
                <w:color w:val="000000"/>
              </w:rPr>
            </w:pPr>
            <w:r>
              <w:rPr>
                <w:rFonts w:ascii="Times New Roman" w:hAnsi="Times New Roman"/>
                <w:color w:val="000000"/>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Содержание территории и объектов парков культуры и отдыха (содержание и озеленение территории парка культуры и отдыха)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Площадь территории</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219 500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219 500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219 500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219 500</w:t>
            </w:r>
          </w:p>
        </w:tc>
      </w:tr>
      <w:tr>
        <w:trPr>
          <w:trHeight w:val="690"/>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hanging="142"/>
              <w:jc w:val="right"/>
              <w:rPr>
                <w:rFonts w:ascii="Times New Roman" w:hAnsi="Times New Roman"/>
                <w:color w:val="000000"/>
              </w:rPr>
            </w:pPr>
            <w:r>
              <w:rPr>
                <w:rFonts w:ascii="Times New Roman" w:hAnsi="Times New Roman"/>
                <w:color w:val="000000"/>
              </w:rPr>
              <w:t>13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Организация и проведение мероприятий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Количество проведенных мероприятий</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365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366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367</w:t>
            </w:r>
          </w:p>
        </w:tc>
      </w:tr>
      <w:tr>
        <w:trPr>
          <w:trHeight w:val="58"/>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lastRenderedPageBreak/>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color w:val="000000"/>
              </w:rPr>
            </w:pPr>
            <w:r>
              <w:rPr>
                <w:rFonts w:ascii="Times New Roman" w:hAnsi="Times New Roman"/>
                <w:color w:val="000000"/>
              </w:rPr>
              <w:t>7</w:t>
            </w:r>
          </w:p>
        </w:tc>
      </w:tr>
      <w:tr>
        <w:trPr>
          <w:trHeight w:val="972"/>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hanging="142"/>
              <w:jc w:val="right"/>
              <w:rPr>
                <w:rFonts w:ascii="Times New Roman" w:hAnsi="Times New Roman"/>
                <w:color w:val="000000"/>
              </w:rPr>
            </w:pPr>
            <w:r>
              <w:rPr>
                <w:rFonts w:ascii="Times New Roman" w:hAnsi="Times New Roman"/>
                <w:color w:val="000000"/>
              </w:rPr>
              <w:t>14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Организация деятельности клубных формирований и формирований самодеятельного народного творчества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Количество клубных формирований</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rPr>
            </w:pPr>
            <w:r>
              <w:rPr>
                <w:rFonts w:ascii="Times New Roman" w:hAnsi="Times New Roman"/>
                <w:color w:val="000000"/>
              </w:rPr>
              <w:t>31</w:t>
            </w:r>
          </w:p>
        </w:tc>
      </w:tr>
    </w:tbl>
    <w:p>
      <w:pPr>
        <w:ind w:firstLine="709"/>
        <w:jc w:val="both"/>
        <w:rPr>
          <w:rFonts w:ascii="Times New Roman" w:hAnsi="Times New Roman"/>
          <w:sz w:val="16"/>
          <w:szCs w:val="16"/>
        </w:rPr>
      </w:pPr>
    </w:p>
    <w:p>
      <w:pPr>
        <w:spacing w:after="120"/>
        <w:ind w:firstLine="709"/>
        <w:jc w:val="both"/>
        <w:rPr>
          <w:rFonts w:ascii="Times New Roman" w:hAnsi="Times New Roman"/>
          <w:sz w:val="24"/>
          <w:szCs w:val="24"/>
        </w:rPr>
      </w:pPr>
      <w:r>
        <w:rPr>
          <w:rFonts w:ascii="Times New Roman" w:hAnsi="Times New Roman"/>
          <w:sz w:val="24"/>
          <w:szCs w:val="24"/>
        </w:rPr>
        <w:t>С 2021 года исключается услуга «</w:t>
      </w:r>
      <w:r>
        <w:rPr>
          <w:rFonts w:ascii="Times New Roman" w:hAnsi="Times New Roman"/>
          <w:color w:val="000000"/>
          <w:sz w:val="24"/>
          <w:szCs w:val="24"/>
        </w:rPr>
        <w:t>Показ (организация показа) концертных программ»</w:t>
      </w:r>
      <w:r>
        <w:rPr>
          <w:rFonts w:ascii="Times New Roman" w:hAnsi="Times New Roman"/>
          <w:sz w:val="24"/>
          <w:szCs w:val="24"/>
        </w:rPr>
        <w:t xml:space="preserve"> и работа «</w:t>
      </w:r>
      <w:r>
        <w:rPr>
          <w:rFonts w:ascii="Times New Roman" w:hAnsi="Times New Roman"/>
          <w:color w:val="000000"/>
          <w:sz w:val="24"/>
          <w:szCs w:val="24"/>
        </w:rPr>
        <w:t>Создание концертов и концертных программ»</w:t>
      </w:r>
      <w:r>
        <w:rPr>
          <w:rFonts w:ascii="Times New Roman" w:hAnsi="Times New Roman"/>
          <w:sz w:val="24"/>
          <w:szCs w:val="24"/>
        </w:rPr>
        <w:t>, по услуге «</w:t>
      </w:r>
      <w:r>
        <w:rPr>
          <w:rFonts w:ascii="Times New Roman" w:hAnsi="Times New Roman"/>
          <w:color w:val="000000"/>
          <w:sz w:val="24"/>
          <w:szCs w:val="24"/>
        </w:rPr>
        <w:t xml:space="preserve">Демонстрация коллекций животных, растений» ведется работа по включению её либо </w:t>
      </w:r>
      <w:r>
        <w:rPr>
          <w:rFonts w:ascii="Times New Roman" w:hAnsi="Times New Roman"/>
          <w:color w:val="000000"/>
          <w:sz w:val="24"/>
          <w:szCs w:val="24"/>
        </w:rPr>
        <w:br/>
        <w:t xml:space="preserve">в базовый перечень либо в региональный перечень, вводится </w:t>
      </w:r>
      <w:r>
        <w:rPr>
          <w:rFonts w:ascii="Times New Roman" w:hAnsi="Times New Roman"/>
          <w:sz w:val="24"/>
          <w:szCs w:val="24"/>
        </w:rPr>
        <w:t xml:space="preserve"> услуга «</w:t>
      </w:r>
      <w:r>
        <w:rPr>
          <w:rFonts w:ascii="Times New Roman" w:hAnsi="Times New Roman"/>
          <w:color w:val="000000"/>
          <w:sz w:val="24"/>
          <w:szCs w:val="24"/>
        </w:rPr>
        <w:t xml:space="preserve">Организация </w:t>
      </w:r>
      <w:r>
        <w:rPr>
          <w:rFonts w:ascii="Times New Roman" w:hAnsi="Times New Roman"/>
          <w:color w:val="000000"/>
          <w:sz w:val="24"/>
          <w:szCs w:val="24"/>
        </w:rPr>
        <w:br/>
        <w:t>и проведение мероприятий» и работа «Организация деятельности клубных формирований и формирований самодеятельного народного творчества». Так же значения показателей муниципальных услуг (работ) приведены в соответствие с деятельностью учреждений культуры.</w:t>
      </w:r>
    </w:p>
    <w:p>
      <w:pPr>
        <w:spacing w:before="240" w:after="120"/>
        <w:jc w:val="center"/>
        <w:rPr>
          <w:rFonts w:ascii="Times New Roman" w:hAnsi="Times New Roman"/>
          <w:b/>
          <w:i/>
          <w:sz w:val="24"/>
          <w:szCs w:val="24"/>
        </w:rPr>
      </w:pPr>
      <w:r>
        <w:rPr>
          <w:rFonts w:ascii="Times New Roman" w:hAnsi="Times New Roman"/>
          <w:b/>
          <w:i/>
          <w:sz w:val="24"/>
          <w:szCs w:val="24"/>
        </w:rPr>
        <w:t>2.4.3 Муниципальные услуги и работы в сфере молодежной политики</w:t>
      </w:r>
    </w:p>
    <w:p>
      <w:pPr>
        <w:spacing w:after="120"/>
        <w:ind w:firstLine="709"/>
        <w:jc w:val="both"/>
        <w:rPr>
          <w:rFonts w:ascii="Times New Roman" w:hAnsi="Times New Roman"/>
          <w:sz w:val="24"/>
          <w:szCs w:val="24"/>
        </w:rPr>
      </w:pPr>
      <w:r>
        <w:rPr>
          <w:rFonts w:ascii="Times New Roman" w:hAnsi="Times New Roman"/>
          <w:sz w:val="24"/>
          <w:szCs w:val="24"/>
        </w:rPr>
        <w:t>В области молодежной политики и оздоровления детей в период 2021-2023 годов планируется оказание одной муниципальной услуги по МП «Молодежная политика в ЗАТО Северск», общая сумма финансового обеспечения ее оказания составит 72 035,12 тыс.руб.</w:t>
      </w:r>
    </w:p>
    <w:p>
      <w:pPr>
        <w:spacing w:after="120"/>
        <w:ind w:firstLine="567"/>
        <w:jc w:val="both"/>
        <w:rPr>
          <w:rFonts w:ascii="Times New Roman" w:hAnsi="Times New Roman"/>
          <w:sz w:val="24"/>
          <w:szCs w:val="24"/>
        </w:rPr>
      </w:pPr>
      <w:r>
        <w:rPr>
          <w:rFonts w:ascii="Times New Roman" w:hAnsi="Times New Roman"/>
          <w:sz w:val="24"/>
          <w:szCs w:val="24"/>
        </w:rPr>
        <w:t>Таблица 32 - Показатели объема муниципальной услуги в области молодежной политики</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
        <w:gridCol w:w="2976"/>
        <w:gridCol w:w="1843"/>
        <w:gridCol w:w="992"/>
        <w:gridCol w:w="1275"/>
        <w:gridCol w:w="993"/>
        <w:gridCol w:w="1134"/>
      </w:tblGrid>
      <w:tr>
        <w:tc>
          <w:tcPr>
            <w:tcW w:w="393"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Наименование услуги (работы)</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Наименование и единица измерения показателей объема</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Значения показателей</w:t>
            </w:r>
          </w:p>
        </w:tc>
      </w:tr>
      <w:tr>
        <w:tc>
          <w:tcPr>
            <w:tcW w:w="393"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rPr>
            </w:pPr>
          </w:p>
        </w:tc>
        <w:tc>
          <w:tcPr>
            <w:tcW w:w="29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 xml:space="preserve">2020 </w:t>
            </w:r>
          </w:p>
          <w:p>
            <w:pPr>
              <w:jc w:val="center"/>
              <w:rPr>
                <w:rFonts w:ascii="Times New Roman" w:hAnsi="Times New Roman"/>
                <w:color w:val="000000"/>
              </w:rPr>
            </w:pPr>
            <w:r>
              <w:rPr>
                <w:rFonts w:ascii="Times New Roman" w:hAnsi="Times New Roman"/>
                <w:color w:val="000000"/>
              </w:rPr>
              <w:t>год</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2021</w:t>
            </w:r>
          </w:p>
          <w:p>
            <w:pPr>
              <w:jc w:val="center"/>
              <w:rPr>
                <w:rFonts w:ascii="Times New Roman" w:hAnsi="Times New Roman"/>
                <w:color w:val="000000"/>
              </w:rPr>
            </w:pPr>
            <w:r>
              <w:rPr>
                <w:rFonts w:ascii="Times New Roman" w:hAnsi="Times New Roman"/>
                <w:color w:val="000000"/>
              </w:rPr>
              <w:t>год</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2022</w:t>
            </w:r>
          </w:p>
          <w:p>
            <w:pPr>
              <w:jc w:val="center"/>
              <w:rPr>
                <w:rFonts w:ascii="Times New Roman" w:hAnsi="Times New Roman"/>
                <w:color w:val="000000"/>
              </w:rPr>
            </w:pPr>
            <w:r>
              <w:rPr>
                <w:rFonts w:ascii="Times New Roman" w:hAnsi="Times New Roman"/>
                <w:color w:val="000000"/>
              </w:rPr>
              <w:t xml:space="preserve"> год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2023</w:t>
            </w:r>
          </w:p>
          <w:p>
            <w:pPr>
              <w:jc w:val="center"/>
              <w:rPr>
                <w:rFonts w:ascii="Times New Roman" w:hAnsi="Times New Roman"/>
                <w:color w:val="000000"/>
              </w:rPr>
            </w:pPr>
            <w:r>
              <w:rPr>
                <w:rFonts w:ascii="Times New Roman" w:hAnsi="Times New Roman"/>
                <w:color w:val="000000"/>
              </w:rPr>
              <w:t>год</w:t>
            </w:r>
          </w:p>
        </w:tc>
      </w:tr>
      <w:tr>
        <w:trPr>
          <w:trHeight w:val="542"/>
        </w:trPr>
        <w:tc>
          <w:tcPr>
            <w:tcW w:w="39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r>
              <w:rPr>
                <w:rFonts w:ascii="Times New Roman" w:hAnsi="Times New Roman"/>
                <w:color w:val="000000"/>
              </w:rPr>
              <w:t xml:space="preserve">Организация отдыха детей и молодежи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Число человеко-дней пребывания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sz w:val="22"/>
                <w:szCs w:val="22"/>
              </w:rPr>
            </w:pPr>
            <w:r>
              <w:rPr>
                <w:rFonts w:ascii="Times New Roman" w:hAnsi="Times New Roman"/>
                <w:color w:val="000000"/>
                <w:sz w:val="22"/>
                <w:szCs w:val="22"/>
              </w:rPr>
              <w:t>3 900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sz w:val="22"/>
                <w:szCs w:val="22"/>
              </w:rPr>
            </w:pPr>
            <w:r>
              <w:rPr>
                <w:rFonts w:ascii="Times New Roman" w:hAnsi="Times New Roman"/>
                <w:color w:val="000000"/>
                <w:sz w:val="22"/>
                <w:szCs w:val="22"/>
              </w:rPr>
              <w:t>76 096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sz w:val="22"/>
                <w:szCs w:val="22"/>
              </w:rPr>
            </w:pPr>
            <w:r>
              <w:rPr>
                <w:rFonts w:ascii="Times New Roman" w:hAnsi="Times New Roman"/>
                <w:color w:val="000000"/>
                <w:sz w:val="22"/>
                <w:szCs w:val="22"/>
              </w:rPr>
              <w:t>75 717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color w:val="000000"/>
                <w:sz w:val="22"/>
                <w:szCs w:val="22"/>
              </w:rPr>
            </w:pPr>
            <w:r>
              <w:rPr>
                <w:rFonts w:ascii="Times New Roman" w:hAnsi="Times New Roman"/>
                <w:color w:val="000000"/>
                <w:sz w:val="22"/>
                <w:szCs w:val="22"/>
              </w:rPr>
              <w:t>75 717</w:t>
            </w:r>
          </w:p>
        </w:tc>
      </w:tr>
    </w:tbl>
    <w:p/>
    <w:p>
      <w:pPr>
        <w:spacing w:after="120"/>
        <w:jc w:val="center"/>
        <w:rPr>
          <w:rFonts w:ascii="Times New Roman" w:hAnsi="Times New Roman"/>
          <w:i/>
          <w:sz w:val="24"/>
          <w:szCs w:val="24"/>
        </w:rPr>
      </w:pPr>
      <w:r>
        <w:rPr>
          <w:rFonts w:ascii="Times New Roman" w:hAnsi="Times New Roman"/>
          <w:b/>
          <w:i/>
          <w:sz w:val="24"/>
          <w:szCs w:val="24"/>
        </w:rPr>
        <w:t>2.4.4 Муниципальные работы в сфере ЖКХ</w:t>
      </w:r>
    </w:p>
    <w:p>
      <w:pPr>
        <w:ind w:firstLine="709"/>
        <w:jc w:val="both"/>
        <w:rPr>
          <w:rFonts w:ascii="Times New Roman" w:hAnsi="Times New Roman"/>
          <w:sz w:val="24"/>
          <w:szCs w:val="24"/>
        </w:rPr>
      </w:pPr>
      <w:r>
        <w:rPr>
          <w:rFonts w:ascii="Times New Roman" w:hAnsi="Times New Roman"/>
          <w:sz w:val="24"/>
          <w:szCs w:val="24"/>
        </w:rPr>
        <w:t>В области жилищно-коммунального хозяйства МБЭУ в период 2021-2023 годов планируется выполнение 3 видов работ:</w:t>
      </w:r>
    </w:p>
    <w:p>
      <w:pPr>
        <w:ind w:firstLine="709"/>
        <w:jc w:val="both"/>
        <w:rPr>
          <w:rFonts w:ascii="Times New Roman" w:hAnsi="Times New Roman"/>
          <w:sz w:val="24"/>
          <w:szCs w:val="24"/>
        </w:rPr>
      </w:pPr>
      <w:r>
        <w:rPr>
          <w:rFonts w:ascii="Times New Roman" w:hAnsi="Times New Roman"/>
          <w:sz w:val="24"/>
          <w:szCs w:val="24"/>
        </w:rPr>
        <w:t>- организация и осуществление мероприятий по благоустройству территории муниципального образования;</w:t>
      </w:r>
    </w:p>
    <w:p>
      <w:pPr>
        <w:ind w:firstLine="709"/>
        <w:jc w:val="both"/>
        <w:rPr>
          <w:rFonts w:ascii="Times New Roman" w:hAnsi="Times New Roman"/>
          <w:sz w:val="24"/>
          <w:szCs w:val="24"/>
        </w:rPr>
      </w:pPr>
      <w:r>
        <w:rPr>
          <w:rFonts w:ascii="Times New Roman" w:hAnsi="Times New Roman"/>
          <w:sz w:val="24"/>
          <w:szCs w:val="24"/>
        </w:rPr>
        <w:t>- организация и проведение мероприятий в сфере похоронного дела;</w:t>
      </w:r>
    </w:p>
    <w:p>
      <w:pPr>
        <w:ind w:firstLine="709"/>
        <w:jc w:val="both"/>
        <w:rPr>
          <w:rFonts w:ascii="Times New Roman" w:hAnsi="Times New Roman"/>
          <w:sz w:val="24"/>
          <w:szCs w:val="24"/>
        </w:rPr>
      </w:pPr>
      <w:r>
        <w:rPr>
          <w:rFonts w:ascii="Times New Roman" w:hAnsi="Times New Roman"/>
          <w:sz w:val="24"/>
          <w:szCs w:val="24"/>
        </w:rPr>
        <w:t>- содержание и ремонт автомобильных дорог местного значения и искусственных сооружений в их составе.</w:t>
      </w:r>
    </w:p>
    <w:p>
      <w:pPr>
        <w:spacing w:after="120"/>
        <w:ind w:firstLine="709"/>
        <w:jc w:val="both"/>
        <w:rPr>
          <w:rFonts w:ascii="Times New Roman" w:hAnsi="Times New Roman"/>
          <w:sz w:val="24"/>
          <w:szCs w:val="24"/>
        </w:rPr>
      </w:pPr>
      <w:r>
        <w:rPr>
          <w:rFonts w:ascii="Times New Roman" w:hAnsi="Times New Roman"/>
          <w:sz w:val="24"/>
          <w:szCs w:val="24"/>
        </w:rPr>
        <w:t>Все виды работ дополнительно детализируются с учетом специфики мероприятий, включенных в указанные работы, и распределены по 3 муниципальным программам. Общая сумма финансового обеспечения составит 162 246,82 тыс.руб.</w:t>
      </w:r>
    </w:p>
    <w:p>
      <w:pPr>
        <w:spacing w:after="120"/>
        <w:ind w:firstLine="709"/>
        <w:jc w:val="both"/>
        <w:rPr>
          <w:rFonts w:ascii="Times New Roman" w:hAnsi="Times New Roman"/>
          <w:sz w:val="24"/>
          <w:szCs w:val="24"/>
        </w:rPr>
      </w:pPr>
      <w:r>
        <w:rPr>
          <w:rFonts w:ascii="Times New Roman" w:hAnsi="Times New Roman"/>
          <w:sz w:val="24"/>
          <w:szCs w:val="24"/>
        </w:rPr>
        <w:t>Таблица 33 - Показатели объема муниципальных работ в области ЖКХ</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693"/>
        <w:gridCol w:w="1276"/>
        <w:gridCol w:w="1276"/>
        <w:gridCol w:w="1275"/>
        <w:gridCol w:w="1276"/>
        <w:gridCol w:w="1276"/>
      </w:tblGrid>
      <w:t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Наименование услуги (работы)</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Наимено-вание и единица измерения показателей объема</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Значения показателей</w:t>
            </w:r>
          </w:p>
        </w:tc>
      </w:tr>
      <w:tr>
        <w:trPr>
          <w:trHeight w:val="1090"/>
        </w:trPr>
        <w:tc>
          <w:tcPr>
            <w:tcW w:w="5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p>
        </w:tc>
        <w:tc>
          <w:tcPr>
            <w:tcW w:w="26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2020</w:t>
            </w:r>
          </w:p>
          <w:p>
            <w:pPr>
              <w:jc w:val="center"/>
            </w:pPr>
            <w:r>
              <w:t>год</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2021</w:t>
            </w:r>
          </w:p>
          <w:p>
            <w:pPr>
              <w:jc w:val="center"/>
            </w:pPr>
            <w:r>
              <w:t>год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2022</w:t>
            </w:r>
          </w:p>
          <w:p>
            <w:pPr>
              <w:jc w:val="center"/>
            </w:pPr>
            <w:r>
              <w:t>год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2023</w:t>
            </w:r>
          </w:p>
          <w:p>
            <w:pPr>
              <w:jc w:val="center"/>
            </w:pPr>
            <w:r>
              <w:t>год</w:t>
            </w:r>
          </w:p>
        </w:tc>
      </w:tr>
      <w:tr>
        <w:trPr>
          <w:trHeight w:val="12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7</w:t>
            </w:r>
          </w:p>
        </w:tc>
      </w:tr>
      <w:tr>
        <w:trPr>
          <w:trHeight w:val="27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w:t>
            </w:r>
          </w:p>
        </w:tc>
        <w:tc>
          <w:tcPr>
            <w:tcW w:w="907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
              <w:t>МП «Улучшение качественного состояния объектов благоустройства и озеленения города Северска»</w:t>
            </w:r>
          </w:p>
        </w:tc>
      </w:tr>
      <w:tr>
        <w:trPr>
          <w:trHeight w:val="45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Уборка территории населенного пункта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м2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9 855,52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9 855,52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9 855,52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9 855,52</w:t>
            </w:r>
          </w:p>
        </w:tc>
      </w:tr>
      <w:tr>
        <w:trPr>
          <w:trHeight w:val="321"/>
        </w:trPr>
        <w:tc>
          <w:tcPr>
            <w:tcW w:w="534" w:type="dxa"/>
            <w:tcBorders>
              <w:top w:val="single" w:sz="4" w:space="0" w:color="auto"/>
              <w:left w:val="single" w:sz="4" w:space="0" w:color="auto"/>
              <w:right w:val="single" w:sz="4" w:space="0" w:color="auto"/>
            </w:tcBorders>
            <w:shd w:val="clear" w:color="auto" w:fill="auto"/>
            <w:vAlign w:val="center"/>
            <w:hideMark/>
          </w:tcPr>
          <w:p>
            <w:pPr>
              <w:jc w:val="center"/>
            </w:pPr>
            <w:r>
              <w:t>1.2.</w:t>
            </w:r>
          </w:p>
        </w:tc>
        <w:tc>
          <w:tcPr>
            <w:tcW w:w="2693" w:type="dxa"/>
            <w:tcBorders>
              <w:top w:val="single" w:sz="4" w:space="0" w:color="auto"/>
              <w:left w:val="single" w:sz="4" w:space="0" w:color="auto"/>
              <w:right w:val="single" w:sz="4" w:space="0" w:color="auto"/>
            </w:tcBorders>
            <w:shd w:val="clear" w:color="auto" w:fill="auto"/>
            <w:vAlign w:val="center"/>
            <w:hideMark/>
          </w:tcPr>
          <w:p>
            <w:r>
              <w:t>Озеленение территории</w:t>
            </w:r>
          </w:p>
        </w:tc>
        <w:tc>
          <w:tcPr>
            <w:tcW w:w="1276" w:type="dxa"/>
            <w:tcBorders>
              <w:top w:val="single" w:sz="4" w:space="0" w:color="auto"/>
              <w:left w:val="single" w:sz="4" w:space="0" w:color="auto"/>
              <w:right w:val="single" w:sz="4" w:space="0" w:color="auto"/>
            </w:tcBorders>
            <w:shd w:val="clear" w:color="auto" w:fill="auto"/>
            <w:vAlign w:val="center"/>
            <w:hideMark/>
          </w:tcPr>
          <w:p>
            <w:pPr>
              <w:jc w:val="center"/>
            </w:pPr>
            <w:r>
              <w:t>м2</w:t>
            </w:r>
          </w:p>
        </w:tc>
        <w:tc>
          <w:tcPr>
            <w:tcW w:w="1276" w:type="dxa"/>
            <w:tcBorders>
              <w:top w:val="single" w:sz="4" w:space="0" w:color="auto"/>
              <w:left w:val="single" w:sz="4" w:space="0" w:color="auto"/>
              <w:right w:val="single" w:sz="4" w:space="0" w:color="auto"/>
            </w:tcBorders>
            <w:shd w:val="clear" w:color="auto" w:fill="auto"/>
            <w:vAlign w:val="center"/>
            <w:hideMark/>
          </w:tcPr>
          <w:p>
            <w:pPr>
              <w:jc w:val="center"/>
            </w:pPr>
            <w:r>
              <w:t>1 320 243,31</w:t>
            </w:r>
          </w:p>
        </w:tc>
        <w:tc>
          <w:tcPr>
            <w:tcW w:w="1275" w:type="dxa"/>
            <w:tcBorders>
              <w:top w:val="single" w:sz="4" w:space="0" w:color="auto"/>
              <w:left w:val="single" w:sz="4" w:space="0" w:color="auto"/>
              <w:right w:val="single" w:sz="4" w:space="0" w:color="auto"/>
            </w:tcBorders>
            <w:shd w:val="clear" w:color="auto" w:fill="auto"/>
            <w:vAlign w:val="center"/>
            <w:hideMark/>
          </w:tcPr>
          <w:p>
            <w:pPr>
              <w:jc w:val="center"/>
            </w:pPr>
            <w:r>
              <w:t>1 013 938,39</w:t>
            </w:r>
          </w:p>
        </w:tc>
        <w:tc>
          <w:tcPr>
            <w:tcW w:w="1276" w:type="dxa"/>
            <w:tcBorders>
              <w:top w:val="single" w:sz="4" w:space="0" w:color="auto"/>
              <w:left w:val="single" w:sz="4" w:space="0" w:color="auto"/>
              <w:right w:val="single" w:sz="4" w:space="0" w:color="auto"/>
            </w:tcBorders>
            <w:shd w:val="clear" w:color="auto" w:fill="auto"/>
            <w:vAlign w:val="center"/>
            <w:hideMark/>
          </w:tcPr>
          <w:p>
            <w:pPr>
              <w:jc w:val="center"/>
            </w:pPr>
            <w:r>
              <w:t>1 013 938,39</w:t>
            </w:r>
          </w:p>
        </w:tc>
        <w:tc>
          <w:tcPr>
            <w:tcW w:w="1276" w:type="dxa"/>
            <w:tcBorders>
              <w:top w:val="single" w:sz="4" w:space="0" w:color="auto"/>
              <w:left w:val="single" w:sz="4" w:space="0" w:color="auto"/>
              <w:right w:val="single" w:sz="4" w:space="0" w:color="auto"/>
            </w:tcBorders>
            <w:shd w:val="clear" w:color="auto" w:fill="auto"/>
            <w:vAlign w:val="center"/>
            <w:hideMark/>
          </w:tcPr>
          <w:p>
            <w:pPr>
              <w:jc w:val="center"/>
            </w:pPr>
            <w:r>
              <w:t>1 013 938,39</w:t>
            </w:r>
          </w:p>
        </w:tc>
      </w:tr>
      <w:tr>
        <w:trPr>
          <w:cantSplit/>
          <w:trHeight w:val="55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Содержание малых архитектурных форм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8</w:t>
            </w:r>
          </w:p>
        </w:tc>
      </w:tr>
      <w:tr>
        <w:trPr>
          <w:cantSplit/>
          <w:trHeight w:val="28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7</w:t>
            </w:r>
          </w:p>
        </w:tc>
      </w:tr>
      <w:tr>
        <w:trPr>
          <w:cantSplit/>
          <w:trHeight w:val="49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1.4.</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Ритуальные услуги по захоронению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чел.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4</w:t>
            </w:r>
          </w:p>
        </w:tc>
      </w:tr>
      <w:tr>
        <w:trPr>
          <w:cantSplit/>
          <w:trHeight w:val="14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w:t>
            </w:r>
          </w:p>
        </w:tc>
        <w:tc>
          <w:tcPr>
            <w:tcW w:w="907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
              <w:t>МП «Дорожная деятельность и транспортное обслуживание на территории ЗАТО Северск»</w:t>
            </w:r>
          </w:p>
        </w:tc>
      </w:tr>
      <w:tr>
        <w:trPr>
          <w:cantSplit/>
          <w:trHeight w:val="142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Выполнение комплекса работ по содержанию автомобильных дорог местного значения и внутриквартальных проездов (за исключением работ связанных с восстановлением дорожных одежд)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км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96,671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96,671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96,671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96,671</w:t>
            </w:r>
          </w:p>
        </w:tc>
      </w:tr>
      <w:tr>
        <w:trPr>
          <w:trHeight w:val="56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Выполнение комплекса работ по ремонту автомобильных дорог и внутриквартальных проездов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км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10,9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10,9</w:t>
            </w:r>
          </w:p>
        </w:tc>
      </w:tr>
      <w:tr>
        <w:trPr>
          <w:trHeight w:val="138"/>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Устранение деформаций и повреждений (заделка выбоин, просадок, шелушения, выкрашивания и других дефектов) покрытий дорог местного значения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м2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1 100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1 100</w:t>
            </w:r>
          </w:p>
        </w:tc>
      </w:tr>
      <w:tr>
        <w:trPr>
          <w:trHeight w:val="38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2.4.</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Заливка трещин на асфальтобетонных и цементнобетонных покрытиях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км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10,9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10,9</w:t>
            </w:r>
          </w:p>
        </w:tc>
      </w:tr>
      <w:tr>
        <w:trPr>
          <w:trHeight w:val="38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Выполнение комплекса работ по содержанию и ремонту искусственных сооружений в составе автомобильных дорог местного значения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166,28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166,28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166,28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166,28</w:t>
            </w:r>
          </w:p>
        </w:tc>
      </w:tr>
      <w:tr>
        <w:trPr>
          <w:trHeight w:val="38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Выполнение комплекса работ по установке, содержанию, ремонту элементов обустройства автомобильных дорог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6 385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6 528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6 528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6 528</w:t>
            </w:r>
          </w:p>
        </w:tc>
      </w:tr>
      <w:tr>
        <w:trPr>
          <w:trHeight w:val="38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2.7.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Нанесение дорожной разметки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км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1,39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p>
        </w:tc>
      </w:tr>
      <w:t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3.</w:t>
            </w:r>
          </w:p>
        </w:tc>
        <w:tc>
          <w:tcPr>
            <w:tcW w:w="907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
              <w:t>МП «Повышение энергоэффективности в ЗАТО Северск»</w:t>
            </w:r>
          </w:p>
        </w:tc>
      </w:tr>
      <w:tr>
        <w:trPr>
          <w:trHeight w:val="70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3.1.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Электроснабжение светофорных объектов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км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41,022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41,022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41,022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41,022</w:t>
            </w:r>
          </w:p>
        </w:tc>
      </w:tr>
      <w:tr>
        <w:trPr>
          <w:trHeight w:val="70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3.2.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
              <w:t>Электроснабжение малых архитектурных форм (часы, фонтаны)</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8</w:t>
            </w:r>
          </w:p>
        </w:tc>
      </w:tr>
    </w:tbl>
    <w:p>
      <w:pPr>
        <w:spacing w:before="120" w:after="120"/>
        <w:ind w:firstLine="709"/>
        <w:jc w:val="both"/>
        <w:rPr>
          <w:rFonts w:ascii="Times New Roman" w:hAnsi="Times New Roman"/>
          <w:sz w:val="24"/>
          <w:szCs w:val="24"/>
        </w:rPr>
      </w:pPr>
      <w:r>
        <w:rPr>
          <w:rFonts w:ascii="Times New Roman" w:hAnsi="Times New Roman"/>
          <w:sz w:val="24"/>
          <w:szCs w:val="24"/>
        </w:rPr>
        <w:t>Кроме того, муниципальным заданием МБЭУ предусматривается выполнение работ по праздничному оформлению города, содержанию объектов благоустройства, их электроснабжение, содержанию станции перекачки ливневых вод и иные виды работ.</w:t>
      </w:r>
    </w:p>
    <w:p>
      <w:pPr>
        <w:spacing w:before="240" w:after="120"/>
        <w:jc w:val="center"/>
        <w:rPr>
          <w:rFonts w:ascii="Times New Roman" w:hAnsi="Times New Roman"/>
          <w:b/>
          <w:i/>
          <w:sz w:val="24"/>
          <w:szCs w:val="24"/>
        </w:rPr>
      </w:pPr>
      <w:r>
        <w:rPr>
          <w:rFonts w:ascii="Times New Roman" w:hAnsi="Times New Roman"/>
          <w:b/>
          <w:i/>
          <w:sz w:val="24"/>
          <w:szCs w:val="24"/>
        </w:rPr>
        <w:t>2.4.5 Муниципальные услуги в сфере физической культуры и спорта</w:t>
      </w:r>
    </w:p>
    <w:p>
      <w:pPr>
        <w:spacing w:after="120"/>
        <w:ind w:firstLine="709"/>
        <w:jc w:val="both"/>
        <w:rPr>
          <w:rFonts w:ascii="Times New Roman" w:hAnsi="Times New Roman"/>
          <w:sz w:val="24"/>
          <w:szCs w:val="24"/>
        </w:rPr>
      </w:pPr>
      <w:r>
        <w:rPr>
          <w:rFonts w:ascii="Times New Roman" w:hAnsi="Times New Roman"/>
          <w:sz w:val="24"/>
          <w:szCs w:val="24"/>
        </w:rPr>
        <w:t>В области физической культуры и спорта в период 2021-2023 годов планируется оказание двух муниципальных услуг по МП «Развитие физической культуры и спорта в ЗАТО Северск» общая сумма финансового обеспечения их оказания составит 304 594,99 тыс.руб.</w:t>
      </w:r>
    </w:p>
    <w:p>
      <w:pPr>
        <w:spacing w:after="120"/>
        <w:ind w:firstLine="709"/>
        <w:jc w:val="both"/>
        <w:rPr>
          <w:rFonts w:ascii="Times New Roman" w:hAnsi="Times New Roman"/>
          <w:sz w:val="24"/>
          <w:szCs w:val="24"/>
        </w:rPr>
      </w:pPr>
    </w:p>
    <w:p>
      <w:pPr>
        <w:spacing w:after="120"/>
        <w:ind w:firstLine="709"/>
        <w:jc w:val="both"/>
        <w:rPr>
          <w:rFonts w:ascii="Times New Roman" w:hAnsi="Times New Roman"/>
          <w:sz w:val="24"/>
          <w:szCs w:val="24"/>
        </w:rPr>
      </w:pPr>
      <w:r>
        <w:rPr>
          <w:rFonts w:ascii="Times New Roman" w:hAnsi="Times New Roman"/>
          <w:sz w:val="24"/>
          <w:szCs w:val="24"/>
        </w:rPr>
        <w:lastRenderedPageBreak/>
        <w:t>Таблица 34 - Показатели объема муниципальной услуги в области физической культуры и спорта</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
        <w:gridCol w:w="3401"/>
        <w:gridCol w:w="1843"/>
        <w:gridCol w:w="992"/>
        <w:gridCol w:w="992"/>
        <w:gridCol w:w="993"/>
        <w:gridCol w:w="1134"/>
      </w:tblGrid>
      <w:tr>
        <w:tc>
          <w:tcPr>
            <w:tcW w:w="393"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w:t>
            </w:r>
          </w:p>
        </w:tc>
        <w:tc>
          <w:tcPr>
            <w:tcW w:w="3401" w:type="dxa"/>
            <w:vMerge w:val="restart"/>
            <w:tcBorders>
              <w:top w:val="single" w:sz="4" w:space="0" w:color="auto"/>
              <w:left w:val="single" w:sz="4" w:space="0" w:color="auto"/>
              <w:bottom w:val="single" w:sz="4" w:space="0" w:color="auto"/>
              <w:right w:val="single" w:sz="4" w:space="0" w:color="auto"/>
            </w:tcBorders>
            <w:vAlign w:val="center"/>
            <w:hideMark/>
          </w:tcPr>
          <w:p>
            <w:pPr>
              <w:ind w:right="-250"/>
              <w:jc w:val="center"/>
              <w:rPr>
                <w:rFonts w:ascii="Times New Roman" w:hAnsi="Times New Roman"/>
                <w:color w:val="000000"/>
              </w:rPr>
            </w:pPr>
            <w:r>
              <w:rPr>
                <w:rFonts w:ascii="Times New Roman" w:hAnsi="Times New Roman"/>
                <w:color w:val="000000"/>
              </w:rPr>
              <w:t>Наименование услуги (работы)</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Наименование и единица измерения показателей объема</w:t>
            </w:r>
          </w:p>
        </w:tc>
        <w:tc>
          <w:tcPr>
            <w:tcW w:w="4111" w:type="dxa"/>
            <w:gridSpan w:val="4"/>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Значения показателей</w:t>
            </w:r>
          </w:p>
        </w:tc>
      </w:tr>
      <w:tr>
        <w:tc>
          <w:tcPr>
            <w:tcW w:w="393"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rPr>
            </w:pPr>
          </w:p>
        </w:tc>
        <w:tc>
          <w:tcPr>
            <w:tcW w:w="340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 xml:space="preserve">2020 </w:t>
            </w:r>
          </w:p>
          <w:p>
            <w:pPr>
              <w:jc w:val="center"/>
              <w:rPr>
                <w:rFonts w:ascii="Times New Roman" w:hAnsi="Times New Roman"/>
                <w:color w:val="000000"/>
              </w:rPr>
            </w:pPr>
            <w:r>
              <w:rPr>
                <w:rFonts w:ascii="Times New Roman" w:hAnsi="Times New Roman"/>
                <w:color w:val="000000"/>
              </w:rPr>
              <w:t>год</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2021</w:t>
            </w:r>
          </w:p>
          <w:p>
            <w:pPr>
              <w:jc w:val="center"/>
              <w:rPr>
                <w:rFonts w:ascii="Times New Roman" w:hAnsi="Times New Roman"/>
                <w:color w:val="000000"/>
              </w:rPr>
            </w:pPr>
            <w:r>
              <w:rPr>
                <w:rFonts w:ascii="Times New Roman" w:hAnsi="Times New Roman"/>
                <w:color w:val="000000"/>
              </w:rPr>
              <w:t>год</w:t>
            </w:r>
          </w:p>
        </w:tc>
        <w:tc>
          <w:tcPr>
            <w:tcW w:w="99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2022</w:t>
            </w:r>
          </w:p>
          <w:p>
            <w:pPr>
              <w:jc w:val="center"/>
              <w:rPr>
                <w:rFonts w:ascii="Times New Roman" w:hAnsi="Times New Roman"/>
                <w:color w:val="000000"/>
              </w:rPr>
            </w:pPr>
            <w:r>
              <w:rPr>
                <w:rFonts w:ascii="Times New Roman" w:hAnsi="Times New Roman"/>
                <w:color w:val="000000"/>
              </w:rPr>
              <w:t xml:space="preserve"> год</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2023</w:t>
            </w:r>
          </w:p>
          <w:p>
            <w:pPr>
              <w:jc w:val="center"/>
              <w:rPr>
                <w:rFonts w:ascii="Times New Roman" w:hAnsi="Times New Roman"/>
                <w:color w:val="000000"/>
              </w:rPr>
            </w:pPr>
            <w:r>
              <w:rPr>
                <w:rFonts w:ascii="Times New Roman" w:hAnsi="Times New Roman"/>
                <w:color w:val="000000"/>
              </w:rPr>
              <w:t>год</w:t>
            </w:r>
          </w:p>
        </w:tc>
      </w:tr>
      <w:tr>
        <w:trPr>
          <w:trHeight w:val="542"/>
        </w:trPr>
        <w:tc>
          <w:tcPr>
            <w:tcW w:w="39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1</w:t>
            </w:r>
          </w:p>
        </w:tc>
        <w:tc>
          <w:tcPr>
            <w:tcW w:w="3401"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rPr>
            </w:pPr>
            <w:r>
              <w:rPr>
                <w:rFonts w:ascii="Times New Roman" w:hAnsi="Times New Roman"/>
                <w:color w:val="000000"/>
              </w:rPr>
              <w:t>Спортивная подготовка по олимпийским видам спорта</w:t>
            </w:r>
          </w:p>
        </w:tc>
        <w:tc>
          <w:tcPr>
            <w:tcW w:w="184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Физические лица</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2 545</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3 315</w:t>
            </w:r>
          </w:p>
        </w:tc>
        <w:tc>
          <w:tcPr>
            <w:tcW w:w="993"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color w:val="000000"/>
              </w:rPr>
              <w:t>3 315</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color w:val="000000"/>
              </w:rPr>
              <w:t>3 315</w:t>
            </w:r>
          </w:p>
        </w:tc>
      </w:tr>
      <w:tr>
        <w:trPr>
          <w:trHeight w:val="542"/>
        </w:trPr>
        <w:tc>
          <w:tcPr>
            <w:tcW w:w="39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2</w:t>
            </w:r>
          </w:p>
        </w:tc>
        <w:tc>
          <w:tcPr>
            <w:tcW w:w="3401"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rPr>
            </w:pPr>
            <w:r>
              <w:rPr>
                <w:rFonts w:ascii="Times New Roman" w:hAnsi="Times New Roman"/>
                <w:color w:val="000000"/>
              </w:rPr>
              <w:t>Спортивная подготовка по неолимпийским видам спорта</w:t>
            </w:r>
          </w:p>
        </w:tc>
        <w:tc>
          <w:tcPr>
            <w:tcW w:w="184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Физические лица</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360</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870</w:t>
            </w:r>
          </w:p>
        </w:tc>
        <w:tc>
          <w:tcPr>
            <w:tcW w:w="99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870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870</w:t>
            </w:r>
          </w:p>
        </w:tc>
      </w:tr>
    </w:tbl>
    <w:p>
      <w:pPr>
        <w:autoSpaceDE w:val="0"/>
        <w:autoSpaceDN w:val="0"/>
        <w:adjustRightInd w:val="0"/>
        <w:spacing w:before="120"/>
        <w:jc w:val="center"/>
        <w:rPr>
          <w:rFonts w:ascii="Times New Roman" w:hAnsi="Times New Roman"/>
          <w:b/>
          <w:sz w:val="24"/>
          <w:szCs w:val="24"/>
        </w:rPr>
      </w:pPr>
    </w:p>
    <w:p>
      <w:pPr>
        <w:autoSpaceDE w:val="0"/>
        <w:autoSpaceDN w:val="0"/>
        <w:adjustRightInd w:val="0"/>
        <w:spacing w:before="120"/>
        <w:jc w:val="center"/>
        <w:rPr>
          <w:rFonts w:ascii="Times New Roman" w:eastAsia="Calibri" w:hAnsi="Times New Roman"/>
          <w:b/>
          <w:bCs/>
          <w:sz w:val="24"/>
          <w:szCs w:val="24"/>
          <w:lang w:eastAsia="en-US"/>
        </w:rPr>
      </w:pPr>
      <w:r>
        <w:rPr>
          <w:rFonts w:ascii="Times New Roman" w:hAnsi="Times New Roman"/>
          <w:b/>
          <w:sz w:val="24"/>
          <w:szCs w:val="24"/>
        </w:rPr>
        <w:t xml:space="preserve">2.5. Ассигнования </w:t>
      </w:r>
      <w:r>
        <w:rPr>
          <w:rFonts w:ascii="Times New Roman" w:eastAsia="Calibri" w:hAnsi="Times New Roman"/>
          <w:b/>
          <w:bCs/>
          <w:sz w:val="24"/>
          <w:szCs w:val="24"/>
          <w:lang w:eastAsia="en-US"/>
        </w:rPr>
        <w:t>на осуществление бюджетных инвестиций</w:t>
      </w:r>
    </w:p>
    <w:p>
      <w:pPr>
        <w:autoSpaceDE w:val="0"/>
        <w:autoSpaceDN w:val="0"/>
        <w:adjustRightInd w:val="0"/>
        <w:jc w:val="center"/>
        <w:rPr>
          <w:rFonts w:ascii="Times New Roman" w:eastAsia="Calibri" w:hAnsi="Times New Roman"/>
          <w:b/>
          <w:bCs/>
          <w:sz w:val="24"/>
          <w:szCs w:val="24"/>
          <w:lang w:eastAsia="en-US"/>
        </w:rPr>
      </w:pPr>
      <w:r>
        <w:rPr>
          <w:rFonts w:ascii="Times New Roman" w:eastAsia="Calibri" w:hAnsi="Times New Roman"/>
          <w:b/>
          <w:bCs/>
          <w:sz w:val="24"/>
          <w:szCs w:val="24"/>
          <w:lang w:eastAsia="en-US"/>
        </w:rPr>
        <w:t xml:space="preserve">в объекты капитального строительства и </w:t>
      </w:r>
      <w:r>
        <w:rPr>
          <w:rFonts w:ascii="Times New Roman" w:hAnsi="Times New Roman"/>
          <w:b/>
          <w:sz w:val="24"/>
          <w:szCs w:val="24"/>
        </w:rPr>
        <w:t>проведение капитальных ремонтов</w:t>
      </w:r>
    </w:p>
    <w:p>
      <w:pPr>
        <w:autoSpaceDE w:val="0"/>
        <w:autoSpaceDN w:val="0"/>
        <w:adjustRightInd w:val="0"/>
        <w:ind w:firstLine="540"/>
        <w:jc w:val="center"/>
        <w:rPr>
          <w:rFonts w:ascii="Times New Roman" w:hAnsi="Times New Roman"/>
          <w:b/>
          <w:sz w:val="16"/>
          <w:szCs w:val="16"/>
          <w:highlight w:val="yellow"/>
        </w:rPr>
      </w:pPr>
    </w:p>
    <w:p>
      <w:pPr>
        <w:ind w:firstLine="708"/>
        <w:jc w:val="both"/>
        <w:rPr>
          <w:rFonts w:ascii="Times New Roman" w:hAnsi="Times New Roman"/>
          <w:sz w:val="24"/>
          <w:szCs w:val="24"/>
        </w:rPr>
      </w:pPr>
      <w:r>
        <w:rPr>
          <w:rFonts w:ascii="Times New Roman" w:hAnsi="Times New Roman"/>
          <w:sz w:val="24"/>
          <w:szCs w:val="24"/>
        </w:rPr>
        <w:t>1) Ассигнования на</w:t>
      </w:r>
      <w:r>
        <w:rPr>
          <w:rFonts w:ascii="Times New Roman" w:hAnsi="Times New Roman"/>
          <w:color w:val="FF0000"/>
          <w:sz w:val="24"/>
          <w:szCs w:val="24"/>
        </w:rPr>
        <w:t xml:space="preserve"> </w:t>
      </w:r>
      <w:r>
        <w:rPr>
          <w:rFonts w:ascii="Times New Roman" w:eastAsia="Calibri" w:hAnsi="Times New Roman"/>
          <w:bCs/>
          <w:sz w:val="24"/>
          <w:szCs w:val="24"/>
          <w:lang w:eastAsia="en-US"/>
        </w:rPr>
        <w:t xml:space="preserve">осуществление бюджетных инвестиций в объекты капитального строительства </w:t>
      </w:r>
      <w:r>
        <w:rPr>
          <w:rFonts w:ascii="Times New Roman" w:hAnsi="Times New Roman"/>
          <w:sz w:val="24"/>
          <w:szCs w:val="24"/>
        </w:rPr>
        <w:t xml:space="preserve">предусмотрены на 2021 год в сумме </w:t>
      </w:r>
      <w:r>
        <w:rPr>
          <w:sz w:val="24"/>
          <w:szCs w:val="24"/>
        </w:rPr>
        <w:t>27 609,43</w:t>
      </w:r>
      <w:r>
        <w:t xml:space="preserve"> </w:t>
      </w:r>
      <w:r>
        <w:rPr>
          <w:rFonts w:ascii="Times New Roman" w:hAnsi="Times New Roman"/>
          <w:sz w:val="24"/>
          <w:szCs w:val="24"/>
        </w:rPr>
        <w:t>тыс.руб., на 2022 год – 91 947,12 тыс.руб., на 2023 год – 40 352,53 тыс.руб.</w:t>
      </w:r>
    </w:p>
    <w:p>
      <w:pPr>
        <w:spacing w:before="120"/>
        <w:ind w:firstLine="709"/>
        <w:jc w:val="both"/>
        <w:rPr>
          <w:rFonts w:ascii="Times New Roman" w:hAnsi="Times New Roman"/>
          <w:sz w:val="24"/>
          <w:szCs w:val="24"/>
        </w:rPr>
      </w:pPr>
      <w:r>
        <w:rPr>
          <w:rFonts w:ascii="Times New Roman" w:hAnsi="Times New Roman"/>
          <w:sz w:val="24"/>
          <w:szCs w:val="24"/>
        </w:rPr>
        <w:t xml:space="preserve">Таблица 35 - Распределение ассигнований на </w:t>
      </w:r>
      <w:r>
        <w:rPr>
          <w:rFonts w:ascii="Times New Roman" w:eastAsia="Calibri" w:hAnsi="Times New Roman"/>
          <w:bCs/>
          <w:sz w:val="24"/>
          <w:szCs w:val="24"/>
          <w:lang w:eastAsia="en-US"/>
        </w:rPr>
        <w:t>осуществление бюджетных инвестиций в объекты капитального строительства</w:t>
      </w:r>
    </w:p>
    <w:p>
      <w:pPr>
        <w:jc w:val="center"/>
        <w:rPr>
          <w:rFonts w:ascii="Times New Roman" w:hAnsi="Times New Roman"/>
          <w:b/>
          <w:color w:val="FF0000"/>
          <w:sz w:val="16"/>
          <w:szCs w:val="16"/>
          <w:highlight w:val="yellow"/>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276"/>
        <w:gridCol w:w="1134"/>
        <w:gridCol w:w="1134"/>
        <w:gridCol w:w="709"/>
        <w:gridCol w:w="1134"/>
        <w:gridCol w:w="1134"/>
      </w:tblGrid>
      <w:tr>
        <w:tc>
          <w:tcPr>
            <w:tcW w:w="2977"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Наименование</w:t>
            </w:r>
          </w:p>
        </w:tc>
        <w:tc>
          <w:tcPr>
            <w:tcW w:w="2410" w:type="dxa"/>
            <w:gridSpan w:val="2"/>
            <w:tcBorders>
              <w:top w:val="single" w:sz="4" w:space="0" w:color="auto"/>
              <w:left w:val="single" w:sz="4" w:space="0" w:color="auto"/>
              <w:right w:val="single" w:sz="4" w:space="0" w:color="auto"/>
            </w:tcBorders>
          </w:tcPr>
          <w:p>
            <w:pPr>
              <w:jc w:val="center"/>
              <w:rPr>
                <w:rFonts w:ascii="Times New Roman" w:hAnsi="Times New Roman"/>
              </w:rPr>
            </w:pPr>
            <w:r>
              <w:t>2020 год</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 2021 года</w:t>
            </w:r>
          </w:p>
        </w:tc>
        <w:tc>
          <w:tcPr>
            <w:tcW w:w="1134" w:type="dxa"/>
            <w:vMerge w:val="restart"/>
            <w:tcBorders>
              <w:top w:val="single" w:sz="4" w:space="0" w:color="auto"/>
              <w:left w:val="single" w:sz="4" w:space="0" w:color="auto"/>
              <w:bottom w:val="single" w:sz="4" w:space="0" w:color="auto"/>
              <w:right w:val="single" w:sz="4" w:space="0" w:color="auto"/>
            </w:tcBorders>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2022 года, тыс.руб.</w:t>
            </w:r>
          </w:p>
        </w:tc>
        <w:tc>
          <w:tcPr>
            <w:tcW w:w="1134" w:type="dxa"/>
            <w:vMerge w:val="restart"/>
            <w:tcBorders>
              <w:top w:val="single" w:sz="4" w:space="0" w:color="auto"/>
              <w:left w:val="single" w:sz="4" w:space="0" w:color="auto"/>
              <w:right w:val="single" w:sz="4" w:space="0" w:color="auto"/>
            </w:tcBorders>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2023 года, тыс.руб</w:t>
            </w:r>
          </w:p>
        </w:tc>
      </w:tr>
      <w:tr>
        <w:trPr>
          <w:trHeight w:val="611"/>
        </w:trPr>
        <w:tc>
          <w:tcPr>
            <w:tcW w:w="2977"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276" w:type="dxa"/>
            <w:tcBorders>
              <w:left w:val="single" w:sz="4" w:space="0" w:color="auto"/>
              <w:bottom w:val="single" w:sz="4" w:space="0" w:color="auto"/>
              <w:right w:val="single" w:sz="4" w:space="0" w:color="auto"/>
            </w:tcBorders>
          </w:tcPr>
          <w:p>
            <w:pPr>
              <w:jc w:val="center"/>
            </w:pPr>
            <w:r>
              <w:t>Первона-чально утверждено,</w:t>
            </w:r>
          </w:p>
          <w:p>
            <w:pPr>
              <w:jc w:val="center"/>
              <w:rPr>
                <w:rFonts w:ascii="Times New Roman" w:hAnsi="Times New Roman"/>
              </w:rPr>
            </w:pPr>
            <w:r>
              <w:t>тыс.руб.</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Оценка,</w:t>
            </w:r>
          </w:p>
          <w:p>
            <w:pPr>
              <w:jc w:val="center"/>
              <w:rPr>
                <w:rFonts w:ascii="Times New Roman" w:hAnsi="Times New Roman"/>
              </w:rPr>
            </w:pPr>
            <w:r>
              <w:rPr>
                <w:rFonts w:ascii="Times New Roman" w:hAnsi="Times New Roman"/>
              </w:rPr>
              <w:t>тыс.руб.</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Сумма,</w:t>
            </w:r>
          </w:p>
          <w:p>
            <w:pPr>
              <w:jc w:val="center"/>
              <w:rPr>
                <w:rFonts w:ascii="Times New Roman" w:hAnsi="Times New Roman"/>
              </w:rPr>
            </w:pPr>
            <w:r>
              <w:rPr>
                <w:rFonts w:ascii="Times New Roman" w:hAnsi="Times New Roman"/>
              </w:rPr>
              <w:t>тыс.руб.</w:t>
            </w:r>
          </w:p>
        </w:tc>
        <w:tc>
          <w:tcPr>
            <w:tcW w:w="709"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w:t>
            </w:r>
          </w:p>
        </w:tc>
        <w:tc>
          <w:tcPr>
            <w:tcW w:w="1134"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134" w:type="dxa"/>
            <w:vMerge/>
            <w:tcBorders>
              <w:left w:val="single" w:sz="4" w:space="0" w:color="auto"/>
              <w:bottom w:val="single" w:sz="4" w:space="0" w:color="auto"/>
              <w:right w:val="single" w:sz="4" w:space="0" w:color="auto"/>
            </w:tcBorders>
          </w:tcPr>
          <w:p>
            <w:pPr>
              <w:rPr>
                <w:rFonts w:ascii="Times New Roman" w:hAnsi="Times New Roman"/>
              </w:rPr>
            </w:pPr>
          </w:p>
        </w:tc>
      </w:tr>
      <w:tr>
        <w:tc>
          <w:tcPr>
            <w:tcW w:w="2977" w:type="dxa"/>
            <w:tcBorders>
              <w:top w:val="single" w:sz="4" w:space="0" w:color="auto"/>
              <w:left w:val="single" w:sz="4" w:space="0" w:color="auto"/>
              <w:bottom w:val="single" w:sz="4" w:space="0" w:color="auto"/>
              <w:right w:val="single" w:sz="4" w:space="0" w:color="auto"/>
            </w:tcBorders>
            <w:vAlign w:val="center"/>
            <w:hideMark/>
          </w:tcPr>
          <w:p>
            <w:r>
              <w:t>ВСЕГО, в т.ч. по подразделам</w:t>
            </w:r>
          </w:p>
        </w:tc>
        <w:tc>
          <w:tcPr>
            <w:tcW w:w="1276" w:type="dxa"/>
            <w:tcBorders>
              <w:top w:val="single" w:sz="4" w:space="0" w:color="auto"/>
              <w:left w:val="single" w:sz="4" w:space="0" w:color="auto"/>
              <w:bottom w:val="single" w:sz="4" w:space="0" w:color="auto"/>
              <w:right w:val="single" w:sz="4" w:space="0" w:color="auto"/>
            </w:tcBorders>
          </w:tcPr>
          <w:p>
            <w:pPr>
              <w:jc w:val="right"/>
            </w:pPr>
            <w:r>
              <w:t>41 663,21</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r>
              <w:t>52 736,68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r>
              <w:t>27 609,43</w:t>
            </w:r>
          </w:p>
        </w:tc>
        <w:tc>
          <w:tcPr>
            <w:tcW w:w="709" w:type="dxa"/>
            <w:tcBorders>
              <w:top w:val="single" w:sz="4" w:space="0" w:color="auto"/>
              <w:left w:val="single" w:sz="4" w:space="0" w:color="auto"/>
              <w:bottom w:val="single" w:sz="4" w:space="0" w:color="auto"/>
              <w:right w:val="single" w:sz="4" w:space="0" w:color="auto"/>
            </w:tcBorders>
            <w:vAlign w:val="center"/>
            <w:hideMark/>
          </w:tcPr>
          <w:p>
            <w:pPr>
              <w:jc w:val="center"/>
            </w:pPr>
            <w:r>
              <w:t>52,35</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r>
              <w:t>91 947,12</w:t>
            </w:r>
          </w:p>
        </w:tc>
        <w:tc>
          <w:tcPr>
            <w:tcW w:w="1134" w:type="dxa"/>
            <w:tcBorders>
              <w:top w:val="single" w:sz="4" w:space="0" w:color="auto"/>
              <w:left w:val="single" w:sz="4" w:space="0" w:color="auto"/>
              <w:bottom w:val="single" w:sz="4" w:space="0" w:color="auto"/>
              <w:right w:val="single" w:sz="4" w:space="0" w:color="auto"/>
            </w:tcBorders>
          </w:tcPr>
          <w:p>
            <w:pPr>
              <w:jc w:val="right"/>
            </w:pPr>
            <w:r>
              <w:t>40 352,53</w:t>
            </w:r>
          </w:p>
        </w:tc>
      </w:tr>
      <w:tr>
        <w:trPr>
          <w:trHeight w:val="583"/>
        </w:trPr>
        <w:tc>
          <w:tcPr>
            <w:tcW w:w="2977" w:type="dxa"/>
            <w:tcBorders>
              <w:top w:val="single" w:sz="4" w:space="0" w:color="auto"/>
              <w:left w:val="single" w:sz="4" w:space="0" w:color="auto"/>
              <w:bottom w:val="single" w:sz="4" w:space="0" w:color="auto"/>
              <w:right w:val="single" w:sz="4" w:space="0" w:color="auto"/>
            </w:tcBorders>
            <w:vAlign w:val="center"/>
            <w:hideMark/>
          </w:tcPr>
          <w:p>
            <w:r>
              <w:t>Другие общегосударственные вопросы</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100,00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r>
              <w:t>10,00</w:t>
            </w:r>
          </w:p>
        </w:tc>
        <w:tc>
          <w:tcPr>
            <w:tcW w:w="1134" w:type="dxa"/>
            <w:tcBorders>
              <w:top w:val="single" w:sz="4" w:space="0" w:color="auto"/>
              <w:left w:val="single" w:sz="4" w:space="0" w:color="auto"/>
              <w:bottom w:val="single" w:sz="4" w:space="0" w:color="auto"/>
              <w:right w:val="single" w:sz="4" w:space="0" w:color="auto"/>
            </w:tcBorders>
            <w:vAlign w:val="center"/>
          </w:tcPr>
          <w:p>
            <w:pPr>
              <w:jc w:val="right"/>
            </w:pPr>
          </w:p>
        </w:tc>
        <w:tc>
          <w:tcPr>
            <w:tcW w:w="709" w:type="dxa"/>
            <w:tcBorders>
              <w:top w:val="single" w:sz="4" w:space="0" w:color="auto"/>
              <w:left w:val="single" w:sz="4" w:space="0" w:color="auto"/>
              <w:bottom w:val="single" w:sz="4" w:space="0" w:color="auto"/>
              <w:right w:val="single" w:sz="4" w:space="0" w:color="auto"/>
            </w:tcBorders>
            <w:vAlign w:val="center"/>
          </w:tcPr>
          <w:p>
            <w:pPr>
              <w:jc w:val="center"/>
              <w:rPr>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pPr>
              <w:jc w:val="right"/>
            </w:pPr>
          </w:p>
        </w:tc>
        <w:tc>
          <w:tcPr>
            <w:tcW w:w="1134" w:type="dxa"/>
            <w:tcBorders>
              <w:top w:val="single" w:sz="4" w:space="0" w:color="auto"/>
              <w:left w:val="single" w:sz="4" w:space="0" w:color="auto"/>
              <w:bottom w:val="single" w:sz="4" w:space="0" w:color="auto"/>
              <w:right w:val="single" w:sz="4" w:space="0" w:color="auto"/>
            </w:tcBorders>
            <w:vAlign w:val="center"/>
          </w:tcPr>
          <w:p>
            <w:pPr>
              <w:jc w:val="right"/>
            </w:pPr>
          </w:p>
        </w:tc>
      </w:tr>
      <w:tr>
        <w:trPr>
          <w:trHeight w:val="563"/>
        </w:trPr>
        <w:tc>
          <w:tcPr>
            <w:tcW w:w="2977" w:type="dxa"/>
            <w:tcBorders>
              <w:top w:val="single" w:sz="4" w:space="0" w:color="auto"/>
              <w:left w:val="single" w:sz="4" w:space="0" w:color="auto"/>
              <w:bottom w:val="single" w:sz="4" w:space="0" w:color="auto"/>
              <w:right w:val="single" w:sz="4" w:space="0" w:color="auto"/>
            </w:tcBorders>
            <w:vAlign w:val="center"/>
            <w:hideMark/>
          </w:tcPr>
          <w:p>
            <w:r>
              <w:t>Дорожное хозяйство (дорожные фонды)</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4 269,89</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r>
              <w:t>215,72</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p>
        </w:tc>
        <w:tc>
          <w:tcPr>
            <w:tcW w:w="709" w:type="dxa"/>
            <w:tcBorders>
              <w:top w:val="single" w:sz="4" w:space="0" w:color="auto"/>
              <w:left w:val="single" w:sz="4" w:space="0" w:color="auto"/>
              <w:bottom w:val="single" w:sz="4" w:space="0" w:color="auto"/>
              <w:right w:val="single" w:sz="4" w:space="0" w:color="auto"/>
            </w:tcBorders>
            <w:vAlign w:val="center"/>
            <w:hideMark/>
          </w:tcPr>
          <w:p>
            <w:pPr>
              <w:jc w:val="center"/>
              <w:rPr>
                <w:highlight w:val="yellow"/>
              </w:rPr>
            </w:pP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p>
        </w:tc>
        <w:tc>
          <w:tcPr>
            <w:tcW w:w="1134" w:type="dxa"/>
            <w:tcBorders>
              <w:top w:val="single" w:sz="4" w:space="0" w:color="auto"/>
              <w:left w:val="single" w:sz="4" w:space="0" w:color="auto"/>
              <w:bottom w:val="single" w:sz="4" w:space="0" w:color="auto"/>
              <w:right w:val="single" w:sz="4" w:space="0" w:color="auto"/>
            </w:tcBorders>
            <w:vAlign w:val="center"/>
          </w:tcPr>
          <w:p>
            <w:pPr>
              <w:jc w:val="right"/>
            </w:pPr>
          </w:p>
        </w:tc>
      </w:tr>
      <w:tr>
        <w:tc>
          <w:tcPr>
            <w:tcW w:w="2977" w:type="dxa"/>
            <w:tcBorders>
              <w:top w:val="single" w:sz="4" w:space="0" w:color="auto"/>
              <w:left w:val="single" w:sz="4" w:space="0" w:color="auto"/>
              <w:bottom w:val="single" w:sz="4" w:space="0" w:color="auto"/>
              <w:right w:val="single" w:sz="4" w:space="0" w:color="auto"/>
            </w:tcBorders>
            <w:vAlign w:val="center"/>
            <w:hideMark/>
          </w:tcPr>
          <w:p>
            <w:r>
              <w:t>Коммунальное хозяйство</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highlight w:val="yellow"/>
              </w:rPr>
            </w:pP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highlight w:val="yellow"/>
              </w:rPr>
            </w:pPr>
            <w:r>
              <w:t>8 931,22</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r>
              <w:t>2 609,43</w:t>
            </w:r>
          </w:p>
        </w:tc>
        <w:tc>
          <w:tcPr>
            <w:tcW w:w="709" w:type="dxa"/>
            <w:tcBorders>
              <w:top w:val="single" w:sz="4" w:space="0" w:color="auto"/>
              <w:left w:val="single" w:sz="4" w:space="0" w:color="auto"/>
              <w:bottom w:val="single" w:sz="4" w:space="0" w:color="auto"/>
              <w:right w:val="single" w:sz="4" w:space="0" w:color="auto"/>
            </w:tcBorders>
            <w:vAlign w:val="center"/>
            <w:hideMark/>
          </w:tcPr>
          <w:p>
            <w:pPr>
              <w:jc w:val="center"/>
            </w:pPr>
            <w:r>
              <w:t>29,2</w:t>
            </w:r>
          </w:p>
        </w:tc>
        <w:tc>
          <w:tcPr>
            <w:tcW w:w="1134" w:type="dxa"/>
            <w:tcBorders>
              <w:top w:val="single" w:sz="4" w:space="0" w:color="auto"/>
              <w:left w:val="single" w:sz="4" w:space="0" w:color="auto"/>
              <w:bottom w:val="single" w:sz="4" w:space="0" w:color="auto"/>
              <w:right w:val="single" w:sz="4" w:space="0" w:color="auto"/>
            </w:tcBorders>
            <w:vAlign w:val="center"/>
          </w:tcPr>
          <w:p>
            <w:pPr>
              <w:jc w:val="right"/>
            </w:pPr>
            <w:r>
              <w:t>71 316,24</w:t>
            </w:r>
          </w:p>
        </w:tc>
        <w:tc>
          <w:tcPr>
            <w:tcW w:w="1134"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2977" w:type="dxa"/>
            <w:tcBorders>
              <w:top w:val="single" w:sz="4" w:space="0" w:color="auto"/>
              <w:left w:val="single" w:sz="4" w:space="0" w:color="auto"/>
              <w:bottom w:val="single" w:sz="4" w:space="0" w:color="auto"/>
              <w:right w:val="single" w:sz="4" w:space="0" w:color="auto"/>
            </w:tcBorders>
            <w:vAlign w:val="center"/>
            <w:hideMark/>
          </w:tcPr>
          <w:p>
            <w:r>
              <w:t>Благоустройство</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36 554,14</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r>
              <w:t>42 840,56</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r>
              <w:t>25 000,00</w:t>
            </w:r>
          </w:p>
        </w:tc>
        <w:tc>
          <w:tcPr>
            <w:tcW w:w="709" w:type="dxa"/>
            <w:tcBorders>
              <w:top w:val="single" w:sz="4" w:space="0" w:color="auto"/>
              <w:left w:val="single" w:sz="4" w:space="0" w:color="auto"/>
              <w:bottom w:val="single" w:sz="4" w:space="0" w:color="auto"/>
              <w:right w:val="single" w:sz="4" w:space="0" w:color="auto"/>
            </w:tcBorders>
            <w:vAlign w:val="center"/>
            <w:hideMark/>
          </w:tcPr>
          <w:p>
            <w:pPr>
              <w:jc w:val="center"/>
            </w:pPr>
            <w:r>
              <w:t>58,4</w:t>
            </w:r>
          </w:p>
        </w:tc>
        <w:tc>
          <w:tcPr>
            <w:tcW w:w="1134" w:type="dxa"/>
            <w:tcBorders>
              <w:top w:val="single" w:sz="4" w:space="0" w:color="auto"/>
              <w:left w:val="single" w:sz="4" w:space="0" w:color="auto"/>
              <w:bottom w:val="single" w:sz="4" w:space="0" w:color="auto"/>
              <w:right w:val="single" w:sz="4" w:space="0" w:color="auto"/>
            </w:tcBorders>
            <w:vAlign w:val="center"/>
          </w:tcPr>
          <w:p>
            <w:pPr>
              <w:jc w:val="right"/>
            </w:pPr>
            <w:r>
              <w:t>20 630,88</w:t>
            </w:r>
          </w:p>
        </w:tc>
        <w:tc>
          <w:tcPr>
            <w:tcW w:w="1134" w:type="dxa"/>
            <w:tcBorders>
              <w:top w:val="single" w:sz="4" w:space="0" w:color="auto"/>
              <w:left w:val="single" w:sz="4" w:space="0" w:color="auto"/>
              <w:bottom w:val="single" w:sz="4" w:space="0" w:color="auto"/>
              <w:right w:val="single" w:sz="4" w:space="0" w:color="auto"/>
            </w:tcBorders>
          </w:tcPr>
          <w:p>
            <w:pPr>
              <w:jc w:val="right"/>
            </w:pPr>
            <w:r>
              <w:t>40 352,53</w:t>
            </w:r>
          </w:p>
        </w:tc>
      </w:tr>
      <w:tr>
        <w:tc>
          <w:tcPr>
            <w:tcW w:w="2977" w:type="dxa"/>
            <w:tcBorders>
              <w:top w:val="single" w:sz="4" w:space="0" w:color="auto"/>
              <w:left w:val="single" w:sz="4" w:space="0" w:color="auto"/>
              <w:bottom w:val="single" w:sz="4" w:space="0" w:color="auto"/>
              <w:right w:val="single" w:sz="4" w:space="0" w:color="auto"/>
            </w:tcBorders>
            <w:vAlign w:val="center"/>
            <w:hideMark/>
          </w:tcPr>
          <w:p>
            <w:r>
              <w:t xml:space="preserve">Физическая культура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highlight w:val="yellow"/>
              </w:rPr>
            </w:pPr>
            <w:r>
              <w:t>739,18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highlight w:val="yellow"/>
              </w:rPr>
            </w:pPr>
            <w:r>
              <w:t>739,18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p>
        </w:tc>
        <w:tc>
          <w:tcPr>
            <w:tcW w:w="709" w:type="dxa"/>
            <w:tcBorders>
              <w:top w:val="single" w:sz="4" w:space="0" w:color="auto"/>
              <w:left w:val="single" w:sz="4" w:space="0" w:color="auto"/>
              <w:bottom w:val="single" w:sz="4" w:space="0" w:color="auto"/>
              <w:right w:val="single" w:sz="4" w:space="0" w:color="auto"/>
            </w:tcBorders>
            <w:vAlign w:val="center"/>
            <w:hideMark/>
          </w:tcPr>
          <w:p>
            <w:pPr>
              <w:jc w:val="center"/>
            </w:pP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pPr>
          </w:p>
        </w:tc>
        <w:tc>
          <w:tcPr>
            <w:tcW w:w="1134" w:type="dxa"/>
            <w:tcBorders>
              <w:top w:val="single" w:sz="4" w:space="0" w:color="auto"/>
              <w:left w:val="single" w:sz="4" w:space="0" w:color="auto"/>
              <w:bottom w:val="single" w:sz="4" w:space="0" w:color="auto"/>
              <w:right w:val="single" w:sz="4" w:space="0" w:color="auto"/>
            </w:tcBorders>
          </w:tcPr>
          <w:p>
            <w:pPr>
              <w:jc w:val="right"/>
            </w:pPr>
          </w:p>
        </w:tc>
      </w:tr>
    </w:tbl>
    <w:p>
      <w:pPr>
        <w:jc w:val="center"/>
        <w:rPr>
          <w:rFonts w:ascii="Times New Roman" w:hAnsi="Times New Roman"/>
          <w:b/>
          <w:color w:val="FF0000"/>
          <w:sz w:val="16"/>
          <w:szCs w:val="16"/>
          <w:highlight w:val="yellow"/>
        </w:rPr>
      </w:pPr>
    </w:p>
    <w:p>
      <w:pPr>
        <w:ind w:firstLine="708"/>
        <w:jc w:val="both"/>
        <w:rPr>
          <w:rFonts w:ascii="Times New Roman" w:hAnsi="Times New Roman"/>
          <w:sz w:val="24"/>
          <w:szCs w:val="24"/>
        </w:rPr>
      </w:pPr>
      <w:r>
        <w:rPr>
          <w:rFonts w:ascii="Times New Roman" w:hAnsi="Times New Roman"/>
          <w:sz w:val="24"/>
          <w:szCs w:val="24"/>
        </w:rPr>
        <w:t xml:space="preserve">2) Ассигнования на проведение капитальных ремонтов объектов муниципальной собственности предусмотрены на 2021 год в сумме </w:t>
      </w:r>
      <w:r>
        <w:rPr>
          <w:sz w:val="24"/>
          <w:szCs w:val="24"/>
        </w:rPr>
        <w:t>70 428,54</w:t>
      </w:r>
      <w:r>
        <w:t xml:space="preserve"> </w:t>
      </w:r>
      <w:r>
        <w:rPr>
          <w:rFonts w:ascii="Times New Roman" w:hAnsi="Times New Roman"/>
          <w:sz w:val="24"/>
          <w:szCs w:val="24"/>
        </w:rPr>
        <w:t>тыс.руб., на 2022 год – 5 247,65</w:t>
      </w:r>
      <w:r>
        <w:rPr>
          <w:rFonts w:ascii="Times New Roman" w:hAnsi="Times New Roman"/>
        </w:rPr>
        <w:t> </w:t>
      </w:r>
      <w:r>
        <w:rPr>
          <w:rFonts w:ascii="Times New Roman" w:hAnsi="Times New Roman"/>
          <w:sz w:val="24"/>
          <w:szCs w:val="24"/>
        </w:rPr>
        <w:t>тыс.руб.</w:t>
      </w:r>
    </w:p>
    <w:p>
      <w:pPr>
        <w:spacing w:before="120" w:after="120"/>
        <w:ind w:firstLine="708"/>
        <w:jc w:val="both"/>
        <w:rPr>
          <w:rFonts w:ascii="Times New Roman" w:hAnsi="Times New Roman"/>
          <w:sz w:val="24"/>
          <w:szCs w:val="24"/>
        </w:rPr>
      </w:pPr>
      <w:r>
        <w:rPr>
          <w:rFonts w:ascii="Times New Roman" w:hAnsi="Times New Roman"/>
          <w:sz w:val="24"/>
          <w:szCs w:val="24"/>
        </w:rPr>
        <w:t xml:space="preserve">Таблица  36 -  Распределение ассигнований на капитальный ремонт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559"/>
        <w:gridCol w:w="1276"/>
        <w:gridCol w:w="1276"/>
        <w:gridCol w:w="992"/>
        <w:gridCol w:w="1134"/>
      </w:tblGrid>
      <w:tr>
        <w:tc>
          <w:tcPr>
            <w:tcW w:w="3119"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Наименование</w:t>
            </w:r>
          </w:p>
        </w:tc>
        <w:tc>
          <w:tcPr>
            <w:tcW w:w="2835" w:type="dxa"/>
            <w:gridSpan w:val="2"/>
            <w:tcBorders>
              <w:top w:val="single" w:sz="4" w:space="0" w:color="auto"/>
              <w:left w:val="single" w:sz="4" w:space="0" w:color="auto"/>
              <w:bottom w:val="single" w:sz="4" w:space="0" w:color="auto"/>
              <w:right w:val="single" w:sz="4" w:space="0" w:color="auto"/>
            </w:tcBorders>
          </w:tcPr>
          <w:p>
            <w:pPr>
              <w:jc w:val="center"/>
              <w:rPr>
                <w:rFonts w:ascii="Times New Roman" w:hAnsi="Times New Roman"/>
              </w:rPr>
            </w:pPr>
            <w:r>
              <w:t>2020 год</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 2021 года</w:t>
            </w:r>
          </w:p>
        </w:tc>
        <w:tc>
          <w:tcPr>
            <w:tcW w:w="1134" w:type="dxa"/>
            <w:vMerge w:val="restart"/>
            <w:tcBorders>
              <w:top w:val="single" w:sz="4" w:space="0" w:color="auto"/>
              <w:left w:val="single" w:sz="4" w:space="0" w:color="auto"/>
              <w:bottom w:val="single" w:sz="4" w:space="0" w:color="auto"/>
              <w:right w:val="single" w:sz="4" w:space="0" w:color="auto"/>
            </w:tcBorders>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2022 года, тыс.руб.</w:t>
            </w:r>
          </w:p>
        </w:tc>
      </w:tr>
      <w:tr>
        <w:trPr>
          <w:trHeight w:val="1062"/>
        </w:trPr>
        <w:tc>
          <w:tcPr>
            <w:tcW w:w="3119"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pPr>
              <w:jc w:val="center"/>
            </w:pPr>
            <w:r>
              <w:t>Первоначально утверждено,</w:t>
            </w:r>
          </w:p>
          <w:p>
            <w:pPr>
              <w:jc w:val="center"/>
              <w:rPr>
                <w:rFonts w:ascii="Times New Roman" w:hAnsi="Times New Roman"/>
              </w:rPr>
            </w:pPr>
            <w:r>
              <w:t>тыс.руб.</w:t>
            </w:r>
          </w:p>
        </w:tc>
        <w:tc>
          <w:tcPr>
            <w:tcW w:w="1276" w:type="dxa"/>
            <w:tcBorders>
              <w:top w:val="single" w:sz="4" w:space="0" w:color="auto"/>
              <w:left w:val="single" w:sz="4" w:space="0" w:color="auto"/>
              <w:bottom w:val="single" w:sz="4" w:space="0" w:color="auto"/>
              <w:right w:val="single" w:sz="4" w:space="0" w:color="auto"/>
            </w:tcBorders>
            <w:hideMark/>
          </w:tcPr>
          <w:p>
            <w:pPr>
              <w:jc w:val="center"/>
              <w:rPr>
                <w:rFonts w:ascii="Times New Roman" w:hAnsi="Times New Roman"/>
              </w:rPr>
            </w:pPr>
            <w:r>
              <w:rPr>
                <w:rFonts w:ascii="Times New Roman" w:hAnsi="Times New Roman"/>
              </w:rPr>
              <w:t>Оценка,</w:t>
            </w:r>
          </w:p>
          <w:p>
            <w:pPr>
              <w:jc w:val="center"/>
              <w:rPr>
                <w:rFonts w:ascii="Times New Roman" w:hAnsi="Times New Roman"/>
              </w:rPr>
            </w:pPr>
            <w:r>
              <w:rPr>
                <w:rFonts w:ascii="Times New Roman" w:hAnsi="Times New Roman"/>
              </w:rPr>
              <w:t>тыс.руб.</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Сумма,</w:t>
            </w:r>
          </w:p>
          <w:p>
            <w:pPr>
              <w:jc w:val="center"/>
              <w:rPr>
                <w:rFonts w:ascii="Times New Roman" w:hAnsi="Times New Roman"/>
              </w:rPr>
            </w:pPr>
            <w:r>
              <w:rPr>
                <w:rFonts w:ascii="Times New Roman" w:hAnsi="Times New Roman"/>
              </w:rPr>
              <w:t>тыс.руб.</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w:t>
            </w:r>
          </w:p>
        </w:tc>
        <w:tc>
          <w:tcPr>
            <w:tcW w:w="1134"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r>
      <w:tr>
        <w:trPr>
          <w:trHeight w:val="317"/>
        </w:trPr>
        <w:tc>
          <w:tcPr>
            <w:tcW w:w="3119"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rPr>
            </w:pPr>
            <w:r>
              <w:rPr>
                <w:rFonts w:ascii="Times New Roman" w:hAnsi="Times New Roman"/>
              </w:rPr>
              <w:t>6</w:t>
            </w:r>
          </w:p>
        </w:tc>
      </w:tr>
      <w:tr>
        <w:trPr>
          <w:trHeight w:val="317"/>
        </w:trPr>
        <w:tc>
          <w:tcPr>
            <w:tcW w:w="3119" w:type="dxa"/>
            <w:tcBorders>
              <w:top w:val="single" w:sz="4" w:space="0" w:color="auto"/>
              <w:left w:val="single" w:sz="4" w:space="0" w:color="auto"/>
              <w:bottom w:val="single" w:sz="4" w:space="0" w:color="auto"/>
              <w:right w:val="single" w:sz="4" w:space="0" w:color="auto"/>
            </w:tcBorders>
            <w:vAlign w:val="center"/>
            <w:hideMark/>
          </w:tcPr>
          <w:p>
            <w:pPr>
              <w:rPr>
                <w:bCs/>
              </w:rPr>
            </w:pPr>
            <w:r>
              <w:rPr>
                <w:bCs/>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121 370,22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124 141,35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70 428,54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56,7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rPr>
                <w:rFonts w:ascii="Times New Roman" w:hAnsi="Times New Roman"/>
              </w:rPr>
              <w:t>5 247,65 </w:t>
            </w:r>
          </w:p>
        </w:tc>
      </w:tr>
      <w:tr>
        <w:trPr>
          <w:trHeight w:val="549"/>
        </w:trPr>
        <w:tc>
          <w:tcPr>
            <w:tcW w:w="3119" w:type="dxa"/>
            <w:tcBorders>
              <w:top w:val="single" w:sz="4" w:space="0" w:color="auto"/>
              <w:left w:val="single" w:sz="4" w:space="0" w:color="auto"/>
              <w:bottom w:val="single" w:sz="4" w:space="0" w:color="auto"/>
              <w:right w:val="single" w:sz="4" w:space="0" w:color="auto"/>
            </w:tcBorders>
            <w:vAlign w:val="center"/>
            <w:hideMark/>
          </w:tcPr>
          <w:p>
            <w:pPr>
              <w:rPr>
                <w:bCs/>
              </w:rPr>
            </w:pPr>
            <w:r>
              <w:rPr>
                <w:bCs/>
              </w:rPr>
              <w:t xml:space="preserve">УКС Администрации ЗАТО Северск, в т.ч. объектов: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119 978,36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123 083,53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69 370,72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56,4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4 189,83</w:t>
            </w:r>
          </w:p>
        </w:tc>
      </w:tr>
      <w:tr>
        <w:trPr>
          <w:trHeight w:val="288"/>
        </w:trPr>
        <w:tc>
          <w:tcPr>
            <w:tcW w:w="3119" w:type="dxa"/>
            <w:tcBorders>
              <w:top w:val="single" w:sz="4" w:space="0" w:color="auto"/>
              <w:left w:val="single" w:sz="4" w:space="0" w:color="auto"/>
              <w:bottom w:val="single" w:sz="4" w:space="0" w:color="auto"/>
              <w:right w:val="single" w:sz="4" w:space="0" w:color="auto"/>
            </w:tcBorders>
            <w:hideMark/>
          </w:tcPr>
          <w:p>
            <w:pPr>
              <w:jc w:val="center"/>
            </w:pPr>
            <w:r>
              <w:t xml:space="preserve">- нежилых помещений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pPr>
            <w:r>
              <w:t>100,00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r>
      <w:tr>
        <w:tc>
          <w:tcPr>
            <w:tcW w:w="3119" w:type="dxa"/>
            <w:tcBorders>
              <w:top w:val="single" w:sz="4" w:space="0" w:color="auto"/>
              <w:left w:val="single" w:sz="4" w:space="0" w:color="auto"/>
              <w:bottom w:val="single" w:sz="4" w:space="0" w:color="auto"/>
              <w:right w:val="single" w:sz="4" w:space="0" w:color="auto"/>
            </w:tcBorders>
            <w:hideMark/>
          </w:tcPr>
          <w:p>
            <w:pPr>
              <w:jc w:val="center"/>
            </w:pPr>
            <w:r>
              <w:t>- улично-дорожной сети</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pPr>
            <w:r>
              <w:t>104 114,74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pPr>
            <w:r>
              <w:t>101 144,58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r>
      <w:tr>
        <w:tc>
          <w:tcPr>
            <w:tcW w:w="3119" w:type="dxa"/>
            <w:tcBorders>
              <w:top w:val="single" w:sz="4" w:space="0" w:color="auto"/>
              <w:left w:val="single" w:sz="4" w:space="0" w:color="auto"/>
              <w:bottom w:val="single" w:sz="4" w:space="0" w:color="auto"/>
              <w:right w:val="single" w:sz="4" w:space="0" w:color="auto"/>
            </w:tcBorders>
            <w:hideMark/>
          </w:tcPr>
          <w:p>
            <w:pPr>
              <w:jc w:val="center"/>
            </w:pPr>
            <w:r>
              <w:t>-объектов   благоустройства</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pPr>
            <w:r>
              <w:t>479,61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pPr>
            <w:r>
              <w:t>157,32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r>
      <w:tr>
        <w:tc>
          <w:tcPr>
            <w:tcW w:w="3119" w:type="dxa"/>
            <w:tcBorders>
              <w:top w:val="single" w:sz="4" w:space="0" w:color="auto"/>
              <w:left w:val="single" w:sz="4" w:space="0" w:color="auto"/>
              <w:bottom w:val="single" w:sz="4" w:space="0" w:color="auto"/>
              <w:right w:val="single" w:sz="4" w:space="0" w:color="auto"/>
            </w:tcBorders>
            <w:hideMark/>
          </w:tcPr>
          <w:p>
            <w:pPr>
              <w:jc w:val="center"/>
            </w:pPr>
            <w:r>
              <w:t>- детских садов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6 265,97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5 324,59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r>
      <w:tr>
        <w:tc>
          <w:tcPr>
            <w:tcW w:w="3119" w:type="dxa"/>
            <w:tcBorders>
              <w:top w:val="single" w:sz="4" w:space="0" w:color="auto"/>
              <w:left w:val="single" w:sz="4" w:space="0" w:color="auto"/>
              <w:bottom w:val="single" w:sz="4" w:space="0" w:color="auto"/>
              <w:right w:val="single" w:sz="4" w:space="0" w:color="auto"/>
            </w:tcBorders>
            <w:hideMark/>
          </w:tcPr>
          <w:p>
            <w:pPr>
              <w:jc w:val="center"/>
            </w:pPr>
            <w:r>
              <w:t>- школ (вкл. доп. образование)</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3 995,00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5 498,8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55 505,04 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в 10,1 раз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r>
      <w:tr>
        <w:tc>
          <w:tcPr>
            <w:tcW w:w="3119" w:type="dxa"/>
            <w:tcBorders>
              <w:top w:val="single" w:sz="4" w:space="0" w:color="auto"/>
              <w:left w:val="single" w:sz="4" w:space="0" w:color="auto"/>
              <w:bottom w:val="single" w:sz="4" w:space="0" w:color="auto"/>
              <w:right w:val="single" w:sz="4" w:space="0" w:color="auto"/>
            </w:tcBorders>
            <w:hideMark/>
          </w:tcPr>
          <w:p>
            <w:pPr>
              <w:jc w:val="center"/>
              <w:rPr>
                <w:highlight w:val="yellow"/>
              </w:rPr>
            </w:pPr>
            <w:r>
              <w:t>- другие вопросы в области образования</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1 337,10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r>
      <w:tr>
        <w:tc>
          <w:tcPr>
            <w:tcW w:w="3119"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lastRenderedPageBreak/>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center"/>
            </w:pPr>
            <w:r>
              <w:t>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center"/>
            </w:pPr>
            <w: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rPr>
            </w:pPr>
            <w:r>
              <w:rPr>
                <w:rFonts w:ascii="Times New Roman" w:hAnsi="Times New Roman"/>
              </w:rPr>
              <w:t>6</w:t>
            </w:r>
          </w:p>
        </w:tc>
      </w:tr>
      <w:tr>
        <w:tc>
          <w:tcPr>
            <w:tcW w:w="3119" w:type="dxa"/>
            <w:tcBorders>
              <w:top w:val="single" w:sz="4" w:space="0" w:color="auto"/>
              <w:left w:val="single" w:sz="4" w:space="0" w:color="auto"/>
              <w:bottom w:val="single" w:sz="4" w:space="0" w:color="auto"/>
              <w:right w:val="single" w:sz="4" w:space="0" w:color="auto"/>
            </w:tcBorders>
            <w:hideMark/>
          </w:tcPr>
          <w:p>
            <w:pPr>
              <w:jc w:val="center"/>
            </w:pPr>
            <w:r>
              <w:t>- учреждений культуры</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pPr>
            <w:r>
              <w:t xml:space="preserve">5 123,04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pPr>
            <w:r>
              <w:t>7 032,01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13 865,68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в 1,9 раз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4 189,83</w:t>
            </w:r>
          </w:p>
        </w:tc>
      </w:tr>
      <w:tr>
        <w:tc>
          <w:tcPr>
            <w:tcW w:w="3119" w:type="dxa"/>
            <w:tcBorders>
              <w:top w:val="single" w:sz="4" w:space="0" w:color="auto"/>
              <w:left w:val="single" w:sz="4" w:space="0" w:color="auto"/>
              <w:bottom w:val="single" w:sz="4" w:space="0" w:color="auto"/>
              <w:right w:val="single" w:sz="4" w:space="0" w:color="auto"/>
            </w:tcBorders>
            <w:hideMark/>
          </w:tcPr>
          <w:p>
            <w:pPr>
              <w:ind w:left="1026" w:hanging="1026"/>
              <w:jc w:val="center"/>
              <w:rPr>
                <w:bCs/>
              </w:rPr>
            </w:pPr>
            <w:r>
              <w:rPr>
                <w:bCs/>
              </w:rPr>
              <w:t>- коммунального хозяйства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highlight w:val="yellow"/>
              </w:rPr>
            </w:pPr>
            <w:r>
              <w:t>2 342,40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highlight w:val="yellow"/>
              </w:rPr>
            </w:pPr>
          </w:p>
        </w:tc>
      </w:tr>
      <w:tr>
        <w:tc>
          <w:tcPr>
            <w:tcW w:w="3119"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jc w:val="center"/>
            </w:pPr>
            <w:r>
              <w:t>- физической культуры</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146,73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p>
        </w:tc>
      </w:tr>
      <w:tr>
        <w:tc>
          <w:tcPr>
            <w:tcW w:w="3119" w:type="dxa"/>
            <w:tcBorders>
              <w:top w:val="single" w:sz="4" w:space="0" w:color="auto"/>
              <w:left w:val="single" w:sz="4" w:space="0" w:color="auto"/>
              <w:bottom w:val="single" w:sz="4" w:space="0" w:color="auto"/>
              <w:right w:val="single" w:sz="4" w:space="0" w:color="auto"/>
            </w:tcBorders>
            <w:hideMark/>
          </w:tcPr>
          <w:p>
            <w:pPr>
              <w:jc w:val="both"/>
              <w:rPr>
                <w:bCs/>
              </w:rPr>
            </w:pPr>
            <w:r>
              <w:rPr>
                <w:bCs/>
              </w:rPr>
              <w:t xml:space="preserve">УЖКХ ТиС, в т.ч. объектов: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1 391,86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1 057,82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1 057,82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1 057,82</w:t>
            </w:r>
          </w:p>
        </w:tc>
      </w:tr>
      <w:tr>
        <w:tc>
          <w:tcPr>
            <w:tcW w:w="3119"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jc w:val="both"/>
            </w:pPr>
            <w:r>
              <w:t xml:space="preserve">           - ж</w:t>
            </w:r>
            <w:r>
              <w:rPr>
                <w:rFonts w:cs="Times New Roman CYR"/>
              </w:rPr>
              <w:t>илищное хозяйство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1 391,86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1 057,82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1 057,82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pPr>
            <w:r>
              <w:t>1 057,82</w:t>
            </w:r>
          </w:p>
        </w:tc>
      </w:tr>
    </w:tbl>
    <w:p>
      <w:pPr>
        <w:ind w:firstLine="709"/>
        <w:jc w:val="both"/>
        <w:rPr>
          <w:rFonts w:ascii="Times New Roman" w:hAnsi="Times New Roman"/>
          <w:sz w:val="24"/>
          <w:szCs w:val="24"/>
        </w:rPr>
      </w:pPr>
      <w:r>
        <w:rPr>
          <w:rFonts w:ascii="Times New Roman" w:hAnsi="Times New Roman"/>
          <w:sz w:val="24"/>
          <w:szCs w:val="24"/>
        </w:rPr>
        <w:t xml:space="preserve">Из-за недостаточности собственных средств бюджетные ассигнования на капитальный ремонт на 2023 год не предусмотрены </w:t>
      </w:r>
    </w:p>
    <w:p>
      <w:pPr>
        <w:ind w:firstLine="709"/>
        <w:jc w:val="both"/>
        <w:rPr>
          <w:rFonts w:ascii="Times New Roman" w:hAnsi="Times New Roman"/>
          <w:sz w:val="24"/>
          <w:szCs w:val="24"/>
        </w:rPr>
      </w:pPr>
    </w:p>
    <w:p>
      <w:pPr>
        <w:spacing w:after="120"/>
        <w:jc w:val="center"/>
        <w:rPr>
          <w:rFonts w:ascii="Times New Roman" w:hAnsi="Times New Roman"/>
          <w:b/>
          <w:sz w:val="24"/>
          <w:szCs w:val="24"/>
        </w:rPr>
      </w:pPr>
      <w:r>
        <w:rPr>
          <w:rFonts w:ascii="Times New Roman" w:hAnsi="Times New Roman"/>
          <w:b/>
          <w:sz w:val="24"/>
          <w:szCs w:val="24"/>
        </w:rPr>
        <w:t>2.6. Ассигнования дорожного фонда ЗАТО Северск</w:t>
      </w:r>
    </w:p>
    <w:p>
      <w:pPr>
        <w:ind w:firstLine="709"/>
        <w:jc w:val="both"/>
        <w:rPr>
          <w:sz w:val="24"/>
          <w:szCs w:val="24"/>
        </w:rPr>
      </w:pPr>
      <w:r>
        <w:rPr>
          <w:sz w:val="24"/>
          <w:szCs w:val="24"/>
        </w:rPr>
        <w:t>В целях устойчивого финансового обеспечения дорожной деятельности в отношении автомобильных дорог общего пользования в составе бюджета ЗАТО Северск предусмотрен дорожный фонд.</w:t>
      </w:r>
    </w:p>
    <w:p>
      <w:pPr>
        <w:ind w:firstLine="709"/>
        <w:jc w:val="both"/>
        <w:rPr>
          <w:rFonts w:ascii="Times New Roman" w:hAnsi="Times New Roman"/>
          <w:sz w:val="24"/>
          <w:szCs w:val="24"/>
        </w:rPr>
      </w:pPr>
      <w:r>
        <w:rPr>
          <w:rFonts w:ascii="Times New Roman" w:hAnsi="Times New Roman"/>
          <w:sz w:val="24"/>
          <w:szCs w:val="24"/>
        </w:rPr>
        <w:t>На 2021 год планируются бюджетные ассигнования в сумме 334 995,06 тыс.руб., на 2022 год – 218 058,81 тыс.руб., на 2023 год – 212 073,30 тыс.руб.</w:t>
      </w:r>
    </w:p>
    <w:p>
      <w:pPr>
        <w:spacing w:before="120" w:after="120"/>
        <w:ind w:firstLine="709"/>
        <w:jc w:val="both"/>
        <w:rPr>
          <w:rFonts w:ascii="Times New Roman" w:hAnsi="Times New Roman"/>
          <w:sz w:val="24"/>
          <w:szCs w:val="24"/>
        </w:rPr>
      </w:pPr>
      <w:r>
        <w:rPr>
          <w:rFonts w:ascii="Times New Roman" w:hAnsi="Times New Roman"/>
          <w:sz w:val="24"/>
          <w:szCs w:val="24"/>
        </w:rPr>
        <w:t>Таблица 37 - Распределение ассигнований на дорожный фонд ЗАТО Северск</w:t>
      </w:r>
    </w:p>
    <w:tbl>
      <w:tblPr>
        <w:tblW w:w="9643" w:type="dxa"/>
        <w:tblInd w:w="96" w:type="dxa"/>
        <w:tblLayout w:type="fixed"/>
        <w:tblLook w:val="04A0" w:firstRow="1" w:lastRow="0" w:firstColumn="1" w:lastColumn="0" w:noHBand="0" w:noVBand="1"/>
      </w:tblPr>
      <w:tblGrid>
        <w:gridCol w:w="2989"/>
        <w:gridCol w:w="1276"/>
        <w:gridCol w:w="1134"/>
        <w:gridCol w:w="1134"/>
        <w:gridCol w:w="709"/>
        <w:gridCol w:w="1275"/>
        <w:gridCol w:w="1126"/>
      </w:tblGrid>
      <w:tr>
        <w:trPr>
          <w:trHeight w:val="236"/>
        </w:trPr>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Наименование  показателей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rPr>
            </w:pPr>
            <w:r>
              <w:rPr>
                <w:rFonts w:ascii="Times New Roman" w:hAnsi="Times New Roman"/>
              </w:rPr>
              <w:t>2020 г</w:t>
            </w:r>
          </w:p>
        </w:tc>
        <w:tc>
          <w:tcPr>
            <w:tcW w:w="1843" w:type="dxa"/>
            <w:gridSpan w:val="2"/>
            <w:tcBorders>
              <w:top w:val="single" w:sz="4" w:space="0" w:color="auto"/>
              <w:left w:val="nil"/>
              <w:bottom w:val="single" w:sz="4" w:space="0" w:color="auto"/>
              <w:right w:val="single" w:sz="4" w:space="0" w:color="auto"/>
            </w:tcBorders>
            <w:shd w:val="clear" w:color="auto" w:fill="auto"/>
            <w:hideMark/>
          </w:tcPr>
          <w:p>
            <w:pPr>
              <w:ind w:right="-161"/>
              <w:jc w:val="center"/>
              <w:rPr>
                <w:rFonts w:ascii="Times New Roman" w:hAnsi="Times New Roman"/>
              </w:rPr>
            </w:pPr>
            <w:r>
              <w:rPr>
                <w:rFonts w:ascii="Times New Roman" w:hAnsi="Times New Roman"/>
              </w:rPr>
              <w:t>2021 год</w:t>
            </w:r>
          </w:p>
        </w:tc>
        <w:tc>
          <w:tcPr>
            <w:tcW w:w="1275" w:type="dxa"/>
            <w:vMerge w:val="restart"/>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rPr>
            </w:pPr>
            <w:r>
              <w:rPr>
                <w:rFonts w:ascii="Times New Roman" w:hAnsi="Times New Roman"/>
              </w:rPr>
              <w:t xml:space="preserve">Прогноз </w:t>
            </w:r>
          </w:p>
          <w:p>
            <w:pPr>
              <w:ind w:left="-57" w:right="-57"/>
              <w:jc w:val="center"/>
              <w:rPr>
                <w:rFonts w:ascii="Times New Roman" w:hAnsi="Times New Roman"/>
              </w:rPr>
            </w:pPr>
            <w:r>
              <w:rPr>
                <w:rFonts w:ascii="Times New Roman" w:hAnsi="Times New Roman"/>
              </w:rPr>
              <w:t>2022 года, тыс.руб.</w:t>
            </w:r>
          </w:p>
        </w:tc>
        <w:tc>
          <w:tcPr>
            <w:tcW w:w="1126" w:type="dxa"/>
            <w:vMerge w:val="restart"/>
            <w:tcBorders>
              <w:top w:val="single" w:sz="4" w:space="0" w:color="auto"/>
              <w:left w:val="nil"/>
              <w:bottom w:val="single" w:sz="4" w:space="0" w:color="auto"/>
              <w:right w:val="single" w:sz="4" w:space="0" w:color="auto"/>
            </w:tcBorders>
            <w:shd w:val="clear" w:color="auto" w:fill="auto"/>
            <w:noWrap/>
            <w:vAlign w:val="center"/>
            <w:hideMark/>
          </w:tcPr>
          <w:p>
            <w:pPr>
              <w:jc w:val="center"/>
              <w:rPr>
                <w:rFonts w:ascii="Times New Roman" w:hAnsi="Times New Roman"/>
              </w:rPr>
            </w:pPr>
            <w:r>
              <w:rPr>
                <w:rFonts w:ascii="Times New Roman" w:hAnsi="Times New Roman"/>
              </w:rPr>
              <w:t xml:space="preserve">Прогноз </w:t>
            </w:r>
          </w:p>
          <w:p>
            <w:pPr>
              <w:ind w:left="-108" w:right="-108"/>
              <w:jc w:val="center"/>
              <w:rPr>
                <w:rFonts w:ascii="Times New Roman" w:hAnsi="Times New Roman"/>
              </w:rPr>
            </w:pPr>
            <w:r>
              <w:rPr>
                <w:rFonts w:ascii="Times New Roman" w:hAnsi="Times New Roman"/>
              </w:rPr>
              <w:t>2023 года, тыс.руб.</w:t>
            </w:r>
          </w:p>
        </w:tc>
      </w:tr>
      <w:tr>
        <w:trPr>
          <w:trHeight w:val="294"/>
        </w:trPr>
        <w:tc>
          <w:tcPr>
            <w:tcW w:w="29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pPr>
              <w:ind w:left="-57" w:right="-57"/>
              <w:jc w:val="center"/>
              <w:rPr>
                <w:rFonts w:ascii="Times New Roman" w:hAnsi="Times New Roman"/>
              </w:rPr>
            </w:pPr>
            <w:r>
              <w:rPr>
                <w:rFonts w:ascii="Times New Roman" w:hAnsi="Times New Roman"/>
              </w:rPr>
              <w:t xml:space="preserve">Первона-чально утверждено, </w:t>
            </w:r>
          </w:p>
          <w:p>
            <w:pPr>
              <w:ind w:left="-57" w:right="-57"/>
              <w:jc w:val="center"/>
              <w:rPr>
                <w:rFonts w:ascii="Times New Roman" w:hAnsi="Times New Roman"/>
              </w:rPr>
            </w:pPr>
            <w:r>
              <w:rPr>
                <w:rFonts w:ascii="Times New Roman" w:hAnsi="Times New Roman"/>
              </w:rPr>
              <w:t>тыс. 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 xml:space="preserve">Оценка, </w:t>
            </w:r>
          </w:p>
          <w:p>
            <w:pPr>
              <w:ind w:left="-57" w:right="-57"/>
              <w:jc w:val="center"/>
              <w:rPr>
                <w:rFonts w:ascii="Times New Roman" w:hAnsi="Times New Roman"/>
              </w:rPr>
            </w:pPr>
            <w:r>
              <w:rPr>
                <w:rFonts w:ascii="Times New Roman" w:hAnsi="Times New Roman"/>
              </w:rPr>
              <w:t>тыс.руб.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pPr>
              <w:ind w:left="-57" w:right="-57"/>
              <w:jc w:val="center"/>
              <w:rPr>
                <w:rFonts w:ascii="Times New Roman" w:hAnsi="Times New Roman"/>
                <w:bCs/>
              </w:rPr>
            </w:pPr>
            <w:r>
              <w:rPr>
                <w:rFonts w:ascii="Times New Roman" w:hAnsi="Times New Roman"/>
                <w:bCs/>
              </w:rPr>
              <w:t>Прогноз, тыс.руб.</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rPr>
            </w:pPr>
            <w:r>
              <w:rPr>
                <w:rFonts w:ascii="Times New Roman" w:hAnsi="Times New Roman"/>
                <w:bCs/>
              </w:rPr>
              <w:t>%</w:t>
            </w:r>
          </w:p>
        </w:tc>
        <w:tc>
          <w:tcPr>
            <w:tcW w:w="1275" w:type="dxa"/>
            <w:vMerge/>
            <w:tcBorders>
              <w:top w:val="single" w:sz="4" w:space="0" w:color="auto"/>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p>
        </w:tc>
        <w:tc>
          <w:tcPr>
            <w:tcW w:w="1126" w:type="dxa"/>
            <w:vMerge/>
            <w:tcBorders>
              <w:top w:val="single" w:sz="4" w:space="0" w:color="auto"/>
              <w:left w:val="nil"/>
              <w:bottom w:val="single" w:sz="4" w:space="0" w:color="auto"/>
              <w:right w:val="single" w:sz="4" w:space="0" w:color="auto"/>
            </w:tcBorders>
            <w:shd w:val="clear" w:color="auto" w:fill="auto"/>
            <w:vAlign w:val="center"/>
            <w:hideMark/>
          </w:tcPr>
          <w:p>
            <w:pPr>
              <w:ind w:left="-57" w:right="-57"/>
              <w:rPr>
                <w:rFonts w:ascii="Times New Roman" w:hAnsi="Times New Roman"/>
                <w:sz w:val="22"/>
                <w:szCs w:val="22"/>
              </w:rPr>
            </w:pP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jc w:val="both"/>
              <w:rPr>
                <w:rFonts w:ascii="Times New Roman" w:hAnsi="Times New Roman"/>
                <w:b/>
                <w:sz w:val="22"/>
                <w:szCs w:val="22"/>
              </w:rPr>
            </w:pPr>
            <w:r>
              <w:rPr>
                <w:rFonts w:ascii="Times New Roman" w:hAnsi="Times New Roman"/>
                <w:b/>
                <w:sz w:val="22"/>
                <w:szCs w:val="22"/>
              </w:rPr>
              <w:t>1. Доходы всего:</w:t>
            </w:r>
          </w:p>
        </w:tc>
        <w:tc>
          <w:tcPr>
            <w:tcW w:w="1276" w:type="dxa"/>
            <w:tcBorders>
              <w:top w:val="single" w:sz="4" w:space="0" w:color="auto"/>
              <w:left w:val="nil"/>
              <w:bottom w:val="single" w:sz="4" w:space="0" w:color="auto"/>
              <w:right w:val="single" w:sz="4" w:space="0" w:color="auto"/>
            </w:tcBorders>
            <w:shd w:val="clear" w:color="auto" w:fill="auto"/>
          </w:tcPr>
          <w:p>
            <w:pPr>
              <w:ind w:left="-57" w:right="-57"/>
              <w:jc w:val="right"/>
              <w:rPr>
                <w:b/>
                <w:sz w:val="22"/>
                <w:szCs w:val="22"/>
              </w:rPr>
            </w:pPr>
            <w:r>
              <w:rPr>
                <w:b/>
                <w:sz w:val="22"/>
                <w:szCs w:val="22"/>
              </w:rPr>
              <w:t>138 460,47</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pPr>
              <w:ind w:left="-57" w:right="-57"/>
              <w:jc w:val="right"/>
              <w:rPr>
                <w:b/>
                <w:sz w:val="22"/>
                <w:szCs w:val="22"/>
              </w:rPr>
            </w:pPr>
            <w:r>
              <w:rPr>
                <w:b/>
                <w:sz w:val="22"/>
                <w:szCs w:val="22"/>
              </w:rPr>
              <w:t>124 201,48</w:t>
            </w:r>
          </w:p>
        </w:tc>
        <w:tc>
          <w:tcPr>
            <w:tcW w:w="1134" w:type="dxa"/>
            <w:tcBorders>
              <w:top w:val="single" w:sz="4" w:space="0" w:color="auto"/>
              <w:left w:val="nil"/>
              <w:bottom w:val="single" w:sz="4" w:space="0" w:color="auto"/>
              <w:right w:val="single" w:sz="4" w:space="0" w:color="auto"/>
            </w:tcBorders>
            <w:shd w:val="clear" w:color="auto" w:fill="auto"/>
            <w:hideMark/>
          </w:tcPr>
          <w:p>
            <w:pPr>
              <w:ind w:left="-57" w:right="-57"/>
              <w:jc w:val="right"/>
              <w:rPr>
                <w:b/>
                <w:sz w:val="22"/>
                <w:szCs w:val="22"/>
              </w:rPr>
            </w:pPr>
            <w:r>
              <w:rPr>
                <w:b/>
                <w:sz w:val="22"/>
                <w:szCs w:val="22"/>
              </w:rPr>
              <w:t>123 136,68</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b/>
                <w:sz w:val="22"/>
                <w:szCs w:val="22"/>
              </w:rPr>
            </w:pPr>
            <w:r>
              <w:rPr>
                <w:b/>
                <w:sz w:val="22"/>
                <w:szCs w:val="22"/>
              </w:rPr>
              <w:t>99,01</w:t>
            </w:r>
          </w:p>
        </w:tc>
        <w:tc>
          <w:tcPr>
            <w:tcW w:w="1275" w:type="dxa"/>
            <w:tcBorders>
              <w:top w:val="single" w:sz="4" w:space="0" w:color="auto"/>
              <w:left w:val="nil"/>
              <w:bottom w:val="single" w:sz="4" w:space="0" w:color="auto"/>
              <w:right w:val="single" w:sz="4" w:space="0" w:color="auto"/>
            </w:tcBorders>
            <w:shd w:val="clear" w:color="auto" w:fill="auto"/>
            <w:noWrap/>
          </w:tcPr>
          <w:p>
            <w:pPr>
              <w:ind w:left="-57" w:right="-57"/>
              <w:jc w:val="right"/>
              <w:rPr>
                <w:b/>
                <w:sz w:val="22"/>
                <w:szCs w:val="22"/>
              </w:rPr>
            </w:pPr>
            <w:r>
              <w:rPr>
                <w:b/>
                <w:sz w:val="22"/>
                <w:szCs w:val="22"/>
              </w:rPr>
              <w:t>13 256,02</w:t>
            </w:r>
          </w:p>
        </w:tc>
        <w:tc>
          <w:tcPr>
            <w:tcW w:w="1126" w:type="dxa"/>
            <w:tcBorders>
              <w:top w:val="single" w:sz="4" w:space="0" w:color="auto"/>
              <w:left w:val="nil"/>
              <w:bottom w:val="single" w:sz="4" w:space="0" w:color="auto"/>
              <w:right w:val="single" w:sz="4" w:space="0" w:color="auto"/>
            </w:tcBorders>
            <w:shd w:val="clear" w:color="auto" w:fill="auto"/>
            <w:noWrap/>
          </w:tcPr>
          <w:p>
            <w:pPr>
              <w:ind w:left="-57" w:right="-57"/>
              <w:jc w:val="right"/>
              <w:rPr>
                <w:b/>
                <w:sz w:val="22"/>
                <w:szCs w:val="22"/>
              </w:rPr>
            </w:pPr>
            <w:r>
              <w:rPr>
                <w:b/>
                <w:sz w:val="22"/>
                <w:szCs w:val="22"/>
              </w:rPr>
              <w:t>13 895,11</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ind w:right="-108"/>
              <w:rPr>
                <w:rFonts w:ascii="Times New Roman" w:hAnsi="Times New Roman"/>
              </w:rPr>
            </w:pPr>
            <w:r>
              <w:rPr>
                <w:rFonts w:ascii="Times New Roman" w:hAnsi="Times New Roman"/>
              </w:rPr>
              <w:t>1.1.Гос.пошлина за выдачу специального разрешения ТС …(100%)</w:t>
            </w:r>
          </w:p>
        </w:tc>
        <w:tc>
          <w:tcPr>
            <w:tcW w:w="1276"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107,20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107,20</w:t>
            </w:r>
          </w:p>
        </w:tc>
        <w:tc>
          <w:tcPr>
            <w:tcW w:w="1134"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110,40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103,0</w:t>
            </w:r>
          </w:p>
        </w:tc>
        <w:tc>
          <w:tcPr>
            <w:tcW w:w="1275"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113,60</w:t>
            </w:r>
          </w:p>
        </w:tc>
        <w:tc>
          <w:tcPr>
            <w:tcW w:w="1126"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118,40</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spacing w:before="20" w:after="20"/>
              <w:ind w:right="-108"/>
              <w:rPr>
                <w:rFonts w:ascii="Times New Roman" w:hAnsi="Times New Roman"/>
              </w:rPr>
            </w:pPr>
            <w:r>
              <w:rPr>
                <w:rFonts w:ascii="Times New Roman" w:hAnsi="Times New Roman"/>
              </w:rPr>
              <w:t>1.2.Доходы от реализации имущества (50%)</w:t>
            </w:r>
          </w:p>
        </w:tc>
        <w:tc>
          <w:tcPr>
            <w:tcW w:w="1276"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18 192,17</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4 717,78</w:t>
            </w:r>
          </w:p>
        </w:tc>
        <w:tc>
          <w:tcPr>
            <w:tcW w:w="1134"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2 218,42</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47,0</w:t>
            </w:r>
          </w:p>
        </w:tc>
        <w:tc>
          <w:tcPr>
            <w:tcW w:w="1275"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1 911,06</w:t>
            </w:r>
          </w:p>
        </w:tc>
        <w:tc>
          <w:tcPr>
            <w:tcW w:w="1126"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1 482,98</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ind w:right="-108"/>
              <w:rPr>
                <w:rFonts w:ascii="Times New Roman" w:hAnsi="Times New Roman"/>
              </w:rPr>
            </w:pPr>
            <w:r>
              <w:rPr>
                <w:rFonts w:ascii="Times New Roman" w:hAnsi="Times New Roman"/>
              </w:rPr>
              <w:t>1.3.Плата в счет возмещения вреда, причиняемого дорогам ТС (100%)</w:t>
            </w:r>
          </w:p>
        </w:tc>
        <w:tc>
          <w:tcPr>
            <w:tcW w:w="1276"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740,10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865,00</w:t>
            </w:r>
          </w:p>
        </w:tc>
        <w:tc>
          <w:tcPr>
            <w:tcW w:w="1134"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767,50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88,7</w:t>
            </w:r>
          </w:p>
        </w:tc>
        <w:tc>
          <w:tcPr>
            <w:tcW w:w="1275"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795,10</w:t>
            </w:r>
          </w:p>
        </w:tc>
        <w:tc>
          <w:tcPr>
            <w:tcW w:w="1126"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826,10</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ind w:right="-108"/>
              <w:rPr>
                <w:rFonts w:ascii="Times New Roman" w:hAnsi="Times New Roman"/>
              </w:rPr>
            </w:pPr>
            <w:r>
              <w:rPr>
                <w:rFonts w:ascii="Times New Roman" w:hAnsi="Times New Roman"/>
              </w:rPr>
              <w:t>1.4. Денежные средства, поступающие в бюджет от уплаты неустоек в связи с нарушением условий контракта.. (100%)</w:t>
            </w:r>
          </w:p>
        </w:tc>
        <w:tc>
          <w:tcPr>
            <w:tcW w:w="1276"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105,50</w:t>
            </w:r>
          </w:p>
        </w:tc>
        <w:tc>
          <w:tcPr>
            <w:tcW w:w="1134"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108,36</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103,7</w:t>
            </w:r>
          </w:p>
        </w:tc>
        <w:tc>
          <w:tcPr>
            <w:tcW w:w="1275"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112,26</w:t>
            </w:r>
          </w:p>
        </w:tc>
        <w:tc>
          <w:tcPr>
            <w:tcW w:w="1126"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116,63</w:t>
            </w:r>
          </w:p>
        </w:tc>
      </w:tr>
      <w:tr>
        <w:trPr>
          <w:trHeight w:val="429"/>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spacing w:before="20" w:after="20"/>
              <w:ind w:right="-108"/>
              <w:rPr>
                <w:rFonts w:ascii="Times New Roman" w:hAnsi="Times New Roman"/>
              </w:rPr>
            </w:pPr>
            <w:r>
              <w:rPr>
                <w:rFonts w:ascii="Times New Roman" w:hAnsi="Times New Roman"/>
              </w:rPr>
              <w:t>1.5.МБТ на дорожную деятельность в размере (100%)</w:t>
            </w:r>
          </w:p>
        </w:tc>
        <w:tc>
          <w:tcPr>
            <w:tcW w:w="1276"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110 000,00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110 000,00</w:t>
            </w:r>
          </w:p>
        </w:tc>
        <w:tc>
          <w:tcPr>
            <w:tcW w:w="1134"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110 000,00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100,0</w:t>
            </w:r>
          </w:p>
        </w:tc>
        <w:tc>
          <w:tcPr>
            <w:tcW w:w="1275"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w:t>
            </w:r>
          </w:p>
        </w:tc>
        <w:tc>
          <w:tcPr>
            <w:tcW w:w="1126"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ind w:right="-108"/>
              <w:rPr>
                <w:rFonts w:ascii="Times New Roman" w:hAnsi="Times New Roman"/>
              </w:rPr>
            </w:pPr>
            <w:r>
              <w:rPr>
                <w:rFonts w:ascii="Times New Roman" w:hAnsi="Times New Roman"/>
              </w:rPr>
              <w:t>1.6.Акцизы на бензин, диз.топливо, моторные масла… (100%)</w:t>
            </w:r>
          </w:p>
        </w:tc>
        <w:tc>
          <w:tcPr>
            <w:tcW w:w="1276"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9 421,00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8 406,00</w:t>
            </w:r>
          </w:p>
        </w:tc>
        <w:tc>
          <w:tcPr>
            <w:tcW w:w="1134" w:type="dxa"/>
            <w:tcBorders>
              <w:top w:val="single" w:sz="4" w:space="0" w:color="auto"/>
              <w:left w:val="nil"/>
              <w:bottom w:val="single" w:sz="4" w:space="0" w:color="auto"/>
              <w:right w:val="single" w:sz="4" w:space="0" w:color="auto"/>
            </w:tcBorders>
            <w:shd w:val="clear" w:color="auto" w:fill="auto"/>
          </w:tcPr>
          <w:p>
            <w:pPr>
              <w:ind w:left="-57" w:right="-57"/>
              <w:jc w:val="right"/>
              <w:rPr>
                <w:sz w:val="22"/>
                <w:szCs w:val="22"/>
              </w:rPr>
            </w:pPr>
            <w:r>
              <w:rPr>
                <w:sz w:val="22"/>
                <w:szCs w:val="22"/>
              </w:rPr>
              <w:t>9 932,00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pPr>
              <w:ind w:left="-57" w:right="-57"/>
              <w:jc w:val="right"/>
              <w:rPr>
                <w:sz w:val="22"/>
                <w:szCs w:val="22"/>
              </w:rPr>
            </w:pPr>
            <w:r>
              <w:rPr>
                <w:sz w:val="22"/>
                <w:szCs w:val="22"/>
              </w:rPr>
              <w:t>118,2</w:t>
            </w:r>
          </w:p>
        </w:tc>
        <w:tc>
          <w:tcPr>
            <w:tcW w:w="1275"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10 324,00</w:t>
            </w:r>
          </w:p>
        </w:tc>
        <w:tc>
          <w:tcPr>
            <w:tcW w:w="1126" w:type="dxa"/>
            <w:tcBorders>
              <w:top w:val="single" w:sz="4" w:space="0" w:color="auto"/>
              <w:left w:val="nil"/>
              <w:bottom w:val="single" w:sz="4" w:space="0" w:color="auto"/>
              <w:right w:val="single" w:sz="4" w:space="0" w:color="auto"/>
            </w:tcBorders>
            <w:shd w:val="clear" w:color="auto" w:fill="auto"/>
            <w:noWrap/>
          </w:tcPr>
          <w:p>
            <w:pPr>
              <w:ind w:left="-57" w:right="-57"/>
              <w:jc w:val="right"/>
              <w:rPr>
                <w:sz w:val="22"/>
                <w:szCs w:val="22"/>
              </w:rPr>
            </w:pPr>
            <w:r>
              <w:rPr>
                <w:sz w:val="22"/>
                <w:szCs w:val="22"/>
              </w:rPr>
              <w:t>11 351,00</w:t>
            </w:r>
          </w:p>
        </w:tc>
      </w:tr>
      <w:tr>
        <w:trPr>
          <w:trHeight w:val="300"/>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ind w:right="-108"/>
              <w:jc w:val="both"/>
              <w:rPr>
                <w:rFonts w:ascii="Times New Roman" w:hAnsi="Times New Roman"/>
                <w:b/>
                <w:sz w:val="22"/>
                <w:szCs w:val="22"/>
              </w:rPr>
            </w:pPr>
            <w:r>
              <w:rPr>
                <w:rFonts w:ascii="Times New Roman" w:hAnsi="Times New Roman"/>
                <w:b/>
                <w:sz w:val="22"/>
                <w:szCs w:val="22"/>
              </w:rPr>
              <w:t>2.Расходы всего, из них:</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rFonts w:ascii="Times New Roman" w:hAnsi="Times New Roman"/>
                <w:b/>
                <w:bCs/>
                <w:sz w:val="22"/>
                <w:szCs w:val="22"/>
              </w:rPr>
            </w:pPr>
            <w:r>
              <w:rPr>
                <w:rFonts w:ascii="Times New Roman" w:hAnsi="Times New Roman"/>
                <w:b/>
                <w:bCs/>
                <w:sz w:val="22"/>
                <w:szCs w:val="22"/>
              </w:rPr>
              <w:t>327 344,47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
                <w:bCs/>
                <w:sz w:val="22"/>
                <w:szCs w:val="22"/>
              </w:rPr>
            </w:pPr>
            <w:r>
              <w:rPr>
                <w:rFonts w:ascii="Times New Roman" w:hAnsi="Times New Roman"/>
                <w:b/>
                <w:bCs/>
                <w:sz w:val="22"/>
                <w:szCs w:val="22"/>
              </w:rPr>
              <w:t>339 268,34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pPr>
              <w:ind w:left="-57" w:right="-57"/>
              <w:jc w:val="center"/>
              <w:rPr>
                <w:rFonts w:ascii="Times New Roman" w:hAnsi="Times New Roman"/>
                <w:b/>
                <w:bCs/>
                <w:sz w:val="22"/>
                <w:szCs w:val="22"/>
              </w:rPr>
            </w:pPr>
            <w:r>
              <w:rPr>
                <w:rFonts w:ascii="Times New Roman" w:hAnsi="Times New Roman"/>
                <w:b/>
                <w:bCs/>
                <w:sz w:val="22"/>
                <w:szCs w:val="22"/>
              </w:rPr>
              <w:t>334 995,06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
                <w:bCs/>
                <w:sz w:val="22"/>
                <w:szCs w:val="22"/>
              </w:rPr>
            </w:pPr>
            <w:r>
              <w:rPr>
                <w:rFonts w:ascii="Times New Roman" w:hAnsi="Times New Roman"/>
                <w:b/>
                <w:bCs/>
                <w:sz w:val="22"/>
                <w:szCs w:val="22"/>
              </w:rPr>
              <w:t>98,7</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
                <w:bCs/>
                <w:sz w:val="22"/>
                <w:szCs w:val="22"/>
              </w:rPr>
            </w:pPr>
            <w:r>
              <w:rPr>
                <w:rFonts w:ascii="Times New Roman" w:hAnsi="Times New Roman"/>
                <w:b/>
                <w:bCs/>
                <w:sz w:val="22"/>
                <w:szCs w:val="22"/>
              </w:rPr>
              <w:t>218 058,81</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
                <w:bCs/>
                <w:sz w:val="22"/>
                <w:szCs w:val="22"/>
              </w:rPr>
            </w:pPr>
            <w:r>
              <w:rPr>
                <w:rFonts w:ascii="Times New Roman" w:hAnsi="Times New Roman"/>
                <w:b/>
                <w:bCs/>
                <w:sz w:val="22"/>
                <w:szCs w:val="22"/>
              </w:rPr>
              <w:t>212 073,30</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right="-108"/>
              <w:rPr>
                <w:bCs/>
              </w:rPr>
            </w:pPr>
            <w:r>
              <w:rPr>
                <w:bCs/>
              </w:rPr>
              <w:t xml:space="preserve">2.1. Капитальный ремонт а/м дорог общего пользования </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rFonts w:ascii="Times New Roman" w:hAnsi="Times New Roman"/>
                <w:bCs/>
                <w:sz w:val="22"/>
                <w:szCs w:val="22"/>
              </w:rPr>
            </w:pPr>
            <w:r>
              <w:rPr>
                <w:rFonts w:ascii="Times New Roman" w:hAnsi="Times New Roman"/>
                <w:bCs/>
                <w:sz w:val="22"/>
                <w:szCs w:val="22"/>
              </w:rPr>
              <w:t>104 114,74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101 144,58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pPr>
              <w:ind w:left="-57" w:right="-57"/>
              <w:jc w:val="center"/>
              <w:rPr>
                <w:rFonts w:ascii="Times New Roman" w:hAnsi="Times New Roman"/>
                <w:bCs/>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right="-108"/>
              <w:rPr>
                <w:bCs/>
              </w:rPr>
            </w:pPr>
            <w:r>
              <w:rPr>
                <w:bCs/>
              </w:rPr>
              <w:t>2.2. Текущий ремонт а/м дорог общего пользования</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rFonts w:ascii="Times New Roman" w:hAnsi="Times New Roman"/>
                <w:bCs/>
                <w:sz w:val="22"/>
                <w:szCs w:val="22"/>
              </w:rPr>
            </w:pPr>
            <w:r>
              <w:rPr>
                <w:rFonts w:ascii="Times New Roman" w:hAnsi="Times New Roman"/>
                <w:bCs/>
                <w:sz w:val="22"/>
                <w:szCs w:val="22"/>
              </w:rPr>
              <w:t>70 591,19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77 223,11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pPr>
              <w:ind w:left="-57" w:right="-57"/>
              <w:jc w:val="center"/>
              <w:rPr>
                <w:rFonts w:ascii="Times New Roman" w:hAnsi="Times New Roman"/>
                <w:bCs/>
                <w:sz w:val="22"/>
                <w:szCs w:val="22"/>
              </w:rPr>
            </w:pPr>
            <w:r>
              <w:rPr>
                <w:rFonts w:ascii="Times New Roman" w:hAnsi="Times New Roman"/>
                <w:bCs/>
                <w:sz w:val="22"/>
                <w:szCs w:val="22"/>
              </w:rPr>
              <w:t>175 485,76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в 2,3 раза</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65 485,76</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57 796,47</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right="-108"/>
              <w:rPr>
                <w:bCs/>
              </w:rPr>
            </w:pPr>
            <w:r>
              <w:rPr>
                <w:bCs/>
              </w:rPr>
              <w:t xml:space="preserve">2.3. Капитальный ремонт и ремонт дворовых территорий многоквартирных домов, проездов к дворовым территориям </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rFonts w:ascii="Times New Roman" w:hAnsi="Times New Roman"/>
                <w:bCs/>
                <w:sz w:val="22"/>
                <w:szCs w:val="22"/>
              </w:rPr>
            </w:pPr>
            <w:r>
              <w:rPr>
                <w:rFonts w:ascii="Times New Roman" w:hAnsi="Times New Roman"/>
                <w:bCs/>
                <w:sz w:val="22"/>
                <w:szCs w:val="22"/>
              </w:rPr>
              <w:t>741,54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295,49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pPr>
              <w:ind w:left="-57" w:right="-57"/>
              <w:jc w:val="center"/>
              <w:rPr>
                <w:rFonts w:ascii="Times New Roman" w:hAnsi="Times New Roman"/>
                <w:bCs/>
                <w:sz w:val="22"/>
                <w:szCs w:val="22"/>
              </w:rPr>
            </w:pPr>
            <w:r>
              <w:rPr>
                <w:rFonts w:ascii="Times New Roman" w:hAnsi="Times New Roman"/>
                <w:bCs/>
                <w:sz w:val="22"/>
                <w:szCs w:val="22"/>
              </w:rPr>
              <w:t>295,49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100,0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pPr>
            <w:r>
              <w:rPr>
                <w:rFonts w:ascii="Times New Roman" w:hAnsi="Times New Roman"/>
                <w:bCs/>
                <w:sz w:val="22"/>
                <w:szCs w:val="22"/>
              </w:rPr>
              <w:t>295,49</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pPr>
            <w:r>
              <w:rPr>
                <w:rFonts w:ascii="Times New Roman" w:hAnsi="Times New Roman"/>
                <w:bCs/>
                <w:sz w:val="22"/>
                <w:szCs w:val="22"/>
              </w:rPr>
              <w:t>32,27</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right="-108"/>
              <w:rPr>
                <w:bCs/>
              </w:rPr>
            </w:pPr>
            <w:r>
              <w:rPr>
                <w:bCs/>
              </w:rPr>
              <w:t>2.4. Содержание и ремонт а/м дорог и инженерных сооружений на них</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rFonts w:ascii="Times New Roman" w:hAnsi="Times New Roman"/>
                <w:bCs/>
                <w:sz w:val="22"/>
                <w:szCs w:val="22"/>
              </w:rPr>
            </w:pPr>
            <w:r>
              <w:rPr>
                <w:rFonts w:ascii="Times New Roman" w:hAnsi="Times New Roman"/>
                <w:bCs/>
                <w:sz w:val="22"/>
                <w:szCs w:val="22"/>
              </w:rPr>
              <w:t>147 627,11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160 389,44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pPr>
              <w:ind w:left="-57" w:right="-57"/>
              <w:jc w:val="center"/>
              <w:rPr>
                <w:rFonts w:ascii="Times New Roman" w:hAnsi="Times New Roman"/>
                <w:bCs/>
                <w:sz w:val="22"/>
                <w:szCs w:val="22"/>
              </w:rPr>
            </w:pPr>
            <w:r>
              <w:rPr>
                <w:rFonts w:ascii="Times New Roman" w:hAnsi="Times New Roman"/>
                <w:bCs/>
                <w:sz w:val="22"/>
                <w:szCs w:val="22"/>
              </w:rPr>
              <w:t>159 213,81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99,3</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152  277,56</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pPr>
              <w:ind w:left="-57" w:right="-57"/>
              <w:jc w:val="center"/>
              <w:rPr>
                <w:rFonts w:ascii="Times New Roman" w:hAnsi="Times New Roman"/>
                <w:bCs/>
                <w:sz w:val="22"/>
                <w:szCs w:val="22"/>
              </w:rPr>
            </w:pPr>
            <w:r>
              <w:rPr>
                <w:rFonts w:ascii="Times New Roman" w:hAnsi="Times New Roman"/>
                <w:bCs/>
                <w:sz w:val="22"/>
                <w:szCs w:val="22"/>
              </w:rPr>
              <w:t>154 244,56</w:t>
            </w:r>
          </w:p>
        </w:tc>
      </w:tr>
      <w:tr>
        <w:trPr>
          <w:trHeight w:val="294"/>
        </w:trPr>
        <w:tc>
          <w:tcPr>
            <w:tcW w:w="2989" w:type="dxa"/>
            <w:tcBorders>
              <w:top w:val="single" w:sz="4" w:space="0" w:color="auto"/>
              <w:left w:val="single" w:sz="4" w:space="0" w:color="auto"/>
              <w:bottom w:val="single" w:sz="4" w:space="0" w:color="auto"/>
              <w:right w:val="single" w:sz="4" w:space="0" w:color="auto"/>
            </w:tcBorders>
            <w:shd w:val="clear" w:color="auto" w:fill="auto"/>
            <w:hideMark/>
          </w:tcPr>
          <w:p>
            <w:pPr>
              <w:ind w:right="-108"/>
              <w:jc w:val="both"/>
              <w:rPr>
                <w:rFonts w:ascii="Times New Roman" w:hAnsi="Times New Roman"/>
                <w:b/>
                <w:sz w:val="22"/>
                <w:szCs w:val="22"/>
              </w:rPr>
            </w:pPr>
            <w:r>
              <w:rPr>
                <w:rFonts w:ascii="Times New Roman" w:hAnsi="Times New Roman"/>
                <w:b/>
                <w:sz w:val="22"/>
                <w:szCs w:val="22"/>
              </w:rPr>
              <w:t xml:space="preserve">3. Дефицит (-) / </w:t>
            </w:r>
          </w:p>
          <w:p>
            <w:pPr>
              <w:ind w:right="-108"/>
              <w:jc w:val="both"/>
              <w:rPr>
                <w:rFonts w:ascii="Times New Roman" w:hAnsi="Times New Roman"/>
                <w:b/>
                <w:sz w:val="22"/>
                <w:szCs w:val="22"/>
              </w:rPr>
            </w:pPr>
            <w:r>
              <w:rPr>
                <w:rFonts w:ascii="Times New Roman" w:hAnsi="Times New Roman"/>
                <w:b/>
                <w:sz w:val="22"/>
                <w:szCs w:val="22"/>
              </w:rPr>
              <w:t>профицит (+)</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b/>
                <w:bCs/>
                <w:color w:val="000000"/>
                <w:sz w:val="22"/>
                <w:szCs w:val="22"/>
              </w:rPr>
            </w:pPr>
            <w:r>
              <w:rPr>
                <w:b/>
                <w:bCs/>
                <w:color w:val="000000"/>
                <w:sz w:val="22"/>
                <w:szCs w:val="22"/>
              </w:rPr>
              <w:t>-188 884,00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13" w:right="-57"/>
              <w:jc w:val="right"/>
              <w:rPr>
                <w:b/>
                <w:bCs/>
                <w:color w:val="000000"/>
                <w:sz w:val="22"/>
                <w:szCs w:val="22"/>
              </w:rPr>
            </w:pPr>
            <w:r>
              <w:rPr>
                <w:b/>
                <w:bCs/>
                <w:color w:val="000000"/>
                <w:sz w:val="22"/>
                <w:szCs w:val="22"/>
              </w:rPr>
              <w:t>-215 066,86</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color w:val="000000"/>
                <w:sz w:val="22"/>
                <w:szCs w:val="22"/>
              </w:rPr>
            </w:pPr>
            <w:r>
              <w:rPr>
                <w:b/>
                <w:bCs/>
                <w:color w:val="000000"/>
                <w:sz w:val="22"/>
                <w:szCs w:val="22"/>
              </w:rPr>
              <w:t>-211 858,38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center"/>
              <w:rPr>
                <w:b/>
                <w:bCs/>
                <w:color w:val="000000"/>
                <w:sz w:val="22"/>
                <w:szCs w:val="22"/>
              </w:rPr>
            </w:pPr>
            <w:r>
              <w:rPr>
                <w:b/>
                <w:bCs/>
                <w:color w:val="000000"/>
                <w:sz w:val="22"/>
                <w:szCs w:val="22"/>
              </w:rPr>
              <w:t>98,6</w:t>
            </w:r>
          </w:p>
        </w:tc>
        <w:tc>
          <w:tcPr>
            <w:tcW w:w="1275" w:type="dxa"/>
            <w:tcBorders>
              <w:top w:val="single" w:sz="4" w:space="0" w:color="auto"/>
              <w:left w:val="nil"/>
              <w:bottom w:val="single" w:sz="4" w:space="0" w:color="auto"/>
              <w:right w:val="single" w:sz="4" w:space="0" w:color="auto"/>
            </w:tcBorders>
            <w:shd w:val="clear" w:color="auto" w:fill="auto"/>
            <w:noWrap/>
            <w:vAlign w:val="center"/>
          </w:tcPr>
          <w:p>
            <w:pPr>
              <w:ind w:left="-113" w:right="-57"/>
              <w:jc w:val="right"/>
              <w:rPr>
                <w:b/>
                <w:bCs/>
                <w:color w:val="000000"/>
                <w:sz w:val="22"/>
                <w:szCs w:val="22"/>
              </w:rPr>
            </w:pPr>
            <w:r>
              <w:rPr>
                <w:b/>
                <w:bCs/>
                <w:color w:val="000000"/>
                <w:sz w:val="22"/>
                <w:szCs w:val="22"/>
              </w:rPr>
              <w:t>204 802,79</w:t>
            </w:r>
          </w:p>
        </w:tc>
        <w:tc>
          <w:tcPr>
            <w:tcW w:w="1126" w:type="dxa"/>
            <w:tcBorders>
              <w:top w:val="single" w:sz="4" w:space="0" w:color="auto"/>
              <w:left w:val="nil"/>
              <w:bottom w:val="single" w:sz="4" w:space="0" w:color="auto"/>
              <w:right w:val="single" w:sz="4" w:space="0" w:color="auto"/>
            </w:tcBorders>
            <w:shd w:val="clear" w:color="auto" w:fill="auto"/>
            <w:noWrap/>
            <w:vAlign w:val="center"/>
          </w:tcPr>
          <w:p>
            <w:pPr>
              <w:ind w:left="-113" w:right="-57"/>
              <w:jc w:val="right"/>
              <w:rPr>
                <w:b/>
                <w:bCs/>
                <w:color w:val="000000"/>
                <w:sz w:val="22"/>
                <w:szCs w:val="22"/>
              </w:rPr>
            </w:pPr>
            <w:r>
              <w:rPr>
                <w:b/>
                <w:bCs/>
                <w:color w:val="000000"/>
                <w:sz w:val="22"/>
                <w:szCs w:val="22"/>
              </w:rPr>
              <w:t>198 178,19</w:t>
            </w:r>
          </w:p>
        </w:tc>
      </w:tr>
    </w:tbl>
    <w:p>
      <w:pPr>
        <w:jc w:val="both"/>
        <w:rPr>
          <w:rFonts w:ascii="Times New Roman" w:hAnsi="Times New Roman"/>
          <w:sz w:val="16"/>
          <w:szCs w:val="16"/>
        </w:rPr>
      </w:pPr>
    </w:p>
    <w:p>
      <w:pPr>
        <w:pStyle w:val="ConsPlusNormal"/>
        <w:tabs>
          <w:tab w:val="left" w:pos="3600"/>
        </w:tabs>
        <w:ind w:firstLine="709"/>
        <w:jc w:val="center"/>
        <w:rPr>
          <w:rFonts w:ascii="Times New Roman" w:hAnsi="Times New Roman"/>
          <w:b/>
          <w:sz w:val="24"/>
          <w:szCs w:val="24"/>
        </w:rPr>
      </w:pPr>
    </w:p>
    <w:p>
      <w:pPr>
        <w:pStyle w:val="ConsPlusNormal"/>
        <w:tabs>
          <w:tab w:val="left" w:pos="3600"/>
        </w:tabs>
        <w:ind w:firstLine="709"/>
        <w:jc w:val="center"/>
        <w:rPr>
          <w:rFonts w:ascii="Times New Roman" w:hAnsi="Times New Roman"/>
          <w:b/>
          <w:sz w:val="24"/>
          <w:szCs w:val="24"/>
        </w:rPr>
      </w:pPr>
    </w:p>
    <w:p>
      <w:pPr>
        <w:pStyle w:val="ConsPlusNormal"/>
        <w:tabs>
          <w:tab w:val="left" w:pos="3600"/>
        </w:tabs>
        <w:ind w:firstLine="709"/>
        <w:jc w:val="center"/>
        <w:rPr>
          <w:rFonts w:ascii="Times New Roman" w:hAnsi="Times New Roman"/>
          <w:b/>
          <w:sz w:val="24"/>
          <w:szCs w:val="24"/>
        </w:rPr>
      </w:pPr>
    </w:p>
    <w:p>
      <w:pPr>
        <w:pStyle w:val="ConsPlusNormal"/>
        <w:tabs>
          <w:tab w:val="left" w:pos="3600"/>
        </w:tabs>
        <w:ind w:firstLine="709"/>
        <w:jc w:val="center"/>
        <w:rPr>
          <w:rFonts w:ascii="Times New Roman" w:hAnsi="Times New Roman"/>
          <w:b/>
          <w:sz w:val="24"/>
          <w:szCs w:val="24"/>
        </w:rPr>
      </w:pPr>
      <w:r>
        <w:rPr>
          <w:rFonts w:ascii="Times New Roman" w:hAnsi="Times New Roman"/>
          <w:b/>
          <w:sz w:val="24"/>
          <w:szCs w:val="24"/>
        </w:rPr>
        <w:lastRenderedPageBreak/>
        <w:t>2.7. Ассигнования на исполнение муниципальных программ</w:t>
      </w:r>
    </w:p>
    <w:p>
      <w:pPr>
        <w:pStyle w:val="ConsPlusNormal"/>
        <w:tabs>
          <w:tab w:val="left" w:pos="3600"/>
        </w:tabs>
        <w:ind w:firstLine="709"/>
        <w:jc w:val="center"/>
        <w:rPr>
          <w:rFonts w:ascii="Times New Roman" w:hAnsi="Times New Roman"/>
          <w:b/>
          <w:sz w:val="24"/>
          <w:szCs w:val="24"/>
        </w:rPr>
      </w:pPr>
    </w:p>
    <w:p>
      <w:pPr>
        <w:pStyle w:val="ConsPlusNormal"/>
        <w:tabs>
          <w:tab w:val="left" w:pos="3600"/>
        </w:tabs>
        <w:ind w:firstLine="709"/>
        <w:jc w:val="both"/>
        <w:rPr>
          <w:rFonts w:ascii="Times New Roman" w:hAnsi="Times New Roman"/>
          <w:color w:val="000000"/>
          <w:sz w:val="24"/>
          <w:szCs w:val="24"/>
        </w:rPr>
      </w:pPr>
      <w:r>
        <w:rPr>
          <w:rFonts w:ascii="Times New Roman" w:hAnsi="Times New Roman"/>
          <w:sz w:val="24"/>
          <w:szCs w:val="24"/>
        </w:rPr>
        <w:t xml:space="preserve">Бюджет ЗАТО Северск на 2021 год сформирован по программно-целевому принципу на базе 19 программ, из которых 18 имеют статус муниципальных программ и одна «Комплексная программа развития систем инженерной и коммунальной инфраструктуры ЗАТО Северск на 2013 год и на перспективу до 2035 года». </w:t>
      </w:r>
      <w:r>
        <w:rPr>
          <w:rFonts w:ascii="Times New Roman" w:hAnsi="Times New Roman"/>
          <w:color w:val="000000"/>
          <w:sz w:val="24"/>
          <w:szCs w:val="24"/>
        </w:rPr>
        <w:t>Каждая муниципальная программа (далее – МП) направлена на достижение одной из среднесрочных целей социально-экономического развития ЗАТО Северск.</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color w:val="000000"/>
          <w:sz w:val="24"/>
          <w:szCs w:val="24"/>
        </w:rPr>
        <w:t>В программные расходы включены:</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color w:val="000000"/>
          <w:sz w:val="24"/>
          <w:szCs w:val="24"/>
        </w:rPr>
        <w:t>- бюджетные ассигнования на оказание муниципальных услуг (выполнение работ) муниципальными учреждениями и предоставление им субсидий на иные цели;</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color w:val="000000"/>
          <w:sz w:val="24"/>
          <w:szCs w:val="24"/>
        </w:rPr>
        <w:t>- бюджетные ассигнования на содержание органов местного самоуправления;</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color w:val="000000"/>
          <w:sz w:val="24"/>
          <w:szCs w:val="24"/>
        </w:rPr>
        <w:t>- бюджетные ассигнования на осуществление переданных государственных полномочий;</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color w:val="000000"/>
          <w:sz w:val="24"/>
          <w:szCs w:val="24"/>
        </w:rPr>
        <w:t>- иные бюджетные ассигнования, не относящиеся к непрограммным.</w:t>
      </w:r>
    </w:p>
    <w:p>
      <w:pPr>
        <w:spacing w:after="120"/>
        <w:ind w:firstLine="709"/>
        <w:jc w:val="both"/>
        <w:rPr>
          <w:rFonts w:ascii="Times New Roman" w:hAnsi="Times New Roman"/>
          <w:sz w:val="24"/>
          <w:szCs w:val="24"/>
        </w:rPr>
      </w:pPr>
      <w:r>
        <w:rPr>
          <w:rFonts w:ascii="Times New Roman" w:hAnsi="Times New Roman"/>
          <w:sz w:val="24"/>
          <w:szCs w:val="24"/>
        </w:rPr>
        <w:t xml:space="preserve">Объём ассигнований на исполнение программ на 2021 год составляет 3 877 045,63 тыс.руб., на 2022 год – 3 297 045,53 тыс.руб.; на 2023 год – 3 204 342,13 тыс.руб. </w:t>
      </w:r>
    </w:p>
    <w:p>
      <w:pPr>
        <w:spacing w:after="120"/>
        <w:ind w:firstLine="709"/>
        <w:jc w:val="both"/>
        <w:rPr>
          <w:rFonts w:ascii="Times New Roman" w:hAnsi="Times New Roman"/>
          <w:sz w:val="24"/>
          <w:szCs w:val="24"/>
        </w:rPr>
      </w:pPr>
      <w:r>
        <w:rPr>
          <w:rFonts w:ascii="Times New Roman" w:hAnsi="Times New Roman"/>
          <w:sz w:val="24"/>
          <w:szCs w:val="24"/>
        </w:rPr>
        <w:t>Доля расходов, формируемых в рамках программ, на 2021 год составляет 93,4% от общего объема расходов бюджета ЗАТО Северск на 2022 и 2023 годы 91,9 % и 90,3% соответственно.</w:t>
      </w:r>
    </w:p>
    <w:p>
      <w:pPr>
        <w:spacing w:before="120" w:after="60"/>
        <w:ind w:firstLine="709"/>
        <w:rPr>
          <w:rFonts w:ascii="Times New Roman" w:hAnsi="Times New Roman"/>
          <w:sz w:val="24"/>
          <w:szCs w:val="24"/>
        </w:rPr>
      </w:pPr>
      <w:r>
        <w:rPr>
          <w:rFonts w:ascii="Times New Roman" w:hAnsi="Times New Roman"/>
          <w:sz w:val="24"/>
          <w:szCs w:val="24"/>
        </w:rPr>
        <w:t>Таблица 38 -  Распределение ассигнований по программно-целевому принципу</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560"/>
        <w:gridCol w:w="1418"/>
        <w:gridCol w:w="1275"/>
        <w:gridCol w:w="708"/>
        <w:gridCol w:w="1418"/>
        <w:gridCol w:w="1418"/>
      </w:tblGrid>
      <w:tr>
        <w:trPr>
          <w:trHeight w:val="257"/>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Наименование</w:t>
            </w:r>
          </w:p>
        </w:tc>
        <w:tc>
          <w:tcPr>
            <w:tcW w:w="2978" w:type="dxa"/>
            <w:gridSpan w:val="2"/>
            <w:tcBorders>
              <w:top w:val="single" w:sz="4" w:space="0" w:color="auto"/>
              <w:left w:val="single" w:sz="4" w:space="0" w:color="auto"/>
              <w:right w:val="single" w:sz="4" w:space="0" w:color="auto"/>
            </w:tcBorders>
            <w:vAlign w:val="center"/>
          </w:tcPr>
          <w:p>
            <w:pPr>
              <w:jc w:val="center"/>
              <w:rPr>
                <w:rFonts w:ascii="Times New Roman" w:hAnsi="Times New Roman"/>
                <w:bCs/>
              </w:rPr>
            </w:pPr>
            <w:r>
              <w:rPr>
                <w:rFonts w:ascii="Times New Roman" w:hAnsi="Times New Roman"/>
                <w:bCs/>
              </w:rPr>
              <w:t>2020 год</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Прогноз 2021 года</w:t>
            </w:r>
          </w:p>
        </w:tc>
        <w:tc>
          <w:tcPr>
            <w:tcW w:w="1418" w:type="dxa"/>
            <w:vMerge w:val="restart"/>
            <w:tcBorders>
              <w:top w:val="single" w:sz="4" w:space="0" w:color="auto"/>
              <w:left w:val="single" w:sz="4" w:space="0" w:color="auto"/>
              <w:bottom w:val="single" w:sz="4" w:space="0" w:color="auto"/>
              <w:right w:val="single" w:sz="4" w:space="0" w:color="auto"/>
            </w:tcBorders>
            <w:hideMark/>
          </w:tcPr>
          <w:p>
            <w:pPr>
              <w:spacing w:after="60"/>
              <w:jc w:val="center"/>
              <w:rPr>
                <w:rFonts w:ascii="Times New Roman" w:hAnsi="Times New Roman"/>
              </w:rPr>
            </w:pPr>
            <w:r>
              <w:rPr>
                <w:rFonts w:ascii="Times New Roman" w:hAnsi="Times New Roman"/>
              </w:rPr>
              <w:t xml:space="preserve">Прогноз </w:t>
            </w:r>
          </w:p>
          <w:p>
            <w:pPr>
              <w:spacing w:after="60"/>
              <w:jc w:val="center"/>
              <w:rPr>
                <w:rFonts w:ascii="Times New Roman" w:hAnsi="Times New Roman"/>
              </w:rPr>
            </w:pPr>
            <w:r>
              <w:rPr>
                <w:rFonts w:ascii="Times New Roman" w:hAnsi="Times New Roman"/>
              </w:rPr>
              <w:t>2022 года, тыс.руб.</w:t>
            </w:r>
          </w:p>
        </w:tc>
        <w:tc>
          <w:tcPr>
            <w:tcW w:w="1418" w:type="dxa"/>
            <w:vMerge w:val="restart"/>
            <w:tcBorders>
              <w:top w:val="single" w:sz="4" w:space="0" w:color="auto"/>
              <w:left w:val="single" w:sz="4" w:space="0" w:color="auto"/>
              <w:bottom w:val="single" w:sz="4" w:space="0" w:color="auto"/>
              <w:right w:val="single" w:sz="4" w:space="0" w:color="auto"/>
            </w:tcBorders>
            <w:hideMark/>
          </w:tcPr>
          <w:p>
            <w:pPr>
              <w:spacing w:after="60"/>
              <w:jc w:val="center"/>
              <w:rPr>
                <w:rFonts w:ascii="Times New Roman" w:hAnsi="Times New Roman"/>
              </w:rPr>
            </w:pPr>
            <w:r>
              <w:rPr>
                <w:rFonts w:ascii="Times New Roman" w:hAnsi="Times New Roman"/>
              </w:rPr>
              <w:t>Прогноз</w:t>
            </w:r>
          </w:p>
          <w:p>
            <w:pPr>
              <w:spacing w:after="60"/>
              <w:jc w:val="center"/>
              <w:rPr>
                <w:rFonts w:ascii="Times New Roman" w:hAnsi="Times New Roman"/>
              </w:rPr>
            </w:pPr>
            <w:r>
              <w:rPr>
                <w:rFonts w:ascii="Times New Roman" w:hAnsi="Times New Roman"/>
              </w:rPr>
              <w:t>2023 года, тыс.руб.</w:t>
            </w:r>
          </w:p>
        </w:tc>
      </w:tr>
      <w:tr>
        <w:trPr>
          <w:trHeight w:val="256"/>
        </w:trPr>
        <w:tc>
          <w:tcPr>
            <w:tcW w:w="170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560" w:type="dxa"/>
            <w:tcBorders>
              <w:left w:val="single" w:sz="4" w:space="0" w:color="auto"/>
              <w:bottom w:val="single" w:sz="4" w:space="0" w:color="auto"/>
              <w:right w:val="single" w:sz="4" w:space="0" w:color="auto"/>
            </w:tcBorders>
            <w:vAlign w:val="center"/>
          </w:tcPr>
          <w:p>
            <w:pPr>
              <w:jc w:val="center"/>
              <w:rPr>
                <w:rFonts w:ascii="Times New Roman" w:hAnsi="Times New Roman"/>
                <w:bCs/>
              </w:rPr>
            </w:pPr>
            <w:r>
              <w:rPr>
                <w:rFonts w:ascii="Times New Roman" w:hAnsi="Times New Roman"/>
                <w:bCs/>
              </w:rPr>
              <w:t>Первоначально утверждено,</w:t>
            </w:r>
          </w:p>
          <w:p>
            <w:pPr>
              <w:jc w:val="center"/>
              <w:rPr>
                <w:rFonts w:ascii="Times New Roman" w:hAnsi="Times New Roman"/>
                <w:bCs/>
              </w:rPr>
            </w:pPr>
            <w:r>
              <w:rPr>
                <w:rFonts w:ascii="Times New Roman" w:hAnsi="Times New Roman"/>
                <w:bCs/>
              </w:rPr>
              <w:t>тыс.руб.</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bCs/>
              </w:rPr>
            </w:pPr>
            <w:r>
              <w:rPr>
                <w:rFonts w:ascii="Times New Roman" w:hAnsi="Times New Roman"/>
                <w:bCs/>
              </w:rPr>
              <w:t>Оценка на тыс.руб.</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Сумма</w:t>
            </w:r>
          </w:p>
          <w:p>
            <w:pPr>
              <w:jc w:val="center"/>
              <w:rPr>
                <w:rFonts w:ascii="Times New Roman" w:hAnsi="Times New Roman"/>
                <w:bCs/>
              </w:rPr>
            </w:pPr>
            <w:r>
              <w:rPr>
                <w:rFonts w:ascii="Times New Roman" w:hAnsi="Times New Roman"/>
              </w:rPr>
              <w:t>тыс.руб.</w:t>
            </w:r>
          </w:p>
        </w:tc>
        <w:tc>
          <w:tcPr>
            <w:tcW w:w="70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bCs/>
              </w:rPr>
            </w:pPr>
            <w:r>
              <w:rPr>
                <w:rFonts w:ascii="Times New Roman" w:hAnsi="Times New Roman"/>
              </w:rPr>
              <w:t>%</w:t>
            </w:r>
          </w:p>
        </w:tc>
        <w:tc>
          <w:tcPr>
            <w:tcW w:w="14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r>
      <w:tr>
        <w:trPr>
          <w:trHeight w:val="151"/>
        </w:trPr>
        <w:tc>
          <w:tcPr>
            <w:tcW w:w="1701" w:type="dxa"/>
            <w:tcBorders>
              <w:top w:val="single" w:sz="4" w:space="0" w:color="auto"/>
              <w:left w:val="single" w:sz="4" w:space="0" w:color="auto"/>
              <w:bottom w:val="single" w:sz="4" w:space="0" w:color="auto"/>
              <w:right w:val="single" w:sz="4" w:space="0" w:color="auto"/>
            </w:tcBorders>
            <w:vAlign w:val="center"/>
            <w:hideMark/>
          </w:tcPr>
          <w:p>
            <w:pPr>
              <w:spacing w:after="60"/>
              <w:rPr>
                <w:rFonts w:ascii="Times New Roman" w:hAnsi="Times New Roman"/>
              </w:rPr>
            </w:pPr>
            <w:r>
              <w:rPr>
                <w:rFonts w:ascii="Times New Roman" w:hAnsi="Times New Roman"/>
              </w:rPr>
              <w:t>РАСХОДЫ всего</w:t>
            </w:r>
          </w:p>
        </w:tc>
        <w:tc>
          <w:tcPr>
            <w:tcW w:w="15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3 915 116,33</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4 787 237,56</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4 152 406,02</w:t>
            </w:r>
          </w:p>
        </w:tc>
        <w:tc>
          <w:tcPr>
            <w:tcW w:w="708" w:type="dxa"/>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86,7</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3 587 405,81</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3 547 135,73</w:t>
            </w:r>
          </w:p>
        </w:tc>
      </w:tr>
      <w:tr>
        <w:trPr>
          <w:trHeight w:val="579"/>
        </w:trPr>
        <w:tc>
          <w:tcPr>
            <w:tcW w:w="1701"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r>
              <w:rPr>
                <w:rFonts w:ascii="Times New Roman" w:hAnsi="Times New Roman"/>
              </w:rPr>
              <w:t>Программные расходы</w:t>
            </w:r>
          </w:p>
        </w:tc>
        <w:tc>
          <w:tcPr>
            <w:tcW w:w="15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3 620 245,68</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4 466 623,78</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3 877 045,63</w:t>
            </w:r>
          </w:p>
        </w:tc>
        <w:tc>
          <w:tcPr>
            <w:tcW w:w="708" w:type="dxa"/>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86,8</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3 297 045,53</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color w:val="000000"/>
              </w:rPr>
              <w:t>3 204 342,13</w:t>
            </w:r>
          </w:p>
        </w:tc>
      </w:tr>
      <w:tr>
        <w:tc>
          <w:tcPr>
            <w:tcW w:w="1701"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r>
              <w:rPr>
                <w:rFonts w:ascii="Times New Roman" w:hAnsi="Times New Roman"/>
              </w:rPr>
              <w:t>Муниципальные программы, из них:</w:t>
            </w:r>
          </w:p>
        </w:tc>
        <w:tc>
          <w:tcPr>
            <w:tcW w:w="15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3 607 091,54</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4 453 739,23</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3 872 703,85</w:t>
            </w:r>
          </w:p>
        </w:tc>
        <w:tc>
          <w:tcPr>
            <w:tcW w:w="708" w:type="dxa"/>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86,9</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3 225 729,29</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3 204342,13</w:t>
            </w:r>
          </w:p>
        </w:tc>
      </w:tr>
      <w:tr>
        <w:tc>
          <w:tcPr>
            <w:tcW w:w="1701"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r>
              <w:rPr>
                <w:rFonts w:ascii="Times New Roman" w:hAnsi="Times New Roman"/>
              </w:rPr>
              <w:t>- ВЦП (текущая деятельность)</w:t>
            </w:r>
          </w:p>
        </w:tc>
        <w:tc>
          <w:tcPr>
            <w:tcW w:w="15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2 941 996,24</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3 529 446,68</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3 160 359,88</w:t>
            </w:r>
          </w:p>
        </w:tc>
        <w:tc>
          <w:tcPr>
            <w:tcW w:w="708"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r>
              <w:rPr>
                <w:rFonts w:ascii="Times New Roman" w:hAnsi="Times New Roman"/>
              </w:rPr>
              <w:t> 89,5</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2 771 222,11</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2 740 290,47</w:t>
            </w:r>
          </w:p>
        </w:tc>
      </w:tr>
      <w:tr>
        <w:tc>
          <w:tcPr>
            <w:tcW w:w="1701"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r>
              <w:rPr>
                <w:rFonts w:ascii="Times New Roman" w:hAnsi="Times New Roman"/>
              </w:rPr>
              <w:t>- Региональные проекты</w:t>
            </w:r>
          </w:p>
        </w:tc>
        <w:tc>
          <w:tcPr>
            <w:tcW w:w="15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169 871,91</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336 191,77</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182 748,93</w:t>
            </w:r>
          </w:p>
        </w:tc>
        <w:tc>
          <w:tcPr>
            <w:tcW w:w="708" w:type="dxa"/>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66 784,64</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63 721,84</w:t>
            </w:r>
          </w:p>
        </w:tc>
      </w:tr>
      <w:tr>
        <w:tc>
          <w:tcPr>
            <w:tcW w:w="1701" w:type="dxa"/>
            <w:tcBorders>
              <w:top w:val="single" w:sz="4" w:space="0" w:color="auto"/>
              <w:left w:val="single" w:sz="4" w:space="0" w:color="auto"/>
              <w:bottom w:val="single" w:sz="4" w:space="0" w:color="auto"/>
              <w:right w:val="single" w:sz="4" w:space="0" w:color="auto"/>
            </w:tcBorders>
            <w:vAlign w:val="center"/>
            <w:hideMark/>
          </w:tcPr>
          <w:p>
            <w:pPr>
              <w:spacing w:after="60"/>
              <w:rPr>
                <w:rFonts w:ascii="Times New Roman" w:hAnsi="Times New Roman"/>
              </w:rPr>
            </w:pPr>
            <w:r>
              <w:rPr>
                <w:rFonts w:ascii="Times New Roman" w:hAnsi="Times New Roman"/>
              </w:rPr>
              <w:t>Комплексная программа развития</w:t>
            </w:r>
          </w:p>
        </w:tc>
        <w:tc>
          <w:tcPr>
            <w:tcW w:w="156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13 154,14</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12 884,55</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4 341,78</w:t>
            </w:r>
          </w:p>
        </w:tc>
        <w:tc>
          <w:tcPr>
            <w:tcW w:w="708" w:type="dxa"/>
            <w:tcBorders>
              <w:top w:val="single" w:sz="4" w:space="0" w:color="auto"/>
              <w:left w:val="single" w:sz="4" w:space="0" w:color="auto"/>
              <w:bottom w:val="single" w:sz="4" w:space="0" w:color="auto"/>
              <w:right w:val="single" w:sz="4" w:space="0" w:color="auto"/>
            </w:tcBorders>
            <w:vAlign w:val="center"/>
            <w:hideMark/>
          </w:tcPr>
          <w:p>
            <w:pPr>
              <w:spacing w:after="60"/>
              <w:jc w:val="center"/>
              <w:rPr>
                <w:rFonts w:ascii="Times New Roman" w:hAnsi="Times New Roman"/>
              </w:rPr>
            </w:pPr>
            <w:r>
              <w:rPr>
                <w:rFonts w:ascii="Times New Roman" w:hAnsi="Times New Roman"/>
              </w:rPr>
              <w:t>0,3</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71 316,24</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0,00</w:t>
            </w:r>
          </w:p>
        </w:tc>
      </w:tr>
      <w:tr>
        <w:tc>
          <w:tcPr>
            <w:tcW w:w="1701" w:type="dxa"/>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r>
              <w:rPr>
                <w:rFonts w:ascii="Times New Roman" w:hAnsi="Times New Roman"/>
              </w:rPr>
              <w:t>Доля программных расходов, %</w:t>
            </w:r>
          </w:p>
        </w:tc>
        <w:tc>
          <w:tcPr>
            <w:tcW w:w="1560"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92,5</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93,3</w:t>
            </w:r>
          </w:p>
        </w:tc>
        <w:tc>
          <w:tcPr>
            <w:tcW w:w="127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93,4</w:t>
            </w:r>
          </w:p>
        </w:tc>
        <w:tc>
          <w:tcPr>
            <w:tcW w:w="708" w:type="dxa"/>
            <w:tcBorders>
              <w:top w:val="single" w:sz="4" w:space="0" w:color="auto"/>
              <w:left w:val="single" w:sz="4" w:space="0" w:color="auto"/>
              <w:bottom w:val="single" w:sz="4" w:space="0" w:color="auto"/>
              <w:right w:val="single" w:sz="4" w:space="0" w:color="auto"/>
            </w:tcBorders>
            <w:vAlign w:val="center"/>
          </w:tcPr>
          <w:p>
            <w:pPr>
              <w:spacing w:after="60"/>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91,9</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90,3</w:t>
            </w:r>
          </w:p>
        </w:tc>
      </w:tr>
    </w:tbl>
    <w:p>
      <w:pPr>
        <w:pStyle w:val="ConsPlusNormal"/>
        <w:tabs>
          <w:tab w:val="left" w:pos="3600"/>
        </w:tabs>
        <w:ind w:firstLine="709"/>
        <w:jc w:val="both"/>
        <w:rPr>
          <w:rFonts w:ascii="Times New Roman" w:hAnsi="Times New Roman"/>
          <w:sz w:val="16"/>
          <w:szCs w:val="16"/>
        </w:rPr>
      </w:pP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 xml:space="preserve">В проекте бюджета ЗАТО Северск в 2021 году пять национальных проектов интегрированы в пять муниципальных программ: </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1) МП «Развитие предпринимательства в ЗАТО Северск» (региональный проект «Акселерация субъектов малого и среднего предпринимательства» в рамках  национального проекта «Малое и среднее предпринимательство и поддержка индивидуальной предпринимательской инициативы»);</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2) МП «Развитие физической культуры и спорта в ЗАТО Северск» (региональный проект «Спорт - норма жизни» в рамках  национального проекта «Демография»);</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3) МП «Развитие образования в ЗАТО Северск» (региональный проект «Цифровая образовательная среда» в рамках  национального проекта «Образование»);</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 xml:space="preserve">4) МП «Дорожная деятельность и транспортное обслуживание на территории ЗАТО Северск» (региональный проект «Дорожная сеть» в рамках  национального проекта </w:t>
      </w:r>
      <w:r>
        <w:rPr>
          <w:rFonts w:ascii="Times New Roman" w:hAnsi="Times New Roman"/>
          <w:sz w:val="24"/>
          <w:szCs w:val="24"/>
        </w:rPr>
        <w:lastRenderedPageBreak/>
        <w:t>«Безопасные и качественные автомобильные дороги»);</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5) МП «Формирование современной городской среды ЗАТО Северск»  (региональный проект «Формирование комфортной городской среды» в рамках  национального проекта  «Жилье и городская среда»).</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Общая сумма прогнозируемых расходов в 2021 году на реализацию региональных проектов, включенных в указанные пять муниципальных программ составляет 182 748,93 тыс.руб., в т.ч. средства областного бюджета – 121 593,50 тыс.руб.</w:t>
      </w:r>
    </w:p>
    <w:p>
      <w:pPr>
        <w:pStyle w:val="ConsPlusNormal"/>
        <w:tabs>
          <w:tab w:val="left" w:pos="3600"/>
        </w:tabs>
        <w:ind w:firstLine="709"/>
        <w:jc w:val="both"/>
        <w:rPr>
          <w:rFonts w:ascii="Times New Roman" w:hAnsi="Times New Roman"/>
          <w:sz w:val="24"/>
          <w:szCs w:val="24"/>
        </w:rPr>
      </w:pPr>
      <w:r>
        <w:rPr>
          <w:rFonts w:ascii="Times New Roman" w:hAnsi="Times New Roman"/>
          <w:color w:val="000000"/>
          <w:sz w:val="24"/>
          <w:szCs w:val="24"/>
        </w:rPr>
        <w:t>Предстоящий среднесрочный период 2021 – 2023 годов ознаменован новым бюджетным циклом для 15 новых муниципальных программ. По 3 муниципальным программам (</w:t>
      </w:r>
      <w:r>
        <w:rPr>
          <w:rFonts w:ascii="Times New Roman" w:hAnsi="Times New Roman"/>
          <w:sz w:val="24"/>
          <w:szCs w:val="24"/>
        </w:rPr>
        <w:t>«Развитие образования в ЗАТО Северск», «Формирование современной городской среды ЗАТО Северск», «Развитие информационного общества ЗАТО Северск»)</w:t>
      </w:r>
      <w:r>
        <w:rPr>
          <w:rFonts w:ascii="Times New Roman" w:hAnsi="Times New Roman"/>
          <w:color w:val="000000"/>
          <w:sz w:val="24"/>
          <w:szCs w:val="24"/>
        </w:rPr>
        <w:t xml:space="preserve"> и К</w:t>
      </w:r>
      <w:r>
        <w:rPr>
          <w:rFonts w:ascii="Times New Roman" w:hAnsi="Times New Roman"/>
          <w:sz w:val="24"/>
          <w:szCs w:val="24"/>
        </w:rPr>
        <w:t>омплексной программе развития систем инженерной и коммунальной инфраструктуры ЗАТО Северск на 2013 год и на перспективу до 2035 года п</w:t>
      </w:r>
      <w:r>
        <w:rPr>
          <w:rFonts w:ascii="Times New Roman" w:hAnsi="Times New Roman"/>
          <w:color w:val="000000"/>
          <w:sz w:val="24"/>
          <w:szCs w:val="24"/>
        </w:rPr>
        <w:t>родолжена реализация ранее разработанных мероприятий.</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sz w:val="24"/>
          <w:szCs w:val="24"/>
        </w:rPr>
        <w:t>Таблица 39 – Структурированное р</w:t>
      </w:r>
      <w:r>
        <w:rPr>
          <w:rFonts w:ascii="Times New Roman" w:hAnsi="Times New Roman"/>
          <w:color w:val="000000"/>
          <w:sz w:val="24"/>
          <w:szCs w:val="24"/>
        </w:rPr>
        <w:t xml:space="preserve">аспределение программных расходов по направлениям </w:t>
      </w:r>
    </w:p>
    <w:tbl>
      <w:tblPr>
        <w:tblW w:w="9356" w:type="dxa"/>
        <w:tblInd w:w="108" w:type="dxa"/>
        <w:tblLayout w:type="fixed"/>
        <w:tblLook w:val="04A0" w:firstRow="1" w:lastRow="0" w:firstColumn="1" w:lastColumn="0" w:noHBand="0" w:noVBand="1"/>
      </w:tblPr>
      <w:tblGrid>
        <w:gridCol w:w="1985"/>
        <w:gridCol w:w="1276"/>
        <w:gridCol w:w="1275"/>
        <w:gridCol w:w="1276"/>
        <w:gridCol w:w="709"/>
        <w:gridCol w:w="1417"/>
        <w:gridCol w:w="1418"/>
      </w:tblGrid>
      <w:tr>
        <w:trPr>
          <w:trHeight w:val="146"/>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Наименование</w:t>
            </w:r>
          </w:p>
        </w:tc>
        <w:tc>
          <w:tcPr>
            <w:tcW w:w="2551" w:type="dxa"/>
            <w:gridSpan w:val="2"/>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bCs/>
                <w:color w:val="000000"/>
              </w:rPr>
              <w:t>2020 год</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Прогноз 2021 года</w:t>
            </w:r>
          </w:p>
        </w:tc>
        <w:tc>
          <w:tcPr>
            <w:tcW w:w="1417" w:type="dxa"/>
            <w:vMerge w:val="restart"/>
            <w:tcBorders>
              <w:top w:val="single" w:sz="4" w:space="0" w:color="auto"/>
              <w:left w:val="nil"/>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 xml:space="preserve">Прогноз </w:t>
            </w:r>
          </w:p>
          <w:p>
            <w:pPr>
              <w:jc w:val="center"/>
              <w:rPr>
                <w:rFonts w:ascii="Times New Roman" w:hAnsi="Times New Roman"/>
                <w:color w:val="000000"/>
              </w:rPr>
            </w:pPr>
            <w:r>
              <w:rPr>
                <w:rFonts w:ascii="Times New Roman" w:hAnsi="Times New Roman"/>
                <w:color w:val="000000"/>
              </w:rPr>
              <w:t xml:space="preserve">2022 года, </w:t>
            </w:r>
            <w:r>
              <w:rPr>
                <w:rFonts w:ascii="Times New Roman" w:hAnsi="Times New Roman"/>
                <w:color w:val="000000"/>
              </w:rPr>
              <w:br/>
              <w:t>тыс.руб.</w:t>
            </w:r>
          </w:p>
        </w:tc>
        <w:tc>
          <w:tcPr>
            <w:tcW w:w="1418" w:type="dxa"/>
            <w:vMerge w:val="restart"/>
            <w:tcBorders>
              <w:top w:val="single" w:sz="4" w:space="0" w:color="auto"/>
              <w:left w:val="nil"/>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Прогноз</w:t>
            </w:r>
          </w:p>
          <w:p>
            <w:pPr>
              <w:jc w:val="center"/>
              <w:rPr>
                <w:rFonts w:ascii="Times New Roman" w:hAnsi="Times New Roman"/>
                <w:color w:val="000000"/>
              </w:rPr>
            </w:pPr>
            <w:r>
              <w:rPr>
                <w:rFonts w:ascii="Times New Roman" w:hAnsi="Times New Roman"/>
                <w:color w:val="000000"/>
              </w:rPr>
              <w:t xml:space="preserve">2023 года, </w:t>
            </w:r>
            <w:r>
              <w:rPr>
                <w:rFonts w:ascii="Times New Roman" w:hAnsi="Times New Roman"/>
                <w:color w:val="000000"/>
              </w:rPr>
              <w:br/>
              <w:t>тыс.руб.</w:t>
            </w:r>
          </w:p>
        </w:tc>
      </w:tr>
      <w:tr>
        <w:trPr>
          <w:trHeight w:val="375"/>
        </w:trPr>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rPr>
            </w:pPr>
          </w:p>
        </w:tc>
        <w:tc>
          <w:tcPr>
            <w:tcW w:w="1276" w:type="dxa"/>
            <w:tcBorders>
              <w:top w:val="nil"/>
              <w:left w:val="nil"/>
              <w:bottom w:val="nil"/>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bCs/>
                <w:color w:val="000000"/>
              </w:rPr>
              <w:t>Первона-чально утверждено,</w:t>
            </w:r>
            <w:r>
              <w:rPr>
                <w:rFonts w:ascii="Times New Roman" w:hAnsi="Times New Roman"/>
                <w:bCs/>
                <w:color w:val="000000"/>
              </w:rPr>
              <w:br/>
              <w:t>тыс.руб.</w:t>
            </w:r>
          </w:p>
        </w:tc>
        <w:tc>
          <w:tcPr>
            <w:tcW w:w="1275"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bCs/>
                <w:color w:val="000000"/>
              </w:rPr>
              <w:t>Оценка на тыс.руб.</w:t>
            </w:r>
          </w:p>
        </w:tc>
        <w:tc>
          <w:tcPr>
            <w:tcW w:w="1276" w:type="dxa"/>
            <w:tcBorders>
              <w:top w:val="nil"/>
              <w:left w:val="nil"/>
              <w:bottom w:val="nil"/>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Сумма</w:t>
            </w:r>
          </w:p>
        </w:tc>
        <w:tc>
          <w:tcPr>
            <w:tcW w:w="709" w:type="dxa"/>
            <w:tcBorders>
              <w:top w:val="nil"/>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rPr>
            </w:pPr>
            <w:r>
              <w:rPr>
                <w:rFonts w:ascii="Times New Roman" w:hAnsi="Times New Roman"/>
                <w:color w:val="000000"/>
              </w:rPr>
              <w:t>%</w:t>
            </w:r>
          </w:p>
        </w:tc>
        <w:tc>
          <w:tcPr>
            <w:tcW w:w="1417" w:type="dxa"/>
            <w:vMerge/>
            <w:tcBorders>
              <w:left w:val="nil"/>
              <w:bottom w:val="nil"/>
              <w:right w:val="single" w:sz="4" w:space="0" w:color="auto"/>
            </w:tcBorders>
            <w:shd w:val="clear" w:color="auto" w:fill="auto"/>
            <w:vAlign w:val="center"/>
            <w:hideMark/>
          </w:tcPr>
          <w:p>
            <w:pPr>
              <w:jc w:val="center"/>
              <w:rPr>
                <w:rFonts w:ascii="Times New Roman" w:hAnsi="Times New Roman"/>
                <w:color w:val="000000"/>
              </w:rPr>
            </w:pPr>
          </w:p>
        </w:tc>
        <w:tc>
          <w:tcPr>
            <w:tcW w:w="1418" w:type="dxa"/>
            <w:vMerge/>
            <w:tcBorders>
              <w:left w:val="nil"/>
              <w:bottom w:val="nil"/>
              <w:right w:val="single" w:sz="4" w:space="0" w:color="auto"/>
            </w:tcBorders>
            <w:shd w:val="clear" w:color="auto" w:fill="auto"/>
            <w:vAlign w:val="center"/>
            <w:hideMark/>
          </w:tcPr>
          <w:p>
            <w:pPr>
              <w:jc w:val="center"/>
              <w:rPr>
                <w:rFonts w:ascii="Times New Roman" w:hAnsi="Times New Roman"/>
                <w:color w:val="000000"/>
              </w:rPr>
            </w:pPr>
          </w:p>
        </w:tc>
      </w:tr>
      <w:tr>
        <w:trPr>
          <w:trHeight w:val="312"/>
        </w:trPr>
        <w:tc>
          <w:tcPr>
            <w:tcW w:w="1985" w:type="dxa"/>
            <w:tcBorders>
              <w:top w:val="nil"/>
              <w:left w:val="single" w:sz="4" w:space="0" w:color="auto"/>
              <w:bottom w:val="single" w:sz="4" w:space="0" w:color="auto"/>
              <w:right w:val="single" w:sz="4" w:space="0" w:color="auto"/>
            </w:tcBorders>
            <w:shd w:val="clear" w:color="auto" w:fill="auto"/>
            <w:vAlign w:val="center"/>
            <w:hideMark/>
          </w:tcPr>
          <w:p>
            <w:pPr>
              <w:rPr>
                <w:rFonts w:ascii="Times New Roman" w:hAnsi="Times New Roman"/>
                <w:bCs/>
                <w:color w:val="000000"/>
              </w:rPr>
            </w:pPr>
            <w:r>
              <w:rPr>
                <w:rFonts w:ascii="Times New Roman" w:hAnsi="Times New Roman"/>
                <w:bCs/>
                <w:color w:val="000000"/>
              </w:rPr>
              <w:t>Всего программные расходы</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3 620 245,68</w:t>
            </w:r>
          </w:p>
        </w:tc>
        <w:tc>
          <w:tcPr>
            <w:tcW w:w="1275"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4 466 623,78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3 877 045,63</w:t>
            </w:r>
          </w:p>
        </w:tc>
        <w:tc>
          <w:tcPr>
            <w:tcW w:w="709"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bCs/>
                <w:color w:val="000000"/>
              </w:rPr>
              <w:t>86,8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3 297 045,53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3 204 342,13</w:t>
            </w:r>
          </w:p>
        </w:tc>
      </w:tr>
      <w:tr>
        <w:trPr>
          <w:trHeight w:val="312"/>
        </w:trPr>
        <w:tc>
          <w:tcPr>
            <w:tcW w:w="1985" w:type="dxa"/>
            <w:tcBorders>
              <w:top w:val="nil"/>
              <w:left w:val="single" w:sz="4" w:space="0" w:color="auto"/>
              <w:bottom w:val="single" w:sz="4" w:space="0" w:color="auto"/>
              <w:right w:val="single" w:sz="4" w:space="0" w:color="auto"/>
            </w:tcBorders>
            <w:shd w:val="clear" w:color="auto" w:fill="auto"/>
            <w:vAlign w:val="center"/>
            <w:hideMark/>
          </w:tcPr>
          <w:p>
            <w:pPr>
              <w:rPr>
                <w:rFonts w:ascii="Times New Roman" w:hAnsi="Times New Roman"/>
                <w:bCs/>
                <w:color w:val="000000"/>
              </w:rPr>
            </w:pPr>
            <w:r>
              <w:rPr>
                <w:rFonts w:ascii="Times New Roman" w:hAnsi="Times New Roman"/>
                <w:bCs/>
                <w:color w:val="000000"/>
              </w:rPr>
              <w:t xml:space="preserve">Социальная инфраструктура </w:t>
            </w:r>
          </w:p>
        </w:tc>
        <w:tc>
          <w:tcPr>
            <w:tcW w:w="127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2 760 484,30</w:t>
            </w:r>
          </w:p>
        </w:tc>
        <w:tc>
          <w:tcPr>
            <w:tcW w:w="1275"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3 419 743,69</w:t>
            </w:r>
          </w:p>
        </w:tc>
        <w:tc>
          <w:tcPr>
            <w:tcW w:w="127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2 993 415,65</w:t>
            </w:r>
          </w:p>
        </w:tc>
        <w:tc>
          <w:tcPr>
            <w:tcW w:w="709" w:type="dxa"/>
            <w:tcBorders>
              <w:top w:val="nil"/>
              <w:left w:val="nil"/>
              <w:bottom w:val="single" w:sz="4" w:space="0" w:color="auto"/>
              <w:right w:val="single" w:sz="4" w:space="0" w:color="auto"/>
            </w:tcBorders>
            <w:shd w:val="clear" w:color="auto" w:fill="auto"/>
            <w:vAlign w:val="center"/>
            <w:hideMark/>
          </w:tcPr>
          <w:p>
            <w:pPr>
              <w:jc w:val="right"/>
              <w:rPr>
                <w:bCs/>
                <w:color w:val="000000"/>
              </w:rPr>
            </w:pPr>
            <w:r>
              <w:rPr>
                <w:bCs/>
                <w:color w:val="000000"/>
              </w:rPr>
              <w:t>87,5</w:t>
            </w:r>
          </w:p>
        </w:tc>
        <w:tc>
          <w:tcPr>
            <w:tcW w:w="1417"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2 603 157,92</w:t>
            </w:r>
          </w:p>
        </w:tc>
        <w:tc>
          <w:tcPr>
            <w:tcW w:w="1418"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2 568 604,47</w:t>
            </w:r>
          </w:p>
        </w:tc>
      </w:tr>
      <w:tr>
        <w:trPr>
          <w:trHeight w:val="337"/>
        </w:trPr>
        <w:tc>
          <w:tcPr>
            <w:tcW w:w="1985" w:type="dxa"/>
            <w:tcBorders>
              <w:top w:val="nil"/>
              <w:left w:val="single" w:sz="4" w:space="0" w:color="auto"/>
              <w:bottom w:val="single" w:sz="4" w:space="0" w:color="auto"/>
              <w:right w:val="single" w:sz="4" w:space="0" w:color="auto"/>
            </w:tcBorders>
            <w:shd w:val="clear" w:color="auto" w:fill="auto"/>
            <w:vAlign w:val="center"/>
            <w:hideMark/>
          </w:tcPr>
          <w:p>
            <w:pPr>
              <w:rPr>
                <w:rFonts w:ascii="Times New Roman" w:hAnsi="Times New Roman"/>
                <w:bCs/>
                <w:color w:val="000000"/>
              </w:rPr>
            </w:pPr>
            <w:r>
              <w:rPr>
                <w:rFonts w:ascii="Times New Roman" w:hAnsi="Times New Roman"/>
                <w:bCs/>
                <w:color w:val="000000"/>
              </w:rPr>
              <w:t xml:space="preserve">Городская среда и инженерная инфраструктура </w:t>
            </w:r>
          </w:p>
        </w:tc>
        <w:tc>
          <w:tcPr>
            <w:tcW w:w="127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bCs/>
                <w:color w:val="000000"/>
              </w:rPr>
              <w:t xml:space="preserve">723 861,16  </w:t>
            </w:r>
          </w:p>
        </w:tc>
        <w:tc>
          <w:tcPr>
            <w:tcW w:w="1275" w:type="dxa"/>
            <w:tcBorders>
              <w:top w:val="nil"/>
              <w:left w:val="nil"/>
              <w:bottom w:val="single" w:sz="4" w:space="0" w:color="auto"/>
              <w:right w:val="single" w:sz="4" w:space="0" w:color="auto"/>
            </w:tcBorders>
            <w:shd w:val="clear" w:color="auto" w:fill="auto"/>
            <w:vAlign w:val="center"/>
            <w:hideMark/>
          </w:tcPr>
          <w:p>
            <w:pPr>
              <w:jc w:val="right"/>
              <w:rPr>
                <w:bCs/>
                <w:color w:val="000000"/>
              </w:rPr>
            </w:pPr>
            <w:r>
              <w:rPr>
                <w:bCs/>
                <w:color w:val="000000"/>
              </w:rPr>
              <w:t xml:space="preserve">863 290,85  </w:t>
            </w:r>
          </w:p>
        </w:tc>
        <w:tc>
          <w:tcPr>
            <w:tcW w:w="1276" w:type="dxa"/>
            <w:tcBorders>
              <w:top w:val="nil"/>
              <w:left w:val="nil"/>
              <w:bottom w:val="single" w:sz="4" w:space="0" w:color="auto"/>
              <w:right w:val="single" w:sz="4" w:space="0" w:color="auto"/>
            </w:tcBorders>
            <w:shd w:val="clear" w:color="auto" w:fill="auto"/>
            <w:vAlign w:val="center"/>
            <w:hideMark/>
          </w:tcPr>
          <w:p>
            <w:pPr>
              <w:jc w:val="right"/>
              <w:rPr>
                <w:bCs/>
                <w:color w:val="000000"/>
              </w:rPr>
            </w:pPr>
            <w:r>
              <w:rPr>
                <w:bCs/>
                <w:color w:val="000000"/>
              </w:rPr>
              <w:t xml:space="preserve">730 387,04  </w:t>
            </w:r>
          </w:p>
        </w:tc>
        <w:tc>
          <w:tcPr>
            <w:tcW w:w="709" w:type="dxa"/>
            <w:tcBorders>
              <w:top w:val="nil"/>
              <w:left w:val="nil"/>
              <w:bottom w:val="single" w:sz="4" w:space="0" w:color="auto"/>
              <w:right w:val="single" w:sz="4" w:space="0" w:color="auto"/>
            </w:tcBorders>
            <w:shd w:val="clear" w:color="auto" w:fill="auto"/>
            <w:vAlign w:val="center"/>
            <w:hideMark/>
          </w:tcPr>
          <w:p>
            <w:pPr>
              <w:jc w:val="center"/>
              <w:rPr>
                <w:bCs/>
                <w:color w:val="000000"/>
              </w:rPr>
            </w:pPr>
            <w:r>
              <w:rPr>
                <w:bCs/>
                <w:color w:val="000000"/>
              </w:rPr>
              <w:t>84,6</w:t>
            </w:r>
          </w:p>
        </w:tc>
        <w:tc>
          <w:tcPr>
            <w:tcW w:w="1417" w:type="dxa"/>
            <w:tcBorders>
              <w:top w:val="nil"/>
              <w:left w:val="nil"/>
              <w:bottom w:val="single" w:sz="4" w:space="0" w:color="auto"/>
              <w:right w:val="single" w:sz="4" w:space="0" w:color="auto"/>
            </w:tcBorders>
            <w:shd w:val="clear" w:color="auto" w:fill="auto"/>
            <w:vAlign w:val="center"/>
            <w:hideMark/>
          </w:tcPr>
          <w:p>
            <w:pPr>
              <w:jc w:val="right"/>
              <w:rPr>
                <w:bCs/>
                <w:color w:val="000000"/>
              </w:rPr>
            </w:pPr>
            <w:r>
              <w:rPr>
                <w:bCs/>
                <w:color w:val="000000"/>
              </w:rPr>
              <w:t xml:space="preserve">565 995,92  </w:t>
            </w:r>
          </w:p>
        </w:tc>
        <w:tc>
          <w:tcPr>
            <w:tcW w:w="1418" w:type="dxa"/>
            <w:tcBorders>
              <w:top w:val="nil"/>
              <w:left w:val="nil"/>
              <w:bottom w:val="single" w:sz="4" w:space="0" w:color="auto"/>
              <w:right w:val="single" w:sz="4" w:space="0" w:color="auto"/>
            </w:tcBorders>
            <w:shd w:val="clear" w:color="auto" w:fill="auto"/>
            <w:vAlign w:val="center"/>
            <w:hideMark/>
          </w:tcPr>
          <w:p>
            <w:pPr>
              <w:jc w:val="right"/>
              <w:rPr>
                <w:bCs/>
                <w:color w:val="000000"/>
              </w:rPr>
            </w:pPr>
            <w:r>
              <w:rPr>
                <w:bCs/>
                <w:color w:val="000000"/>
              </w:rPr>
              <w:t xml:space="preserve">510 413,81  </w:t>
            </w:r>
          </w:p>
        </w:tc>
      </w:tr>
      <w:tr>
        <w:trPr>
          <w:trHeight w:val="624"/>
        </w:trPr>
        <w:tc>
          <w:tcPr>
            <w:tcW w:w="1985" w:type="dxa"/>
            <w:tcBorders>
              <w:top w:val="nil"/>
              <w:left w:val="single" w:sz="4" w:space="0" w:color="auto"/>
              <w:bottom w:val="single" w:sz="4" w:space="0" w:color="auto"/>
              <w:right w:val="single" w:sz="4" w:space="0" w:color="auto"/>
            </w:tcBorders>
            <w:shd w:val="clear" w:color="auto" w:fill="auto"/>
            <w:vAlign w:val="center"/>
            <w:hideMark/>
          </w:tcPr>
          <w:p>
            <w:pPr>
              <w:rPr>
                <w:rFonts w:ascii="Times New Roman" w:hAnsi="Times New Roman"/>
                <w:bCs/>
                <w:color w:val="000000"/>
              </w:rPr>
            </w:pPr>
            <w:r>
              <w:rPr>
                <w:rFonts w:ascii="Times New Roman" w:hAnsi="Times New Roman"/>
                <w:bCs/>
                <w:color w:val="000000"/>
              </w:rPr>
              <w:t xml:space="preserve">Совершенствование действующей системы муниципального управления </w:t>
            </w:r>
          </w:p>
        </w:tc>
        <w:tc>
          <w:tcPr>
            <w:tcW w:w="127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129 840,91</w:t>
            </w:r>
          </w:p>
        </w:tc>
        <w:tc>
          <w:tcPr>
            <w:tcW w:w="1275"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130 013,99</w:t>
            </w:r>
          </w:p>
        </w:tc>
        <w:tc>
          <w:tcPr>
            <w:tcW w:w="127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143 737,82</w:t>
            </w:r>
          </w:p>
        </w:tc>
        <w:tc>
          <w:tcPr>
            <w:tcW w:w="709" w:type="dxa"/>
            <w:tcBorders>
              <w:top w:val="nil"/>
              <w:left w:val="nil"/>
              <w:bottom w:val="single" w:sz="4" w:space="0" w:color="auto"/>
              <w:right w:val="single" w:sz="4" w:space="0" w:color="auto"/>
            </w:tcBorders>
            <w:shd w:val="clear" w:color="auto" w:fill="auto"/>
            <w:vAlign w:val="center"/>
            <w:hideMark/>
          </w:tcPr>
          <w:p>
            <w:pPr>
              <w:jc w:val="right"/>
              <w:rPr>
                <w:bCs/>
                <w:color w:val="000000"/>
              </w:rPr>
            </w:pPr>
            <w:r>
              <w:rPr>
                <w:bCs/>
                <w:color w:val="000000"/>
              </w:rPr>
              <w:t>110,6</w:t>
            </w:r>
          </w:p>
        </w:tc>
        <w:tc>
          <w:tcPr>
            <w:tcW w:w="1417"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122 174,37</w:t>
            </w:r>
          </w:p>
        </w:tc>
        <w:tc>
          <w:tcPr>
            <w:tcW w:w="1418"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119 606,53</w:t>
            </w:r>
          </w:p>
        </w:tc>
      </w:tr>
      <w:tr>
        <w:trPr>
          <w:trHeight w:val="312"/>
        </w:trPr>
        <w:tc>
          <w:tcPr>
            <w:tcW w:w="1985" w:type="dxa"/>
            <w:tcBorders>
              <w:top w:val="nil"/>
              <w:left w:val="single" w:sz="4" w:space="0" w:color="auto"/>
              <w:bottom w:val="single" w:sz="4" w:space="0" w:color="auto"/>
              <w:right w:val="single" w:sz="4" w:space="0" w:color="auto"/>
            </w:tcBorders>
            <w:shd w:val="clear" w:color="auto" w:fill="auto"/>
            <w:vAlign w:val="center"/>
            <w:hideMark/>
          </w:tcPr>
          <w:p>
            <w:pPr>
              <w:rPr>
                <w:rFonts w:ascii="Times New Roman" w:hAnsi="Times New Roman"/>
                <w:bCs/>
                <w:color w:val="000000"/>
              </w:rPr>
            </w:pPr>
            <w:r>
              <w:rPr>
                <w:rFonts w:ascii="Times New Roman" w:hAnsi="Times New Roman"/>
                <w:bCs/>
                <w:color w:val="000000"/>
              </w:rPr>
              <w:t>Диверсификация экономики</w:t>
            </w:r>
          </w:p>
        </w:tc>
        <w:tc>
          <w:tcPr>
            <w:tcW w:w="127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 xml:space="preserve">6 059,31  </w:t>
            </w:r>
          </w:p>
        </w:tc>
        <w:tc>
          <w:tcPr>
            <w:tcW w:w="1275"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53 575,25</w:t>
            </w:r>
          </w:p>
        </w:tc>
        <w:tc>
          <w:tcPr>
            <w:tcW w:w="1276"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9 505,12</w:t>
            </w:r>
          </w:p>
        </w:tc>
        <w:tc>
          <w:tcPr>
            <w:tcW w:w="709" w:type="dxa"/>
            <w:tcBorders>
              <w:top w:val="nil"/>
              <w:left w:val="nil"/>
              <w:bottom w:val="single" w:sz="4" w:space="0" w:color="auto"/>
              <w:right w:val="single" w:sz="4" w:space="0" w:color="auto"/>
            </w:tcBorders>
            <w:shd w:val="clear" w:color="auto" w:fill="auto"/>
            <w:vAlign w:val="center"/>
            <w:hideMark/>
          </w:tcPr>
          <w:p>
            <w:pPr>
              <w:jc w:val="right"/>
              <w:rPr>
                <w:bCs/>
                <w:color w:val="000000"/>
              </w:rPr>
            </w:pPr>
            <w:r>
              <w:rPr>
                <w:bCs/>
                <w:color w:val="000000"/>
              </w:rPr>
              <w:t>17,7</w:t>
            </w:r>
          </w:p>
        </w:tc>
        <w:tc>
          <w:tcPr>
            <w:tcW w:w="1417"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5 717,32</w:t>
            </w:r>
          </w:p>
        </w:tc>
        <w:tc>
          <w:tcPr>
            <w:tcW w:w="1418" w:type="dxa"/>
            <w:tcBorders>
              <w:top w:val="nil"/>
              <w:left w:val="nil"/>
              <w:bottom w:val="single" w:sz="4" w:space="0" w:color="auto"/>
              <w:right w:val="single" w:sz="4" w:space="0" w:color="auto"/>
            </w:tcBorders>
            <w:shd w:val="clear" w:color="auto" w:fill="auto"/>
            <w:vAlign w:val="center"/>
            <w:hideMark/>
          </w:tcPr>
          <w:p>
            <w:pPr>
              <w:jc w:val="right"/>
              <w:rPr>
                <w:rFonts w:ascii="Times New Roman" w:hAnsi="Times New Roman"/>
                <w:bCs/>
                <w:color w:val="000000"/>
              </w:rPr>
            </w:pPr>
            <w:r>
              <w:rPr>
                <w:rFonts w:ascii="Times New Roman" w:hAnsi="Times New Roman"/>
                <w:bCs/>
                <w:color w:val="000000"/>
              </w:rPr>
              <w:t>5 717,32</w:t>
            </w:r>
          </w:p>
        </w:tc>
      </w:tr>
    </w:tbl>
    <w:p>
      <w:pPr>
        <w:pStyle w:val="ConsPlusNormal"/>
        <w:tabs>
          <w:tab w:val="left" w:pos="3600"/>
        </w:tabs>
        <w:ind w:firstLine="709"/>
        <w:jc w:val="both"/>
        <w:rPr>
          <w:rFonts w:ascii="Times New Roman" w:hAnsi="Times New Roman"/>
          <w:color w:val="000000"/>
          <w:sz w:val="24"/>
          <w:szCs w:val="24"/>
        </w:rPr>
      </w:pPr>
    </w:p>
    <w:p>
      <w:pPr>
        <w:pStyle w:val="ConsPlusNormal"/>
        <w:tabs>
          <w:tab w:val="left" w:pos="3600"/>
        </w:tabs>
        <w:ind w:firstLine="709"/>
        <w:jc w:val="both"/>
        <w:rPr>
          <w:rFonts w:ascii="Times New Roman" w:hAnsi="Times New Roman"/>
          <w:color w:val="000000"/>
          <w:sz w:val="24"/>
          <w:szCs w:val="24"/>
        </w:rPr>
      </w:pPr>
      <w:r>
        <w:rPr>
          <w:rFonts w:ascii="Times New Roman" w:hAnsi="Times New Roman"/>
          <w:b/>
          <w:color w:val="000000"/>
          <w:sz w:val="24"/>
          <w:szCs w:val="24"/>
        </w:rPr>
        <w:t>2.7.1. По направлению «Социальная инфраструктура»</w:t>
      </w:r>
      <w:r>
        <w:rPr>
          <w:rFonts w:ascii="Times New Roman" w:hAnsi="Times New Roman"/>
          <w:color w:val="000000"/>
          <w:sz w:val="24"/>
          <w:szCs w:val="24"/>
        </w:rPr>
        <w:t xml:space="preserve"> планируются к реализации 6 муниципальных программ. Все муниципальные программы были сохранены, за исключением МП «Социальная поддержка населения ЗАТО Северск», которая  трансформирована в МП «Формирование благоприятного социального климата в ЗАТО Северск».  </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sz w:val="24"/>
          <w:szCs w:val="24"/>
        </w:rPr>
        <w:t>Таблица 40 – Программное р</w:t>
      </w:r>
      <w:r>
        <w:rPr>
          <w:rFonts w:ascii="Times New Roman" w:hAnsi="Times New Roman"/>
          <w:color w:val="000000"/>
          <w:sz w:val="24"/>
          <w:szCs w:val="24"/>
        </w:rPr>
        <w:t>аспределение бюджетных ассигнований по направлению «Социальная инфраструктура»</w:t>
      </w:r>
    </w:p>
    <w:p>
      <w:pPr>
        <w:pStyle w:val="ConsPlusNormal"/>
        <w:tabs>
          <w:tab w:val="left" w:pos="3600"/>
        </w:tabs>
        <w:ind w:firstLine="709"/>
        <w:jc w:val="both"/>
        <w:rPr>
          <w:rFonts w:ascii="Times New Roman" w:hAnsi="Times New Roman"/>
          <w:color w:val="000000"/>
          <w:sz w:val="24"/>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1276"/>
        <w:gridCol w:w="1276"/>
        <w:gridCol w:w="1275"/>
        <w:gridCol w:w="709"/>
        <w:gridCol w:w="1198"/>
        <w:gridCol w:w="1211"/>
      </w:tblGrid>
      <w:tr>
        <w:trPr>
          <w:trHeight w:val="146"/>
        </w:trPr>
        <w:tc>
          <w:tcPr>
            <w:tcW w:w="2581" w:type="dxa"/>
            <w:vMerge w:val="restart"/>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Наименование</w:t>
            </w:r>
          </w:p>
        </w:tc>
        <w:tc>
          <w:tcPr>
            <w:tcW w:w="2552" w:type="dxa"/>
            <w:gridSpan w:val="2"/>
            <w:shd w:val="clear" w:color="auto" w:fill="auto"/>
            <w:vAlign w:val="center"/>
            <w:hideMark/>
          </w:tcPr>
          <w:p>
            <w:pPr>
              <w:jc w:val="center"/>
              <w:rPr>
                <w:rFonts w:ascii="Times New Roman" w:hAnsi="Times New Roman"/>
                <w:color w:val="000000"/>
                <w:sz w:val="17"/>
                <w:szCs w:val="17"/>
              </w:rPr>
            </w:pPr>
            <w:r>
              <w:rPr>
                <w:rFonts w:ascii="Times New Roman" w:hAnsi="Times New Roman"/>
                <w:bCs/>
                <w:color w:val="000000"/>
                <w:sz w:val="17"/>
                <w:szCs w:val="17"/>
              </w:rPr>
              <w:t>2020 год</w:t>
            </w:r>
          </w:p>
        </w:tc>
        <w:tc>
          <w:tcPr>
            <w:tcW w:w="1984" w:type="dxa"/>
            <w:gridSpan w:val="2"/>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Прогноз 2021 года</w:t>
            </w:r>
          </w:p>
        </w:tc>
        <w:tc>
          <w:tcPr>
            <w:tcW w:w="1198" w:type="dxa"/>
            <w:vMerge w:val="restart"/>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 xml:space="preserve">Прогноз </w:t>
            </w:r>
          </w:p>
          <w:p>
            <w:pPr>
              <w:jc w:val="center"/>
              <w:rPr>
                <w:rFonts w:ascii="Times New Roman" w:hAnsi="Times New Roman"/>
                <w:color w:val="000000"/>
                <w:sz w:val="17"/>
                <w:szCs w:val="17"/>
              </w:rPr>
            </w:pPr>
            <w:r>
              <w:rPr>
                <w:rFonts w:ascii="Times New Roman" w:hAnsi="Times New Roman"/>
                <w:color w:val="000000"/>
                <w:sz w:val="17"/>
                <w:szCs w:val="17"/>
              </w:rPr>
              <w:t xml:space="preserve">2022 года, </w:t>
            </w:r>
            <w:r>
              <w:rPr>
                <w:rFonts w:ascii="Times New Roman" w:hAnsi="Times New Roman"/>
                <w:color w:val="000000"/>
                <w:sz w:val="17"/>
                <w:szCs w:val="17"/>
              </w:rPr>
              <w:br/>
              <w:t>тыс.руб.</w:t>
            </w:r>
          </w:p>
        </w:tc>
        <w:tc>
          <w:tcPr>
            <w:tcW w:w="1211" w:type="dxa"/>
            <w:vMerge w:val="restart"/>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Прогноз</w:t>
            </w:r>
          </w:p>
          <w:p>
            <w:pPr>
              <w:jc w:val="center"/>
              <w:rPr>
                <w:rFonts w:ascii="Times New Roman" w:hAnsi="Times New Roman"/>
                <w:color w:val="000000"/>
                <w:sz w:val="17"/>
                <w:szCs w:val="17"/>
              </w:rPr>
            </w:pPr>
            <w:r>
              <w:rPr>
                <w:rFonts w:ascii="Times New Roman" w:hAnsi="Times New Roman"/>
                <w:color w:val="000000"/>
                <w:sz w:val="17"/>
                <w:szCs w:val="17"/>
              </w:rPr>
              <w:t xml:space="preserve">2023 года, </w:t>
            </w:r>
            <w:r>
              <w:rPr>
                <w:rFonts w:ascii="Times New Roman" w:hAnsi="Times New Roman"/>
                <w:color w:val="000000"/>
                <w:sz w:val="17"/>
                <w:szCs w:val="17"/>
              </w:rPr>
              <w:br/>
              <w:t>тыс.руб.</w:t>
            </w:r>
          </w:p>
        </w:tc>
      </w:tr>
      <w:tr>
        <w:trPr>
          <w:trHeight w:val="375"/>
        </w:trPr>
        <w:tc>
          <w:tcPr>
            <w:tcW w:w="2581" w:type="dxa"/>
            <w:vMerge/>
            <w:vAlign w:val="center"/>
            <w:hideMark/>
          </w:tcPr>
          <w:p>
            <w:pPr>
              <w:rPr>
                <w:rFonts w:ascii="Times New Roman" w:hAnsi="Times New Roman"/>
                <w:color w:val="000000"/>
                <w:sz w:val="17"/>
                <w:szCs w:val="17"/>
              </w:rPr>
            </w:pPr>
          </w:p>
        </w:tc>
        <w:tc>
          <w:tcPr>
            <w:tcW w:w="1276" w:type="dxa"/>
            <w:shd w:val="clear" w:color="auto" w:fill="auto"/>
            <w:vAlign w:val="center"/>
            <w:hideMark/>
          </w:tcPr>
          <w:p>
            <w:pPr>
              <w:jc w:val="center"/>
              <w:rPr>
                <w:rFonts w:ascii="Times New Roman" w:hAnsi="Times New Roman"/>
                <w:color w:val="000000"/>
                <w:sz w:val="17"/>
                <w:szCs w:val="17"/>
              </w:rPr>
            </w:pPr>
            <w:r>
              <w:rPr>
                <w:rFonts w:ascii="Times New Roman" w:hAnsi="Times New Roman"/>
                <w:bCs/>
                <w:color w:val="000000"/>
                <w:sz w:val="17"/>
                <w:szCs w:val="17"/>
              </w:rPr>
              <w:t>Первоначально утверждено,</w:t>
            </w:r>
            <w:r>
              <w:rPr>
                <w:rFonts w:ascii="Times New Roman" w:hAnsi="Times New Roman"/>
                <w:bCs/>
                <w:color w:val="000000"/>
                <w:sz w:val="17"/>
                <w:szCs w:val="17"/>
              </w:rPr>
              <w:br/>
              <w:t>тыс.руб.</w:t>
            </w:r>
          </w:p>
        </w:tc>
        <w:tc>
          <w:tcPr>
            <w:tcW w:w="1276" w:type="dxa"/>
            <w:shd w:val="clear" w:color="auto" w:fill="auto"/>
            <w:vAlign w:val="center"/>
            <w:hideMark/>
          </w:tcPr>
          <w:p>
            <w:pPr>
              <w:jc w:val="center"/>
              <w:rPr>
                <w:rFonts w:ascii="Times New Roman" w:hAnsi="Times New Roman"/>
                <w:color w:val="000000"/>
                <w:sz w:val="17"/>
                <w:szCs w:val="17"/>
              </w:rPr>
            </w:pPr>
            <w:r>
              <w:rPr>
                <w:rFonts w:ascii="Times New Roman" w:hAnsi="Times New Roman"/>
                <w:bCs/>
                <w:color w:val="000000"/>
                <w:sz w:val="17"/>
                <w:szCs w:val="17"/>
              </w:rPr>
              <w:t>Оценка на тыс.руб.</w:t>
            </w:r>
          </w:p>
        </w:tc>
        <w:tc>
          <w:tcPr>
            <w:tcW w:w="1275" w:type="dxa"/>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Сумма</w:t>
            </w:r>
          </w:p>
        </w:tc>
        <w:tc>
          <w:tcPr>
            <w:tcW w:w="709" w:type="dxa"/>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w:t>
            </w:r>
          </w:p>
        </w:tc>
        <w:tc>
          <w:tcPr>
            <w:tcW w:w="1198" w:type="dxa"/>
            <w:vMerge/>
            <w:shd w:val="clear" w:color="auto" w:fill="auto"/>
            <w:vAlign w:val="center"/>
            <w:hideMark/>
          </w:tcPr>
          <w:p>
            <w:pPr>
              <w:jc w:val="center"/>
              <w:rPr>
                <w:rFonts w:ascii="Times New Roman" w:hAnsi="Times New Roman"/>
                <w:color w:val="000000"/>
                <w:sz w:val="17"/>
                <w:szCs w:val="17"/>
              </w:rPr>
            </w:pPr>
          </w:p>
        </w:tc>
        <w:tc>
          <w:tcPr>
            <w:tcW w:w="1211" w:type="dxa"/>
            <w:vMerge/>
            <w:shd w:val="clear" w:color="auto" w:fill="auto"/>
            <w:vAlign w:val="center"/>
            <w:hideMark/>
          </w:tcPr>
          <w:p>
            <w:pPr>
              <w:jc w:val="center"/>
              <w:rPr>
                <w:rFonts w:ascii="Times New Roman" w:hAnsi="Times New Roman"/>
                <w:color w:val="000000"/>
                <w:sz w:val="17"/>
                <w:szCs w:val="17"/>
              </w:rPr>
            </w:pPr>
          </w:p>
        </w:tc>
      </w:tr>
      <w:tr>
        <w:trPr>
          <w:trHeight w:val="312"/>
        </w:trPr>
        <w:tc>
          <w:tcPr>
            <w:tcW w:w="2581"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t>1</w:t>
            </w:r>
          </w:p>
        </w:tc>
        <w:tc>
          <w:tcPr>
            <w:tcW w:w="1276"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t>2</w:t>
            </w:r>
          </w:p>
        </w:tc>
        <w:tc>
          <w:tcPr>
            <w:tcW w:w="1276"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t>3</w:t>
            </w:r>
          </w:p>
        </w:tc>
        <w:tc>
          <w:tcPr>
            <w:tcW w:w="1275"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t>4</w:t>
            </w:r>
          </w:p>
        </w:tc>
        <w:tc>
          <w:tcPr>
            <w:tcW w:w="709" w:type="dxa"/>
            <w:shd w:val="clear" w:color="auto" w:fill="auto"/>
            <w:vAlign w:val="center"/>
          </w:tcPr>
          <w:p>
            <w:pPr>
              <w:jc w:val="center"/>
              <w:rPr>
                <w:bCs/>
                <w:color w:val="000000"/>
              </w:rPr>
            </w:pPr>
            <w:r>
              <w:rPr>
                <w:bCs/>
                <w:color w:val="000000"/>
              </w:rPr>
              <w:t>5</w:t>
            </w:r>
          </w:p>
        </w:tc>
        <w:tc>
          <w:tcPr>
            <w:tcW w:w="1198"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t>6</w:t>
            </w:r>
          </w:p>
        </w:tc>
        <w:tc>
          <w:tcPr>
            <w:tcW w:w="1211"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t>7</w:t>
            </w:r>
          </w:p>
        </w:tc>
      </w:tr>
      <w:tr>
        <w:trPr>
          <w:trHeight w:val="312"/>
        </w:trPr>
        <w:tc>
          <w:tcPr>
            <w:tcW w:w="2581" w:type="dxa"/>
            <w:shd w:val="clear" w:color="auto" w:fill="auto"/>
            <w:vAlign w:val="center"/>
            <w:hideMark/>
          </w:tcPr>
          <w:p>
            <w:pPr>
              <w:rPr>
                <w:rFonts w:ascii="Times New Roman" w:hAnsi="Times New Roman"/>
                <w:b/>
                <w:bCs/>
                <w:color w:val="000000"/>
                <w:sz w:val="18"/>
                <w:szCs w:val="18"/>
              </w:rPr>
            </w:pPr>
            <w:r>
              <w:rPr>
                <w:rFonts w:ascii="Times New Roman" w:hAnsi="Times New Roman"/>
                <w:b/>
                <w:bCs/>
                <w:color w:val="000000"/>
                <w:sz w:val="18"/>
                <w:szCs w:val="18"/>
              </w:rPr>
              <w:t xml:space="preserve">Социальная инфраструктура </w:t>
            </w:r>
          </w:p>
        </w:tc>
        <w:tc>
          <w:tcPr>
            <w:tcW w:w="1276" w:type="dxa"/>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2 760 484,30</w:t>
            </w:r>
          </w:p>
        </w:tc>
        <w:tc>
          <w:tcPr>
            <w:tcW w:w="1276" w:type="dxa"/>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3 419 743,69</w:t>
            </w:r>
          </w:p>
        </w:tc>
        <w:tc>
          <w:tcPr>
            <w:tcW w:w="1275" w:type="dxa"/>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2 993 415,65</w:t>
            </w:r>
          </w:p>
        </w:tc>
        <w:tc>
          <w:tcPr>
            <w:tcW w:w="709" w:type="dxa"/>
            <w:shd w:val="clear" w:color="auto" w:fill="auto"/>
            <w:vAlign w:val="center"/>
            <w:hideMark/>
          </w:tcPr>
          <w:p>
            <w:pPr>
              <w:jc w:val="right"/>
              <w:rPr>
                <w:b/>
                <w:bCs/>
                <w:color w:val="000000"/>
              </w:rPr>
            </w:pPr>
            <w:r>
              <w:rPr>
                <w:b/>
                <w:bCs/>
                <w:color w:val="000000"/>
              </w:rPr>
              <w:t>87,5</w:t>
            </w:r>
          </w:p>
        </w:tc>
        <w:tc>
          <w:tcPr>
            <w:tcW w:w="1198" w:type="dxa"/>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2 603 157,92</w:t>
            </w:r>
          </w:p>
        </w:tc>
        <w:tc>
          <w:tcPr>
            <w:tcW w:w="1211" w:type="dxa"/>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2 568 604,47</w:t>
            </w:r>
          </w:p>
        </w:tc>
      </w:tr>
      <w:tr>
        <w:trPr>
          <w:trHeight w:val="846"/>
        </w:trPr>
        <w:tc>
          <w:tcPr>
            <w:tcW w:w="2581"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 xml:space="preserve">МП «Развитие образования в ЗАТО Северск» </w:t>
            </w:r>
            <w:r>
              <w:rPr>
                <w:rFonts w:ascii="Times New Roman" w:hAnsi="Times New Roman"/>
                <w:b/>
                <w:bCs/>
                <w:color w:val="000000"/>
                <w:sz w:val="18"/>
                <w:szCs w:val="18"/>
              </w:rPr>
              <w:t>(продолжена реализация)</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 xml:space="preserve">1 956 677,54  </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2 304 832,40</w:t>
            </w:r>
          </w:p>
        </w:tc>
        <w:tc>
          <w:tcPr>
            <w:tcW w:w="1275"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2 054 188,10</w:t>
            </w:r>
          </w:p>
        </w:tc>
        <w:tc>
          <w:tcPr>
            <w:tcW w:w="709" w:type="dxa"/>
            <w:shd w:val="clear" w:color="auto" w:fill="auto"/>
            <w:vAlign w:val="center"/>
            <w:hideMark/>
          </w:tcPr>
          <w:p>
            <w:pPr>
              <w:jc w:val="right"/>
              <w:rPr>
                <w:color w:val="000000"/>
              </w:rPr>
            </w:pPr>
            <w:r>
              <w:rPr>
                <w:color w:val="000000"/>
              </w:rPr>
              <w:t>89,1</w:t>
            </w:r>
          </w:p>
        </w:tc>
        <w:tc>
          <w:tcPr>
            <w:tcW w:w="1198"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1 894 303,65</w:t>
            </w:r>
          </w:p>
        </w:tc>
        <w:tc>
          <w:tcPr>
            <w:tcW w:w="1211"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1 876 082,55</w:t>
            </w:r>
          </w:p>
        </w:tc>
      </w:tr>
      <w:tr>
        <w:trPr>
          <w:trHeight w:val="417"/>
        </w:trPr>
        <w:tc>
          <w:tcPr>
            <w:tcW w:w="2581"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«Социальная поддержка населения ЗАТО Северск»</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 xml:space="preserve">93 130,65  </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94 757,91</w:t>
            </w:r>
          </w:p>
        </w:tc>
        <w:tc>
          <w:tcPr>
            <w:tcW w:w="1275" w:type="dxa"/>
            <w:shd w:val="clear" w:color="auto" w:fill="auto"/>
            <w:vAlign w:val="center"/>
            <w:hideMark/>
          </w:tcPr>
          <w:p>
            <w:pPr>
              <w:jc w:val="right"/>
              <w:rPr>
                <w:rFonts w:ascii="Times New Roman" w:hAnsi="Times New Roman"/>
                <w:color w:val="000000"/>
                <w:sz w:val="18"/>
                <w:szCs w:val="18"/>
              </w:rPr>
            </w:pPr>
            <w:r>
              <w:rPr>
                <w:rFonts w:ascii="Times New Roman" w:hAnsi="Times New Roman"/>
                <w:color w:val="000000"/>
                <w:sz w:val="18"/>
                <w:szCs w:val="18"/>
              </w:rPr>
              <w:t> </w:t>
            </w:r>
          </w:p>
        </w:tc>
        <w:tc>
          <w:tcPr>
            <w:tcW w:w="709" w:type="dxa"/>
            <w:shd w:val="clear" w:color="auto" w:fill="auto"/>
            <w:vAlign w:val="center"/>
            <w:hideMark/>
          </w:tcPr>
          <w:p>
            <w:pPr>
              <w:jc w:val="right"/>
              <w:rPr>
                <w:color w:val="000000"/>
              </w:rPr>
            </w:pPr>
            <w:r>
              <w:rPr>
                <w:color w:val="000000"/>
              </w:rPr>
              <w:t> </w:t>
            </w:r>
          </w:p>
        </w:tc>
        <w:tc>
          <w:tcPr>
            <w:tcW w:w="1198" w:type="dxa"/>
            <w:shd w:val="clear" w:color="auto" w:fill="auto"/>
            <w:vAlign w:val="center"/>
            <w:hideMark/>
          </w:tcPr>
          <w:p>
            <w:pPr>
              <w:jc w:val="right"/>
              <w:rPr>
                <w:rFonts w:ascii="Times New Roman" w:hAnsi="Times New Roman"/>
                <w:color w:val="000000"/>
                <w:sz w:val="18"/>
                <w:szCs w:val="18"/>
              </w:rPr>
            </w:pPr>
            <w:r>
              <w:rPr>
                <w:rFonts w:ascii="Times New Roman" w:hAnsi="Times New Roman"/>
                <w:color w:val="000000"/>
                <w:sz w:val="18"/>
                <w:szCs w:val="18"/>
              </w:rPr>
              <w:t> </w:t>
            </w:r>
          </w:p>
        </w:tc>
        <w:tc>
          <w:tcPr>
            <w:tcW w:w="1211" w:type="dxa"/>
            <w:shd w:val="clear" w:color="auto" w:fill="auto"/>
            <w:vAlign w:val="center"/>
            <w:hideMark/>
          </w:tcPr>
          <w:p>
            <w:pPr>
              <w:jc w:val="right"/>
              <w:rPr>
                <w:rFonts w:ascii="Times New Roman" w:hAnsi="Times New Roman"/>
                <w:color w:val="000000"/>
                <w:sz w:val="18"/>
                <w:szCs w:val="18"/>
              </w:rPr>
            </w:pPr>
            <w:r>
              <w:rPr>
                <w:rFonts w:ascii="Times New Roman" w:hAnsi="Times New Roman"/>
                <w:color w:val="000000"/>
                <w:sz w:val="18"/>
                <w:szCs w:val="18"/>
              </w:rPr>
              <w:t> </w:t>
            </w:r>
          </w:p>
        </w:tc>
      </w:tr>
      <w:tr>
        <w:trPr>
          <w:trHeight w:val="699"/>
        </w:trPr>
        <w:tc>
          <w:tcPr>
            <w:tcW w:w="2581"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«Формирование благоприятного социального климата в ЗАТО Северск»</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 </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 </w:t>
            </w:r>
          </w:p>
        </w:tc>
        <w:tc>
          <w:tcPr>
            <w:tcW w:w="1275"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89 332,29</w:t>
            </w:r>
          </w:p>
        </w:tc>
        <w:tc>
          <w:tcPr>
            <w:tcW w:w="709" w:type="dxa"/>
            <w:shd w:val="clear" w:color="auto" w:fill="auto"/>
            <w:vAlign w:val="center"/>
            <w:hideMark/>
          </w:tcPr>
          <w:p>
            <w:pPr>
              <w:jc w:val="right"/>
              <w:rPr>
                <w:color w:val="000000"/>
              </w:rPr>
            </w:pPr>
            <w:r>
              <w:rPr>
                <w:color w:val="000000"/>
              </w:rPr>
              <w:t> </w:t>
            </w:r>
          </w:p>
        </w:tc>
        <w:tc>
          <w:tcPr>
            <w:tcW w:w="1198"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71 412,16</w:t>
            </w:r>
          </w:p>
        </w:tc>
        <w:tc>
          <w:tcPr>
            <w:tcW w:w="1211"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67 866,08</w:t>
            </w:r>
          </w:p>
        </w:tc>
      </w:tr>
      <w:tr>
        <w:trPr>
          <w:trHeight w:val="422"/>
        </w:trPr>
        <w:tc>
          <w:tcPr>
            <w:tcW w:w="2581"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lastRenderedPageBreak/>
              <w:t>1</w:t>
            </w:r>
          </w:p>
        </w:tc>
        <w:tc>
          <w:tcPr>
            <w:tcW w:w="1276"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t>2</w:t>
            </w:r>
          </w:p>
        </w:tc>
        <w:tc>
          <w:tcPr>
            <w:tcW w:w="1276" w:type="dxa"/>
            <w:shd w:val="clear" w:color="auto" w:fill="auto"/>
            <w:vAlign w:val="center"/>
          </w:tcPr>
          <w:p>
            <w:pPr>
              <w:jc w:val="center"/>
              <w:rPr>
                <w:rFonts w:ascii="Times New Roman" w:hAnsi="Times New Roman"/>
                <w:bCs/>
                <w:color w:val="000000"/>
                <w:sz w:val="18"/>
                <w:szCs w:val="18"/>
              </w:rPr>
            </w:pPr>
            <w:r>
              <w:rPr>
                <w:rFonts w:ascii="Times New Roman" w:hAnsi="Times New Roman"/>
                <w:bCs/>
                <w:color w:val="000000"/>
                <w:sz w:val="18"/>
                <w:szCs w:val="18"/>
              </w:rPr>
              <w:t>3</w:t>
            </w:r>
          </w:p>
        </w:tc>
        <w:tc>
          <w:tcPr>
            <w:tcW w:w="1275" w:type="dxa"/>
            <w:shd w:val="clear" w:color="auto" w:fill="auto"/>
            <w:noWrap/>
            <w:vAlign w:val="center"/>
          </w:tcPr>
          <w:p>
            <w:pPr>
              <w:jc w:val="center"/>
              <w:rPr>
                <w:rFonts w:ascii="Times New Roman" w:hAnsi="Times New Roman"/>
                <w:bCs/>
                <w:color w:val="000000"/>
                <w:sz w:val="18"/>
                <w:szCs w:val="18"/>
              </w:rPr>
            </w:pPr>
            <w:r>
              <w:rPr>
                <w:rFonts w:ascii="Times New Roman" w:hAnsi="Times New Roman"/>
                <w:bCs/>
                <w:color w:val="000000"/>
                <w:sz w:val="18"/>
                <w:szCs w:val="18"/>
              </w:rPr>
              <w:t>4</w:t>
            </w:r>
          </w:p>
        </w:tc>
        <w:tc>
          <w:tcPr>
            <w:tcW w:w="709" w:type="dxa"/>
            <w:shd w:val="clear" w:color="auto" w:fill="auto"/>
            <w:vAlign w:val="center"/>
          </w:tcPr>
          <w:p>
            <w:pPr>
              <w:jc w:val="center"/>
              <w:rPr>
                <w:bCs/>
                <w:color w:val="000000"/>
              </w:rPr>
            </w:pPr>
            <w:r>
              <w:rPr>
                <w:bCs/>
                <w:color w:val="000000"/>
              </w:rPr>
              <w:t>5</w:t>
            </w:r>
          </w:p>
        </w:tc>
        <w:tc>
          <w:tcPr>
            <w:tcW w:w="1198" w:type="dxa"/>
            <w:shd w:val="clear" w:color="auto" w:fill="auto"/>
            <w:noWrap/>
            <w:vAlign w:val="center"/>
          </w:tcPr>
          <w:p>
            <w:pPr>
              <w:jc w:val="center"/>
              <w:rPr>
                <w:rFonts w:ascii="Times New Roman" w:hAnsi="Times New Roman"/>
                <w:bCs/>
                <w:color w:val="000000"/>
                <w:sz w:val="18"/>
                <w:szCs w:val="18"/>
              </w:rPr>
            </w:pPr>
            <w:r>
              <w:rPr>
                <w:rFonts w:ascii="Times New Roman" w:hAnsi="Times New Roman"/>
                <w:bCs/>
                <w:color w:val="000000"/>
                <w:sz w:val="18"/>
                <w:szCs w:val="18"/>
              </w:rPr>
              <w:t>6</w:t>
            </w:r>
          </w:p>
        </w:tc>
        <w:tc>
          <w:tcPr>
            <w:tcW w:w="1211" w:type="dxa"/>
            <w:shd w:val="clear" w:color="auto" w:fill="auto"/>
            <w:noWrap/>
            <w:vAlign w:val="center"/>
          </w:tcPr>
          <w:p>
            <w:pPr>
              <w:jc w:val="center"/>
              <w:rPr>
                <w:rFonts w:ascii="Times New Roman" w:hAnsi="Times New Roman"/>
                <w:bCs/>
                <w:color w:val="000000"/>
                <w:sz w:val="18"/>
                <w:szCs w:val="18"/>
              </w:rPr>
            </w:pPr>
            <w:r>
              <w:rPr>
                <w:rFonts w:ascii="Times New Roman" w:hAnsi="Times New Roman"/>
                <w:bCs/>
                <w:color w:val="000000"/>
                <w:sz w:val="18"/>
                <w:szCs w:val="18"/>
              </w:rPr>
              <w:t>7</w:t>
            </w:r>
          </w:p>
        </w:tc>
      </w:tr>
      <w:tr>
        <w:trPr>
          <w:trHeight w:val="709"/>
        </w:trPr>
        <w:tc>
          <w:tcPr>
            <w:tcW w:w="2581"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«Развитие физической культуры и спорта в ЗАТО Северск»</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 xml:space="preserve">292 014,16  </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394 563,29</w:t>
            </w:r>
          </w:p>
        </w:tc>
        <w:tc>
          <w:tcPr>
            <w:tcW w:w="1275"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321 284,07</w:t>
            </w:r>
          </w:p>
        </w:tc>
        <w:tc>
          <w:tcPr>
            <w:tcW w:w="709" w:type="dxa"/>
            <w:shd w:val="clear" w:color="auto" w:fill="auto"/>
            <w:vAlign w:val="center"/>
            <w:hideMark/>
          </w:tcPr>
          <w:p>
            <w:pPr>
              <w:jc w:val="right"/>
              <w:rPr>
                <w:color w:val="000000"/>
              </w:rPr>
            </w:pPr>
            <w:r>
              <w:rPr>
                <w:color w:val="000000"/>
              </w:rPr>
              <w:t>81,4</w:t>
            </w:r>
          </w:p>
        </w:tc>
        <w:tc>
          <w:tcPr>
            <w:tcW w:w="1198"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263 704,71</w:t>
            </w:r>
          </w:p>
        </w:tc>
        <w:tc>
          <w:tcPr>
            <w:tcW w:w="1211"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260 476,25</w:t>
            </w:r>
          </w:p>
        </w:tc>
      </w:tr>
      <w:tr>
        <w:trPr>
          <w:trHeight w:val="407"/>
        </w:trPr>
        <w:tc>
          <w:tcPr>
            <w:tcW w:w="2581"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«Молодежная политика в ЗАТО Северск»</w:t>
            </w:r>
          </w:p>
        </w:tc>
        <w:tc>
          <w:tcPr>
            <w:tcW w:w="1276"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 xml:space="preserve">98 624,55  </w:t>
            </w:r>
          </w:p>
        </w:tc>
        <w:tc>
          <w:tcPr>
            <w:tcW w:w="1276"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86 172,09</w:t>
            </w:r>
          </w:p>
        </w:tc>
        <w:tc>
          <w:tcPr>
            <w:tcW w:w="1275"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96 749,58</w:t>
            </w:r>
          </w:p>
        </w:tc>
        <w:tc>
          <w:tcPr>
            <w:tcW w:w="709" w:type="dxa"/>
            <w:shd w:val="clear" w:color="auto" w:fill="auto"/>
            <w:vAlign w:val="center"/>
            <w:hideMark/>
          </w:tcPr>
          <w:p>
            <w:pPr>
              <w:jc w:val="right"/>
              <w:rPr>
                <w:color w:val="000000"/>
              </w:rPr>
            </w:pPr>
            <w:r>
              <w:rPr>
                <w:color w:val="000000"/>
              </w:rPr>
              <w:t>112,3</w:t>
            </w:r>
          </w:p>
        </w:tc>
        <w:tc>
          <w:tcPr>
            <w:tcW w:w="1198"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75 210,22</w:t>
            </w:r>
          </w:p>
        </w:tc>
        <w:tc>
          <w:tcPr>
            <w:tcW w:w="1211"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72 304,92</w:t>
            </w:r>
          </w:p>
        </w:tc>
      </w:tr>
      <w:tr>
        <w:trPr>
          <w:trHeight w:val="413"/>
        </w:trPr>
        <w:tc>
          <w:tcPr>
            <w:tcW w:w="2581"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«Развитие культуры и туризма в ЗАТО Северск»</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 xml:space="preserve">318 628,17  </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538 464,47</w:t>
            </w:r>
          </w:p>
        </w:tc>
        <w:tc>
          <w:tcPr>
            <w:tcW w:w="1275"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430 908,08</w:t>
            </w:r>
          </w:p>
        </w:tc>
        <w:tc>
          <w:tcPr>
            <w:tcW w:w="709" w:type="dxa"/>
            <w:shd w:val="clear" w:color="auto" w:fill="auto"/>
            <w:vAlign w:val="center"/>
            <w:hideMark/>
          </w:tcPr>
          <w:p>
            <w:pPr>
              <w:jc w:val="right"/>
              <w:rPr>
                <w:color w:val="000000"/>
              </w:rPr>
            </w:pPr>
            <w:r>
              <w:rPr>
                <w:color w:val="000000"/>
              </w:rPr>
              <w:t>80,0</w:t>
            </w:r>
          </w:p>
        </w:tc>
        <w:tc>
          <w:tcPr>
            <w:tcW w:w="1198"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297 573,65</w:t>
            </w:r>
          </w:p>
        </w:tc>
        <w:tc>
          <w:tcPr>
            <w:tcW w:w="1211"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290 921,14</w:t>
            </w:r>
          </w:p>
        </w:tc>
      </w:tr>
      <w:tr>
        <w:trPr>
          <w:trHeight w:val="614"/>
        </w:trPr>
        <w:tc>
          <w:tcPr>
            <w:tcW w:w="2581"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«Профилактика алкоголизма, наркомании, токсикомании и ВИЧ-инфекции»</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 xml:space="preserve">1 409,23  </w:t>
            </w:r>
          </w:p>
        </w:tc>
        <w:tc>
          <w:tcPr>
            <w:tcW w:w="1276" w:type="dxa"/>
            <w:shd w:val="clear" w:color="auto" w:fill="auto"/>
            <w:vAlign w:val="center"/>
            <w:hideMark/>
          </w:tcPr>
          <w:p>
            <w:pPr>
              <w:jc w:val="right"/>
              <w:rPr>
                <w:rFonts w:ascii="Times New Roman" w:hAnsi="Times New Roman"/>
                <w:sz w:val="18"/>
                <w:szCs w:val="18"/>
              </w:rPr>
            </w:pPr>
            <w:r>
              <w:rPr>
                <w:rFonts w:ascii="Times New Roman" w:hAnsi="Times New Roman"/>
                <w:sz w:val="18"/>
                <w:szCs w:val="18"/>
              </w:rPr>
              <w:t>953,53</w:t>
            </w:r>
          </w:p>
        </w:tc>
        <w:tc>
          <w:tcPr>
            <w:tcW w:w="1275"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953,53</w:t>
            </w:r>
          </w:p>
        </w:tc>
        <w:tc>
          <w:tcPr>
            <w:tcW w:w="709" w:type="dxa"/>
            <w:shd w:val="clear" w:color="auto" w:fill="auto"/>
            <w:vAlign w:val="center"/>
            <w:hideMark/>
          </w:tcPr>
          <w:p>
            <w:pPr>
              <w:jc w:val="right"/>
              <w:rPr>
                <w:color w:val="000000"/>
              </w:rPr>
            </w:pPr>
            <w:r>
              <w:rPr>
                <w:color w:val="000000"/>
              </w:rPr>
              <w:t>100,0</w:t>
            </w:r>
          </w:p>
        </w:tc>
        <w:tc>
          <w:tcPr>
            <w:tcW w:w="1198"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953,53</w:t>
            </w:r>
          </w:p>
        </w:tc>
        <w:tc>
          <w:tcPr>
            <w:tcW w:w="1211" w:type="dxa"/>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953,53</w:t>
            </w:r>
          </w:p>
        </w:tc>
      </w:tr>
    </w:tbl>
    <w:p>
      <w:pPr>
        <w:pStyle w:val="ConsPlusNormal"/>
        <w:tabs>
          <w:tab w:val="left" w:pos="3600"/>
        </w:tabs>
        <w:ind w:firstLine="709"/>
        <w:jc w:val="both"/>
        <w:rPr>
          <w:rFonts w:ascii="Times New Roman" w:hAnsi="Times New Roman"/>
          <w:color w:val="000000"/>
          <w:sz w:val="16"/>
          <w:szCs w:val="16"/>
        </w:rPr>
      </w:pPr>
    </w:p>
    <w:p>
      <w:pPr>
        <w:pStyle w:val="aff1"/>
        <w:shd w:val="clear" w:color="auto" w:fill="FFFFFF" w:themeFill="background1"/>
        <w:spacing w:after="120"/>
        <w:jc w:val="center"/>
        <w:rPr>
          <w:rFonts w:ascii="Times New Roman" w:hAnsi="Times New Roman"/>
          <w:b/>
          <w:color w:val="000000"/>
          <w:sz w:val="24"/>
          <w:szCs w:val="24"/>
        </w:rPr>
      </w:pPr>
      <w:r>
        <w:rPr>
          <w:rFonts w:ascii="Times New Roman" w:hAnsi="Times New Roman"/>
          <w:b/>
          <w:color w:val="000000"/>
          <w:sz w:val="24"/>
          <w:szCs w:val="24"/>
        </w:rPr>
        <w:t>2.7.1.1. МП «Развитие образования в ЗАТО Северск»</w:t>
      </w:r>
    </w:p>
    <w:p>
      <w:pPr>
        <w:shd w:val="clear" w:color="auto" w:fill="FFFFFF" w:themeFill="background1"/>
        <w:tabs>
          <w:tab w:val="left" w:pos="709"/>
        </w:tabs>
        <w:ind w:firstLine="709"/>
        <w:jc w:val="both"/>
        <w:rPr>
          <w:rFonts w:ascii="Times New Roman" w:hAnsi="Times New Roman"/>
          <w:sz w:val="24"/>
          <w:szCs w:val="24"/>
        </w:rPr>
      </w:pPr>
      <w:r>
        <w:rPr>
          <w:rFonts w:ascii="Times New Roman" w:hAnsi="Times New Roman"/>
          <w:sz w:val="24"/>
          <w:szCs w:val="24"/>
        </w:rPr>
        <w:t>Финансовое обеспечение по МП «</w:t>
      </w:r>
      <w:r>
        <w:rPr>
          <w:rFonts w:ascii="Times New Roman" w:hAnsi="Times New Roman"/>
          <w:color w:val="000000"/>
          <w:sz w:val="24"/>
          <w:szCs w:val="24"/>
        </w:rPr>
        <w:t>Развитие образования в ЗАТО Северск</w:t>
      </w:r>
      <w:r>
        <w:rPr>
          <w:rFonts w:ascii="Times New Roman" w:hAnsi="Times New Roman"/>
          <w:sz w:val="24"/>
          <w:szCs w:val="24"/>
        </w:rPr>
        <w:t xml:space="preserve">» предусмотрено на 2021 год в объеме 2 054 188,10 тыс.руб., на 2022 год – </w:t>
      </w:r>
      <w:r>
        <w:rPr>
          <w:sz w:val="24"/>
          <w:szCs w:val="24"/>
        </w:rPr>
        <w:t>1 894 303,65 </w:t>
      </w:r>
      <w:r>
        <w:rPr>
          <w:rFonts w:ascii="Times New Roman" w:hAnsi="Times New Roman"/>
          <w:sz w:val="24"/>
          <w:szCs w:val="24"/>
        </w:rPr>
        <w:t xml:space="preserve">тыс.руб., на 2023 год – </w:t>
      </w:r>
      <w:r>
        <w:rPr>
          <w:sz w:val="24"/>
          <w:szCs w:val="24"/>
        </w:rPr>
        <w:t xml:space="preserve">1 876 082,55 </w:t>
      </w:r>
      <w:r>
        <w:rPr>
          <w:rFonts w:ascii="Times New Roman" w:hAnsi="Times New Roman"/>
          <w:sz w:val="24"/>
          <w:szCs w:val="24"/>
        </w:rPr>
        <w:t>тыс.руб.</w:t>
      </w:r>
    </w:p>
    <w:p>
      <w:pPr>
        <w:shd w:val="clear" w:color="auto" w:fill="FFFFFF" w:themeFill="background1"/>
        <w:ind w:firstLine="709"/>
        <w:jc w:val="both"/>
        <w:rPr>
          <w:rFonts w:ascii="Times New Roman" w:hAnsi="Times New Roman"/>
          <w:color w:val="000000"/>
          <w:sz w:val="24"/>
          <w:szCs w:val="24"/>
        </w:rPr>
      </w:pPr>
      <w:r>
        <w:rPr>
          <w:rFonts w:ascii="Times New Roman" w:hAnsi="Times New Roman"/>
          <w:color w:val="000000"/>
          <w:sz w:val="24"/>
          <w:szCs w:val="24"/>
        </w:rPr>
        <w:t xml:space="preserve">Цель МП: </w:t>
      </w:r>
      <w:r>
        <w:rPr>
          <w:rFonts w:ascii="Times New Roman" w:hAnsi="Times New Roman"/>
          <w:sz w:val="24"/>
          <w:szCs w:val="24"/>
        </w:rPr>
        <w:t>Обеспечение целенаправленного процесса воспитания и обучения в интересах личности и общества</w:t>
      </w:r>
    </w:p>
    <w:p>
      <w:pPr>
        <w:shd w:val="clear" w:color="auto" w:fill="FFFFFF" w:themeFill="background1"/>
        <w:ind w:firstLine="709"/>
        <w:jc w:val="both"/>
        <w:rPr>
          <w:rFonts w:ascii="Times New Roman" w:hAnsi="Times New Roman"/>
          <w:sz w:val="24"/>
          <w:szCs w:val="24"/>
        </w:rPr>
      </w:pPr>
      <w:r>
        <w:rPr>
          <w:rFonts w:ascii="Times New Roman" w:hAnsi="Times New Roman"/>
          <w:sz w:val="24"/>
          <w:szCs w:val="24"/>
        </w:rPr>
        <w:t>Ответственный исполнитель: Управление образования Администрации ЗАТО Северск.</w:t>
      </w:r>
    </w:p>
    <w:p>
      <w:pPr>
        <w:shd w:val="clear" w:color="auto" w:fill="FFFFFF" w:themeFill="background1"/>
        <w:ind w:firstLine="709"/>
        <w:jc w:val="both"/>
        <w:rPr>
          <w:rFonts w:ascii="Times New Roman" w:hAnsi="Times New Roman"/>
          <w:sz w:val="24"/>
          <w:szCs w:val="24"/>
        </w:rPr>
      </w:pPr>
      <w:r>
        <w:rPr>
          <w:rFonts w:ascii="Times New Roman" w:hAnsi="Times New Roman"/>
          <w:sz w:val="24"/>
          <w:szCs w:val="24"/>
        </w:rPr>
        <w:t>Соисполнители и (или) участники: Управление имущественных отношений Администрации ЗАТО Северск.</w:t>
      </w:r>
    </w:p>
    <w:p>
      <w:pPr>
        <w:shd w:val="clear" w:color="auto" w:fill="FFFFFF" w:themeFill="background1"/>
        <w:ind w:firstLine="709"/>
        <w:jc w:val="both"/>
        <w:rPr>
          <w:rFonts w:ascii="Times New Roman" w:hAnsi="Times New Roman"/>
          <w:sz w:val="6"/>
          <w:szCs w:val="6"/>
        </w:rPr>
      </w:pPr>
    </w:p>
    <w:p>
      <w:pPr>
        <w:spacing w:after="120"/>
        <w:ind w:firstLine="709"/>
        <w:jc w:val="both"/>
        <w:rPr>
          <w:rFonts w:ascii="Times New Roman" w:hAnsi="Times New Roman"/>
          <w:sz w:val="24"/>
          <w:szCs w:val="24"/>
        </w:rPr>
      </w:pPr>
      <w:r>
        <w:rPr>
          <w:rFonts w:ascii="Times New Roman" w:hAnsi="Times New Roman"/>
          <w:sz w:val="24"/>
          <w:szCs w:val="24"/>
        </w:rPr>
        <w:t>Таблица 41 - Целевые индикаторы МП «</w:t>
      </w:r>
      <w:r>
        <w:rPr>
          <w:rFonts w:ascii="Times New Roman" w:hAnsi="Times New Roman"/>
          <w:color w:val="000000"/>
          <w:sz w:val="24"/>
          <w:szCs w:val="24"/>
        </w:rPr>
        <w:t>Развитие образования в ЗАТО Северск</w:t>
      </w:r>
      <w:r>
        <w:rPr>
          <w:rFonts w:ascii="Times New Roman" w:hAnsi="Times New Roman"/>
          <w:sz w:val="24"/>
          <w:szCs w:val="24"/>
        </w:rPr>
        <w:t>»</w:t>
      </w:r>
    </w:p>
    <w:tbl>
      <w:tblPr>
        <w:tblW w:w="95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134"/>
        <w:gridCol w:w="1134"/>
        <w:gridCol w:w="1074"/>
        <w:gridCol w:w="1077"/>
      </w:tblGrid>
      <w:tr>
        <w:trPr>
          <w:trHeight w:val="507"/>
        </w:trPr>
        <w:tc>
          <w:tcPr>
            <w:tcW w:w="5103"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Наименование целевых индикаторов результативности программы</w:t>
            </w:r>
          </w:p>
        </w:tc>
        <w:tc>
          <w:tcPr>
            <w:tcW w:w="1134" w:type="dxa"/>
            <w:tcBorders>
              <w:top w:val="single" w:sz="4" w:space="0" w:color="auto"/>
              <w:left w:val="single" w:sz="4" w:space="0" w:color="auto"/>
              <w:right w:val="single" w:sz="4" w:space="0" w:color="auto"/>
            </w:tcBorders>
            <w:shd w:val="clear" w:color="auto" w:fill="auto"/>
          </w:tcPr>
          <w:p>
            <w:pPr>
              <w:jc w:val="center"/>
              <w:rPr>
                <w:rFonts w:ascii="Times New Roman" w:hAnsi="Times New Roman"/>
                <w:bCs/>
              </w:rPr>
            </w:pPr>
            <w:r>
              <w:rPr>
                <w:rFonts w:ascii="Times New Roman" w:hAnsi="Times New Roman"/>
                <w:bCs/>
              </w:rPr>
              <w:t>Оценка</w:t>
            </w:r>
          </w:p>
          <w:p>
            <w:pPr>
              <w:jc w:val="center"/>
              <w:rPr>
                <w:rFonts w:ascii="Times New Roman" w:hAnsi="Times New Roman"/>
                <w:bCs/>
              </w:rPr>
            </w:pPr>
            <w:r>
              <w:rPr>
                <w:rFonts w:ascii="Times New Roman" w:hAnsi="Times New Roman"/>
                <w:bCs/>
              </w:rPr>
              <w:t>2020 года</w:t>
            </w:r>
          </w:p>
        </w:tc>
        <w:tc>
          <w:tcPr>
            <w:tcW w:w="1134"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Прогноз 2021 года</w:t>
            </w:r>
          </w:p>
        </w:tc>
        <w:tc>
          <w:tcPr>
            <w:tcW w:w="1074"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2022 года</w:t>
            </w:r>
          </w:p>
        </w:tc>
        <w:tc>
          <w:tcPr>
            <w:tcW w:w="1077"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2023 года</w:t>
            </w:r>
          </w:p>
        </w:tc>
      </w:tr>
      <w:tr>
        <w:tc>
          <w:tcPr>
            <w:tcW w:w="5103" w:type="dxa"/>
            <w:tcBorders>
              <w:top w:val="single" w:sz="4" w:space="0" w:color="auto"/>
              <w:left w:val="single" w:sz="4" w:space="0" w:color="auto"/>
              <w:bottom w:val="single" w:sz="4" w:space="0" w:color="auto"/>
              <w:right w:val="single" w:sz="4" w:space="0" w:color="auto"/>
            </w:tcBorders>
            <w:shd w:val="clear" w:color="auto" w:fill="auto"/>
            <w:hideMark/>
          </w:tcPr>
          <w:p>
            <w:pPr>
              <w:rPr>
                <w:rFonts w:ascii="Times New Roman" w:hAnsi="Times New Roman"/>
                <w:sz w:val="22"/>
                <w:szCs w:val="22"/>
              </w:rPr>
            </w:pPr>
            <w:r>
              <w:rPr>
                <w:rFonts w:ascii="Times New Roman" w:hAnsi="Times New Roman"/>
                <w:sz w:val="22"/>
                <w:szCs w:val="22"/>
              </w:rPr>
              <w:t>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38,5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rPr>
                <w:rFonts w:ascii="Times New Roman" w:hAnsi="Times New Roman"/>
              </w:rPr>
              <w:t>35</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rPr>
                <w:rFonts w:ascii="Times New Roman" w:hAnsi="Times New Roman"/>
              </w:rPr>
              <w:t>35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rPr>
                <w:rFonts w:ascii="Times New Roman" w:hAnsi="Times New Roman"/>
              </w:rPr>
              <w:t>35</w:t>
            </w:r>
          </w:p>
        </w:tc>
      </w:tr>
      <w:tr>
        <w:tc>
          <w:tcPr>
            <w:tcW w:w="5103" w:type="dxa"/>
            <w:tcBorders>
              <w:top w:val="single" w:sz="4" w:space="0" w:color="auto"/>
              <w:left w:val="single" w:sz="4" w:space="0" w:color="auto"/>
              <w:bottom w:val="single" w:sz="4" w:space="0" w:color="auto"/>
              <w:right w:val="single" w:sz="4" w:space="0" w:color="auto"/>
            </w:tcBorders>
            <w:shd w:val="clear" w:color="auto" w:fill="auto"/>
            <w:hideMark/>
          </w:tcPr>
          <w:p>
            <w:pPr>
              <w:rPr>
                <w:rFonts w:ascii="Times New Roman" w:hAnsi="Times New Roman"/>
                <w:sz w:val="22"/>
                <w:szCs w:val="22"/>
              </w:rPr>
            </w:pPr>
            <w:r>
              <w:rPr>
                <w:rFonts w:ascii="Times New Roman" w:hAnsi="Times New Roman"/>
                <w:sz w:val="22"/>
                <w:szCs w:val="22"/>
              </w:rPr>
              <w:t>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hAnsi="Times New Roman"/>
              </w:rPr>
            </w:pPr>
            <w:r>
              <w:rPr>
                <w:rFonts w:ascii="Times New Roman" w:hAnsi="Times New Roman"/>
              </w:rPr>
              <w:t>5,6</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5,6</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5,6</w:t>
            </w:r>
          </w:p>
        </w:tc>
      </w:tr>
    </w:tbl>
    <w:p>
      <w:pPr>
        <w:pStyle w:val="aff3"/>
        <w:spacing w:before="120" w:beforeAutospacing="0" w:after="0" w:afterAutospacing="0"/>
        <w:ind w:firstLine="709"/>
        <w:jc w:val="both"/>
      </w:pPr>
      <w:r>
        <w:t>В рамках МП «</w:t>
      </w:r>
      <w:r>
        <w:rPr>
          <w:color w:val="000000"/>
        </w:rPr>
        <w:t>Развитие образования в ЗАТО Северск</w:t>
      </w:r>
      <w:r>
        <w:t xml:space="preserve">»  реализуются 6 подпрограмм. </w:t>
      </w:r>
    </w:p>
    <w:p>
      <w:pPr>
        <w:pStyle w:val="aff3"/>
        <w:spacing w:before="120" w:beforeAutospacing="0" w:after="0" w:afterAutospacing="0"/>
        <w:ind w:firstLine="709"/>
        <w:jc w:val="both"/>
        <w:rPr>
          <w:sz w:val="16"/>
          <w:szCs w:val="16"/>
        </w:rPr>
      </w:pPr>
    </w:p>
    <w:p>
      <w:pPr>
        <w:shd w:val="clear" w:color="auto" w:fill="FFFFFF" w:themeFill="background1"/>
        <w:spacing w:before="120" w:after="60"/>
        <w:ind w:firstLine="709"/>
        <w:jc w:val="both"/>
        <w:rPr>
          <w:rFonts w:ascii="Times New Roman" w:hAnsi="Times New Roman"/>
          <w:sz w:val="24"/>
          <w:szCs w:val="24"/>
        </w:rPr>
      </w:pPr>
      <w:r>
        <w:rPr>
          <w:rFonts w:ascii="Times New Roman" w:hAnsi="Times New Roman"/>
          <w:sz w:val="24"/>
          <w:szCs w:val="24"/>
        </w:rPr>
        <w:t xml:space="preserve">Таблица 42 - Объем финансового обеспечения  </w:t>
      </w:r>
      <w:r>
        <w:rPr>
          <w:sz w:val="24"/>
          <w:szCs w:val="24"/>
        </w:rPr>
        <w:t>МП «</w:t>
      </w:r>
      <w:r>
        <w:rPr>
          <w:color w:val="000000"/>
          <w:sz w:val="24"/>
          <w:szCs w:val="24"/>
        </w:rPr>
        <w:t>Развитие образования в ЗАТО Северск</w:t>
      </w:r>
      <w:r>
        <w:rPr>
          <w:sz w:val="24"/>
          <w:szCs w:val="24"/>
        </w:rPr>
        <w:t>»</w:t>
      </w:r>
      <w: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1276"/>
        <w:gridCol w:w="1276"/>
        <w:gridCol w:w="1276"/>
        <w:gridCol w:w="709"/>
        <w:gridCol w:w="1243"/>
        <w:gridCol w:w="1308"/>
      </w:tblGrid>
      <w:tr>
        <w:tc>
          <w:tcPr>
            <w:tcW w:w="1310"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Наименование</w:t>
            </w:r>
          </w:p>
        </w:tc>
        <w:tc>
          <w:tcPr>
            <w:tcW w:w="132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2020 год</w:t>
            </w:r>
          </w:p>
        </w:tc>
        <w:tc>
          <w:tcPr>
            <w:tcW w:w="103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Прогноз 2021 года</w:t>
            </w:r>
          </w:p>
        </w:tc>
        <w:tc>
          <w:tcPr>
            <w:tcW w:w="647"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Прогноз</w:t>
            </w:r>
          </w:p>
          <w:p>
            <w:pPr>
              <w:shd w:val="clear" w:color="auto" w:fill="FFFFFF" w:themeFill="background1"/>
              <w:jc w:val="center"/>
              <w:rPr>
                <w:rFonts w:ascii="Times New Roman" w:hAnsi="Times New Roman"/>
              </w:rPr>
            </w:pPr>
            <w:r>
              <w:rPr>
                <w:rFonts w:ascii="Times New Roman" w:hAnsi="Times New Roman"/>
              </w:rPr>
              <w:t>2022 года, тыс.руб.</w:t>
            </w:r>
          </w:p>
        </w:tc>
        <w:tc>
          <w:tcPr>
            <w:tcW w:w="681"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Прогноз</w:t>
            </w:r>
          </w:p>
          <w:p>
            <w:pPr>
              <w:shd w:val="clear" w:color="auto" w:fill="FFFFFF" w:themeFill="background1"/>
              <w:jc w:val="center"/>
              <w:rPr>
                <w:rFonts w:ascii="Times New Roman" w:hAnsi="Times New Roman"/>
              </w:rPr>
            </w:pPr>
            <w:r>
              <w:rPr>
                <w:rFonts w:ascii="Times New Roman" w:hAnsi="Times New Roman"/>
              </w:rPr>
              <w:t>2023 года, тыс.руб.</w:t>
            </w:r>
          </w:p>
        </w:tc>
      </w:tr>
      <w:tr>
        <w:trPr>
          <w:trHeight w:val="1108"/>
        </w:trPr>
        <w:tc>
          <w:tcPr>
            <w:tcW w:w="131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Первона-чально утверждено,</w:t>
            </w:r>
          </w:p>
          <w:p>
            <w:pPr>
              <w:shd w:val="clear" w:color="auto" w:fill="FFFFFF" w:themeFill="background1"/>
              <w:jc w:val="center"/>
              <w:rPr>
                <w:rFonts w:ascii="Times New Roman" w:hAnsi="Times New Roman"/>
              </w:rPr>
            </w:pPr>
            <w:r>
              <w:rPr>
                <w:rFonts w:ascii="Times New Roman" w:hAnsi="Times New Roman"/>
              </w:rPr>
              <w:t>тыс.руб.</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Оценка, тыс.руб.</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Сумма,</w:t>
            </w:r>
          </w:p>
          <w:p>
            <w:pPr>
              <w:shd w:val="clear" w:color="auto" w:fill="FFFFFF" w:themeFill="background1"/>
              <w:jc w:val="center"/>
              <w:rPr>
                <w:rFonts w:ascii="Times New Roman" w:hAnsi="Times New Roman"/>
              </w:rPr>
            </w:pPr>
            <w:r>
              <w:rPr>
                <w:rFonts w:ascii="Times New Roman" w:hAnsi="Times New Roman"/>
              </w:rPr>
              <w:t>тыс.руб.</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w:t>
            </w:r>
          </w:p>
        </w:tc>
        <w:tc>
          <w:tcPr>
            <w:tcW w:w="647"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p>
        </w:tc>
        <w:tc>
          <w:tcPr>
            <w:tcW w:w="6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p>
        </w:tc>
      </w:tr>
      <w:t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1</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3</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4</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5</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6</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7</w:t>
            </w:r>
          </w:p>
        </w:tc>
      </w:tr>
      <w:tr>
        <w:trPr>
          <w:trHeight w:val="603"/>
        </w:trP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both"/>
              <w:rPr>
                <w:rFonts w:ascii="Times New Roman" w:hAnsi="Times New Roman"/>
              </w:rPr>
            </w:pPr>
            <w:r>
              <w:rPr>
                <w:rFonts w:ascii="Times New Roman" w:hAnsi="Times New Roman"/>
              </w:rPr>
              <w:t>ВСЕГО по МП</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1 956 677,54</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2 304 832,10</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2 054 188,10</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89,1</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4"/>
                <w:szCs w:val="24"/>
              </w:rPr>
            </w:pPr>
            <w:r>
              <w:rPr>
                <w:rFonts w:ascii="Times New Roman" w:hAnsi="Times New Roman"/>
              </w:rPr>
              <w:t>1 894 303,65</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4"/>
                <w:szCs w:val="24"/>
              </w:rPr>
            </w:pPr>
            <w:r>
              <w:rPr>
                <w:rFonts w:ascii="Times New Roman" w:hAnsi="Times New Roman"/>
              </w:rPr>
              <w:t>1 876 082,55</w:t>
            </w:r>
          </w:p>
        </w:tc>
      </w:tr>
      <w:tr>
        <w:trPr>
          <w:trHeight w:val="1112"/>
        </w:trPr>
        <w:tc>
          <w:tcPr>
            <w:tcW w:w="1310"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Подпрограмма 1</w:t>
            </w:r>
          </w:p>
          <w:p>
            <w:pPr>
              <w:shd w:val="clear" w:color="auto" w:fill="FFFFFF" w:themeFill="background1"/>
              <w:rPr>
                <w:rFonts w:ascii="Times New Roman" w:hAnsi="Times New Roman"/>
              </w:rPr>
            </w:pPr>
            <w:r>
              <w:rPr>
                <w:rFonts w:ascii="Times New Roman" w:hAnsi="Times New Roman"/>
              </w:rPr>
              <w:t>«Развитие инфраструктуры образования ЗАТО Северск», из них:</w:t>
            </w:r>
          </w:p>
          <w:p>
            <w:pPr>
              <w:shd w:val="clear" w:color="auto" w:fill="FFFFFF" w:themeFill="background1"/>
              <w:rPr>
                <w:rFonts w:ascii="Times New Roman" w:hAnsi="Times New Roman"/>
              </w:rPr>
            </w:pPr>
          </w:p>
        </w:tc>
        <w:tc>
          <w:tcPr>
            <w:tcW w:w="664"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6 266,07</w:t>
            </w:r>
          </w:p>
        </w:tc>
        <w:tc>
          <w:tcPr>
            <w:tcW w:w="664"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46 034,07</w:t>
            </w:r>
          </w:p>
        </w:tc>
        <w:tc>
          <w:tcPr>
            <w:tcW w:w="664"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4 236,80</w:t>
            </w:r>
          </w:p>
        </w:tc>
        <w:tc>
          <w:tcPr>
            <w:tcW w:w="369"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9,2</w:t>
            </w:r>
          </w:p>
        </w:tc>
        <w:tc>
          <w:tcPr>
            <w:tcW w:w="647"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2 187,20</w:t>
            </w:r>
          </w:p>
        </w:tc>
        <w:tc>
          <w:tcPr>
            <w:tcW w:w="681"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p>
        </w:tc>
      </w:tr>
      <w:tr>
        <w:trPr>
          <w:trHeight w:val="280"/>
        </w:trPr>
        <w:tc>
          <w:tcPr>
            <w:tcW w:w="1310"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lastRenderedPageBreak/>
              <w:t>1</w:t>
            </w:r>
          </w:p>
        </w:tc>
        <w:tc>
          <w:tcPr>
            <w:tcW w:w="664"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2</w:t>
            </w:r>
          </w:p>
        </w:tc>
        <w:tc>
          <w:tcPr>
            <w:tcW w:w="664"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3</w:t>
            </w:r>
          </w:p>
        </w:tc>
        <w:tc>
          <w:tcPr>
            <w:tcW w:w="664"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4</w:t>
            </w:r>
          </w:p>
        </w:tc>
        <w:tc>
          <w:tcPr>
            <w:tcW w:w="369"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5</w:t>
            </w:r>
          </w:p>
        </w:tc>
        <w:tc>
          <w:tcPr>
            <w:tcW w:w="647"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6</w:t>
            </w:r>
          </w:p>
        </w:tc>
        <w:tc>
          <w:tcPr>
            <w:tcW w:w="681"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rPr>
            </w:pPr>
            <w:r>
              <w:rPr>
                <w:rFonts w:ascii="Times New Roman" w:hAnsi="Times New Roman"/>
              </w:rPr>
              <w:t>7</w:t>
            </w:r>
          </w:p>
        </w:tc>
      </w:tr>
      <w:tr>
        <w:trPr>
          <w:trHeight w:val="280"/>
        </w:trPr>
        <w:tc>
          <w:tcPr>
            <w:tcW w:w="1310"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Основное мероприятие: 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664"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p>
        </w:tc>
        <w:tc>
          <w:tcPr>
            <w:tcW w:w="664"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16 381,48</w:t>
            </w:r>
          </w:p>
        </w:tc>
        <w:tc>
          <w:tcPr>
            <w:tcW w:w="664"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highlight w:val="yellow"/>
              </w:rPr>
            </w:pPr>
          </w:p>
        </w:tc>
        <w:tc>
          <w:tcPr>
            <w:tcW w:w="369"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highlight w:val="yellow"/>
              </w:rPr>
            </w:pPr>
          </w:p>
        </w:tc>
        <w:tc>
          <w:tcPr>
            <w:tcW w:w="647"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highlight w:val="yellow"/>
              </w:rPr>
            </w:pPr>
          </w:p>
        </w:tc>
        <w:tc>
          <w:tcPr>
            <w:tcW w:w="681"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highlight w:val="yellow"/>
              </w:rPr>
            </w:pPr>
          </w:p>
        </w:tc>
      </w:tr>
      <w:tr>
        <w:trPr>
          <w:trHeight w:val="878"/>
        </w:trPr>
        <w:tc>
          <w:tcPr>
            <w:tcW w:w="1310"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Региональный проект «Цифровая образовательная среда»</w:t>
            </w:r>
          </w:p>
          <w:p>
            <w:pPr>
              <w:shd w:val="clear" w:color="auto" w:fill="FFFFFF" w:themeFill="background1"/>
              <w:rPr>
                <w:rFonts w:ascii="Times New Roman" w:hAnsi="Times New Roman"/>
              </w:rPr>
            </w:pPr>
          </w:p>
        </w:tc>
        <w:tc>
          <w:tcPr>
            <w:tcW w:w="664"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p>
        </w:tc>
        <w:tc>
          <w:tcPr>
            <w:tcW w:w="664"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24 266,68</w:t>
            </w:r>
          </w:p>
        </w:tc>
        <w:tc>
          <w:tcPr>
            <w:tcW w:w="664"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4236,80</w:t>
            </w:r>
          </w:p>
        </w:tc>
        <w:tc>
          <w:tcPr>
            <w:tcW w:w="369"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17,5</w:t>
            </w:r>
          </w:p>
        </w:tc>
        <w:tc>
          <w:tcPr>
            <w:tcW w:w="647"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2187,20</w:t>
            </w:r>
          </w:p>
        </w:tc>
        <w:tc>
          <w:tcPr>
            <w:tcW w:w="681"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p>
        </w:tc>
      </w:tr>
      <w:tr>
        <w:trPr>
          <w:trHeight w:val="759"/>
        </w:trPr>
        <w:tc>
          <w:tcPr>
            <w:tcW w:w="1310"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Региональный проект «Кадры для цифровой экономики»</w:t>
            </w:r>
          </w:p>
          <w:p>
            <w:pPr>
              <w:shd w:val="clear" w:color="auto" w:fill="FFFFFF" w:themeFill="background1"/>
              <w:rPr>
                <w:rFonts w:ascii="Times New Roman" w:hAnsi="Times New Roman"/>
              </w:rPr>
            </w:pPr>
          </w:p>
        </w:tc>
        <w:tc>
          <w:tcPr>
            <w:tcW w:w="664"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p>
        </w:tc>
        <w:tc>
          <w:tcPr>
            <w:tcW w:w="664"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61,22</w:t>
            </w:r>
          </w:p>
        </w:tc>
        <w:tc>
          <w:tcPr>
            <w:tcW w:w="664"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p>
        </w:tc>
        <w:tc>
          <w:tcPr>
            <w:tcW w:w="369" w:type="pct"/>
            <w:tcBorders>
              <w:top w:val="single" w:sz="4" w:space="0" w:color="auto"/>
              <w:left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p>
        </w:tc>
        <w:tc>
          <w:tcPr>
            <w:tcW w:w="647"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p>
        </w:tc>
        <w:tc>
          <w:tcPr>
            <w:tcW w:w="681" w:type="pct"/>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p>
        </w:tc>
      </w:tr>
      <w:tr>
        <w:trPr>
          <w:trHeight w:val="1173"/>
        </w:trP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Подпрограмма 3 «Развитие системы выявления, сопровождения и поддержки одаренных детей»</w:t>
            </w:r>
          </w:p>
          <w:p>
            <w:pPr>
              <w:shd w:val="clear" w:color="auto" w:fill="FFFFFF" w:themeFill="background1"/>
              <w:rPr>
                <w:rFonts w:ascii="Times New Roman" w:hAnsi="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1 432,40</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2 558,27</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1 502,4</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57,7</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1 502,4</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1 502,40</w:t>
            </w:r>
          </w:p>
        </w:tc>
      </w:tr>
      <w:tr>
        <w:trPr>
          <w:trHeight w:val="850"/>
        </w:trP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Подпрограмма 4 </w:t>
            </w:r>
          </w:p>
          <w:p>
            <w:pPr>
              <w:shd w:val="clear" w:color="auto" w:fill="FFFFFF" w:themeFill="background1"/>
              <w:rPr>
                <w:rFonts w:ascii="Times New Roman" w:hAnsi="Times New Roman"/>
              </w:rPr>
            </w:pPr>
            <w:r>
              <w:rPr>
                <w:rFonts w:ascii="Times New Roman" w:hAnsi="Times New Roman"/>
              </w:rPr>
              <w:t>«Педагогические кадры»</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205,00</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205,0</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205,0</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100</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205,00</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205,00</w:t>
            </w:r>
          </w:p>
        </w:tc>
      </w:tr>
      <w:t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Подпрограмма 5 «Организация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1 859 609,26</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ind w:hanging="135"/>
              <w:jc w:val="right"/>
              <w:rPr>
                <w:rFonts w:ascii="Times New Roman" w:hAnsi="Times New Roman"/>
              </w:rPr>
            </w:pPr>
            <w:r>
              <w:rPr>
                <w:rFonts w:ascii="Times New Roman" w:hAnsi="Times New Roman"/>
              </w:rPr>
              <w:t>2  166 870,25</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1 958 384,15</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90,4</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1 801 719,82</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1 785 646,92</w:t>
            </w:r>
          </w:p>
        </w:tc>
      </w:tr>
      <w:t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widowControl w:val="0"/>
              <w:shd w:val="clear" w:color="auto" w:fill="FFFFFF" w:themeFill="background1"/>
              <w:tabs>
                <w:tab w:val="left" w:pos="275"/>
              </w:tabs>
              <w:autoSpaceDE w:val="0"/>
              <w:autoSpaceDN w:val="0"/>
              <w:adjustRightInd w:val="0"/>
              <w:ind w:right="34"/>
              <w:rPr>
                <w:rFonts w:ascii="Times New Roman" w:hAnsi="Times New Roman"/>
                <w:highlight w:val="yellow"/>
              </w:rPr>
            </w:pPr>
            <w:r>
              <w:rPr>
                <w:rFonts w:ascii="Times New Roman" w:hAnsi="Times New Roman"/>
              </w:rPr>
              <w:t xml:space="preserve">ВЦП «Организация деятельности дошкольных образовательных организаций ЗАТО Северск» </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rPr>
            </w:pPr>
            <w:r>
              <w:rPr>
                <w:rFonts w:ascii="Times New Roman" w:hAnsi="Times New Roman"/>
              </w:rPr>
              <w:t>936 828,01</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rPr>
            </w:pPr>
            <w:r>
              <w:rPr>
                <w:rFonts w:ascii="Times New Roman" w:hAnsi="Times New Roman"/>
              </w:rPr>
              <w:t>1 095 917,41</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rPr>
            </w:pPr>
            <w:r>
              <w:rPr>
                <w:rFonts w:ascii="Times New Roman" w:hAnsi="Times New Roman"/>
              </w:rPr>
              <w:t>968 245,22</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rPr>
            </w:pPr>
            <w:r>
              <w:rPr>
                <w:rFonts w:ascii="Times New Roman" w:hAnsi="Times New Roman"/>
              </w:rPr>
              <w:t>88,4</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rPr>
            </w:pPr>
            <w:r>
              <w:rPr>
                <w:rFonts w:ascii="Times New Roman" w:hAnsi="Times New Roman"/>
              </w:rPr>
              <w:t>884 102,02</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rPr>
            </w:pPr>
            <w:r>
              <w:rPr>
                <w:rFonts w:ascii="Times New Roman" w:hAnsi="Times New Roman"/>
              </w:rPr>
              <w:t>871 835,11</w:t>
            </w:r>
          </w:p>
        </w:tc>
      </w:tr>
      <w:t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widowControl w:val="0"/>
              <w:shd w:val="clear" w:color="auto" w:fill="FFFFFF" w:themeFill="background1"/>
              <w:tabs>
                <w:tab w:val="left" w:pos="275"/>
              </w:tabs>
              <w:autoSpaceDE w:val="0"/>
              <w:autoSpaceDN w:val="0"/>
              <w:adjustRightInd w:val="0"/>
              <w:ind w:left="-9" w:right="34"/>
              <w:rPr>
                <w:rFonts w:ascii="Times New Roman" w:hAnsi="Times New Roman"/>
              </w:rPr>
            </w:pPr>
            <w:r>
              <w:rPr>
                <w:rFonts w:ascii="Times New Roman" w:hAnsi="Times New Roman"/>
              </w:rPr>
              <w:t xml:space="preserve"> ВЦП «Организация деятельности общеобразовательных организаций и органи-зации дополнительного образования детей ЗАТО Северск»</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sz w:val="24"/>
                <w:szCs w:val="24"/>
              </w:rPr>
            </w:pPr>
            <w:r>
              <w:rPr>
                <w:rFonts w:ascii="Times New Roman" w:hAnsi="Times New Roman"/>
              </w:rPr>
              <w:t>922 781,25</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1 070 952,84</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rPr>
            </w:pPr>
            <w:r>
              <w:rPr>
                <w:rFonts w:ascii="Times New Roman" w:hAnsi="Times New Roman"/>
              </w:rPr>
              <w:t>990 138,93</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rPr>
            </w:pPr>
            <w:r>
              <w:rPr>
                <w:rFonts w:ascii="Times New Roman" w:hAnsi="Times New Roman"/>
              </w:rPr>
              <w:t>92,5</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917 617,80</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913 811,81</w:t>
            </w:r>
          </w:p>
        </w:tc>
      </w:tr>
      <w:t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highlight w:val="yellow"/>
              </w:rPr>
            </w:pPr>
            <w:r>
              <w:rPr>
                <w:rFonts w:ascii="Times New Roman" w:hAnsi="Times New Roman"/>
              </w:rPr>
              <w:t>Подпрограмма 6 «Организация деятельности МАУ «РЦО», МКУ «ЦБОУ», МБУ «КШП»</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65 996,32</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65 839,53</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66 295,63</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100,7</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65 125,11</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65 164,11</w:t>
            </w:r>
          </w:p>
        </w:tc>
      </w:tr>
      <w:t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ВЦП «Организация деятельности МАУ «РЦО»</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sz w:val="24"/>
                <w:szCs w:val="24"/>
              </w:rPr>
            </w:pPr>
            <w:r>
              <w:rPr>
                <w:rFonts w:ascii="Times New Roman" w:hAnsi="Times New Roman"/>
              </w:rPr>
              <w:t>31 200,52</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31 043,73</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31 568,17</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rPr>
            </w:pPr>
            <w:r>
              <w:rPr>
                <w:rFonts w:ascii="Times New Roman" w:hAnsi="Times New Roman"/>
              </w:rPr>
              <w:t>101,7</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30 553,15</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30 578,15</w:t>
            </w:r>
          </w:p>
        </w:tc>
      </w:tr>
      <w:t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 xml:space="preserve"> ВЦП «Организация деятельности МКУ «ЦБОУ», </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sz w:val="24"/>
                <w:szCs w:val="24"/>
              </w:rPr>
            </w:pPr>
            <w:r>
              <w:rPr>
                <w:rFonts w:ascii="Times New Roman" w:hAnsi="Times New Roman"/>
              </w:rPr>
              <w:t>34 795,80</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34 795,80</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34 727,46</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rPr>
            </w:pPr>
            <w:r>
              <w:rPr>
                <w:rFonts w:ascii="Times New Roman" w:hAnsi="Times New Roman"/>
              </w:rPr>
              <w:t>99,8</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34 571,96</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sz w:val="24"/>
                <w:szCs w:val="24"/>
              </w:rPr>
            </w:pPr>
            <w:r>
              <w:rPr>
                <w:rFonts w:ascii="Times New Roman" w:hAnsi="Times New Roman"/>
              </w:rPr>
              <w:t>34 585,96</w:t>
            </w:r>
          </w:p>
        </w:tc>
      </w:tr>
      <w:tr>
        <w:tc>
          <w:tcPr>
            <w:tcW w:w="1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r>
              <w:rPr>
                <w:rFonts w:ascii="Times New Roman" w:hAnsi="Times New Roman"/>
              </w:rPr>
              <w:t>Подпрограмма 7 </w:t>
            </w:r>
          </w:p>
          <w:p>
            <w:pPr>
              <w:shd w:val="clear" w:color="auto" w:fill="FFFFFF" w:themeFill="background1"/>
              <w:rPr>
                <w:rFonts w:ascii="Times New Roman" w:hAnsi="Times New Roman"/>
              </w:rPr>
            </w:pPr>
            <w:r>
              <w:rPr>
                <w:rFonts w:ascii="Times New Roman" w:hAnsi="Times New Roman"/>
              </w:rPr>
              <w:t>«Обеспечивающая подпрограмма»</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23 168,49</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23 325,28</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rPr>
            </w:pPr>
            <w:r>
              <w:rPr>
                <w:rFonts w:ascii="Times New Roman" w:hAnsi="Times New Roman"/>
              </w:rPr>
              <w:t>23 564,12</w:t>
            </w:r>
          </w:p>
        </w:tc>
        <w:tc>
          <w:tcPr>
            <w:tcW w:w="3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rPr>
                <w:rFonts w:ascii="Times New Roman" w:hAnsi="Times New Roman"/>
              </w:rPr>
            </w:pPr>
            <w:r>
              <w:rPr>
                <w:rFonts w:ascii="Times New Roman" w:hAnsi="Times New Roman"/>
              </w:rPr>
              <w:t>101,0</w:t>
            </w:r>
          </w:p>
        </w:tc>
        <w:tc>
          <w:tcPr>
            <w:tcW w:w="6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4"/>
                <w:szCs w:val="24"/>
              </w:rPr>
            </w:pPr>
            <w:r>
              <w:rPr>
                <w:rFonts w:ascii="Times New Roman" w:hAnsi="Times New Roman"/>
              </w:rPr>
              <w:t>23 564,12</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4"/>
                <w:szCs w:val="24"/>
              </w:rPr>
            </w:pPr>
            <w:r>
              <w:rPr>
                <w:rFonts w:ascii="Times New Roman" w:hAnsi="Times New Roman"/>
              </w:rPr>
              <w:t>23 564,12</w:t>
            </w:r>
          </w:p>
        </w:tc>
      </w:tr>
    </w:tbl>
    <w:p>
      <w:pPr>
        <w:shd w:val="clear" w:color="auto" w:fill="FFFFFF" w:themeFill="background1"/>
        <w:ind w:firstLine="709"/>
        <w:jc w:val="both"/>
        <w:rPr>
          <w:rFonts w:ascii="Times New Roman" w:hAnsi="Times New Roman"/>
          <w:b/>
          <w:color w:val="FF0000"/>
          <w:sz w:val="16"/>
          <w:szCs w:val="16"/>
          <w:highlight w:val="yellow"/>
        </w:rPr>
      </w:pPr>
    </w:p>
    <w:p>
      <w:pPr>
        <w:shd w:val="clear" w:color="auto" w:fill="FFFFFF" w:themeFill="background1"/>
        <w:ind w:firstLine="709"/>
        <w:jc w:val="both"/>
        <w:outlineLvl w:val="0"/>
        <w:rPr>
          <w:rFonts w:ascii="Times New Roman" w:hAnsi="Times New Roman"/>
          <w:sz w:val="24"/>
          <w:szCs w:val="24"/>
        </w:rPr>
      </w:pPr>
      <w:r>
        <w:rPr>
          <w:rFonts w:ascii="Times New Roman" w:hAnsi="Times New Roman"/>
          <w:sz w:val="24"/>
          <w:szCs w:val="24"/>
        </w:rPr>
        <w:lastRenderedPageBreak/>
        <w:t>На 2021 год общий объем расходов по МП «</w:t>
      </w:r>
      <w:r>
        <w:rPr>
          <w:rFonts w:ascii="Times New Roman" w:hAnsi="Times New Roman"/>
          <w:color w:val="000000"/>
          <w:sz w:val="24"/>
          <w:szCs w:val="24"/>
        </w:rPr>
        <w:t>Развитие образования в ЗАТО Северск</w:t>
      </w:r>
      <w:r>
        <w:rPr>
          <w:rFonts w:ascii="Times New Roman" w:hAnsi="Times New Roman"/>
          <w:sz w:val="24"/>
          <w:szCs w:val="24"/>
        </w:rPr>
        <w:t>»  составит 2 054 188,10 тыс.руб., в том числе по подпрограммам:</w:t>
      </w:r>
    </w:p>
    <w:p>
      <w:pPr>
        <w:shd w:val="clear" w:color="auto" w:fill="FFFFFF" w:themeFill="background1"/>
        <w:ind w:firstLine="709"/>
        <w:jc w:val="both"/>
        <w:outlineLvl w:val="0"/>
        <w:rPr>
          <w:rFonts w:ascii="Times New Roman" w:hAnsi="Times New Roman"/>
          <w:sz w:val="16"/>
          <w:szCs w:val="16"/>
        </w:rPr>
      </w:pP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По подпрограмме 1 «Развитие инфраструктуры образования ЗАТО Северск» участие в региональном проекте "Цифровая образовательная среда" в сумме 4 236,80 тыс.руб.</w:t>
      </w:r>
    </w:p>
    <w:p>
      <w:pPr>
        <w:widowControl w:val="0"/>
        <w:shd w:val="clear" w:color="auto" w:fill="FFFFFF" w:themeFill="background1"/>
        <w:autoSpaceDE w:val="0"/>
        <w:autoSpaceDN w:val="0"/>
        <w:adjustRightInd w:val="0"/>
        <w:ind w:firstLine="708"/>
        <w:jc w:val="both"/>
        <w:rPr>
          <w:rFonts w:ascii="Times New Roman" w:hAnsi="Times New Roman"/>
          <w:sz w:val="16"/>
          <w:szCs w:val="16"/>
        </w:rPr>
      </w:pP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По подпрограмме 3 «Развитие системы выявления, сопровождения и поддержки одаренных детей»  - 1 502,40 тыс.руб., в том числе:</w:t>
      </w: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выплату именных ежемесячных стипендий муниципального уровня обучающимся – 521,35 тыс.руб.;</w:t>
      </w: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организацию бала выпускников-медалистов ЗАТО Северск (наиболее одаренных детей) – 22,0 тыс.руб.;</w:t>
      </w: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обеспечение деятельности Муниципального олимпиадного центра – 300,0 тыс.руб.;</w:t>
      </w: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 организацию и проведение муниципального мероприятия «Новогодняя елка для одаренных детей» - 70,0 тыс.руб.;</w:t>
      </w: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организацию и проведение муниципальной открытой олимпиады младших школьников «Первый шаг…» - 131,28 тыс.руб.;</w:t>
      </w: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организацию и проведение открытых соревнований по общей робототехнике «РобоСеверск», на участие в национальном этапе международных соревнований RoboCup Russia Open – 457,77 тыс.руб.</w:t>
      </w:r>
    </w:p>
    <w:p>
      <w:pPr>
        <w:widowControl w:val="0"/>
        <w:shd w:val="clear" w:color="auto" w:fill="FFFFFF" w:themeFill="background1"/>
        <w:autoSpaceDE w:val="0"/>
        <w:autoSpaceDN w:val="0"/>
        <w:adjustRightInd w:val="0"/>
        <w:ind w:firstLine="708"/>
        <w:jc w:val="both"/>
        <w:rPr>
          <w:rFonts w:ascii="Times New Roman" w:hAnsi="Times New Roman"/>
          <w:sz w:val="16"/>
          <w:szCs w:val="16"/>
        </w:rPr>
      </w:pP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По подпрограмме 4 «Педагогические кадры» - 205,0 тыс.руб.</w:t>
      </w: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участие в муниципальном этапе конкурсов «Учитель года», «Воспитатель года», «Сердце отдаю детям» - 205,0 тыс.руб.;</w:t>
      </w:r>
    </w:p>
    <w:p>
      <w:pPr>
        <w:widowControl w:val="0"/>
        <w:shd w:val="clear" w:color="auto" w:fill="FFFFFF" w:themeFill="background1"/>
        <w:autoSpaceDE w:val="0"/>
        <w:autoSpaceDN w:val="0"/>
        <w:adjustRightInd w:val="0"/>
        <w:spacing w:before="120"/>
        <w:ind w:firstLine="709"/>
        <w:jc w:val="both"/>
        <w:rPr>
          <w:rFonts w:ascii="Times New Roman" w:hAnsi="Times New Roman"/>
          <w:sz w:val="24"/>
          <w:szCs w:val="24"/>
        </w:rPr>
      </w:pPr>
      <w:r>
        <w:rPr>
          <w:rFonts w:ascii="Times New Roman" w:hAnsi="Times New Roman"/>
          <w:sz w:val="24"/>
          <w:szCs w:val="24"/>
        </w:rPr>
        <w:t>По подпрограмме 5 «Организация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 предусмотрены расходы:</w:t>
      </w:r>
    </w:p>
    <w:p>
      <w:pPr>
        <w:widowControl w:val="0"/>
        <w:shd w:val="clear" w:color="auto" w:fill="FFFFFF" w:themeFill="background1"/>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финансовое обеспечение деятельности 22 дошкольных образовательных организаций, направленной на организацию присмотра и ухода за детьми, обеспечения государственных гарантий реализации прав на получение общедоступного и бесплатного дошкольного образования.</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xml:space="preserve">- на финансовое обеспечение деятельности 17 общеобразовательных школ для обеспечения качественного образования по 4-м уровням образования: дошкольное образование (группы сокращенного дня и кратковременного пребывания), начальное общее образование (нормативный срок освоения 4 года), основное общее образование (нормативный срок освоения 5 лет), среднее общее образование (нормативный срок освоения 2 года) и специальной (коррекционной) школы-интерната – </w:t>
      </w:r>
      <w:r>
        <w:rPr>
          <w:rFonts w:ascii="Times New Roman" w:hAnsi="Times New Roman"/>
          <w:sz w:val="24"/>
          <w:szCs w:val="24"/>
          <w:lang w:val="en-US"/>
        </w:rPr>
        <w:t>VIII</w:t>
      </w:r>
      <w:r>
        <w:rPr>
          <w:rFonts w:ascii="Times New Roman" w:hAnsi="Times New Roman"/>
          <w:sz w:val="24"/>
          <w:szCs w:val="24"/>
        </w:rPr>
        <w:t xml:space="preserve"> типа, а также  учреждения дополнительного образования детей МБУ «Центр «Поиск».</w:t>
      </w:r>
    </w:p>
    <w:p>
      <w:pPr>
        <w:widowControl w:val="0"/>
        <w:autoSpaceDE w:val="0"/>
        <w:autoSpaceDN w:val="0"/>
        <w:adjustRightInd w:val="0"/>
        <w:spacing w:before="120"/>
        <w:ind w:firstLine="709"/>
        <w:jc w:val="both"/>
        <w:rPr>
          <w:rFonts w:ascii="Times New Roman" w:hAnsi="Times New Roman"/>
          <w:sz w:val="24"/>
          <w:szCs w:val="24"/>
        </w:rPr>
      </w:pPr>
      <w:r>
        <w:rPr>
          <w:rFonts w:ascii="Times New Roman" w:hAnsi="Times New Roman"/>
          <w:sz w:val="24"/>
          <w:szCs w:val="24"/>
        </w:rPr>
        <w:t xml:space="preserve">По подпрограмме 6 предусмотрены расходы на финансовое обеспечение деятельности </w:t>
      </w:r>
      <w:r>
        <w:rPr>
          <w:rFonts w:ascii="Times New Roman" w:hAnsi="Times New Roman"/>
        </w:rPr>
        <w:t xml:space="preserve"> </w:t>
      </w:r>
      <w:r>
        <w:rPr>
          <w:rFonts w:ascii="Times New Roman" w:hAnsi="Times New Roman"/>
          <w:sz w:val="24"/>
          <w:szCs w:val="24"/>
        </w:rPr>
        <w:t>МКУ «ЦБОУ», МАУ «РЦО».</w:t>
      </w:r>
    </w:p>
    <w:p>
      <w:pPr>
        <w:widowControl w:val="0"/>
        <w:shd w:val="clear" w:color="auto" w:fill="FFFFFF" w:themeFill="background1"/>
        <w:autoSpaceDE w:val="0"/>
        <w:autoSpaceDN w:val="0"/>
        <w:adjustRightInd w:val="0"/>
        <w:spacing w:before="12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В соответствии с </w:t>
      </w:r>
      <w:hyperlink r:id="rId14" w:history="1">
        <w:r>
          <w:rPr>
            <w:rFonts w:ascii="Times New Roman" w:hAnsi="Times New Roman"/>
            <w:color w:val="000000" w:themeColor="text1"/>
            <w:sz w:val="24"/>
            <w:szCs w:val="24"/>
          </w:rPr>
          <w:t>распоряжением</w:t>
        </w:r>
      </w:hyperlink>
      <w:r>
        <w:rPr>
          <w:rFonts w:ascii="Times New Roman" w:hAnsi="Times New Roman"/>
          <w:color w:val="000000" w:themeColor="text1"/>
          <w:sz w:val="24"/>
          <w:szCs w:val="24"/>
        </w:rPr>
        <w:t xml:space="preserve"> Администрации Томской области от 30.05.2018 361-ра «О реализации мероприятий по формированию современных управленческих и организационно-экономических механизмов в системе дополнительного образования детей и регионального приоритетного проекта «Доступное дополнительное образование для детей в Томской области», в 2021 году продолжится реализация программы персонифицированного финансирования дополнительного образования детей на территории ЗАТО Северск. </w:t>
      </w:r>
    </w:p>
    <w:p>
      <w:pPr>
        <w:shd w:val="clear" w:color="auto" w:fill="FFFFFF" w:themeFill="background1"/>
        <w:spacing w:before="120" w:after="120"/>
        <w:ind w:firstLine="709"/>
        <w:jc w:val="both"/>
        <w:rPr>
          <w:rFonts w:ascii="Times New Roman" w:hAnsi="Times New Roman"/>
          <w:sz w:val="24"/>
          <w:szCs w:val="24"/>
        </w:rPr>
      </w:pPr>
      <w:r>
        <w:rPr>
          <w:rFonts w:ascii="Times New Roman" w:hAnsi="Times New Roman"/>
          <w:sz w:val="24"/>
          <w:szCs w:val="24"/>
        </w:rPr>
        <w:t xml:space="preserve">Объем ассигнований на обеспечение сертификатов персонифицированного финансирования на 2021-2023 годы составит 3 124,73 тыс.руб. в каждом году. </w:t>
      </w:r>
    </w:p>
    <w:p>
      <w:pPr>
        <w:widowControl w:val="0"/>
        <w:shd w:val="clear" w:color="auto" w:fill="FFFFFF" w:themeFill="background1"/>
        <w:autoSpaceDE w:val="0"/>
        <w:autoSpaceDN w:val="0"/>
        <w:adjustRightInd w:val="0"/>
        <w:jc w:val="both"/>
        <w:rPr>
          <w:rFonts w:ascii="Times New Roman" w:hAnsi="Times New Roman"/>
          <w:sz w:val="10"/>
          <w:szCs w:val="10"/>
          <w:highlight w:val="yellow"/>
        </w:rPr>
      </w:pPr>
    </w:p>
    <w:p>
      <w:pPr>
        <w:shd w:val="clear" w:color="auto" w:fill="FFFFFF" w:themeFill="background1"/>
        <w:ind w:firstLine="709"/>
        <w:jc w:val="both"/>
        <w:rPr>
          <w:rFonts w:ascii="Times New Roman" w:hAnsi="Times New Roman"/>
          <w:sz w:val="24"/>
          <w:szCs w:val="24"/>
        </w:rPr>
      </w:pPr>
      <w:r>
        <w:rPr>
          <w:rFonts w:ascii="Times New Roman" w:hAnsi="Times New Roman"/>
          <w:sz w:val="24"/>
          <w:szCs w:val="24"/>
        </w:rPr>
        <w:t>В обеспечивающую подпрограмму 7 включены расходы на содержание Управления образования Администрации ЗАТО Северск.</w:t>
      </w:r>
    </w:p>
    <w:p>
      <w:pPr>
        <w:shd w:val="clear" w:color="auto" w:fill="FFFFFF" w:themeFill="background1"/>
        <w:jc w:val="both"/>
        <w:rPr>
          <w:rFonts w:ascii="Times New Roman" w:hAnsi="Times New Roman"/>
          <w:sz w:val="24"/>
          <w:szCs w:val="24"/>
          <w:highlight w:val="yellow"/>
        </w:rPr>
      </w:pPr>
    </w:p>
    <w:p>
      <w:pPr>
        <w:ind w:firstLine="709"/>
        <w:jc w:val="center"/>
        <w:rPr>
          <w:rFonts w:ascii="Times New Roman" w:hAnsi="Times New Roman"/>
          <w:b/>
          <w:color w:val="000000"/>
          <w:sz w:val="24"/>
          <w:szCs w:val="24"/>
        </w:rPr>
      </w:pPr>
      <w:r>
        <w:rPr>
          <w:rFonts w:ascii="Times New Roman" w:hAnsi="Times New Roman"/>
          <w:b/>
          <w:color w:val="000000"/>
          <w:sz w:val="24"/>
          <w:szCs w:val="24"/>
        </w:rPr>
        <w:t>2.7.1.2. МП «Формирование благоприятного социального климата</w:t>
      </w:r>
    </w:p>
    <w:p>
      <w:pPr>
        <w:ind w:firstLine="709"/>
        <w:jc w:val="center"/>
        <w:rPr>
          <w:rFonts w:ascii="Times New Roman" w:hAnsi="Times New Roman"/>
          <w:b/>
          <w:color w:val="000000"/>
          <w:sz w:val="24"/>
          <w:szCs w:val="24"/>
        </w:rPr>
      </w:pPr>
      <w:r>
        <w:rPr>
          <w:rFonts w:ascii="Times New Roman" w:hAnsi="Times New Roman"/>
          <w:b/>
          <w:color w:val="000000"/>
          <w:sz w:val="24"/>
          <w:szCs w:val="24"/>
        </w:rPr>
        <w:t>в ЗАТО Северск»</w:t>
      </w:r>
    </w:p>
    <w:p>
      <w:pPr>
        <w:ind w:firstLine="709"/>
        <w:jc w:val="center"/>
        <w:rPr>
          <w:rFonts w:ascii="Times New Roman" w:hAnsi="Times New Roman"/>
          <w:b/>
          <w:color w:val="000000"/>
          <w:sz w:val="16"/>
          <w:szCs w:val="16"/>
        </w:rPr>
      </w:pPr>
    </w:p>
    <w:p>
      <w:pPr>
        <w:tabs>
          <w:tab w:val="left" w:pos="709"/>
        </w:tabs>
        <w:ind w:firstLine="709"/>
        <w:jc w:val="both"/>
        <w:rPr>
          <w:rFonts w:ascii="Times New Roman" w:hAnsi="Times New Roman"/>
          <w:sz w:val="24"/>
          <w:szCs w:val="24"/>
        </w:rPr>
      </w:pPr>
      <w:r>
        <w:rPr>
          <w:rFonts w:ascii="Times New Roman" w:hAnsi="Times New Roman"/>
          <w:sz w:val="24"/>
          <w:szCs w:val="24"/>
        </w:rPr>
        <w:t xml:space="preserve">Финансовое обеспечение по </w:t>
      </w:r>
      <w:r>
        <w:rPr>
          <w:rFonts w:ascii="Times New Roman" w:hAnsi="Times New Roman"/>
          <w:color w:val="000000"/>
          <w:sz w:val="24"/>
          <w:szCs w:val="24"/>
        </w:rPr>
        <w:t xml:space="preserve">МП «Формирование благоприятного социального климата в ЗАТО Северск» </w:t>
      </w:r>
      <w:r>
        <w:rPr>
          <w:rFonts w:ascii="Times New Roman" w:hAnsi="Times New Roman"/>
          <w:sz w:val="24"/>
          <w:szCs w:val="24"/>
        </w:rPr>
        <w:t>предусмотрено на 2021 год в объеме 89 332,29 тыс.руб., на 2022 год 71 412,16 тыс.руб., на 2023</w:t>
      </w:r>
      <w:bookmarkStart w:id="1" w:name="_GoBack"/>
      <w:bookmarkEnd w:id="1"/>
      <w:r>
        <w:rPr>
          <w:rFonts w:ascii="Times New Roman" w:hAnsi="Times New Roman"/>
          <w:sz w:val="24"/>
          <w:szCs w:val="24"/>
        </w:rPr>
        <w:t xml:space="preserve"> год – 67 866,08 тыс.руб.</w:t>
      </w:r>
    </w:p>
    <w:p>
      <w:pPr>
        <w:ind w:firstLine="709"/>
        <w:jc w:val="both"/>
        <w:rPr>
          <w:rFonts w:ascii="Times New Roman" w:hAnsi="Times New Roman"/>
          <w:sz w:val="24"/>
          <w:szCs w:val="24"/>
        </w:rPr>
      </w:pPr>
      <w:r>
        <w:rPr>
          <w:rFonts w:ascii="Times New Roman" w:hAnsi="Times New Roman"/>
          <w:sz w:val="24"/>
          <w:szCs w:val="24"/>
        </w:rPr>
        <w:t>Цель МП:</w:t>
      </w:r>
      <w:r>
        <w:rPr>
          <w:bCs/>
          <w:sz w:val="24"/>
          <w:szCs w:val="24"/>
        </w:rPr>
        <w:t xml:space="preserve"> </w:t>
      </w:r>
      <w:r>
        <w:rPr>
          <w:rFonts w:ascii="Times New Roman" w:hAnsi="Times New Roman"/>
          <w:sz w:val="24"/>
          <w:szCs w:val="24"/>
        </w:rPr>
        <w:t>повышение уровня и качества жизни граждан, нуждающихся в социальной поддержке, обеспечение доступности предоставления различных услуг в сфере социального обслуживания и помощи слабо защищенным слоям населения</w:t>
      </w:r>
      <w:r>
        <w:rPr>
          <w:bCs/>
          <w:sz w:val="24"/>
          <w:szCs w:val="24"/>
        </w:rPr>
        <w:t>.</w:t>
      </w:r>
    </w:p>
    <w:p>
      <w:pPr>
        <w:ind w:firstLine="709"/>
        <w:jc w:val="both"/>
        <w:rPr>
          <w:sz w:val="24"/>
          <w:szCs w:val="24"/>
        </w:rPr>
      </w:pPr>
      <w:r>
        <w:rPr>
          <w:rFonts w:ascii="Times New Roman" w:hAnsi="Times New Roman"/>
          <w:sz w:val="24"/>
          <w:szCs w:val="24"/>
        </w:rPr>
        <w:t xml:space="preserve">Ответственный исполнитель: </w:t>
      </w:r>
      <w:r>
        <w:rPr>
          <w:sz w:val="24"/>
          <w:szCs w:val="24"/>
        </w:rPr>
        <w:t>Отдел социальной поддержки населения Администрации ЗАТО Северск.</w:t>
      </w:r>
    </w:p>
    <w:p>
      <w:pPr>
        <w:ind w:firstLine="709"/>
        <w:jc w:val="both"/>
        <w:rPr>
          <w:rFonts w:ascii="Times New Roman" w:hAnsi="Times New Roman"/>
          <w:sz w:val="16"/>
          <w:szCs w:val="16"/>
        </w:rPr>
      </w:pPr>
    </w:p>
    <w:p>
      <w:pPr>
        <w:ind w:firstLine="709"/>
        <w:jc w:val="both"/>
        <w:rPr>
          <w:rFonts w:ascii="Times New Roman" w:hAnsi="Times New Roman"/>
          <w:sz w:val="24"/>
          <w:szCs w:val="24"/>
        </w:rPr>
      </w:pPr>
      <w:r>
        <w:rPr>
          <w:rFonts w:ascii="Times New Roman" w:hAnsi="Times New Roman"/>
          <w:sz w:val="24"/>
          <w:szCs w:val="24"/>
        </w:rPr>
        <w:t xml:space="preserve">Таблица 43 - Целевые индикаторы МП </w:t>
      </w:r>
      <w:r>
        <w:rPr>
          <w:rFonts w:ascii="Times New Roman" w:hAnsi="Times New Roman"/>
          <w:color w:val="000000"/>
          <w:sz w:val="24"/>
          <w:szCs w:val="24"/>
        </w:rPr>
        <w:t>«Формирование благоприятного социального климата в ЗАТО Северск»</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1134"/>
        <w:gridCol w:w="1134"/>
        <w:gridCol w:w="1134"/>
        <w:gridCol w:w="1134"/>
      </w:tblGrid>
      <w:tr>
        <w:trPr>
          <w:trHeight w:val="852"/>
        </w:trPr>
        <w:tc>
          <w:tcPr>
            <w:tcW w:w="496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Наименование целевых индикаторов результативности программы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Оценка</w:t>
            </w:r>
          </w:p>
          <w:p>
            <w:pPr>
              <w:jc w:val="center"/>
              <w:rPr>
                <w:rFonts w:ascii="Times New Roman" w:hAnsi="Times New Roman"/>
                <w:sz w:val="22"/>
                <w:szCs w:val="22"/>
              </w:rPr>
            </w:pPr>
            <w:r>
              <w:rPr>
                <w:rFonts w:ascii="Times New Roman" w:hAnsi="Times New Roman"/>
                <w:sz w:val="22"/>
                <w:szCs w:val="22"/>
              </w:rPr>
              <w:t>2020 года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 2021 года</w:t>
            </w:r>
          </w:p>
        </w:tc>
        <w:tc>
          <w:tcPr>
            <w:tcW w:w="1134"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Прогноз 2022 года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 2023 года</w:t>
            </w:r>
          </w:p>
        </w:tc>
      </w:tr>
      <w:tr>
        <w:tc>
          <w:tcPr>
            <w:tcW w:w="4962" w:type="dxa"/>
            <w:tcBorders>
              <w:top w:val="single" w:sz="4" w:space="0" w:color="auto"/>
              <w:left w:val="single" w:sz="4" w:space="0" w:color="auto"/>
              <w:bottom w:val="single" w:sz="4" w:space="0" w:color="auto"/>
              <w:right w:val="single" w:sz="4" w:space="0" w:color="auto"/>
            </w:tcBorders>
            <w:hideMark/>
          </w:tcPr>
          <w:p>
            <w:pPr>
              <w:rPr>
                <w:sz w:val="22"/>
                <w:szCs w:val="22"/>
              </w:rPr>
            </w:pPr>
            <w:r>
              <w:rPr>
                <w:rFonts w:ascii="Times New Roman" w:hAnsi="Times New Roman"/>
                <w:sz w:val="22"/>
                <w:szCs w:val="22"/>
              </w:rPr>
              <w:t>Численность граждан, получающих социальную поддержку, чел.</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rPr>
            </w:pPr>
            <w:r>
              <w:rPr>
                <w:rFonts w:ascii="Times New Roman" w:hAnsi="Times New Roman"/>
              </w:rPr>
              <w:t>6 411</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rPr>
            </w:pPr>
            <w:r>
              <w:rPr>
                <w:rFonts w:ascii="Times New Roman" w:hAnsi="Times New Roman"/>
              </w:rPr>
              <w:t>5 781</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rPr>
            </w:pPr>
            <w:r>
              <w:rPr>
                <w:rFonts w:ascii="Times New Roman" w:hAnsi="Times New Roman"/>
              </w:rPr>
              <w:t>5 687</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rPr>
            </w:pPr>
            <w:r>
              <w:rPr>
                <w:rFonts w:ascii="Times New Roman" w:hAnsi="Times New Roman"/>
              </w:rPr>
              <w:t>5 389</w:t>
            </w:r>
          </w:p>
        </w:tc>
      </w:tr>
      <w:tr>
        <w:tc>
          <w:tcPr>
            <w:tcW w:w="4962"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sz w:val="22"/>
                <w:szCs w:val="22"/>
              </w:rPr>
            </w:pPr>
            <w:r>
              <w:rPr>
                <w:rFonts w:ascii="Times New Roman" w:hAnsi="Times New Roman"/>
                <w:sz w:val="22"/>
                <w:szCs w:val="22"/>
              </w:rPr>
              <w:t xml:space="preserve">Доля социально ориентированных некоммерческих организаций, осуществляющих деятельность </w:t>
            </w:r>
          </w:p>
          <w:p>
            <w:pPr>
              <w:rPr>
                <w:rFonts w:ascii="Times New Roman" w:hAnsi="Times New Roman"/>
              </w:rPr>
            </w:pPr>
            <w:r>
              <w:rPr>
                <w:rFonts w:ascii="Times New Roman" w:hAnsi="Times New Roman"/>
                <w:sz w:val="22"/>
                <w:szCs w:val="22"/>
              </w:rPr>
              <w:t>в социальной сфере, которым предоставлена поддержка, от общего количества обратившихся социально ориентированных некоммерческих организаций, %</w:t>
            </w:r>
            <w:r>
              <w:rPr>
                <w:rFonts w:ascii="Times New Roman" w:hAnsi="Times New Roman"/>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rPr>
            </w:pPr>
            <w:r>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rPr>
            </w:pPr>
            <w:r>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rPr>
            </w:pPr>
            <w:r>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rPr>
            </w:pPr>
            <w:r>
              <w:rPr>
                <w:rFonts w:ascii="Times New Roman" w:hAnsi="Times New Roman"/>
              </w:rPr>
              <w:t>100</w:t>
            </w:r>
          </w:p>
        </w:tc>
      </w:tr>
      <w:tr>
        <w:trPr>
          <w:trHeight w:val="708"/>
        </w:trPr>
        <w:tc>
          <w:tcPr>
            <w:tcW w:w="4962" w:type="dxa"/>
            <w:tcBorders>
              <w:top w:val="single" w:sz="4" w:space="0" w:color="auto"/>
              <w:left w:val="single" w:sz="4" w:space="0" w:color="auto"/>
              <w:bottom w:val="single" w:sz="4" w:space="0" w:color="auto"/>
              <w:right w:val="single" w:sz="4" w:space="0" w:color="auto"/>
            </w:tcBorders>
            <w:hideMark/>
          </w:tcPr>
          <w:p>
            <w:pPr>
              <w:rPr>
                <w:spacing w:val="-4"/>
                <w:sz w:val="22"/>
                <w:szCs w:val="22"/>
              </w:rPr>
            </w:pPr>
            <w:r>
              <w:rPr>
                <w:rFonts w:ascii="Times New Roman" w:hAnsi="Times New Roman"/>
                <w:sz w:val="22"/>
                <w:szCs w:val="22"/>
              </w:rPr>
              <w:t>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690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691</w:t>
            </w:r>
          </w:p>
        </w:tc>
        <w:tc>
          <w:tcPr>
            <w:tcW w:w="1134"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691</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691</w:t>
            </w:r>
          </w:p>
        </w:tc>
      </w:tr>
    </w:tbl>
    <w:p>
      <w:pPr>
        <w:ind w:firstLine="709"/>
        <w:jc w:val="both"/>
        <w:rPr>
          <w:rFonts w:ascii="Times New Roman" w:hAnsi="Times New Roman"/>
          <w:sz w:val="6"/>
          <w:szCs w:val="6"/>
          <w:highlight w:val="yellow"/>
        </w:rPr>
      </w:pPr>
    </w:p>
    <w:p>
      <w:pPr>
        <w:ind w:firstLine="709"/>
        <w:jc w:val="both"/>
        <w:outlineLvl w:val="0"/>
        <w:rPr>
          <w:sz w:val="24"/>
          <w:szCs w:val="24"/>
        </w:rPr>
      </w:pPr>
      <w:r>
        <w:rPr>
          <w:sz w:val="24"/>
          <w:szCs w:val="24"/>
        </w:rPr>
        <w:t xml:space="preserve">В рамках </w:t>
      </w:r>
      <w:r>
        <w:rPr>
          <w:color w:val="000000"/>
          <w:sz w:val="24"/>
          <w:szCs w:val="24"/>
        </w:rPr>
        <w:t>МП «</w:t>
      </w:r>
      <w:r>
        <w:rPr>
          <w:rFonts w:ascii="Times New Roman" w:hAnsi="Times New Roman"/>
          <w:color w:val="000000"/>
          <w:sz w:val="24"/>
          <w:szCs w:val="24"/>
        </w:rPr>
        <w:t>Формирование благоприятного социального климата в ЗАТО Северск</w:t>
      </w:r>
      <w:r>
        <w:rPr>
          <w:color w:val="000000"/>
          <w:sz w:val="24"/>
          <w:szCs w:val="24"/>
        </w:rPr>
        <w:t>»</w:t>
      </w:r>
      <w:r>
        <w:rPr>
          <w:sz w:val="24"/>
          <w:szCs w:val="24"/>
        </w:rPr>
        <w:t xml:space="preserve"> на период 2021-2023 годов предусмотрены бюджетные ассигнования на реализацию 2 подпрограмм. </w:t>
      </w:r>
    </w:p>
    <w:p>
      <w:pPr>
        <w:spacing w:before="120" w:after="60"/>
        <w:ind w:firstLine="709"/>
        <w:jc w:val="both"/>
        <w:rPr>
          <w:rFonts w:ascii="Times New Roman" w:hAnsi="Times New Roman"/>
          <w:sz w:val="24"/>
          <w:szCs w:val="24"/>
        </w:rPr>
      </w:pPr>
      <w:r>
        <w:rPr>
          <w:rFonts w:ascii="Times New Roman" w:hAnsi="Times New Roman"/>
          <w:sz w:val="24"/>
          <w:szCs w:val="24"/>
        </w:rPr>
        <w:t xml:space="preserve">Таблица 44 – Объем финансового обеспечения МП </w:t>
      </w:r>
      <w:r>
        <w:rPr>
          <w:color w:val="000000"/>
          <w:sz w:val="24"/>
          <w:szCs w:val="24"/>
        </w:rPr>
        <w:t>«</w:t>
      </w:r>
      <w:r>
        <w:rPr>
          <w:rFonts w:ascii="Times New Roman" w:hAnsi="Times New Roman"/>
          <w:color w:val="000000"/>
          <w:sz w:val="24"/>
          <w:szCs w:val="24"/>
        </w:rPr>
        <w:t>Формирование благоприятного социального климата в ЗАТО Северск</w:t>
      </w:r>
      <w:r>
        <w:rPr>
          <w:color w:val="000000"/>
          <w:sz w:val="24"/>
          <w:szCs w:val="24"/>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1276"/>
        <w:gridCol w:w="1417"/>
        <w:gridCol w:w="1418"/>
      </w:tblGrid>
      <w:tr>
        <w:trPr>
          <w:trHeight w:val="840"/>
        </w:trPr>
        <w:tc>
          <w:tcPr>
            <w:tcW w:w="524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2021 года, тыс.руб.</w:t>
            </w:r>
          </w:p>
        </w:tc>
        <w:tc>
          <w:tcPr>
            <w:tcW w:w="1417" w:type="dxa"/>
            <w:tcBorders>
              <w:top w:val="single" w:sz="4" w:space="0" w:color="auto"/>
              <w:left w:val="single" w:sz="4" w:space="0" w:color="auto"/>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rPr>
            </w:pPr>
            <w:r>
              <w:rPr>
                <w:rFonts w:ascii="Times New Roman" w:hAnsi="Times New Roman"/>
                <w:sz w:val="22"/>
                <w:szCs w:val="22"/>
              </w:rPr>
              <w:t>2022 года, тыс.руб.</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 тыс.руб.</w:t>
            </w:r>
          </w:p>
        </w:tc>
      </w:tr>
      <w:tr>
        <w:tc>
          <w:tcPr>
            <w:tcW w:w="5245" w:type="dxa"/>
            <w:tcBorders>
              <w:top w:val="single" w:sz="4" w:space="0" w:color="auto"/>
              <w:left w:val="single" w:sz="4" w:space="0" w:color="auto"/>
              <w:bottom w:val="single" w:sz="4" w:space="0" w:color="auto"/>
              <w:right w:val="single" w:sz="4" w:space="0" w:color="auto"/>
            </w:tcBorders>
            <w:hideMark/>
          </w:tcPr>
          <w:p>
            <w:pPr>
              <w:jc w:val="both"/>
              <w:rPr>
                <w:sz w:val="21"/>
                <w:szCs w:val="21"/>
              </w:rPr>
            </w:pPr>
            <w:r>
              <w:rPr>
                <w:sz w:val="21"/>
                <w:szCs w:val="21"/>
              </w:rPr>
              <w:t>ВСЕГО по МП</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89 332,29</w:t>
            </w:r>
          </w:p>
        </w:tc>
        <w:tc>
          <w:tcPr>
            <w:tcW w:w="1417" w:type="dxa"/>
            <w:tcBorders>
              <w:top w:val="single" w:sz="4" w:space="0" w:color="auto"/>
              <w:left w:val="single" w:sz="4" w:space="0" w:color="auto"/>
              <w:bottom w:val="single" w:sz="4" w:space="0" w:color="auto"/>
              <w:right w:val="single" w:sz="4" w:space="0" w:color="auto"/>
            </w:tcBorders>
          </w:tcPr>
          <w:p>
            <w:pPr>
              <w:jc w:val="right"/>
              <w:rPr>
                <w:rFonts w:ascii="Times New Roman" w:hAnsi="Times New Roman"/>
                <w:sz w:val="22"/>
                <w:szCs w:val="22"/>
              </w:rPr>
            </w:pPr>
            <w:r>
              <w:rPr>
                <w:rFonts w:ascii="Times New Roman" w:hAnsi="Times New Roman"/>
                <w:sz w:val="22"/>
                <w:szCs w:val="22"/>
              </w:rPr>
              <w:t>71 412,16</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67 866,08</w:t>
            </w:r>
          </w:p>
        </w:tc>
      </w:tr>
      <w:tr>
        <w:trPr>
          <w:trHeight w:val="958"/>
        </w:trPr>
        <w:tc>
          <w:tcPr>
            <w:tcW w:w="5245" w:type="dxa"/>
            <w:tcBorders>
              <w:top w:val="single" w:sz="4" w:space="0" w:color="auto"/>
              <w:left w:val="single" w:sz="4" w:space="0" w:color="auto"/>
              <w:bottom w:val="single" w:sz="4" w:space="0" w:color="auto"/>
              <w:right w:val="single" w:sz="4" w:space="0" w:color="auto"/>
            </w:tcBorders>
            <w:hideMark/>
          </w:tcPr>
          <w:p>
            <w:pPr>
              <w:outlineLvl w:val="0"/>
              <w:rPr>
                <w:sz w:val="22"/>
                <w:szCs w:val="22"/>
              </w:rPr>
            </w:pPr>
            <w:r>
              <w:rPr>
                <w:sz w:val="22"/>
                <w:szCs w:val="22"/>
              </w:rPr>
              <w:t>Подпрограмма 1</w:t>
            </w:r>
          </w:p>
          <w:p>
            <w:pPr>
              <w:outlineLvl w:val="0"/>
              <w:rPr>
                <w:sz w:val="22"/>
                <w:szCs w:val="22"/>
              </w:rPr>
            </w:pPr>
            <w:r>
              <w:rPr>
                <w:sz w:val="22"/>
                <w:szCs w:val="22"/>
              </w:rPr>
              <w:t>«</w:t>
            </w:r>
            <w:r>
              <w:rPr>
                <w:rFonts w:ascii="Times New Roman" w:hAnsi="Times New Roman"/>
                <w:sz w:val="22"/>
                <w:szCs w:val="22"/>
              </w:rPr>
              <w:t>Реализация социальных мер (льгот) для отдельных категорий граждан и поддержка социально ориентированных некоммерческих организаций»</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32 894,79</w:t>
            </w:r>
          </w:p>
        </w:tc>
        <w:tc>
          <w:tcPr>
            <w:tcW w:w="1417"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14 974,66</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11 428,58</w:t>
            </w:r>
          </w:p>
        </w:tc>
      </w:tr>
      <w:tr>
        <w:tc>
          <w:tcPr>
            <w:tcW w:w="5245" w:type="dxa"/>
            <w:tcBorders>
              <w:top w:val="single" w:sz="4" w:space="0" w:color="auto"/>
              <w:left w:val="single" w:sz="4" w:space="0" w:color="auto"/>
              <w:bottom w:val="single" w:sz="4" w:space="0" w:color="auto"/>
              <w:right w:val="single" w:sz="4" w:space="0" w:color="auto"/>
            </w:tcBorders>
            <w:hideMark/>
          </w:tcPr>
          <w:p>
            <w:pPr>
              <w:jc w:val="both"/>
              <w:outlineLvl w:val="0"/>
              <w:rPr>
                <w:sz w:val="22"/>
                <w:szCs w:val="22"/>
              </w:rPr>
            </w:pPr>
            <w:r>
              <w:rPr>
                <w:sz w:val="22"/>
                <w:szCs w:val="22"/>
              </w:rPr>
              <w:t xml:space="preserve">Подпрограмма 3 </w:t>
            </w:r>
          </w:p>
          <w:p>
            <w:pPr>
              <w:jc w:val="both"/>
              <w:outlineLvl w:val="0"/>
              <w:rPr>
                <w:sz w:val="22"/>
                <w:szCs w:val="22"/>
              </w:rPr>
            </w:pPr>
            <w:r>
              <w:rPr>
                <w:sz w:val="22"/>
                <w:szCs w:val="22"/>
              </w:rPr>
              <w:t>«Опека детей-сирот и детей, оставшихся без попечения родителей»</w:t>
            </w:r>
          </w:p>
        </w:tc>
        <w:tc>
          <w:tcPr>
            <w:tcW w:w="1276"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56 437,50</w:t>
            </w:r>
          </w:p>
        </w:tc>
        <w:tc>
          <w:tcPr>
            <w:tcW w:w="1417" w:type="dxa"/>
            <w:tcBorders>
              <w:top w:val="single" w:sz="4" w:space="0" w:color="auto"/>
              <w:left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56 437,50</w:t>
            </w:r>
          </w:p>
        </w:tc>
        <w:tc>
          <w:tcPr>
            <w:tcW w:w="1418" w:type="dxa"/>
            <w:tcBorders>
              <w:top w:val="single" w:sz="4" w:space="0" w:color="auto"/>
              <w:left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56 437,50</w:t>
            </w:r>
          </w:p>
        </w:tc>
      </w:tr>
    </w:tbl>
    <w:p>
      <w:pPr>
        <w:ind w:firstLine="709"/>
        <w:jc w:val="both"/>
        <w:outlineLvl w:val="0"/>
        <w:rPr>
          <w:rFonts w:ascii="Times New Roman" w:hAnsi="Times New Roman"/>
          <w:sz w:val="24"/>
          <w:szCs w:val="24"/>
        </w:rPr>
      </w:pPr>
    </w:p>
    <w:p>
      <w:pPr>
        <w:ind w:firstLine="709"/>
        <w:jc w:val="both"/>
        <w:outlineLvl w:val="0"/>
        <w:rPr>
          <w:rFonts w:ascii="Times New Roman" w:hAnsi="Times New Roman"/>
          <w:sz w:val="24"/>
          <w:szCs w:val="24"/>
        </w:rPr>
      </w:pPr>
      <w:r>
        <w:rPr>
          <w:rFonts w:ascii="Times New Roman" w:hAnsi="Times New Roman"/>
          <w:sz w:val="24"/>
          <w:szCs w:val="24"/>
        </w:rPr>
        <w:t xml:space="preserve">На 2021 год общий объем расходов по МП </w:t>
      </w:r>
      <w:r>
        <w:rPr>
          <w:color w:val="000000"/>
          <w:sz w:val="24"/>
          <w:szCs w:val="24"/>
        </w:rPr>
        <w:t>«</w:t>
      </w:r>
      <w:r>
        <w:rPr>
          <w:rFonts w:ascii="Times New Roman" w:hAnsi="Times New Roman"/>
          <w:color w:val="000000"/>
          <w:sz w:val="24"/>
          <w:szCs w:val="24"/>
        </w:rPr>
        <w:t>Формирование благоприятного социального климата в ЗАТО Северск</w:t>
      </w:r>
      <w:r>
        <w:rPr>
          <w:color w:val="000000"/>
          <w:sz w:val="24"/>
          <w:szCs w:val="24"/>
        </w:rPr>
        <w:t>»</w:t>
      </w:r>
      <w:r>
        <w:rPr>
          <w:rFonts w:ascii="Times New Roman" w:hAnsi="Times New Roman"/>
          <w:sz w:val="24"/>
          <w:szCs w:val="24"/>
        </w:rPr>
        <w:t xml:space="preserve"> </w:t>
      </w:r>
      <w:r>
        <w:rPr>
          <w:sz w:val="24"/>
          <w:szCs w:val="24"/>
        </w:rPr>
        <w:t>составит 89 332,29</w:t>
      </w:r>
      <w:r>
        <w:rPr>
          <w:rFonts w:ascii="Times New Roman" w:hAnsi="Times New Roman"/>
          <w:sz w:val="24"/>
          <w:szCs w:val="24"/>
        </w:rPr>
        <w:t xml:space="preserve"> тыс.руб., в том числе по подпрограммам:</w:t>
      </w:r>
    </w:p>
    <w:p>
      <w:pPr>
        <w:ind w:firstLine="709"/>
        <w:jc w:val="both"/>
        <w:outlineLvl w:val="0"/>
        <w:rPr>
          <w:sz w:val="24"/>
          <w:szCs w:val="24"/>
        </w:rPr>
      </w:pPr>
      <w:r>
        <w:rPr>
          <w:sz w:val="24"/>
          <w:szCs w:val="24"/>
        </w:rPr>
        <w:t>По подпрограмме 1 «</w:t>
      </w:r>
      <w:r>
        <w:rPr>
          <w:rFonts w:ascii="Times New Roman" w:hAnsi="Times New Roman"/>
          <w:sz w:val="24"/>
          <w:szCs w:val="24"/>
        </w:rPr>
        <w:t>Реализация социальных мер (льгот) для отдельных категорий граждан и поддержка социально ориентированных некоммерческих организаций</w:t>
      </w:r>
      <w:r>
        <w:rPr>
          <w:sz w:val="24"/>
          <w:szCs w:val="24"/>
        </w:rPr>
        <w:t>»  предусмотрены расходы:</w:t>
      </w:r>
    </w:p>
    <w:p>
      <w:pPr>
        <w:autoSpaceDE w:val="0"/>
        <w:autoSpaceDN w:val="0"/>
        <w:adjustRightInd w:val="0"/>
        <w:ind w:firstLine="709"/>
        <w:jc w:val="both"/>
        <w:rPr>
          <w:sz w:val="24"/>
          <w:szCs w:val="24"/>
        </w:rPr>
      </w:pPr>
      <w:r>
        <w:rPr>
          <w:sz w:val="24"/>
          <w:szCs w:val="24"/>
        </w:rPr>
        <w:t xml:space="preserve">- на исполнение публичных нормативных обязательств ЗАТО Северск в сумме 5 502,24 тыс.руб. (за счет средств местного бюджета – 4 502,24 тыс.руб., областного </w:t>
      </w:r>
      <w:r>
        <w:rPr>
          <w:sz w:val="24"/>
          <w:szCs w:val="24"/>
        </w:rPr>
        <w:lastRenderedPageBreak/>
        <w:t>бюджета – 1000,0 тыс.руб.), из них на материальную помощь в трудной жизненной ситуации в сумме 1 948,0 тыс.руб.;</w:t>
      </w:r>
      <w:r>
        <w:t xml:space="preserve"> </w:t>
      </w:r>
      <w:r>
        <w:rPr>
          <w:sz w:val="24"/>
          <w:szCs w:val="24"/>
        </w:rPr>
        <w:t>оказание помощи в ремонте и (или) переустройстве жилых помещений отдельным категориям граждан, проживающим на территории ЗАТО Северск, в сумме 2 000,0 тыс. руб.; единовременные денежные выплаты в ознаменование Дня Победы советского народа в ВОВ 1941-1945 годов, в сумме 980,0 тыс.руб.; компенсационные выплаты на оплату услуг няни, в сумме 360,0 тыс.руб.; компенсация расходов на оплату жилого помещения и коммунальных услуг гражданам, награжденным орденом «Родительская слава», и членам их семей в сумме 160,0 тыс. руб. и др.;</w:t>
      </w:r>
    </w:p>
    <w:p>
      <w:pPr>
        <w:autoSpaceDE w:val="0"/>
        <w:autoSpaceDN w:val="0"/>
        <w:adjustRightInd w:val="0"/>
        <w:ind w:firstLine="709"/>
        <w:jc w:val="both"/>
        <w:rPr>
          <w:sz w:val="24"/>
          <w:szCs w:val="24"/>
        </w:rPr>
      </w:pPr>
      <w:r>
        <w:rPr>
          <w:sz w:val="24"/>
          <w:szCs w:val="24"/>
        </w:rPr>
        <w:t>- на оказание финансовой, имущественной, информационной и консультационной поддержки социально ориентированных некоммерческих организаций, в сумме 5 460,93 тыс.руб.;</w:t>
      </w:r>
    </w:p>
    <w:p>
      <w:pPr>
        <w:autoSpaceDE w:val="0"/>
        <w:autoSpaceDN w:val="0"/>
        <w:adjustRightInd w:val="0"/>
        <w:ind w:firstLine="709"/>
        <w:jc w:val="both"/>
        <w:rPr>
          <w:sz w:val="24"/>
          <w:szCs w:val="24"/>
        </w:rPr>
      </w:pPr>
      <w:r>
        <w:rPr>
          <w:sz w:val="24"/>
          <w:szCs w:val="24"/>
        </w:rPr>
        <w:t>- на предоставление гражданам, проживающим на внегородских территориях, мер социальной поддержки по оплате коммунальных услуг в сумме 21 865,92  тыс.руб.</w:t>
      </w:r>
    </w:p>
    <w:p>
      <w:pPr>
        <w:autoSpaceDE w:val="0"/>
        <w:autoSpaceDN w:val="0"/>
        <w:adjustRightInd w:val="0"/>
        <w:ind w:firstLine="709"/>
        <w:jc w:val="both"/>
        <w:rPr>
          <w:rFonts w:ascii="Times New Roman" w:hAnsi="Times New Roman"/>
          <w:sz w:val="24"/>
          <w:szCs w:val="24"/>
        </w:rPr>
      </w:pPr>
      <w:r>
        <w:rPr>
          <w:sz w:val="24"/>
          <w:szCs w:val="24"/>
        </w:rPr>
        <w:t>По подпрограмме 3 «Опека детей-сирот и детей, оставшихся без попечения родителей» предусмотрены расходы</w:t>
      </w:r>
      <w:r>
        <w:rPr>
          <w:rFonts w:ascii="Times New Roman" w:hAnsi="Times New Roman"/>
          <w:sz w:val="24"/>
          <w:szCs w:val="24"/>
        </w:rPr>
        <w:t xml:space="preserve"> </w:t>
      </w:r>
      <w:r>
        <w:rPr>
          <w:rFonts w:ascii="Times New Roman" w:eastAsia="Calibri" w:hAnsi="Times New Roman"/>
          <w:sz w:val="24"/>
          <w:szCs w:val="24"/>
          <w:lang w:eastAsia="en-US"/>
        </w:rPr>
        <w:t xml:space="preserve">в сумме </w:t>
      </w:r>
      <w:r>
        <w:rPr>
          <w:rFonts w:ascii="Times New Roman" w:hAnsi="Times New Roman"/>
          <w:sz w:val="24"/>
          <w:szCs w:val="24"/>
        </w:rPr>
        <w:t xml:space="preserve">56 437,50 тыс.руб., из них:  </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ежемесячную выплату денежных средств опекунам (попечителям) на содержание детей  в сумме 8 646,00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 на выплаты приемным семьям на содержание детей и ежемесячную выплату вознаграждения, причитающегося приемным родителям </w:t>
      </w:r>
      <w:r>
        <w:rPr>
          <w:rFonts w:ascii="Times New Roman" w:eastAsia="Calibri" w:hAnsi="Times New Roman"/>
          <w:sz w:val="24"/>
          <w:szCs w:val="24"/>
          <w:lang w:eastAsia="en-US"/>
        </w:rPr>
        <w:t xml:space="preserve">в сумме  41 777,60 </w:t>
      </w:r>
      <w:r>
        <w:rPr>
          <w:rFonts w:ascii="Times New Roman" w:hAnsi="Times New Roman"/>
          <w:sz w:val="24"/>
          <w:szCs w:val="24"/>
        </w:rPr>
        <w:t>тыс.руб.;</w:t>
      </w:r>
    </w:p>
    <w:p>
      <w:pPr>
        <w:autoSpaceDE w:val="0"/>
        <w:autoSpaceDN w:val="0"/>
        <w:adjustRightInd w:val="0"/>
        <w:ind w:firstLine="709"/>
        <w:jc w:val="both"/>
        <w:rPr>
          <w:sz w:val="24"/>
          <w:szCs w:val="24"/>
        </w:rPr>
      </w:pPr>
      <w:r>
        <w:rPr>
          <w:rFonts w:ascii="Times New Roman" w:hAnsi="Times New Roman"/>
          <w:sz w:val="24"/>
          <w:szCs w:val="24"/>
        </w:rPr>
        <w:t xml:space="preserve">-  на </w:t>
      </w:r>
      <w:r>
        <w:rPr>
          <w:sz w:val="24"/>
          <w:szCs w:val="24"/>
        </w:rPr>
        <w:t>обеспечение жильем детей-сирот и детей, оставшихся без попечения родителей за счет средств областного бюджета в сумме 5 547,50 тыс. руб.;</w:t>
      </w:r>
    </w:p>
    <w:p>
      <w:pPr>
        <w:autoSpaceDE w:val="0"/>
        <w:autoSpaceDN w:val="0"/>
        <w:adjustRightInd w:val="0"/>
        <w:ind w:firstLine="709"/>
        <w:jc w:val="both"/>
        <w:rPr>
          <w:rFonts w:ascii="Times New Roman" w:hAnsi="Times New Roman"/>
          <w:sz w:val="24"/>
          <w:szCs w:val="24"/>
        </w:rPr>
      </w:pPr>
      <w:r>
        <w:rPr>
          <w:sz w:val="24"/>
          <w:szCs w:val="24"/>
        </w:rPr>
        <w:t xml:space="preserve"> - на проведение ремонта жилых помещений, принадлежащих детям-сиротам и детям, оставшимся без попечения родителей за счет средств областного бюджета в сумме 156,40 тыс.руб.</w:t>
      </w:r>
    </w:p>
    <w:p>
      <w:pPr>
        <w:pStyle w:val="aff3"/>
        <w:spacing w:before="0" w:beforeAutospacing="0" w:after="0" w:afterAutospacing="0"/>
        <w:ind w:firstLine="709"/>
        <w:jc w:val="both"/>
        <w:rPr>
          <w:b/>
        </w:rPr>
      </w:pPr>
    </w:p>
    <w:p>
      <w:pPr>
        <w:pStyle w:val="aff3"/>
        <w:spacing w:before="0" w:beforeAutospacing="0" w:after="0" w:afterAutospacing="0"/>
        <w:ind w:firstLine="709"/>
        <w:jc w:val="center"/>
      </w:pPr>
      <w:r>
        <w:rPr>
          <w:b/>
        </w:rPr>
        <w:t>2.7.1.3. МП «Развитие физической культуры и спорта в ЗАТО Северск»</w:t>
      </w:r>
    </w:p>
    <w:p>
      <w:pPr>
        <w:ind w:firstLine="709"/>
        <w:jc w:val="both"/>
        <w:rPr>
          <w:rFonts w:ascii="Times New Roman" w:hAnsi="Times New Roman"/>
          <w:sz w:val="10"/>
          <w:szCs w:val="10"/>
        </w:rPr>
      </w:pPr>
    </w:p>
    <w:p>
      <w:pPr>
        <w:tabs>
          <w:tab w:val="left" w:pos="709"/>
        </w:tabs>
        <w:ind w:firstLine="709"/>
        <w:jc w:val="both"/>
        <w:rPr>
          <w:rFonts w:ascii="Times New Roman" w:hAnsi="Times New Roman"/>
          <w:sz w:val="23"/>
          <w:szCs w:val="23"/>
        </w:rPr>
      </w:pPr>
      <w:r>
        <w:rPr>
          <w:rFonts w:ascii="Times New Roman" w:hAnsi="Times New Roman"/>
          <w:sz w:val="23"/>
          <w:szCs w:val="23"/>
          <w:shd w:val="clear" w:color="auto" w:fill="FFFFFF" w:themeFill="background1"/>
        </w:rPr>
        <w:t>Финансовое обеспечение по МП «Развитие физической культуры и спорта в ЗАТО Северск» предусмотрено на 2021 год</w:t>
      </w:r>
      <w:r>
        <w:rPr>
          <w:rFonts w:ascii="Times New Roman" w:hAnsi="Times New Roman"/>
          <w:sz w:val="23"/>
          <w:szCs w:val="23"/>
        </w:rPr>
        <w:t xml:space="preserve"> в объеме 321 284,07 тыс.руб., </w:t>
      </w:r>
      <w:r>
        <w:rPr>
          <w:rFonts w:ascii="Times New Roman" w:hAnsi="Times New Roman"/>
          <w:sz w:val="23"/>
          <w:szCs w:val="23"/>
          <w:shd w:val="clear" w:color="auto" w:fill="FFFFFF" w:themeFill="background1"/>
        </w:rPr>
        <w:t>на 2022</w:t>
      </w:r>
      <w:r>
        <w:rPr>
          <w:rFonts w:ascii="Times New Roman" w:hAnsi="Times New Roman"/>
          <w:sz w:val="23"/>
          <w:szCs w:val="23"/>
        </w:rPr>
        <w:t xml:space="preserve"> год 263 704,71 тыс.руб., </w:t>
      </w:r>
      <w:r>
        <w:rPr>
          <w:rFonts w:ascii="Times New Roman" w:hAnsi="Times New Roman"/>
          <w:sz w:val="23"/>
          <w:szCs w:val="23"/>
          <w:shd w:val="clear" w:color="auto" w:fill="FFFFFF" w:themeFill="background1"/>
        </w:rPr>
        <w:t>на 2023</w:t>
      </w:r>
      <w:r>
        <w:rPr>
          <w:rFonts w:ascii="Times New Roman" w:hAnsi="Times New Roman"/>
          <w:sz w:val="23"/>
          <w:szCs w:val="23"/>
        </w:rPr>
        <w:t xml:space="preserve"> год 260 476,25 тыс.руб.</w:t>
      </w:r>
    </w:p>
    <w:p>
      <w:pPr>
        <w:ind w:firstLine="709"/>
        <w:jc w:val="both"/>
        <w:rPr>
          <w:rFonts w:ascii="Times New Roman" w:hAnsi="Times New Roman"/>
          <w:sz w:val="23"/>
          <w:szCs w:val="23"/>
        </w:rPr>
      </w:pPr>
      <w:r>
        <w:rPr>
          <w:rFonts w:ascii="Times New Roman" w:hAnsi="Times New Roman"/>
          <w:sz w:val="23"/>
          <w:szCs w:val="23"/>
        </w:rPr>
        <w:t>Цель МП: создание условий, обеспечивающих возможность населению ЗАТО Северск систематически заниматься физической культурой и спортом.</w:t>
      </w:r>
    </w:p>
    <w:p>
      <w:pPr>
        <w:ind w:firstLine="709"/>
        <w:jc w:val="both"/>
        <w:rPr>
          <w:rFonts w:ascii="Times New Roman" w:hAnsi="Times New Roman"/>
          <w:sz w:val="23"/>
          <w:szCs w:val="23"/>
        </w:rPr>
      </w:pPr>
      <w:r>
        <w:rPr>
          <w:rFonts w:ascii="Times New Roman" w:hAnsi="Times New Roman"/>
          <w:sz w:val="23"/>
          <w:szCs w:val="23"/>
        </w:rPr>
        <w:t>Ответственный исполнитель: Управление молодёжной и семейной политики, физической культуры и спорта Администрации ЗАТО Северск.</w:t>
      </w:r>
    </w:p>
    <w:p>
      <w:pPr>
        <w:ind w:firstLine="709"/>
        <w:jc w:val="both"/>
        <w:rPr>
          <w:rFonts w:ascii="Times New Roman" w:hAnsi="Times New Roman"/>
          <w:sz w:val="23"/>
          <w:szCs w:val="23"/>
        </w:rPr>
      </w:pPr>
      <w:r>
        <w:rPr>
          <w:rFonts w:ascii="Times New Roman" w:hAnsi="Times New Roman"/>
          <w:sz w:val="23"/>
          <w:szCs w:val="23"/>
        </w:rPr>
        <w:t>Соисполнители и (или) участники: Управление капитального строительства Администрации ЗАТО Северск, Управление молодёжной и семейной политики, физической культуры и спорта Администрации ЗАТО Северск.</w:t>
      </w:r>
    </w:p>
    <w:p>
      <w:pPr>
        <w:ind w:firstLine="709"/>
        <w:jc w:val="both"/>
        <w:rPr>
          <w:rFonts w:ascii="Times New Roman" w:hAnsi="Times New Roman"/>
          <w:sz w:val="16"/>
          <w:szCs w:val="16"/>
        </w:rPr>
      </w:pPr>
    </w:p>
    <w:p>
      <w:pPr>
        <w:shd w:val="clear" w:color="auto" w:fill="FFFFFF" w:themeFill="background1"/>
        <w:ind w:firstLine="709"/>
        <w:jc w:val="both"/>
        <w:rPr>
          <w:rFonts w:ascii="Times New Roman" w:hAnsi="Times New Roman"/>
          <w:sz w:val="23"/>
          <w:szCs w:val="23"/>
        </w:rPr>
      </w:pPr>
      <w:r>
        <w:rPr>
          <w:rFonts w:ascii="Times New Roman" w:hAnsi="Times New Roman"/>
          <w:sz w:val="23"/>
          <w:szCs w:val="23"/>
        </w:rPr>
        <w:t>В 2021 году и плановом периоде 2022-2023 годов планируется достижение следующих целевых индикаторов результативности МП:</w:t>
      </w:r>
    </w:p>
    <w:p>
      <w:pPr>
        <w:spacing w:after="120"/>
        <w:ind w:firstLine="709"/>
        <w:jc w:val="both"/>
        <w:rPr>
          <w:rFonts w:ascii="Times New Roman" w:hAnsi="Times New Roman"/>
          <w:sz w:val="16"/>
          <w:szCs w:val="16"/>
        </w:rPr>
      </w:pPr>
    </w:p>
    <w:p>
      <w:pPr>
        <w:spacing w:after="120"/>
        <w:ind w:firstLine="709"/>
        <w:jc w:val="both"/>
        <w:rPr>
          <w:rFonts w:ascii="Times New Roman" w:hAnsi="Times New Roman"/>
          <w:sz w:val="23"/>
          <w:szCs w:val="23"/>
        </w:rPr>
      </w:pPr>
      <w:r>
        <w:rPr>
          <w:rFonts w:ascii="Times New Roman" w:hAnsi="Times New Roman"/>
          <w:sz w:val="23"/>
          <w:szCs w:val="23"/>
        </w:rPr>
        <w:t xml:space="preserve">Таблица 45 - Целевые индикаторы МП «Развитие физической культуры и спорта </w:t>
      </w:r>
      <w:r>
        <w:rPr>
          <w:rFonts w:ascii="Times New Roman" w:hAnsi="Times New Roman"/>
          <w:sz w:val="23"/>
          <w:szCs w:val="23"/>
        </w:rPr>
        <w:br/>
        <w:t>в ЗАТО Северск»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1134"/>
        <w:gridCol w:w="1137"/>
        <w:gridCol w:w="1202"/>
        <w:gridCol w:w="1170"/>
      </w:tblGrid>
      <w:tr>
        <w:trPr>
          <w:trHeight w:val="587"/>
        </w:trPr>
        <w:tc>
          <w:tcPr>
            <w:tcW w:w="4820" w:type="dxa"/>
            <w:tcBorders>
              <w:top w:val="single" w:sz="4" w:space="0" w:color="auto"/>
              <w:left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Наименование целевых индикаторов результативности программы</w:t>
            </w:r>
          </w:p>
        </w:tc>
        <w:tc>
          <w:tcPr>
            <w:tcW w:w="1134" w:type="dxa"/>
            <w:tcBorders>
              <w:top w:val="single" w:sz="4" w:space="0" w:color="auto"/>
              <w:left w:val="single" w:sz="4" w:space="0" w:color="auto"/>
              <w:right w:val="single" w:sz="4" w:space="0" w:color="auto"/>
            </w:tcBorders>
            <w:vAlign w:val="center"/>
          </w:tcPr>
          <w:p>
            <w:pPr>
              <w:jc w:val="center"/>
              <w:rPr>
                <w:rFonts w:ascii="Times New Roman" w:hAnsi="Times New Roman"/>
                <w:sz w:val="21"/>
                <w:szCs w:val="21"/>
              </w:rPr>
            </w:pPr>
            <w:r>
              <w:rPr>
                <w:rFonts w:ascii="Times New Roman" w:hAnsi="Times New Roman"/>
                <w:sz w:val="21"/>
                <w:szCs w:val="21"/>
              </w:rPr>
              <w:t xml:space="preserve">Оценка </w:t>
            </w:r>
          </w:p>
          <w:p>
            <w:pPr>
              <w:jc w:val="center"/>
              <w:rPr>
                <w:rFonts w:ascii="Times New Roman" w:hAnsi="Times New Roman"/>
                <w:sz w:val="21"/>
                <w:szCs w:val="21"/>
              </w:rPr>
            </w:pPr>
            <w:r>
              <w:rPr>
                <w:rFonts w:ascii="Times New Roman" w:hAnsi="Times New Roman"/>
                <w:sz w:val="21"/>
                <w:szCs w:val="21"/>
              </w:rPr>
              <w:t>2020 год</w:t>
            </w:r>
          </w:p>
        </w:tc>
        <w:tc>
          <w:tcPr>
            <w:tcW w:w="1137" w:type="dxa"/>
            <w:tcBorders>
              <w:top w:val="single" w:sz="4" w:space="0" w:color="auto"/>
              <w:left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Прогноз 2021 года</w:t>
            </w:r>
          </w:p>
        </w:tc>
        <w:tc>
          <w:tcPr>
            <w:tcW w:w="1202" w:type="dxa"/>
            <w:tcBorders>
              <w:top w:val="single" w:sz="4" w:space="0" w:color="auto"/>
              <w:left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2022 года</w:t>
            </w:r>
          </w:p>
        </w:tc>
        <w:tc>
          <w:tcPr>
            <w:tcW w:w="1170" w:type="dxa"/>
            <w:tcBorders>
              <w:top w:val="single" w:sz="4" w:space="0" w:color="auto"/>
              <w:left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2023 года</w:t>
            </w:r>
          </w:p>
        </w:tc>
      </w:tr>
      <w:tr>
        <w:trPr>
          <w:trHeight w:val="522"/>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1"/>
                <w:szCs w:val="21"/>
              </w:rPr>
            </w:pPr>
            <w:r>
              <w:rPr>
                <w:rFonts w:ascii="Times New Roman" w:hAnsi="Times New Roman"/>
                <w:sz w:val="21"/>
                <w:szCs w:val="21"/>
              </w:rPr>
              <w:t>Доля населения ЗАТО Северск, систематически занимающегося физической культурой и спортом, от численности населения в возрасте 3-79 лет,%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pacing w:val="-7"/>
                <w:sz w:val="19"/>
                <w:szCs w:val="19"/>
              </w:rPr>
            </w:pPr>
            <w:r>
              <w:rPr>
                <w:rFonts w:ascii="Times New Roman" w:hAnsi="Times New Roman"/>
                <w:spacing w:val="-7"/>
                <w:sz w:val="19"/>
                <w:szCs w:val="19"/>
              </w:rPr>
              <w:t>48,3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pacing w:val="-7"/>
                <w:sz w:val="19"/>
                <w:szCs w:val="19"/>
              </w:rPr>
            </w:pPr>
            <w:r>
              <w:rPr>
                <w:rFonts w:ascii="Times New Roman" w:hAnsi="Times New Roman"/>
                <w:spacing w:val="-7"/>
                <w:sz w:val="19"/>
                <w:szCs w:val="19"/>
              </w:rPr>
              <w:t>50,6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pacing w:val="-7"/>
                <w:sz w:val="19"/>
                <w:szCs w:val="19"/>
              </w:rPr>
            </w:pPr>
            <w:r>
              <w:rPr>
                <w:rFonts w:ascii="Times New Roman" w:hAnsi="Times New Roman"/>
                <w:spacing w:val="-7"/>
                <w:sz w:val="19"/>
                <w:szCs w:val="19"/>
              </w:rPr>
              <w:t>53,9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pacing w:val="-7"/>
                <w:sz w:val="19"/>
                <w:szCs w:val="19"/>
              </w:rPr>
            </w:pPr>
            <w:r>
              <w:rPr>
                <w:rFonts w:ascii="Times New Roman" w:hAnsi="Times New Roman"/>
                <w:spacing w:val="-7"/>
                <w:sz w:val="19"/>
                <w:szCs w:val="19"/>
              </w:rPr>
              <w:t>53,9</w:t>
            </w:r>
          </w:p>
        </w:tc>
      </w:tr>
      <w:t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ind w:right="-108"/>
              <w:rPr>
                <w:rFonts w:ascii="Times New Roman" w:hAnsi="Times New Roman"/>
                <w:sz w:val="21"/>
                <w:szCs w:val="21"/>
              </w:rPr>
            </w:pPr>
            <w:r>
              <w:rPr>
                <w:rFonts w:ascii="Times New Roman" w:hAnsi="Times New Roman"/>
                <w:sz w:val="21"/>
                <w:szCs w:val="21"/>
              </w:rPr>
              <w:t>Уровень обеспеченности населения спортивны-ми сооружениями, исходя из единовременной пропускной способности объектов спорта,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spacing w:val="-7"/>
                <w:sz w:val="19"/>
                <w:szCs w:val="19"/>
              </w:rPr>
            </w:pPr>
            <w:r>
              <w:rPr>
                <w:rFonts w:ascii="Times New Roman" w:hAnsi="Times New Roman"/>
                <w:spacing w:val="-7"/>
                <w:sz w:val="19"/>
                <w:szCs w:val="19"/>
              </w:rPr>
              <w:t>46,5</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spacing w:val="-7"/>
                <w:sz w:val="19"/>
                <w:szCs w:val="19"/>
              </w:rPr>
            </w:pPr>
            <w:r>
              <w:rPr>
                <w:rFonts w:ascii="Times New Roman" w:hAnsi="Times New Roman"/>
                <w:spacing w:val="-7"/>
                <w:sz w:val="19"/>
                <w:szCs w:val="19"/>
              </w:rPr>
              <w:t>46,5</w:t>
            </w:r>
          </w:p>
        </w:tc>
        <w:tc>
          <w:tcPr>
            <w:tcW w:w="12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spacing w:val="-7"/>
                <w:sz w:val="19"/>
                <w:szCs w:val="19"/>
              </w:rPr>
            </w:pPr>
            <w:r>
              <w:rPr>
                <w:rFonts w:ascii="Times New Roman" w:hAnsi="Times New Roman"/>
                <w:spacing w:val="-7"/>
                <w:sz w:val="19"/>
                <w:szCs w:val="19"/>
              </w:rPr>
              <w:t>46,5</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center"/>
              <w:rPr>
                <w:rFonts w:ascii="Times New Roman" w:hAnsi="Times New Roman"/>
                <w:spacing w:val="-7"/>
                <w:sz w:val="19"/>
                <w:szCs w:val="19"/>
              </w:rPr>
            </w:pPr>
            <w:r>
              <w:rPr>
                <w:rFonts w:ascii="Times New Roman" w:hAnsi="Times New Roman"/>
                <w:spacing w:val="-7"/>
                <w:sz w:val="19"/>
                <w:szCs w:val="19"/>
              </w:rPr>
              <w:t>46,5</w:t>
            </w:r>
          </w:p>
        </w:tc>
      </w:tr>
    </w:tbl>
    <w:p>
      <w:pPr>
        <w:widowControl w:val="0"/>
        <w:shd w:val="clear" w:color="auto" w:fill="FFFFFF" w:themeFill="background1"/>
        <w:autoSpaceDE w:val="0"/>
        <w:autoSpaceDN w:val="0"/>
        <w:adjustRightInd w:val="0"/>
        <w:ind w:firstLine="708"/>
        <w:jc w:val="both"/>
        <w:rPr>
          <w:rFonts w:ascii="Times New Roman" w:hAnsi="Times New Roman"/>
          <w:sz w:val="10"/>
          <w:szCs w:val="10"/>
        </w:rPr>
      </w:pPr>
    </w:p>
    <w:p>
      <w:pPr>
        <w:widowControl w:val="0"/>
        <w:shd w:val="clear" w:color="auto" w:fill="FFFFFF" w:themeFill="background1"/>
        <w:autoSpaceDE w:val="0"/>
        <w:autoSpaceDN w:val="0"/>
        <w:adjustRightInd w:val="0"/>
        <w:ind w:firstLine="708"/>
        <w:jc w:val="both"/>
        <w:rPr>
          <w:rFonts w:ascii="Times New Roman" w:hAnsi="Times New Roman"/>
          <w:sz w:val="23"/>
          <w:szCs w:val="23"/>
        </w:rPr>
      </w:pPr>
      <w:r>
        <w:rPr>
          <w:rFonts w:ascii="Times New Roman" w:hAnsi="Times New Roman"/>
          <w:sz w:val="23"/>
          <w:szCs w:val="23"/>
        </w:rPr>
        <w:t>В рамках МП «Развитие физической культуры и спорта в ЗАТО Северск» реализуются 3 подпрограммы:</w:t>
      </w:r>
    </w:p>
    <w:p>
      <w:pPr>
        <w:shd w:val="clear" w:color="auto" w:fill="FFFFFF" w:themeFill="background1"/>
        <w:spacing w:before="120" w:after="60"/>
        <w:ind w:firstLine="709"/>
        <w:jc w:val="both"/>
        <w:rPr>
          <w:rFonts w:ascii="Times New Roman" w:hAnsi="Times New Roman"/>
          <w:sz w:val="23"/>
          <w:szCs w:val="23"/>
        </w:rPr>
      </w:pPr>
    </w:p>
    <w:p>
      <w:pPr>
        <w:shd w:val="clear" w:color="auto" w:fill="FFFFFF" w:themeFill="background1"/>
        <w:spacing w:before="120" w:after="60"/>
        <w:ind w:firstLine="709"/>
        <w:jc w:val="both"/>
        <w:rPr>
          <w:rFonts w:ascii="Times New Roman" w:hAnsi="Times New Roman"/>
          <w:sz w:val="23"/>
          <w:szCs w:val="23"/>
        </w:rPr>
      </w:pPr>
      <w:r>
        <w:rPr>
          <w:rFonts w:ascii="Times New Roman" w:hAnsi="Times New Roman"/>
          <w:sz w:val="23"/>
          <w:szCs w:val="23"/>
        </w:rPr>
        <w:lastRenderedPageBreak/>
        <w:t>Таблица 46 - Объем финансового обеспечения МП «Развитие физической культуры и спорта в ЗАТО Северск»</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1134"/>
        <w:gridCol w:w="1134"/>
        <w:gridCol w:w="1134"/>
      </w:tblGrid>
      <w:tr>
        <w:trPr>
          <w:trHeight w:val="860"/>
        </w:trPr>
        <w:tc>
          <w:tcPr>
            <w:tcW w:w="6237" w:type="dxa"/>
            <w:shd w:val="clear" w:color="auto" w:fill="auto"/>
            <w:vAlign w:val="center"/>
            <w:hideMark/>
          </w:tcPr>
          <w:p>
            <w:pPr>
              <w:jc w:val="center"/>
              <w:rPr>
                <w:rFonts w:ascii="Times New Roman" w:hAnsi="Times New Roman"/>
                <w:sz w:val="19"/>
                <w:szCs w:val="19"/>
              </w:rPr>
            </w:pPr>
            <w:r>
              <w:rPr>
                <w:rFonts w:ascii="Times New Roman" w:hAnsi="Times New Roman"/>
                <w:sz w:val="19"/>
                <w:szCs w:val="19"/>
              </w:rPr>
              <w:t>Наименование</w:t>
            </w:r>
          </w:p>
        </w:tc>
        <w:tc>
          <w:tcPr>
            <w:tcW w:w="1134" w:type="dxa"/>
            <w:shd w:val="clear" w:color="auto" w:fill="auto"/>
            <w:vAlign w:val="center"/>
            <w:hideMark/>
          </w:tcPr>
          <w:p>
            <w:pPr>
              <w:ind w:left="-57" w:right="-57"/>
              <w:jc w:val="center"/>
              <w:rPr>
                <w:rFonts w:ascii="Times New Roman" w:hAnsi="Times New Roman"/>
                <w:b/>
                <w:sz w:val="19"/>
                <w:szCs w:val="19"/>
              </w:rPr>
            </w:pPr>
            <w:r>
              <w:rPr>
                <w:rFonts w:ascii="Times New Roman" w:hAnsi="Times New Roman"/>
                <w:sz w:val="19"/>
                <w:szCs w:val="19"/>
              </w:rPr>
              <w:t>Прогноз 2021 года,</w:t>
            </w:r>
          </w:p>
          <w:p>
            <w:pPr>
              <w:jc w:val="center"/>
              <w:rPr>
                <w:rFonts w:ascii="Times New Roman" w:hAnsi="Times New Roman"/>
                <w:b/>
                <w:sz w:val="19"/>
                <w:szCs w:val="19"/>
              </w:rPr>
            </w:pPr>
            <w:r>
              <w:rPr>
                <w:rFonts w:ascii="Times New Roman" w:hAnsi="Times New Roman"/>
                <w:sz w:val="19"/>
                <w:szCs w:val="19"/>
              </w:rPr>
              <w:t>тыс.руб.</w:t>
            </w:r>
          </w:p>
        </w:tc>
        <w:tc>
          <w:tcPr>
            <w:tcW w:w="1134" w:type="dxa"/>
            <w:shd w:val="clear" w:color="auto" w:fill="auto"/>
            <w:vAlign w:val="center"/>
            <w:hideMark/>
          </w:tcPr>
          <w:p>
            <w:pPr>
              <w:ind w:left="-57" w:right="-57"/>
              <w:jc w:val="center"/>
              <w:rPr>
                <w:rFonts w:ascii="Times New Roman" w:hAnsi="Times New Roman"/>
                <w:sz w:val="19"/>
                <w:szCs w:val="19"/>
              </w:rPr>
            </w:pPr>
            <w:r>
              <w:rPr>
                <w:rFonts w:ascii="Times New Roman" w:hAnsi="Times New Roman"/>
                <w:sz w:val="19"/>
                <w:szCs w:val="19"/>
              </w:rPr>
              <w:t xml:space="preserve">Прогноз </w:t>
            </w:r>
          </w:p>
          <w:p>
            <w:pPr>
              <w:ind w:left="-57" w:right="-57"/>
              <w:jc w:val="center"/>
              <w:rPr>
                <w:rFonts w:ascii="Times New Roman" w:hAnsi="Times New Roman"/>
                <w:b/>
                <w:sz w:val="19"/>
                <w:szCs w:val="19"/>
              </w:rPr>
            </w:pPr>
            <w:r>
              <w:rPr>
                <w:rFonts w:ascii="Times New Roman" w:hAnsi="Times New Roman"/>
                <w:sz w:val="19"/>
                <w:szCs w:val="19"/>
              </w:rPr>
              <w:t>2022 года</w:t>
            </w:r>
            <w:r>
              <w:rPr>
                <w:rFonts w:ascii="Times New Roman" w:hAnsi="Times New Roman"/>
                <w:b/>
                <w:sz w:val="19"/>
                <w:szCs w:val="19"/>
              </w:rPr>
              <w:t>,</w:t>
            </w:r>
          </w:p>
          <w:p>
            <w:pPr>
              <w:ind w:left="-57" w:right="-57"/>
              <w:jc w:val="center"/>
              <w:rPr>
                <w:rFonts w:ascii="Times New Roman" w:hAnsi="Times New Roman"/>
                <w:b/>
                <w:sz w:val="19"/>
                <w:szCs w:val="19"/>
              </w:rPr>
            </w:pPr>
            <w:r>
              <w:rPr>
                <w:rFonts w:ascii="Times New Roman" w:hAnsi="Times New Roman"/>
                <w:sz w:val="19"/>
                <w:szCs w:val="19"/>
              </w:rPr>
              <w:t>тыс.руб.</w:t>
            </w:r>
          </w:p>
        </w:tc>
        <w:tc>
          <w:tcPr>
            <w:tcW w:w="1134" w:type="dxa"/>
            <w:shd w:val="clear" w:color="auto" w:fill="auto"/>
            <w:vAlign w:val="center"/>
            <w:hideMark/>
          </w:tcPr>
          <w:p>
            <w:pPr>
              <w:ind w:left="-57" w:right="-57"/>
              <w:jc w:val="center"/>
              <w:rPr>
                <w:rFonts w:ascii="Times New Roman" w:hAnsi="Times New Roman"/>
                <w:sz w:val="19"/>
                <w:szCs w:val="19"/>
              </w:rPr>
            </w:pPr>
            <w:r>
              <w:rPr>
                <w:rFonts w:ascii="Times New Roman" w:hAnsi="Times New Roman"/>
                <w:sz w:val="19"/>
                <w:szCs w:val="19"/>
              </w:rPr>
              <w:t xml:space="preserve">Прогноз </w:t>
            </w:r>
          </w:p>
          <w:p>
            <w:pPr>
              <w:ind w:left="-57" w:right="-57"/>
              <w:jc w:val="center"/>
              <w:rPr>
                <w:rFonts w:ascii="Times New Roman" w:hAnsi="Times New Roman"/>
                <w:sz w:val="19"/>
                <w:szCs w:val="19"/>
              </w:rPr>
            </w:pPr>
            <w:r>
              <w:rPr>
                <w:rFonts w:ascii="Times New Roman" w:hAnsi="Times New Roman"/>
                <w:sz w:val="19"/>
                <w:szCs w:val="19"/>
              </w:rPr>
              <w:t>2023 года,</w:t>
            </w:r>
          </w:p>
          <w:p>
            <w:pPr>
              <w:ind w:left="-57" w:right="-57"/>
              <w:jc w:val="center"/>
              <w:rPr>
                <w:rFonts w:ascii="Times New Roman" w:hAnsi="Times New Roman"/>
                <w:b/>
                <w:sz w:val="19"/>
                <w:szCs w:val="19"/>
              </w:rPr>
            </w:pPr>
            <w:r>
              <w:rPr>
                <w:rFonts w:ascii="Times New Roman" w:hAnsi="Times New Roman"/>
                <w:sz w:val="19"/>
                <w:szCs w:val="19"/>
              </w:rPr>
              <w:t>тыс.руб.</w:t>
            </w:r>
          </w:p>
        </w:tc>
      </w:tr>
      <w:tr>
        <w:trPr>
          <w:trHeight w:val="373"/>
        </w:trPr>
        <w:tc>
          <w:tcPr>
            <w:tcW w:w="6237" w:type="dxa"/>
            <w:shd w:val="clear" w:color="auto" w:fill="auto"/>
            <w:vAlign w:val="center"/>
            <w:hideMark/>
          </w:tcPr>
          <w:p>
            <w:pPr>
              <w:autoSpaceDE w:val="0"/>
              <w:autoSpaceDN w:val="0"/>
              <w:adjustRightInd w:val="0"/>
              <w:rPr>
                <w:rFonts w:ascii="Times New Roman" w:hAnsi="Times New Roman"/>
                <w:sz w:val="23"/>
                <w:szCs w:val="24"/>
              </w:rPr>
            </w:pPr>
            <w:r>
              <w:rPr>
                <w:rFonts w:ascii="Times New Roman" w:hAnsi="Times New Roman"/>
                <w:sz w:val="23"/>
                <w:szCs w:val="24"/>
              </w:rPr>
              <w:t>Всего по МП</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321 284,07</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263 704,71</w:t>
            </w:r>
          </w:p>
        </w:tc>
        <w:tc>
          <w:tcPr>
            <w:tcW w:w="1134" w:type="dxa"/>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260 476,25</w:t>
            </w:r>
          </w:p>
        </w:tc>
      </w:tr>
      <w:tr>
        <w:trPr>
          <w:trHeight w:val="297"/>
        </w:trPr>
        <w:tc>
          <w:tcPr>
            <w:tcW w:w="6237" w:type="dxa"/>
            <w:shd w:val="clear" w:color="auto" w:fill="auto"/>
            <w:vAlign w:val="center"/>
            <w:hideMark/>
          </w:tcPr>
          <w:p>
            <w:pPr>
              <w:autoSpaceDE w:val="0"/>
              <w:autoSpaceDN w:val="0"/>
              <w:adjustRightInd w:val="0"/>
              <w:rPr>
                <w:sz w:val="21"/>
                <w:szCs w:val="21"/>
              </w:rPr>
            </w:pPr>
            <w:r>
              <w:rPr>
                <w:sz w:val="21"/>
                <w:szCs w:val="22"/>
              </w:rPr>
              <w:t xml:space="preserve">Подпрограмма </w:t>
            </w:r>
            <w:r>
              <w:rPr>
                <w:sz w:val="21"/>
                <w:szCs w:val="21"/>
              </w:rPr>
              <w:t>1</w:t>
            </w:r>
          </w:p>
          <w:p>
            <w:pPr>
              <w:autoSpaceDE w:val="0"/>
              <w:autoSpaceDN w:val="0"/>
              <w:adjustRightInd w:val="0"/>
              <w:rPr>
                <w:rFonts w:ascii="Times New Roman" w:eastAsia="Calibri" w:hAnsi="Times New Roman"/>
                <w:sz w:val="19"/>
                <w:szCs w:val="19"/>
                <w:lang w:eastAsia="en-US"/>
              </w:rPr>
            </w:pPr>
            <w:r>
              <w:rPr>
                <w:sz w:val="21"/>
                <w:szCs w:val="21"/>
              </w:rPr>
              <w:t>«</w:t>
            </w:r>
            <w:r>
              <w:rPr>
                <w:sz w:val="21"/>
                <w:szCs w:val="22"/>
              </w:rPr>
              <w:t>Развитие  физической культуры и массового спорта</w:t>
            </w:r>
            <w:r>
              <w:rPr>
                <w:sz w:val="21"/>
                <w:szCs w:val="21"/>
              </w:rPr>
              <w:t>»</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10 682,98</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7 731,84</w:t>
            </w:r>
          </w:p>
        </w:tc>
        <w:tc>
          <w:tcPr>
            <w:tcW w:w="1134" w:type="dxa"/>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6 858,24</w:t>
            </w:r>
          </w:p>
        </w:tc>
      </w:tr>
      <w:tr>
        <w:trPr>
          <w:trHeight w:val="274"/>
        </w:trPr>
        <w:tc>
          <w:tcPr>
            <w:tcW w:w="6237" w:type="dxa"/>
            <w:shd w:val="clear" w:color="auto" w:fill="auto"/>
            <w:hideMark/>
          </w:tcPr>
          <w:p>
            <w:pPr>
              <w:rPr>
                <w:rFonts w:ascii="Times New Roman" w:hAnsi="Times New Roman"/>
                <w:sz w:val="21"/>
                <w:szCs w:val="21"/>
              </w:rPr>
            </w:pPr>
            <w:r>
              <w:rPr>
                <w:rFonts w:ascii="Times New Roman" w:hAnsi="Times New Roman"/>
                <w:sz w:val="22"/>
                <w:szCs w:val="22"/>
              </w:rPr>
              <w:t xml:space="preserve"> из них расходы интегрированные в региональный проект «</w:t>
            </w:r>
            <w:r>
              <w:rPr>
                <w:sz w:val="22"/>
                <w:szCs w:val="22"/>
              </w:rPr>
              <w:t>Спорт – норма жизни</w:t>
            </w:r>
            <w:r>
              <w:rPr>
                <w:rFonts w:ascii="Times New Roman" w:hAnsi="Times New Roman"/>
                <w:sz w:val="22"/>
                <w:szCs w:val="22"/>
              </w:rPr>
              <w:t>»</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7 731,84</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7 731,84</w:t>
            </w:r>
          </w:p>
        </w:tc>
        <w:tc>
          <w:tcPr>
            <w:tcW w:w="1134" w:type="dxa"/>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6 858,24</w:t>
            </w:r>
          </w:p>
        </w:tc>
      </w:tr>
      <w:tr>
        <w:trPr>
          <w:trHeight w:val="274"/>
        </w:trPr>
        <w:tc>
          <w:tcPr>
            <w:tcW w:w="6237" w:type="dxa"/>
            <w:shd w:val="clear" w:color="auto" w:fill="auto"/>
            <w:vAlign w:val="center"/>
            <w:hideMark/>
          </w:tcPr>
          <w:p>
            <w:pPr>
              <w:rPr>
                <w:sz w:val="21"/>
                <w:szCs w:val="21"/>
              </w:rPr>
            </w:pPr>
            <w:r>
              <w:rPr>
                <w:sz w:val="21"/>
                <w:szCs w:val="21"/>
              </w:rPr>
              <w:t>Подпрограмма 2</w:t>
            </w:r>
          </w:p>
          <w:p>
            <w:pPr>
              <w:autoSpaceDE w:val="0"/>
              <w:autoSpaceDN w:val="0"/>
              <w:adjustRightInd w:val="0"/>
              <w:rPr>
                <w:rFonts w:ascii="Times New Roman" w:eastAsia="Calibri" w:hAnsi="Times New Roman"/>
                <w:sz w:val="19"/>
                <w:szCs w:val="19"/>
                <w:lang w:eastAsia="en-US"/>
              </w:rPr>
            </w:pPr>
            <w:r>
              <w:rPr>
                <w:sz w:val="21"/>
                <w:szCs w:val="21"/>
              </w:rPr>
              <w:t>«</w:t>
            </w:r>
            <w:r>
              <w:rPr>
                <w:sz w:val="21"/>
                <w:szCs w:val="22"/>
              </w:rPr>
              <w:t>Развитие системы подготовки спортивного резерва</w:t>
            </w:r>
            <w:r>
              <w:rPr>
                <w:sz w:val="21"/>
                <w:szCs w:val="21"/>
              </w:rPr>
              <w:t>»</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309 801,09</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255 972,87</w:t>
            </w:r>
          </w:p>
        </w:tc>
        <w:tc>
          <w:tcPr>
            <w:tcW w:w="1134" w:type="dxa"/>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253 618,01</w:t>
            </w:r>
          </w:p>
        </w:tc>
      </w:tr>
      <w:tr>
        <w:trPr>
          <w:trHeight w:val="274"/>
        </w:trPr>
        <w:tc>
          <w:tcPr>
            <w:tcW w:w="6237" w:type="dxa"/>
            <w:shd w:val="clear" w:color="auto" w:fill="auto"/>
            <w:vAlign w:val="center"/>
            <w:hideMark/>
          </w:tcPr>
          <w:p>
            <w:pPr>
              <w:rPr>
                <w:sz w:val="21"/>
                <w:szCs w:val="21"/>
              </w:rPr>
            </w:pPr>
            <w:r>
              <w:rPr>
                <w:sz w:val="21"/>
                <w:szCs w:val="21"/>
              </w:rPr>
              <w:t>Подпрограмма 3</w:t>
            </w:r>
          </w:p>
          <w:p>
            <w:pPr>
              <w:autoSpaceDE w:val="0"/>
              <w:autoSpaceDN w:val="0"/>
              <w:adjustRightInd w:val="0"/>
              <w:rPr>
                <w:rFonts w:ascii="Times New Roman" w:eastAsia="Calibri" w:hAnsi="Times New Roman"/>
                <w:sz w:val="19"/>
                <w:szCs w:val="19"/>
                <w:lang w:eastAsia="en-US"/>
              </w:rPr>
            </w:pPr>
            <w:r>
              <w:rPr>
                <w:sz w:val="21"/>
                <w:szCs w:val="21"/>
              </w:rPr>
              <w:t>«</w:t>
            </w:r>
            <w:r>
              <w:rPr>
                <w:sz w:val="21"/>
                <w:szCs w:val="22"/>
              </w:rPr>
              <w:t>Развитие детско-юношеского и массового хоккея</w:t>
            </w:r>
            <w:r>
              <w:rPr>
                <w:sz w:val="21"/>
                <w:szCs w:val="21"/>
              </w:rPr>
              <w:t>»</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800,0</w:t>
            </w:r>
          </w:p>
        </w:tc>
        <w:tc>
          <w:tcPr>
            <w:tcW w:w="1134" w:type="dxa"/>
            <w:shd w:val="clear" w:color="auto" w:fill="auto"/>
            <w:vAlign w:val="center"/>
            <w:hideMark/>
          </w:tcPr>
          <w:p>
            <w:pPr>
              <w:jc w:val="right"/>
              <w:rPr>
                <w:rFonts w:ascii="Times New Roman" w:hAnsi="Times New Roman"/>
                <w:sz w:val="19"/>
                <w:szCs w:val="19"/>
              </w:rPr>
            </w:pPr>
            <w:r>
              <w:rPr>
                <w:rFonts w:ascii="Times New Roman" w:hAnsi="Times New Roman"/>
                <w:sz w:val="19"/>
                <w:szCs w:val="19"/>
              </w:rPr>
              <w:t>0,0</w:t>
            </w:r>
          </w:p>
        </w:tc>
        <w:tc>
          <w:tcPr>
            <w:tcW w:w="1134" w:type="dxa"/>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0,0</w:t>
            </w:r>
          </w:p>
        </w:tc>
      </w:tr>
    </w:tbl>
    <w:p>
      <w:pPr>
        <w:widowControl w:val="0"/>
        <w:autoSpaceDE w:val="0"/>
        <w:autoSpaceDN w:val="0"/>
        <w:adjustRightInd w:val="0"/>
        <w:ind w:firstLine="708"/>
        <w:jc w:val="both"/>
        <w:rPr>
          <w:rFonts w:ascii="Times New Roman" w:hAnsi="Times New Roman"/>
          <w:sz w:val="23"/>
          <w:szCs w:val="23"/>
        </w:rPr>
      </w:pPr>
      <w:r>
        <w:rPr>
          <w:rFonts w:ascii="Times New Roman" w:hAnsi="Times New Roman"/>
          <w:sz w:val="23"/>
          <w:szCs w:val="23"/>
        </w:rPr>
        <w:t>На 2021 год общий объем расходов по МП «Развитие физической культуры и спорта в ЗАТО Северск» составит 321 284,07 тыс.руб., в том числе по подпрограммам:</w:t>
      </w:r>
    </w:p>
    <w:p>
      <w:pPr>
        <w:pStyle w:val="aff3"/>
        <w:spacing w:before="0" w:beforeAutospacing="0" w:after="0" w:afterAutospacing="0"/>
        <w:ind w:firstLine="709"/>
        <w:jc w:val="both"/>
        <w:rPr>
          <w:sz w:val="15"/>
          <w:szCs w:val="15"/>
        </w:rPr>
      </w:pPr>
    </w:p>
    <w:p>
      <w:pPr>
        <w:pStyle w:val="aff3"/>
        <w:spacing w:before="0" w:beforeAutospacing="0" w:after="0" w:afterAutospacing="0"/>
        <w:ind w:firstLine="709"/>
        <w:jc w:val="both"/>
        <w:rPr>
          <w:sz w:val="23"/>
          <w:szCs w:val="23"/>
        </w:rPr>
      </w:pPr>
      <w:r>
        <w:rPr>
          <w:sz w:val="23"/>
          <w:szCs w:val="23"/>
        </w:rPr>
        <w:t>По подпрограмме 1 «Развитие физической культуры и массового спорта» предусмотрены расходы:</w:t>
      </w:r>
    </w:p>
    <w:p>
      <w:pPr>
        <w:pStyle w:val="aff3"/>
        <w:autoSpaceDE w:val="0"/>
        <w:autoSpaceDN w:val="0"/>
        <w:adjustRightInd w:val="0"/>
        <w:spacing w:before="0" w:beforeAutospacing="0" w:after="0" w:afterAutospacing="0"/>
        <w:ind w:firstLine="709"/>
        <w:jc w:val="both"/>
        <w:rPr>
          <w:rFonts w:eastAsia="Calibri"/>
          <w:lang w:eastAsia="en-US"/>
        </w:rPr>
      </w:pPr>
      <w:r>
        <w:t xml:space="preserve">- на </w:t>
      </w:r>
      <w:r>
        <w:rPr>
          <w:rFonts w:eastAsia="Calibri"/>
          <w:lang w:eastAsia="en-US"/>
        </w:rPr>
        <w:t xml:space="preserve">проведение официальных физкультурных и спортивных мероприятий </w:t>
      </w:r>
      <w:r>
        <w:rPr>
          <w:rFonts w:eastAsia="Calibri"/>
          <w:lang w:eastAsia="en-US"/>
        </w:rPr>
        <w:br/>
        <w:t>в виде: спортивных соревнований по видам спорта развиваемым в ЗАТО Северск на базе физкультурно-спортивных организаций, спартакиад «Спорт для всех» среди обучающихся общеобразовательных организаций, трудовых коллективов, спортивных клубов по месту жительства, руководящих работников, спортивных праздников и фестивалей с участием детского и взрослого населения ЗАТО Северск; повышение эффективности пропаганды физической культуры и спорта, оплату коммунальных расходов (электрической энергии) спортивных клубов по месту жительства в сумме 2 951,14 тыс.руб.;</w:t>
      </w:r>
    </w:p>
    <w:p>
      <w:pPr>
        <w:pStyle w:val="aff3"/>
        <w:autoSpaceDE w:val="0"/>
        <w:autoSpaceDN w:val="0"/>
        <w:adjustRightInd w:val="0"/>
        <w:spacing w:before="0" w:beforeAutospacing="0" w:after="0" w:afterAutospacing="0"/>
        <w:ind w:firstLine="709"/>
        <w:jc w:val="both"/>
        <w:rPr>
          <w:sz w:val="23"/>
          <w:szCs w:val="23"/>
        </w:rPr>
      </w:pPr>
      <w:r>
        <w:rPr>
          <w:rFonts w:eastAsia="Calibri"/>
          <w:sz w:val="23"/>
          <w:szCs w:val="23"/>
          <w:lang w:eastAsia="en-US"/>
        </w:rPr>
        <w:t>- </w:t>
      </w:r>
      <w:r>
        <w:rPr>
          <w:sz w:val="23"/>
          <w:szCs w:val="23"/>
        </w:rPr>
        <w:t xml:space="preserve">участие в региональном проекте «Спорт - норма жизни» </w:t>
      </w:r>
      <w:r>
        <w:rPr>
          <w:rFonts w:eastAsia="Calibri"/>
          <w:sz w:val="23"/>
          <w:szCs w:val="23"/>
          <w:lang w:eastAsia="en-US"/>
        </w:rPr>
        <w:t>в сумме 7 731,84 тыс.руб., в том числе</w:t>
      </w:r>
      <w:r>
        <w:rPr>
          <w:sz w:val="23"/>
          <w:szCs w:val="23"/>
        </w:rPr>
        <w:t>:</w:t>
      </w:r>
    </w:p>
    <w:p>
      <w:pPr>
        <w:pStyle w:val="aff3"/>
        <w:autoSpaceDE w:val="0"/>
        <w:autoSpaceDN w:val="0"/>
        <w:adjustRightInd w:val="0"/>
        <w:spacing w:before="0" w:beforeAutospacing="0" w:after="0" w:afterAutospacing="0"/>
        <w:ind w:firstLine="709"/>
        <w:jc w:val="both"/>
        <w:rPr>
          <w:rFonts w:eastAsia="Calibri"/>
          <w:lang w:eastAsia="en-US"/>
        </w:rPr>
      </w:pPr>
      <w:r>
        <w:rPr>
          <w:rFonts w:eastAsia="Calibri"/>
          <w:lang w:eastAsia="en-US"/>
        </w:rPr>
        <w:t xml:space="preserve">а) </w:t>
      </w:r>
      <w:r>
        <w:t xml:space="preserve">3 550,53 тыс.руб. на </w:t>
      </w:r>
      <w:r>
        <w:rPr>
          <w:rFonts w:eastAsia="Calibri"/>
          <w:lang w:eastAsia="en-US"/>
        </w:rPr>
        <w:t>приобретение спортивного инвентаря, оборудования и спортивной экипировки для спортивных школ, командирование спортсменов на официальные спортивные мероприятия, прохождение курсов повышения квалификации тренеров-преподавателей (2 620,105 тыс.руб. на 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930,425 тыс.руб. на государственную поддержку спортивных организаций, осуществляющих подготовку спортивного резерва для спортивных сборных команд Российской Федерации);</w:t>
      </w:r>
    </w:p>
    <w:p>
      <w:pPr>
        <w:pStyle w:val="aff3"/>
        <w:autoSpaceDE w:val="0"/>
        <w:autoSpaceDN w:val="0"/>
        <w:adjustRightInd w:val="0"/>
        <w:spacing w:before="0" w:beforeAutospacing="0" w:after="0" w:afterAutospacing="0"/>
        <w:ind w:firstLine="709"/>
        <w:jc w:val="both"/>
        <w:rPr>
          <w:rFonts w:eastAsia="Calibri"/>
          <w:lang w:eastAsia="en-US"/>
        </w:rPr>
      </w:pPr>
      <w:r>
        <w:rPr>
          <w:rFonts w:eastAsia="Calibri"/>
          <w:lang w:eastAsia="en-US"/>
        </w:rPr>
        <w:t>б) 4 181,31 тыс.руб. на оплату труда инструкторов по спорту МБУ ДО ДЮСШ «Смена», осуществляющих деятельность в рамках реализации Закона Томской области от 13.12.2006 № 314-ОЗ «О предоставлении субсидий местным бюджетам на обеспечение условий для развития физической культуры и массового спорта».</w:t>
      </w:r>
    </w:p>
    <w:p>
      <w:pPr>
        <w:pStyle w:val="aff3"/>
        <w:spacing w:before="0" w:beforeAutospacing="0" w:after="0" w:afterAutospacing="0"/>
        <w:ind w:firstLine="709"/>
        <w:jc w:val="both"/>
        <w:rPr>
          <w:sz w:val="23"/>
          <w:szCs w:val="23"/>
        </w:rPr>
      </w:pPr>
      <w:r>
        <w:rPr>
          <w:sz w:val="23"/>
          <w:szCs w:val="23"/>
        </w:rPr>
        <w:t>По подпрограмме 2 «Развитие системы подготовки спортивного резерва» предусмотрены расходы на:</w:t>
      </w:r>
    </w:p>
    <w:p>
      <w:pPr>
        <w:pStyle w:val="aff3"/>
        <w:spacing w:before="0" w:beforeAutospacing="0" w:after="0" w:afterAutospacing="0"/>
        <w:ind w:firstLine="709"/>
        <w:jc w:val="both"/>
        <w:rPr>
          <w:sz w:val="23"/>
          <w:szCs w:val="23"/>
        </w:rPr>
      </w:pPr>
      <w:r>
        <w:rPr>
          <w:sz w:val="23"/>
          <w:szCs w:val="23"/>
        </w:rPr>
        <w:t xml:space="preserve">- организацию спортивной подготовки по олимпийским и неолимпийским видам спорта </w:t>
      </w:r>
      <w:r>
        <w:rPr>
          <w:rFonts w:eastAsia="Calibri"/>
          <w:sz w:val="23"/>
          <w:szCs w:val="23"/>
          <w:lang w:eastAsia="en-US"/>
        </w:rPr>
        <w:t>в сумме 307 810,99</w:t>
      </w:r>
      <w:r>
        <w:rPr>
          <w:sz w:val="23"/>
          <w:szCs w:val="23"/>
        </w:rPr>
        <w:t xml:space="preserve"> тыс.руб.;</w:t>
      </w:r>
    </w:p>
    <w:p>
      <w:pPr>
        <w:pStyle w:val="3"/>
        <w:ind w:firstLine="709"/>
        <w:jc w:val="both"/>
        <w:rPr>
          <w:rFonts w:eastAsia="Calibri"/>
          <w:szCs w:val="24"/>
          <w:lang w:eastAsia="en-US"/>
        </w:rPr>
      </w:pPr>
      <w:r>
        <w:rPr>
          <w:szCs w:val="24"/>
        </w:rPr>
        <w:t xml:space="preserve">- выплату </w:t>
      </w:r>
      <w:r>
        <w:rPr>
          <w:spacing w:val="-4"/>
          <w:szCs w:val="24"/>
        </w:rPr>
        <w:t xml:space="preserve">стипендий </w:t>
      </w:r>
      <w:r>
        <w:rPr>
          <w:rFonts w:eastAsia="Calibri"/>
          <w:szCs w:val="24"/>
          <w:lang w:eastAsia="en-US"/>
        </w:rPr>
        <w:t xml:space="preserve">особо одаренным юным спортсменам ЗАТО Северск (10 стипендий ЗАТО Северск для сильнейших, особо одаренных юных спортсменов </w:t>
      </w:r>
      <w:r>
        <w:rPr>
          <w:rFonts w:eastAsia="Calibri"/>
          <w:szCs w:val="24"/>
          <w:lang w:eastAsia="en-US"/>
        </w:rPr>
        <w:br/>
        <w:t>в размере 3,00 тыс.руб. на человека в месяц), стипендий ЗАТО Северск лучшим спортсменам в возрасте от 18 лет и старше по олимпийским видам спорта (2 стипендии ЗАТО Северск лучшим спортсменам в размере 10,00 тыс.руб. на человека в месяц) и стипендии ЗАТО Северск лучшим спортсменам в возрасте от 18 лет и старше по неолимпийским видам спорта (1 стипендия ЗАТО Северск лучшим спортсменам в размере 10,00 тыс.руб. на человека в месяц), командирование спортивных сборных команд ЗАТО Северск для участия в региональных и всероссийских спортивных соревнованиях, командирование сборных команд общеобразовательных организаций на региональные соревнования в рамках Спартакиад образовательных организаций Томской области, допризывной молодежи, сборных команд ЗАТО Северск для участия в региональных фестивалях ВФСК ГТО на общую сумму 1 990,10 тыс.руб. (из них, 720,00 тыс.руб. – выплата стипендий ЗАТО Северск, 1 270,1 тыс.руб. – командирование спортсменов).</w:t>
      </w:r>
    </w:p>
    <w:p>
      <w:pPr>
        <w:pStyle w:val="aff3"/>
        <w:autoSpaceDE w:val="0"/>
        <w:autoSpaceDN w:val="0"/>
        <w:adjustRightInd w:val="0"/>
        <w:spacing w:before="0" w:beforeAutospacing="0" w:after="0" w:afterAutospacing="0"/>
        <w:ind w:firstLine="709"/>
        <w:jc w:val="both"/>
        <w:rPr>
          <w:rFonts w:eastAsia="Calibri"/>
          <w:sz w:val="15"/>
          <w:szCs w:val="15"/>
          <w:lang w:eastAsia="en-US"/>
        </w:rPr>
      </w:pPr>
    </w:p>
    <w:p>
      <w:pPr>
        <w:ind w:firstLine="708"/>
        <w:jc w:val="both"/>
        <w:rPr>
          <w:rFonts w:eastAsia="Calibri"/>
          <w:sz w:val="24"/>
          <w:szCs w:val="24"/>
          <w:lang w:eastAsia="en-US"/>
        </w:rPr>
      </w:pPr>
      <w:r>
        <w:rPr>
          <w:sz w:val="24"/>
          <w:szCs w:val="24"/>
        </w:rPr>
        <w:t xml:space="preserve">По подпрограмме 3 «Развитие детско-юношеского и массового хоккея» реализуется ВЦП «Развитие детско-юношеского и массового хоккея в ЗАТО Северск». Предусмотрены средства в размере 800,0 тыс.руб. на </w:t>
      </w:r>
      <w:r>
        <w:rPr>
          <w:rFonts w:eastAsia="Calibri"/>
          <w:sz w:val="24"/>
          <w:szCs w:val="24"/>
          <w:lang w:eastAsia="en-US"/>
        </w:rPr>
        <w:t>подготовку и участие спортивных сборных команд по хоккею с шайбой МБУ ДО ДЮСШ «Смена» в первенстве России по хоккею с шайбой, зона «Сибирь - Дальний Восток».</w:t>
      </w:r>
    </w:p>
    <w:p>
      <w:pPr>
        <w:jc w:val="center"/>
        <w:rPr>
          <w:b/>
          <w:sz w:val="16"/>
          <w:szCs w:val="16"/>
        </w:rPr>
      </w:pPr>
    </w:p>
    <w:p>
      <w:pPr>
        <w:jc w:val="center"/>
        <w:rPr>
          <w:b/>
          <w:sz w:val="24"/>
          <w:szCs w:val="24"/>
        </w:rPr>
      </w:pPr>
      <w:r>
        <w:rPr>
          <w:b/>
          <w:sz w:val="24"/>
          <w:szCs w:val="24"/>
        </w:rPr>
        <w:t>2.7.1.4. МП «Молодежная политика в ЗАТО Северск»</w:t>
      </w:r>
    </w:p>
    <w:p>
      <w:pPr>
        <w:jc w:val="center"/>
        <w:rPr>
          <w:b/>
          <w:sz w:val="16"/>
          <w:szCs w:val="16"/>
        </w:rPr>
      </w:pPr>
    </w:p>
    <w:p>
      <w:pPr>
        <w:tabs>
          <w:tab w:val="left" w:pos="709"/>
        </w:tabs>
        <w:ind w:firstLine="709"/>
        <w:jc w:val="both"/>
        <w:rPr>
          <w:rFonts w:ascii="Times New Roman" w:hAnsi="Times New Roman"/>
          <w:sz w:val="23"/>
          <w:szCs w:val="23"/>
        </w:rPr>
      </w:pPr>
      <w:r>
        <w:rPr>
          <w:rFonts w:ascii="Times New Roman" w:hAnsi="Times New Roman"/>
          <w:sz w:val="23"/>
          <w:szCs w:val="23"/>
        </w:rPr>
        <w:t>Финансовое обеспечение по МП «Молодежная политика в ЗАТО Северск» предусмотрено на 2021 год в объеме 96 749,58 тыс.руб., на 2022 год – 75 210,22 тыс.руб., на 2023 год – 72 304,92 тыс.руб.</w:t>
      </w:r>
    </w:p>
    <w:p>
      <w:pPr>
        <w:pStyle w:val="aff1"/>
        <w:ind w:left="0" w:firstLine="709"/>
        <w:jc w:val="both"/>
        <w:rPr>
          <w:rFonts w:ascii="Times New Roman" w:hAnsi="Times New Roman"/>
          <w:sz w:val="23"/>
          <w:szCs w:val="23"/>
        </w:rPr>
      </w:pPr>
      <w:r>
        <w:rPr>
          <w:rFonts w:ascii="Times New Roman" w:hAnsi="Times New Roman"/>
          <w:sz w:val="23"/>
          <w:szCs w:val="23"/>
        </w:rPr>
        <w:t>Цель МП: реализация потенциала молодежи, создание условий для включения молодежи в социально-экономическую, политическую и культурную жизнь общества.</w:t>
      </w:r>
    </w:p>
    <w:p>
      <w:pPr>
        <w:pStyle w:val="aff1"/>
        <w:ind w:left="0" w:firstLine="709"/>
        <w:jc w:val="both"/>
        <w:rPr>
          <w:rFonts w:ascii="Times New Roman" w:hAnsi="Times New Roman"/>
          <w:sz w:val="23"/>
          <w:szCs w:val="23"/>
        </w:rPr>
      </w:pPr>
      <w:r>
        <w:rPr>
          <w:rFonts w:ascii="Times New Roman" w:hAnsi="Times New Roman"/>
          <w:sz w:val="23"/>
          <w:szCs w:val="23"/>
        </w:rPr>
        <w:t>Ответственный исполнитель: Управление молодёжной и семейной политики, культуры и спорта Администрации ЗАТО Северск.</w:t>
      </w:r>
    </w:p>
    <w:p>
      <w:pPr>
        <w:pStyle w:val="aff1"/>
        <w:ind w:left="0" w:firstLine="709"/>
        <w:jc w:val="both"/>
        <w:rPr>
          <w:rFonts w:ascii="Times New Roman" w:hAnsi="Times New Roman"/>
          <w:sz w:val="23"/>
          <w:szCs w:val="23"/>
        </w:rPr>
      </w:pPr>
      <w:r>
        <w:rPr>
          <w:rFonts w:ascii="Times New Roman" w:hAnsi="Times New Roman"/>
          <w:sz w:val="23"/>
          <w:szCs w:val="23"/>
        </w:rPr>
        <w:t>Соисполнители и (или) участники: Управление образования Администрации ЗАТО Северск, Управление капитального строительства Администрации ЗАТО Северск, Управление молодёжной и семейной политики, культуры и спорта Администрации ЗАТО Северск.</w:t>
      </w:r>
    </w:p>
    <w:p>
      <w:pPr>
        <w:spacing w:after="120"/>
        <w:ind w:firstLine="709"/>
        <w:jc w:val="both"/>
        <w:rPr>
          <w:rFonts w:ascii="Times New Roman" w:hAnsi="Times New Roman"/>
          <w:sz w:val="23"/>
          <w:szCs w:val="23"/>
        </w:rPr>
      </w:pPr>
      <w:r>
        <w:rPr>
          <w:rFonts w:ascii="Times New Roman" w:hAnsi="Times New Roman"/>
          <w:sz w:val="23"/>
          <w:szCs w:val="23"/>
        </w:rPr>
        <w:t>В 2021 году и плановом периоде 2022-2023 годов планируется достижение следующих целевых индикаторов результативности МП.</w:t>
      </w:r>
    </w:p>
    <w:p>
      <w:pPr>
        <w:spacing w:after="120"/>
        <w:ind w:firstLine="709"/>
        <w:jc w:val="both"/>
        <w:outlineLvl w:val="0"/>
        <w:rPr>
          <w:rFonts w:ascii="Times New Roman" w:hAnsi="Times New Roman"/>
          <w:sz w:val="23"/>
          <w:szCs w:val="23"/>
        </w:rPr>
      </w:pPr>
      <w:r>
        <w:rPr>
          <w:rFonts w:ascii="Times New Roman" w:hAnsi="Times New Roman"/>
          <w:sz w:val="23"/>
          <w:szCs w:val="23"/>
        </w:rPr>
        <w:t>Таблица 47 - Целевые индикаторы МП«Молодежная политика в ЗАТО Северск»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276"/>
        <w:gridCol w:w="1157"/>
        <w:gridCol w:w="1191"/>
        <w:gridCol w:w="1161"/>
      </w:tblGrid>
      <w:tr>
        <w:trPr>
          <w:trHeight w:val="759"/>
        </w:trPr>
        <w:tc>
          <w:tcPr>
            <w:tcW w:w="4678"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Наименование целевых индикаторов результативности программы</w:t>
            </w:r>
          </w:p>
        </w:tc>
        <w:tc>
          <w:tcPr>
            <w:tcW w:w="1276" w:type="dxa"/>
            <w:tcBorders>
              <w:top w:val="single" w:sz="4" w:space="0" w:color="auto"/>
              <w:left w:val="single" w:sz="4" w:space="0" w:color="auto"/>
              <w:right w:val="single" w:sz="4" w:space="0" w:color="auto"/>
            </w:tcBorders>
            <w:shd w:val="clear" w:color="auto" w:fill="auto"/>
            <w:vAlign w:val="center"/>
          </w:tcPr>
          <w:p>
            <w:pPr>
              <w:jc w:val="center"/>
              <w:rPr>
                <w:rFonts w:ascii="Times New Roman" w:hAnsi="Times New Roman"/>
                <w:sz w:val="21"/>
                <w:szCs w:val="21"/>
              </w:rPr>
            </w:pPr>
            <w:r>
              <w:rPr>
                <w:rFonts w:ascii="Times New Roman" w:hAnsi="Times New Roman"/>
                <w:sz w:val="21"/>
                <w:szCs w:val="21"/>
              </w:rPr>
              <w:t>Оценка</w:t>
            </w:r>
          </w:p>
          <w:p>
            <w:pPr>
              <w:jc w:val="center"/>
              <w:rPr>
                <w:rFonts w:ascii="Times New Roman" w:hAnsi="Times New Roman"/>
                <w:sz w:val="21"/>
                <w:szCs w:val="21"/>
              </w:rPr>
            </w:pPr>
            <w:r>
              <w:rPr>
                <w:rFonts w:ascii="Times New Roman" w:hAnsi="Times New Roman"/>
                <w:sz w:val="21"/>
                <w:szCs w:val="21"/>
              </w:rPr>
              <w:t>2020 год</w:t>
            </w:r>
          </w:p>
        </w:tc>
        <w:tc>
          <w:tcPr>
            <w:tcW w:w="1157"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Прогноз 2021 года</w:t>
            </w:r>
          </w:p>
        </w:tc>
        <w:tc>
          <w:tcPr>
            <w:tcW w:w="1191"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2022 года</w:t>
            </w:r>
          </w:p>
        </w:tc>
        <w:tc>
          <w:tcPr>
            <w:tcW w:w="1161"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2023 года</w:t>
            </w:r>
          </w:p>
        </w:tc>
      </w:tr>
      <w:tr>
        <w:trPr>
          <w:trHeight w:val="103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1"/>
                <w:szCs w:val="21"/>
              </w:rPr>
            </w:pPr>
            <w:r>
              <w:rPr>
                <w:rFonts w:ascii="Times New Roman" w:hAnsi="Times New Roman"/>
                <w:sz w:val="21"/>
                <w:szCs w:val="21"/>
              </w:rPr>
              <w:t>Доля молодежи, участвующей в мероприятиях, направленных на гражданское и патриотическое воспитание детей и молодежи, % от общей численности молодежи от 14 до 30 лет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10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1"/>
                <w:szCs w:val="21"/>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1"/>
                <w:szCs w:val="21"/>
              </w:rPr>
            </w:pPr>
          </w:p>
        </w:tc>
      </w:tr>
      <w:t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1"/>
                <w:szCs w:val="21"/>
              </w:rPr>
            </w:pPr>
            <w:r>
              <w:rPr>
                <w:rFonts w:ascii="Times New Roman" w:hAnsi="Times New Roman"/>
                <w:sz w:val="21"/>
                <w:szCs w:val="21"/>
              </w:rPr>
              <w:t>Количество молодых семей, улучшивших жилищные условия при получении социальной выплаты, 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29</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29</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1"/>
                <w:szCs w:val="21"/>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1"/>
                <w:szCs w:val="21"/>
              </w:rPr>
            </w:pPr>
          </w:p>
        </w:tc>
      </w:tr>
      <w:t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1"/>
                <w:szCs w:val="21"/>
              </w:rPr>
            </w:pPr>
            <w:r>
              <w:rPr>
                <w:rFonts w:ascii="Times New Roman" w:hAnsi="Times New Roman"/>
                <w:sz w:val="21"/>
                <w:szCs w:val="21"/>
              </w:rPr>
              <w:t>Количество детских оздоровительных учреждений, улучшивших материально-технические условия, 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2</w:t>
            </w:r>
          </w:p>
        </w:tc>
      </w:tr>
      <w:t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1"/>
                <w:szCs w:val="21"/>
              </w:rPr>
            </w:pPr>
            <w:r>
              <w:rPr>
                <w:rFonts w:ascii="Times New Roman" w:hAnsi="Times New Roman"/>
                <w:sz w:val="21"/>
                <w:szCs w:val="21"/>
              </w:rPr>
              <w:t>Количество участников мероприятий, направленных на возрождение семейных традиций, воспитание у молодежи позитивного отношениясемейным традициям, чел.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1000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1000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1000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1000</w:t>
            </w:r>
          </w:p>
        </w:tc>
      </w:tr>
    </w:tbl>
    <w:p>
      <w:pPr>
        <w:pStyle w:val="aff3"/>
        <w:spacing w:before="0" w:beforeAutospacing="0" w:after="0" w:afterAutospacing="0"/>
        <w:ind w:firstLine="709"/>
        <w:jc w:val="both"/>
        <w:rPr>
          <w:sz w:val="15"/>
          <w:szCs w:val="15"/>
          <w:highlight w:val="yellow"/>
        </w:rPr>
      </w:pPr>
    </w:p>
    <w:p>
      <w:pPr>
        <w:pStyle w:val="aff3"/>
        <w:spacing w:before="0" w:beforeAutospacing="0" w:after="0" w:afterAutospacing="0"/>
        <w:ind w:firstLine="709"/>
        <w:jc w:val="both"/>
        <w:rPr>
          <w:sz w:val="23"/>
          <w:szCs w:val="23"/>
        </w:rPr>
      </w:pPr>
      <w:r>
        <w:rPr>
          <w:sz w:val="23"/>
          <w:szCs w:val="23"/>
        </w:rPr>
        <w:t>В рамках программы реализуются 3 подпрограммы:</w:t>
      </w:r>
    </w:p>
    <w:p>
      <w:pPr>
        <w:spacing w:before="120" w:after="60"/>
        <w:ind w:firstLine="709"/>
        <w:jc w:val="both"/>
        <w:rPr>
          <w:rFonts w:ascii="Times New Roman" w:hAnsi="Times New Roman"/>
          <w:sz w:val="23"/>
          <w:szCs w:val="23"/>
        </w:rPr>
      </w:pPr>
      <w:r>
        <w:rPr>
          <w:rFonts w:ascii="Times New Roman" w:hAnsi="Times New Roman"/>
          <w:sz w:val="23"/>
          <w:szCs w:val="23"/>
        </w:rPr>
        <w:t>Таблица 48 - Объем финансового обеспечения МП «Молодежная политика в ЗАТО Северск»</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1134"/>
        <w:gridCol w:w="1134"/>
        <w:gridCol w:w="1134"/>
      </w:tblGrid>
      <w:tr>
        <w:trPr>
          <w:trHeight w:val="757"/>
        </w:trPr>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19"/>
                <w:szCs w:val="19"/>
              </w:rPr>
            </w:pPr>
            <w:r>
              <w:rPr>
                <w:rFonts w:ascii="Times New Roman" w:hAnsi="Times New Roman"/>
                <w:sz w:val="19"/>
                <w:szCs w:val="19"/>
              </w:rPr>
              <w:t>Наименование</w:t>
            </w:r>
          </w:p>
        </w:tc>
        <w:tc>
          <w:tcPr>
            <w:tcW w:w="1134" w:type="dxa"/>
            <w:tcBorders>
              <w:top w:val="single" w:sz="4" w:space="0" w:color="auto"/>
              <w:left w:val="single" w:sz="4" w:space="0" w:color="auto"/>
              <w:right w:val="single" w:sz="4" w:space="0" w:color="auto"/>
            </w:tcBorders>
            <w:shd w:val="clear" w:color="auto" w:fill="auto"/>
            <w:vAlign w:val="center"/>
            <w:hideMark/>
          </w:tcPr>
          <w:p>
            <w:pPr>
              <w:ind w:left="-57" w:right="-57"/>
              <w:jc w:val="center"/>
              <w:rPr>
                <w:rFonts w:ascii="Times New Roman" w:hAnsi="Times New Roman"/>
                <w:b/>
                <w:sz w:val="19"/>
                <w:szCs w:val="19"/>
              </w:rPr>
            </w:pPr>
            <w:r>
              <w:rPr>
                <w:rFonts w:ascii="Times New Roman" w:hAnsi="Times New Roman"/>
                <w:sz w:val="19"/>
                <w:szCs w:val="19"/>
              </w:rPr>
              <w:t>Прогноз 2021 года,</w:t>
            </w:r>
          </w:p>
          <w:p>
            <w:pPr>
              <w:jc w:val="center"/>
              <w:rPr>
                <w:rFonts w:ascii="Times New Roman" w:hAnsi="Times New Roman"/>
                <w:b/>
                <w:sz w:val="19"/>
                <w:szCs w:val="19"/>
              </w:rPr>
            </w:pPr>
            <w:r>
              <w:rPr>
                <w:rFonts w:ascii="Times New Roman" w:hAnsi="Times New Roman"/>
                <w:sz w:val="19"/>
                <w:szCs w:val="19"/>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sz w:val="19"/>
                <w:szCs w:val="19"/>
              </w:rPr>
            </w:pPr>
            <w:r>
              <w:rPr>
                <w:rFonts w:ascii="Times New Roman" w:hAnsi="Times New Roman"/>
                <w:sz w:val="19"/>
                <w:szCs w:val="19"/>
              </w:rPr>
              <w:t xml:space="preserve">Прогноз </w:t>
            </w:r>
          </w:p>
          <w:p>
            <w:pPr>
              <w:ind w:left="-57" w:right="-57"/>
              <w:jc w:val="center"/>
              <w:rPr>
                <w:rFonts w:ascii="Times New Roman" w:hAnsi="Times New Roman"/>
                <w:b/>
                <w:sz w:val="19"/>
                <w:szCs w:val="19"/>
              </w:rPr>
            </w:pPr>
            <w:r>
              <w:rPr>
                <w:rFonts w:ascii="Times New Roman" w:hAnsi="Times New Roman"/>
                <w:sz w:val="19"/>
                <w:szCs w:val="19"/>
              </w:rPr>
              <w:t>2022 года</w:t>
            </w:r>
            <w:r>
              <w:rPr>
                <w:rFonts w:ascii="Times New Roman" w:hAnsi="Times New Roman"/>
                <w:b/>
                <w:sz w:val="19"/>
                <w:szCs w:val="19"/>
              </w:rPr>
              <w:t>,</w:t>
            </w:r>
          </w:p>
          <w:p>
            <w:pPr>
              <w:ind w:left="-57" w:right="-57"/>
              <w:jc w:val="center"/>
              <w:rPr>
                <w:rFonts w:ascii="Times New Roman" w:hAnsi="Times New Roman"/>
                <w:b/>
                <w:sz w:val="19"/>
                <w:szCs w:val="19"/>
              </w:rPr>
            </w:pPr>
            <w:r>
              <w:rPr>
                <w:rFonts w:ascii="Times New Roman" w:hAnsi="Times New Roman"/>
                <w:sz w:val="19"/>
                <w:szCs w:val="19"/>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sz w:val="19"/>
                <w:szCs w:val="19"/>
              </w:rPr>
            </w:pPr>
            <w:r>
              <w:rPr>
                <w:rFonts w:ascii="Times New Roman" w:hAnsi="Times New Roman"/>
                <w:sz w:val="19"/>
                <w:szCs w:val="19"/>
              </w:rPr>
              <w:t xml:space="preserve">Прогноз </w:t>
            </w:r>
          </w:p>
          <w:p>
            <w:pPr>
              <w:ind w:left="-57" w:right="-57"/>
              <w:jc w:val="center"/>
              <w:rPr>
                <w:rFonts w:ascii="Times New Roman" w:hAnsi="Times New Roman"/>
                <w:sz w:val="19"/>
                <w:szCs w:val="19"/>
              </w:rPr>
            </w:pPr>
            <w:r>
              <w:rPr>
                <w:rFonts w:ascii="Times New Roman" w:hAnsi="Times New Roman"/>
                <w:sz w:val="19"/>
                <w:szCs w:val="19"/>
              </w:rPr>
              <w:t>2023 года,</w:t>
            </w:r>
          </w:p>
          <w:p>
            <w:pPr>
              <w:ind w:left="-57" w:right="-57"/>
              <w:jc w:val="center"/>
              <w:rPr>
                <w:rFonts w:ascii="Times New Roman" w:hAnsi="Times New Roman"/>
                <w:b/>
                <w:sz w:val="19"/>
                <w:szCs w:val="19"/>
              </w:rPr>
            </w:pPr>
            <w:r>
              <w:rPr>
                <w:rFonts w:ascii="Times New Roman" w:hAnsi="Times New Roman"/>
                <w:sz w:val="19"/>
                <w:szCs w:val="19"/>
              </w:rPr>
              <w:t>тыс.руб.</w:t>
            </w:r>
          </w:p>
        </w:tc>
      </w:tr>
      <w:tr>
        <w:trPr>
          <w:trHeight w:val="373"/>
        </w:trPr>
        <w:tc>
          <w:tcPr>
            <w:tcW w:w="6237"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rFonts w:ascii="Times New Roman" w:hAnsi="Times New Roman"/>
                <w:sz w:val="23"/>
                <w:szCs w:val="24"/>
              </w:rPr>
            </w:pPr>
            <w:r>
              <w:rPr>
                <w:rFonts w:ascii="Times New Roman" w:hAnsi="Times New Roman"/>
                <w:sz w:val="23"/>
                <w:szCs w:val="24"/>
              </w:rPr>
              <w:t>Всего по МП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96 749,58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75 210,22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72 304,92</w:t>
            </w:r>
          </w:p>
        </w:tc>
      </w:tr>
      <w:tr>
        <w:trPr>
          <w:trHeight w:val="297"/>
        </w:trPr>
        <w:tc>
          <w:tcPr>
            <w:tcW w:w="6237" w:type="dxa"/>
            <w:tcBorders>
              <w:top w:val="nil"/>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sz w:val="21"/>
                <w:szCs w:val="21"/>
              </w:rPr>
            </w:pPr>
            <w:r>
              <w:rPr>
                <w:sz w:val="21"/>
                <w:szCs w:val="22"/>
              </w:rPr>
              <w:t xml:space="preserve">Подпрограмма </w:t>
            </w:r>
            <w:r>
              <w:rPr>
                <w:sz w:val="21"/>
                <w:szCs w:val="21"/>
              </w:rPr>
              <w:t>1</w:t>
            </w:r>
          </w:p>
          <w:p>
            <w:pPr>
              <w:autoSpaceDE w:val="0"/>
              <w:autoSpaceDN w:val="0"/>
              <w:adjustRightInd w:val="0"/>
              <w:rPr>
                <w:rFonts w:ascii="Times New Roman" w:eastAsia="Calibri" w:hAnsi="Times New Roman"/>
                <w:sz w:val="19"/>
                <w:szCs w:val="19"/>
                <w:lang w:eastAsia="en-US"/>
              </w:rPr>
            </w:pPr>
            <w:r>
              <w:rPr>
                <w:sz w:val="21"/>
                <w:szCs w:val="21"/>
              </w:rPr>
              <w:t>«Молодежь ЗАТО Северск»</w:t>
            </w:r>
          </w:p>
        </w:tc>
        <w:tc>
          <w:tcPr>
            <w:tcW w:w="1134"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6 694,53</w:t>
            </w:r>
          </w:p>
        </w:tc>
        <w:tc>
          <w:tcPr>
            <w:tcW w:w="1134" w:type="dxa"/>
            <w:tcBorders>
              <w:top w:val="single" w:sz="4" w:space="0" w:color="auto"/>
              <w:left w:val="single" w:sz="4" w:space="0" w:color="auto"/>
              <w:right w:val="single" w:sz="4" w:space="0" w:color="auto"/>
            </w:tcBorders>
            <w:shd w:val="clear" w:color="auto" w:fill="auto"/>
            <w:vAlign w:val="center"/>
          </w:tcPr>
          <w:p>
            <w:pPr>
              <w:jc w:val="right"/>
              <w:rPr>
                <w:rFonts w:ascii="Times New Roman" w:hAnsi="Times New Roman"/>
                <w:sz w:val="19"/>
                <w:szCs w:val="19"/>
              </w:rPr>
            </w:pPr>
          </w:p>
        </w:tc>
        <w:tc>
          <w:tcPr>
            <w:tcW w:w="1134" w:type="dxa"/>
            <w:tcBorders>
              <w:top w:val="single" w:sz="4" w:space="0" w:color="auto"/>
              <w:left w:val="single" w:sz="4" w:space="0" w:color="auto"/>
              <w:right w:val="single" w:sz="4" w:space="0" w:color="auto"/>
            </w:tcBorders>
            <w:shd w:val="clear" w:color="auto" w:fill="auto"/>
            <w:noWrap/>
            <w:vAlign w:val="center"/>
          </w:tcPr>
          <w:p>
            <w:pPr>
              <w:jc w:val="right"/>
              <w:rPr>
                <w:rFonts w:ascii="Times New Roman" w:hAnsi="Times New Roman"/>
                <w:sz w:val="19"/>
                <w:szCs w:val="19"/>
              </w:rPr>
            </w:pPr>
          </w:p>
        </w:tc>
      </w:tr>
      <w:tr>
        <w:trPr>
          <w:trHeight w:val="274"/>
        </w:trPr>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sz w:val="21"/>
                <w:szCs w:val="21"/>
              </w:rPr>
            </w:pPr>
            <w:r>
              <w:rPr>
                <w:sz w:val="21"/>
                <w:szCs w:val="21"/>
              </w:rPr>
              <w:t>Подпрограмма 2</w:t>
            </w:r>
          </w:p>
          <w:p>
            <w:pPr>
              <w:autoSpaceDE w:val="0"/>
              <w:autoSpaceDN w:val="0"/>
              <w:adjustRightInd w:val="0"/>
              <w:rPr>
                <w:rFonts w:ascii="Times New Roman" w:eastAsia="Calibri" w:hAnsi="Times New Roman"/>
                <w:sz w:val="19"/>
                <w:szCs w:val="19"/>
                <w:lang w:eastAsia="en-US"/>
              </w:rPr>
            </w:pPr>
            <w:r>
              <w:rPr>
                <w:sz w:val="21"/>
                <w:szCs w:val="21"/>
              </w:rPr>
              <w:t>«Семейная политика ЗАТО Северск»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72 425,5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57 580,67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54 675,37</w:t>
            </w:r>
          </w:p>
        </w:tc>
      </w:tr>
      <w:tr>
        <w:trPr>
          <w:trHeight w:val="274"/>
        </w:trPr>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sz w:val="21"/>
                <w:szCs w:val="21"/>
              </w:rPr>
            </w:pPr>
            <w:r>
              <w:rPr>
                <w:sz w:val="21"/>
                <w:szCs w:val="21"/>
              </w:rPr>
              <w:t>Подпрограмма 3</w:t>
            </w:r>
          </w:p>
          <w:p>
            <w:pPr>
              <w:autoSpaceDE w:val="0"/>
              <w:autoSpaceDN w:val="0"/>
              <w:adjustRightInd w:val="0"/>
              <w:rPr>
                <w:rFonts w:ascii="Times New Roman" w:eastAsia="Calibri" w:hAnsi="Times New Roman"/>
                <w:sz w:val="19"/>
                <w:szCs w:val="19"/>
                <w:lang w:eastAsia="en-US"/>
              </w:rPr>
            </w:pPr>
            <w:r>
              <w:rPr>
                <w:sz w:val="21"/>
                <w:szCs w:val="21"/>
              </w:rPr>
              <w:t>«Обеспечивающая подпрограмма»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17 629,55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17 629,55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17 629,55</w:t>
            </w:r>
          </w:p>
        </w:tc>
      </w:tr>
    </w:tbl>
    <w:p>
      <w:pPr>
        <w:widowControl w:val="0"/>
        <w:autoSpaceDE w:val="0"/>
        <w:autoSpaceDN w:val="0"/>
        <w:adjustRightInd w:val="0"/>
        <w:ind w:firstLine="708"/>
        <w:jc w:val="both"/>
        <w:rPr>
          <w:rFonts w:ascii="Times New Roman" w:hAnsi="Times New Roman"/>
          <w:sz w:val="23"/>
          <w:szCs w:val="23"/>
        </w:rPr>
      </w:pPr>
      <w:r>
        <w:rPr>
          <w:rFonts w:ascii="Times New Roman" w:hAnsi="Times New Roman"/>
          <w:sz w:val="23"/>
          <w:szCs w:val="23"/>
        </w:rPr>
        <w:t>На 2021 год общий объем расходов по МП «Молодежная политика в ЗАТО Северск» составит 96 749,58 тыс.руб., в том числе по подпрограммам:</w:t>
      </w:r>
    </w:p>
    <w:p>
      <w:pPr>
        <w:pStyle w:val="aff3"/>
        <w:spacing w:before="0" w:beforeAutospacing="0" w:after="0" w:afterAutospacing="0"/>
        <w:ind w:firstLine="709"/>
        <w:jc w:val="both"/>
        <w:rPr>
          <w:sz w:val="16"/>
          <w:szCs w:val="16"/>
        </w:rPr>
      </w:pPr>
    </w:p>
    <w:p>
      <w:pPr>
        <w:pStyle w:val="aff3"/>
        <w:spacing w:before="0" w:beforeAutospacing="0" w:after="0" w:afterAutospacing="0"/>
        <w:ind w:firstLine="709"/>
        <w:jc w:val="both"/>
        <w:rPr>
          <w:sz w:val="23"/>
          <w:szCs w:val="23"/>
        </w:rPr>
      </w:pPr>
      <w:r>
        <w:rPr>
          <w:sz w:val="23"/>
          <w:szCs w:val="23"/>
        </w:rPr>
        <w:t>По подпрограмме 1 «Молодежь ЗАТО Северск» предусмотрены:</w:t>
      </w:r>
    </w:p>
    <w:p>
      <w:pPr>
        <w:pStyle w:val="aff3"/>
        <w:spacing w:before="0" w:beforeAutospacing="0" w:after="0" w:afterAutospacing="0"/>
        <w:ind w:firstLine="709"/>
        <w:jc w:val="both"/>
        <w:rPr>
          <w:color w:val="000000" w:themeColor="text1"/>
          <w:sz w:val="23"/>
          <w:szCs w:val="23"/>
        </w:rPr>
      </w:pPr>
      <w:r>
        <w:rPr>
          <w:color w:val="000000" w:themeColor="text1"/>
          <w:sz w:val="23"/>
          <w:szCs w:val="23"/>
        </w:rPr>
        <w:t>- на реализацию молодежной политики ЗАТО Северск на сумму 409,00 тыс.руб.;</w:t>
      </w:r>
    </w:p>
    <w:p>
      <w:pPr>
        <w:pStyle w:val="aff1"/>
        <w:widowControl w:val="0"/>
        <w:autoSpaceDE w:val="0"/>
        <w:autoSpaceDN w:val="0"/>
        <w:adjustRightInd w:val="0"/>
        <w:ind w:left="0" w:firstLine="709"/>
        <w:jc w:val="both"/>
        <w:rPr>
          <w:rFonts w:ascii="Times New Roman" w:hAnsi="Times New Roman"/>
          <w:color w:val="000000" w:themeColor="text1"/>
          <w:sz w:val="23"/>
          <w:szCs w:val="23"/>
        </w:rPr>
      </w:pPr>
      <w:r>
        <w:rPr>
          <w:rFonts w:ascii="Times New Roman" w:hAnsi="Times New Roman"/>
          <w:color w:val="000000" w:themeColor="text1"/>
          <w:sz w:val="23"/>
          <w:szCs w:val="23"/>
        </w:rPr>
        <w:t>- обеспечение временной занятости и трудоустройства несовершеннолетних в возрасте от 14 до 18 лет в свободное от учебы время, расходы на эти цели составят 1 850,0 тыс.руб.;</w:t>
      </w:r>
    </w:p>
    <w:p>
      <w:pPr>
        <w:widowControl w:val="0"/>
        <w:autoSpaceDE w:val="0"/>
        <w:autoSpaceDN w:val="0"/>
        <w:adjustRightInd w:val="0"/>
        <w:ind w:firstLine="709"/>
        <w:jc w:val="both"/>
        <w:rPr>
          <w:rFonts w:ascii="Times New Roman" w:hAnsi="Times New Roman"/>
          <w:sz w:val="23"/>
          <w:szCs w:val="23"/>
        </w:rPr>
      </w:pPr>
      <w:r>
        <w:rPr>
          <w:rFonts w:ascii="Times New Roman" w:hAnsi="Times New Roman"/>
          <w:sz w:val="23"/>
          <w:szCs w:val="23"/>
        </w:rPr>
        <w:t>- предоставление молодым семьям в установленном порядке социальных выплат на приобретение (строительство) жилья в сумме 4 435,53 тыс.руб. (при условии сохранения софинансирования за счет средств федерального и областного бюджетов на уровне 2021 года планируется предоставление выплат 29 семьям).</w:t>
      </w:r>
    </w:p>
    <w:p>
      <w:pPr>
        <w:pStyle w:val="aff1"/>
        <w:widowControl w:val="0"/>
        <w:autoSpaceDE w:val="0"/>
        <w:autoSpaceDN w:val="0"/>
        <w:adjustRightInd w:val="0"/>
        <w:ind w:left="0" w:firstLine="709"/>
        <w:jc w:val="both"/>
        <w:rPr>
          <w:rFonts w:ascii="Times New Roman" w:hAnsi="Times New Roman"/>
          <w:sz w:val="15"/>
          <w:szCs w:val="15"/>
          <w:highlight w:val="yellow"/>
        </w:rPr>
      </w:pPr>
    </w:p>
    <w:p>
      <w:pPr>
        <w:pStyle w:val="aff3"/>
        <w:spacing w:before="0" w:beforeAutospacing="0" w:after="0" w:afterAutospacing="0"/>
        <w:ind w:firstLine="709"/>
        <w:jc w:val="both"/>
        <w:rPr>
          <w:sz w:val="23"/>
          <w:szCs w:val="23"/>
        </w:rPr>
      </w:pPr>
      <w:r>
        <w:rPr>
          <w:sz w:val="23"/>
          <w:szCs w:val="23"/>
        </w:rPr>
        <w:t>По подпрограмме 2 «Семейная политика ЗАТО Северск» предусмотрены расходы на финансовое обеспечение функционирования двух загородных лагерей и организацию каникулярного отдыха и оздоровления детей ЗАТО Северск в общей сумме 72 425,50 тыс.руб.</w:t>
      </w:r>
    </w:p>
    <w:p>
      <w:pPr>
        <w:widowControl w:val="0"/>
        <w:autoSpaceDE w:val="0"/>
        <w:autoSpaceDN w:val="0"/>
        <w:adjustRightInd w:val="0"/>
        <w:ind w:firstLine="709"/>
        <w:jc w:val="both"/>
        <w:rPr>
          <w:rFonts w:ascii="Times New Roman" w:hAnsi="Times New Roman"/>
          <w:sz w:val="15"/>
          <w:szCs w:val="15"/>
          <w:highlight w:val="yellow"/>
        </w:rPr>
      </w:pPr>
    </w:p>
    <w:p>
      <w:pPr>
        <w:ind w:firstLine="709"/>
        <w:jc w:val="both"/>
        <w:rPr>
          <w:rFonts w:ascii="Times New Roman" w:hAnsi="Times New Roman"/>
          <w:sz w:val="23"/>
          <w:szCs w:val="23"/>
        </w:rPr>
      </w:pPr>
      <w:r>
        <w:rPr>
          <w:rFonts w:ascii="Times New Roman" w:hAnsi="Times New Roman"/>
          <w:sz w:val="23"/>
          <w:szCs w:val="23"/>
        </w:rPr>
        <w:t xml:space="preserve">По обеспечивающей подпрограмме 3 учтены расходы на содержание Управления молодёжной и семейной политики, физической культуры и спорта Администрации ЗАТО Северск. </w:t>
      </w:r>
    </w:p>
    <w:p>
      <w:pPr>
        <w:spacing w:after="120"/>
        <w:ind w:firstLine="709"/>
        <w:jc w:val="center"/>
        <w:rPr>
          <w:rFonts w:ascii="Times New Roman" w:hAnsi="Times New Roman"/>
          <w:b/>
          <w:sz w:val="24"/>
          <w:szCs w:val="24"/>
        </w:rPr>
      </w:pPr>
      <w:r>
        <w:rPr>
          <w:rFonts w:ascii="Times New Roman" w:hAnsi="Times New Roman"/>
          <w:b/>
          <w:sz w:val="24"/>
          <w:szCs w:val="24"/>
        </w:rPr>
        <w:t>2.7.1.5. МП  «Развитие культуры и туризма в ЗАТО Северск»</w:t>
      </w:r>
    </w:p>
    <w:p>
      <w:pPr>
        <w:tabs>
          <w:tab w:val="left" w:pos="709"/>
        </w:tabs>
        <w:ind w:firstLine="709"/>
        <w:jc w:val="both"/>
        <w:rPr>
          <w:rFonts w:ascii="Times New Roman" w:hAnsi="Times New Roman"/>
          <w:sz w:val="24"/>
          <w:szCs w:val="24"/>
        </w:rPr>
      </w:pPr>
      <w:r>
        <w:rPr>
          <w:rFonts w:ascii="Times New Roman" w:hAnsi="Times New Roman"/>
          <w:sz w:val="24"/>
          <w:szCs w:val="24"/>
        </w:rPr>
        <w:t>Финансовое обеспечение по МП «Развитие культуры и туризма в ЗАТО Северск» предусмотрено на 2021 год в объеме 430 908,08 тыс.руб., на 2022 год – 297 573,65 тыс.руб., на 2023 год – 290 921,14 тыс.руб.</w:t>
      </w:r>
    </w:p>
    <w:p>
      <w:pPr>
        <w:pStyle w:val="aff1"/>
        <w:ind w:left="0" w:firstLine="709"/>
        <w:jc w:val="both"/>
        <w:rPr>
          <w:rFonts w:ascii="Times New Roman" w:hAnsi="Times New Roman"/>
          <w:sz w:val="24"/>
          <w:szCs w:val="24"/>
        </w:rPr>
      </w:pPr>
      <w:r>
        <w:rPr>
          <w:rFonts w:ascii="Times New Roman" w:hAnsi="Times New Roman"/>
          <w:sz w:val="24"/>
          <w:szCs w:val="24"/>
        </w:rPr>
        <w:t xml:space="preserve">Цель МП: Повышение качества и доступности услуг в сфере культуры и туризма </w:t>
      </w:r>
      <w:r>
        <w:rPr>
          <w:rFonts w:ascii="Times New Roman" w:hAnsi="Times New Roman"/>
          <w:sz w:val="24"/>
          <w:szCs w:val="24"/>
        </w:rPr>
        <w:br/>
        <w:t>в ЗАТО Северск.</w:t>
      </w:r>
    </w:p>
    <w:p>
      <w:pPr>
        <w:pStyle w:val="aff1"/>
        <w:ind w:left="0" w:firstLine="709"/>
        <w:jc w:val="both"/>
        <w:rPr>
          <w:rFonts w:ascii="Times New Roman" w:hAnsi="Times New Roman"/>
          <w:sz w:val="24"/>
          <w:szCs w:val="24"/>
        </w:rPr>
      </w:pPr>
      <w:r>
        <w:rPr>
          <w:rFonts w:ascii="Times New Roman" w:hAnsi="Times New Roman"/>
          <w:sz w:val="24"/>
          <w:szCs w:val="24"/>
        </w:rPr>
        <w:t>Ответственный исполнитель: Управление культуры Администрации ЗАТО Северск.</w:t>
      </w:r>
    </w:p>
    <w:p>
      <w:pPr>
        <w:pStyle w:val="aff1"/>
        <w:ind w:left="0" w:firstLine="709"/>
        <w:jc w:val="both"/>
        <w:rPr>
          <w:rFonts w:ascii="Times New Roman" w:hAnsi="Times New Roman"/>
          <w:sz w:val="24"/>
          <w:szCs w:val="24"/>
        </w:rPr>
      </w:pPr>
      <w:r>
        <w:rPr>
          <w:rFonts w:ascii="Times New Roman" w:hAnsi="Times New Roman"/>
          <w:sz w:val="24"/>
          <w:szCs w:val="24"/>
        </w:rPr>
        <w:t>Соисполнители и (или) участники: Управление капитального строительства Администрации ЗАТО Северск.</w:t>
      </w:r>
    </w:p>
    <w:p>
      <w:pPr>
        <w:spacing w:after="120"/>
        <w:ind w:firstLine="709"/>
        <w:jc w:val="both"/>
        <w:rPr>
          <w:rFonts w:ascii="Times New Roman" w:hAnsi="Times New Roman"/>
          <w:sz w:val="24"/>
          <w:szCs w:val="24"/>
          <w:highlight w:val="yellow"/>
        </w:rPr>
      </w:pPr>
      <w:r>
        <w:rPr>
          <w:rFonts w:ascii="Times New Roman" w:hAnsi="Times New Roman"/>
          <w:sz w:val="24"/>
          <w:szCs w:val="24"/>
        </w:rPr>
        <w:t>В 2021 году и плановом периоде 2022-2023 годов планируется достижение следующих целевых индикаторов результативности МП.</w:t>
      </w:r>
    </w:p>
    <w:p>
      <w:pPr>
        <w:ind w:firstLine="709"/>
        <w:jc w:val="both"/>
        <w:outlineLvl w:val="0"/>
        <w:rPr>
          <w:rFonts w:ascii="Times New Roman" w:hAnsi="Times New Roman"/>
          <w:sz w:val="24"/>
          <w:szCs w:val="24"/>
        </w:rPr>
      </w:pPr>
      <w:r>
        <w:rPr>
          <w:rFonts w:ascii="Times New Roman" w:hAnsi="Times New Roman"/>
          <w:sz w:val="24"/>
          <w:szCs w:val="24"/>
        </w:rPr>
        <w:t>Таблица 49 - Целевые индикаторы МП «Развитие культуры и туризма в ЗАТО Северск»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1134"/>
        <w:gridCol w:w="1183"/>
        <w:gridCol w:w="1177"/>
        <w:gridCol w:w="1149"/>
      </w:tblGrid>
      <w:tr>
        <w:trPr>
          <w:trHeight w:val="568"/>
        </w:trPr>
        <w:tc>
          <w:tcPr>
            <w:tcW w:w="4820"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Наименование целевых индикаторов результативности программы</w:t>
            </w:r>
          </w:p>
        </w:tc>
        <w:tc>
          <w:tcPr>
            <w:tcW w:w="1134" w:type="dxa"/>
            <w:tcBorders>
              <w:top w:val="single" w:sz="4" w:space="0" w:color="auto"/>
              <w:left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Оценка</w:t>
            </w:r>
          </w:p>
          <w:p>
            <w:pPr>
              <w:jc w:val="center"/>
              <w:rPr>
                <w:rFonts w:ascii="Times New Roman" w:hAnsi="Times New Roman"/>
                <w:sz w:val="22"/>
                <w:szCs w:val="22"/>
              </w:rPr>
            </w:pPr>
            <w:r>
              <w:rPr>
                <w:rFonts w:ascii="Times New Roman" w:hAnsi="Times New Roman"/>
                <w:sz w:val="22"/>
                <w:szCs w:val="22"/>
              </w:rPr>
              <w:t>2020 года</w:t>
            </w:r>
          </w:p>
        </w:tc>
        <w:tc>
          <w:tcPr>
            <w:tcW w:w="1183"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 2021 года</w:t>
            </w:r>
          </w:p>
        </w:tc>
        <w:tc>
          <w:tcPr>
            <w:tcW w:w="1177"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w:t>
            </w:r>
          </w:p>
        </w:tc>
        <w:tc>
          <w:tcPr>
            <w:tcW w:w="1149"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w:t>
            </w:r>
          </w:p>
        </w:tc>
      </w:tr>
      <w:tr>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2"/>
                <w:szCs w:val="22"/>
              </w:rPr>
            </w:pPr>
            <w:r>
              <w:rPr>
                <w:rFonts w:ascii="Times New Roman" w:hAnsi="Times New Roman"/>
                <w:sz w:val="22"/>
                <w:szCs w:val="22"/>
              </w:rPr>
              <w:t>Увеличение числа посещений организаций культуры, тыс. чел.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325,0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595,25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553,2</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553,2</w:t>
            </w:r>
          </w:p>
        </w:tc>
      </w:tr>
      <w:tr>
        <w:trPr>
          <w:trHeight w:val="817"/>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2"/>
                <w:szCs w:val="22"/>
              </w:rPr>
            </w:pPr>
            <w:r>
              <w:rPr>
                <w:rFonts w:ascii="Times New Roman" w:hAnsi="Times New Roman"/>
                <w:sz w:val="22"/>
                <w:szCs w:val="22"/>
              </w:rPr>
              <w:t>Доля муниципальных учреждений культуры, здания которых находятся в аварийном состоянии или требуют капитального ремонта,</w:t>
            </w:r>
          </w:p>
          <w:p>
            <w:pPr>
              <w:rPr>
                <w:rFonts w:ascii="Times New Roman" w:hAnsi="Times New Roman"/>
                <w:sz w:val="22"/>
                <w:szCs w:val="22"/>
              </w:rPr>
            </w:pPr>
            <w:r>
              <w:rPr>
                <w:rFonts w:ascii="Times New Roman" w:hAnsi="Times New Roman"/>
                <w:sz w:val="22"/>
                <w:szCs w:val="22"/>
              </w:rPr>
              <w:t>в общем количестве муниципальных учреждений культуры, проц.</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29,4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17,6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17,6</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17,6</w:t>
            </w:r>
          </w:p>
        </w:tc>
      </w:tr>
      <w:tr>
        <w:trPr>
          <w:trHeight w:val="859"/>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2"/>
                <w:szCs w:val="22"/>
              </w:rPr>
            </w:pPr>
            <w:r>
              <w:rPr>
                <w:rFonts w:ascii="Times New Roman" w:hAnsi="Times New Roman"/>
                <w:sz w:val="22"/>
                <w:szCs w:val="22"/>
              </w:rPr>
              <w:t>Количество благоустроенных, капитально отремонтированных, реконструированных объектов туристской инфраструктуры, ед.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2"/>
                <w:szCs w:val="22"/>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2"/>
                <w:szCs w:val="22"/>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2"/>
                <w:szCs w:val="22"/>
              </w:rPr>
            </w:pPr>
          </w:p>
        </w:tc>
      </w:tr>
    </w:tbl>
    <w:p>
      <w:pPr>
        <w:spacing w:before="120"/>
        <w:ind w:firstLine="709"/>
        <w:jc w:val="both"/>
        <w:outlineLvl w:val="0"/>
        <w:rPr>
          <w:rFonts w:ascii="Times New Roman" w:hAnsi="Times New Roman"/>
          <w:sz w:val="24"/>
          <w:szCs w:val="24"/>
        </w:rPr>
      </w:pPr>
      <w:r>
        <w:rPr>
          <w:sz w:val="24"/>
          <w:szCs w:val="24"/>
        </w:rPr>
        <w:t xml:space="preserve">В рамках </w:t>
      </w:r>
      <w:r>
        <w:rPr>
          <w:rFonts w:ascii="Times New Roman" w:hAnsi="Times New Roman"/>
          <w:sz w:val="24"/>
          <w:szCs w:val="24"/>
        </w:rPr>
        <w:t>МП «Развитие культуры и туризма в ЗАТО Северск»</w:t>
      </w:r>
      <w:r>
        <w:rPr>
          <w:sz w:val="24"/>
          <w:szCs w:val="24"/>
        </w:rPr>
        <w:t xml:space="preserve"> на период 2021-2023 годов предусмотрены бюджетные ассигнования на реализацию 2  подпрограмм:</w:t>
      </w:r>
    </w:p>
    <w:p>
      <w:pPr>
        <w:spacing w:before="120" w:after="60"/>
        <w:ind w:firstLine="709"/>
        <w:jc w:val="both"/>
        <w:rPr>
          <w:rFonts w:ascii="Times New Roman" w:hAnsi="Times New Roman"/>
          <w:sz w:val="24"/>
          <w:szCs w:val="24"/>
        </w:rPr>
      </w:pPr>
      <w:r>
        <w:rPr>
          <w:rFonts w:ascii="Times New Roman" w:hAnsi="Times New Roman"/>
          <w:sz w:val="24"/>
          <w:szCs w:val="24"/>
        </w:rPr>
        <w:t>Таблица 50 - Объем финансового обеспечения МП «Развитие культуры и туризма в ЗАТО Северск»</w:t>
      </w:r>
    </w:p>
    <w:tbl>
      <w:tblPr>
        <w:tblW w:w="9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559"/>
        <w:gridCol w:w="1440"/>
        <w:gridCol w:w="1275"/>
      </w:tblGrid>
      <w:tr>
        <w:trPr>
          <w:trHeight w:val="898"/>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Наименование</w:t>
            </w:r>
          </w:p>
        </w:tc>
        <w:tc>
          <w:tcPr>
            <w:tcW w:w="1559"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2021 года, тыс.руб.</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 тыс.руб.</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 тыс.руб.</w:t>
            </w:r>
          </w:p>
        </w:tc>
      </w:tr>
      <w:t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4"/>
                <w:szCs w:val="24"/>
              </w:rPr>
            </w:pPr>
            <w:r>
              <w:rPr>
                <w:sz w:val="24"/>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4</w:t>
            </w:r>
          </w:p>
        </w:tc>
      </w:tr>
      <w:t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both"/>
              <w:rPr>
                <w:sz w:val="24"/>
                <w:szCs w:val="24"/>
              </w:rPr>
            </w:pPr>
            <w:r>
              <w:rPr>
                <w:sz w:val="24"/>
                <w:szCs w:val="24"/>
              </w:rPr>
              <w:t>ВСЕГО по МП</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430 908,08</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297 573,65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290 921,14</w:t>
            </w:r>
          </w:p>
        </w:tc>
      </w:tr>
      <w:tr>
        <w:trPr>
          <w:trHeight w:val="280"/>
        </w:trPr>
        <w:tc>
          <w:tcPr>
            <w:tcW w:w="5103" w:type="dxa"/>
            <w:tcBorders>
              <w:top w:val="single" w:sz="4" w:space="0" w:color="auto"/>
              <w:left w:val="single" w:sz="4" w:space="0" w:color="auto"/>
              <w:right w:val="single" w:sz="4" w:space="0" w:color="auto"/>
            </w:tcBorders>
            <w:shd w:val="clear" w:color="auto" w:fill="auto"/>
            <w:vAlign w:val="center"/>
          </w:tcPr>
          <w:p>
            <w:pPr>
              <w:jc w:val="center"/>
              <w:rPr>
                <w:sz w:val="24"/>
                <w:szCs w:val="24"/>
              </w:rPr>
            </w:pPr>
            <w:r>
              <w:rPr>
                <w:sz w:val="24"/>
                <w:szCs w:val="24"/>
              </w:rPr>
              <w:t>1</w:t>
            </w:r>
          </w:p>
        </w:tc>
        <w:tc>
          <w:tcPr>
            <w:tcW w:w="1559" w:type="dxa"/>
            <w:tcBorders>
              <w:top w:val="single" w:sz="4" w:space="0" w:color="auto"/>
              <w:left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2</w:t>
            </w:r>
          </w:p>
        </w:tc>
        <w:tc>
          <w:tcPr>
            <w:tcW w:w="1440" w:type="dxa"/>
            <w:tcBorders>
              <w:top w:val="single" w:sz="4" w:space="0" w:color="auto"/>
              <w:left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3</w:t>
            </w:r>
          </w:p>
        </w:tc>
        <w:tc>
          <w:tcPr>
            <w:tcW w:w="1275" w:type="dxa"/>
            <w:tcBorders>
              <w:top w:val="single" w:sz="4" w:space="0" w:color="auto"/>
              <w:left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4</w:t>
            </w:r>
          </w:p>
        </w:tc>
      </w:tr>
      <w:tr>
        <w:trPr>
          <w:trHeight w:val="573"/>
        </w:trPr>
        <w:tc>
          <w:tcPr>
            <w:tcW w:w="5103" w:type="dxa"/>
            <w:tcBorders>
              <w:top w:val="single" w:sz="4" w:space="0" w:color="auto"/>
              <w:left w:val="single" w:sz="4" w:space="0" w:color="auto"/>
              <w:right w:val="single" w:sz="4" w:space="0" w:color="auto"/>
            </w:tcBorders>
            <w:shd w:val="clear" w:color="auto" w:fill="auto"/>
            <w:vAlign w:val="center"/>
            <w:hideMark/>
          </w:tcPr>
          <w:p>
            <w:pPr>
              <w:rPr>
                <w:rFonts w:ascii="Times New Roman" w:hAnsi="Times New Roman"/>
                <w:sz w:val="22"/>
                <w:szCs w:val="22"/>
              </w:rPr>
            </w:pPr>
            <w:r>
              <w:rPr>
                <w:rFonts w:ascii="Times New Roman" w:hAnsi="Times New Roman"/>
                <w:sz w:val="22"/>
                <w:szCs w:val="22"/>
              </w:rPr>
              <w:t xml:space="preserve">Подпрограмма 1 </w:t>
            </w:r>
          </w:p>
          <w:p>
            <w:pPr>
              <w:ind w:right="-210"/>
              <w:rPr>
                <w:sz w:val="22"/>
                <w:szCs w:val="22"/>
              </w:rPr>
            </w:pPr>
            <w:r>
              <w:rPr>
                <w:rFonts w:ascii="Times New Roman" w:hAnsi="Times New Roman"/>
                <w:sz w:val="22"/>
                <w:szCs w:val="22"/>
              </w:rPr>
              <w:t>«Развитие культуры в ЗАТО Северск», из них:</w:t>
            </w:r>
          </w:p>
        </w:tc>
        <w:tc>
          <w:tcPr>
            <w:tcW w:w="1559"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419 567,11</w:t>
            </w:r>
          </w:p>
        </w:tc>
        <w:tc>
          <w:tcPr>
            <w:tcW w:w="1440"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286 847,98</w:t>
            </w:r>
          </w:p>
        </w:tc>
        <w:tc>
          <w:tcPr>
            <w:tcW w:w="1275"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280 195,47</w:t>
            </w:r>
          </w:p>
        </w:tc>
      </w:tr>
      <w:tr>
        <w:trPr>
          <w:trHeight w:val="529"/>
        </w:trPr>
        <w:tc>
          <w:tcPr>
            <w:tcW w:w="5103" w:type="dxa"/>
            <w:tcBorders>
              <w:top w:val="single" w:sz="4" w:space="0" w:color="auto"/>
              <w:left w:val="single" w:sz="4" w:space="0" w:color="auto"/>
              <w:right w:val="single" w:sz="4" w:space="0" w:color="auto"/>
            </w:tcBorders>
            <w:shd w:val="clear" w:color="auto" w:fill="auto"/>
            <w:vAlign w:val="center"/>
            <w:hideMark/>
          </w:tcPr>
          <w:p>
            <w:pPr>
              <w:rPr>
                <w:rFonts w:ascii="Times New Roman" w:hAnsi="Times New Roman"/>
                <w:sz w:val="22"/>
                <w:szCs w:val="22"/>
              </w:rPr>
            </w:pPr>
            <w:r>
              <w:rPr>
                <w:rFonts w:ascii="Times New Roman" w:hAnsi="Times New Roman"/>
                <w:sz w:val="22"/>
                <w:szCs w:val="22"/>
              </w:rPr>
              <w:t xml:space="preserve">Подпрограмма 3 </w:t>
            </w:r>
          </w:p>
          <w:p>
            <w:pPr>
              <w:rPr>
                <w:rFonts w:ascii="Times New Roman" w:hAnsi="Times New Roman"/>
                <w:sz w:val="22"/>
                <w:szCs w:val="22"/>
              </w:rPr>
            </w:pPr>
            <w:r>
              <w:rPr>
                <w:rFonts w:ascii="Times New Roman" w:hAnsi="Times New Roman"/>
                <w:sz w:val="22"/>
                <w:szCs w:val="22"/>
              </w:rPr>
              <w:t>«Обеспечивающая подпрограмма»</w:t>
            </w:r>
          </w:p>
        </w:tc>
        <w:tc>
          <w:tcPr>
            <w:tcW w:w="1559"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11 340,97</w:t>
            </w:r>
          </w:p>
        </w:tc>
        <w:tc>
          <w:tcPr>
            <w:tcW w:w="1440"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10 725,67</w:t>
            </w:r>
          </w:p>
        </w:tc>
        <w:tc>
          <w:tcPr>
            <w:tcW w:w="1275"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10 725,67</w:t>
            </w:r>
          </w:p>
        </w:tc>
      </w:tr>
    </w:tbl>
    <w:p>
      <w:pPr>
        <w:pStyle w:val="aff3"/>
        <w:spacing w:before="0" w:beforeAutospacing="0" w:after="0" w:afterAutospacing="0"/>
        <w:ind w:firstLine="709"/>
        <w:jc w:val="both"/>
        <w:rPr>
          <w:sz w:val="16"/>
          <w:szCs w:val="16"/>
          <w:highlight w:val="yellow"/>
        </w:rPr>
      </w:pPr>
    </w:p>
    <w:p>
      <w:pPr>
        <w:ind w:firstLine="709"/>
        <w:jc w:val="both"/>
        <w:outlineLvl w:val="0"/>
        <w:rPr>
          <w:rFonts w:ascii="Times New Roman" w:hAnsi="Times New Roman"/>
          <w:sz w:val="24"/>
          <w:szCs w:val="24"/>
        </w:rPr>
      </w:pPr>
      <w:r>
        <w:rPr>
          <w:rFonts w:ascii="Times New Roman" w:hAnsi="Times New Roman"/>
          <w:sz w:val="24"/>
          <w:szCs w:val="24"/>
        </w:rPr>
        <w:t>На 2021 год общий объем расходов по МП «Развитие культуры и туризма в ЗАТО Северск» составит 430 908,08 тыс.руб., в том числе по подпрограммам:</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 По подпрограмме 1 «Развитие культуры в ЗАТО Северск» предусмотрены расходы:</w:t>
      </w:r>
    </w:p>
    <w:p>
      <w:pPr>
        <w:pStyle w:val="aff1"/>
        <w:widowControl w:val="0"/>
        <w:autoSpaceDE w:val="0"/>
        <w:autoSpaceDN w:val="0"/>
        <w:adjustRightInd w:val="0"/>
        <w:ind w:left="0" w:firstLine="709"/>
        <w:jc w:val="both"/>
        <w:rPr>
          <w:rFonts w:ascii="Times New Roman" w:hAnsi="Times New Roman"/>
          <w:sz w:val="24"/>
          <w:szCs w:val="24"/>
        </w:rPr>
      </w:pPr>
      <w:r>
        <w:rPr>
          <w:sz w:val="24"/>
          <w:szCs w:val="24"/>
        </w:rPr>
        <w:t xml:space="preserve">- на обеспечение деятельности 8 учреждений культуры, </w:t>
      </w:r>
      <w:r>
        <w:rPr>
          <w:rFonts w:ascii="Times New Roman" w:hAnsi="Times New Roman"/>
          <w:sz w:val="24"/>
          <w:szCs w:val="24"/>
        </w:rPr>
        <w:t>проведение торжественных приемов, государственных праздников и юбилейных мероприятий в сфере культуры, в общей сумме 245 145,07 тыс.руб</w:t>
      </w:r>
      <w:r>
        <w:rPr>
          <w:sz w:val="24"/>
          <w:szCs w:val="24"/>
        </w:rPr>
        <w:t>.</w:t>
      </w:r>
    </w:p>
    <w:p>
      <w:pPr>
        <w:pStyle w:val="aff1"/>
        <w:widowControl w:val="0"/>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 </w:t>
      </w:r>
      <w:r>
        <w:rPr>
          <w:sz w:val="24"/>
          <w:szCs w:val="24"/>
        </w:rPr>
        <w:t>на</w:t>
      </w:r>
      <w:r>
        <w:t xml:space="preserve"> </w:t>
      </w:r>
      <w:r>
        <w:rPr>
          <w:sz w:val="24"/>
          <w:szCs w:val="24"/>
        </w:rPr>
        <w:t>обеспечение деятельности трех учреждений дополнительного художественного образования, в общей сумме 112 809,30</w:t>
      </w:r>
      <w:r>
        <w:rPr>
          <w:rFonts w:ascii="Times New Roman" w:hAnsi="Times New Roman"/>
          <w:sz w:val="24"/>
          <w:szCs w:val="24"/>
        </w:rPr>
        <w:t> тыс.руб</w:t>
      </w:r>
      <w:r>
        <w:rPr>
          <w:sz w:val="24"/>
          <w:szCs w:val="24"/>
        </w:rPr>
        <w:t>.</w:t>
      </w:r>
    </w:p>
    <w:p>
      <w:pPr>
        <w:pStyle w:val="aff1"/>
        <w:widowControl w:val="0"/>
        <w:autoSpaceDE w:val="0"/>
        <w:autoSpaceDN w:val="0"/>
        <w:adjustRightInd w:val="0"/>
        <w:ind w:left="0" w:firstLine="709"/>
        <w:jc w:val="both"/>
        <w:rPr>
          <w:rFonts w:ascii="Times New Roman" w:hAnsi="Times New Roman"/>
          <w:color w:val="000000"/>
          <w:sz w:val="24"/>
          <w:szCs w:val="24"/>
        </w:rPr>
      </w:pPr>
      <w:r>
        <w:rPr>
          <w:rFonts w:ascii="Times New Roman" w:hAnsi="Times New Roman"/>
          <w:sz w:val="24"/>
          <w:szCs w:val="24"/>
        </w:rPr>
        <w:t>- </w:t>
      </w:r>
      <w:r>
        <w:rPr>
          <w:sz w:val="24"/>
          <w:szCs w:val="24"/>
        </w:rPr>
        <w:t xml:space="preserve">на </w:t>
      </w:r>
      <w:r>
        <w:rPr>
          <w:rFonts w:ascii="Times New Roman" w:hAnsi="Times New Roman"/>
          <w:sz w:val="24"/>
          <w:szCs w:val="24"/>
        </w:rPr>
        <w:t xml:space="preserve">организацию праздничных мероприятий и народных гуляний, организацию социокультурных музейных мероприятий, организацию и проведение творческих мероприятий, посвященных юбилеям учреждений культуры, </w:t>
      </w:r>
      <w:r>
        <w:rPr>
          <w:rFonts w:ascii="Times New Roman" w:hAnsi="Times New Roman"/>
          <w:color w:val="000000"/>
          <w:sz w:val="24"/>
          <w:szCs w:val="24"/>
        </w:rPr>
        <w:t>участие профессиональных коллективов ЗАТО Северск в творческих фестивалях различного уровня, в общей сумме 2 350,00 тыс.руб.</w:t>
      </w:r>
    </w:p>
    <w:p>
      <w:pPr>
        <w:pStyle w:val="aff1"/>
        <w:widowControl w:val="0"/>
        <w:autoSpaceDE w:val="0"/>
        <w:autoSpaceDN w:val="0"/>
        <w:adjustRightInd w:val="0"/>
        <w:ind w:left="0" w:firstLine="709"/>
        <w:jc w:val="both"/>
        <w:rPr>
          <w:rFonts w:ascii="Times New Roman" w:hAnsi="Times New Roman"/>
          <w:color w:val="000000"/>
          <w:sz w:val="24"/>
          <w:szCs w:val="24"/>
        </w:rPr>
      </w:pPr>
      <w:r>
        <w:rPr>
          <w:rFonts w:ascii="Times New Roman" w:hAnsi="Times New Roman"/>
          <w:color w:val="000000"/>
          <w:sz w:val="24"/>
          <w:szCs w:val="24"/>
        </w:rPr>
        <w:t>- на организацию мероприятий, направленных на поддержку творческой деятельности муниципальных учреждений культуры, их работников и иных организаций в сфере культуры, в общей сумме 3 757,70 тыс.руб.</w:t>
      </w:r>
    </w:p>
    <w:p>
      <w:pPr>
        <w:pStyle w:val="aff1"/>
        <w:widowControl w:val="0"/>
        <w:shd w:val="clear" w:color="auto" w:fill="FFFFFF" w:themeFill="background1"/>
        <w:autoSpaceDE w:val="0"/>
        <w:autoSpaceDN w:val="0"/>
        <w:adjustRightInd w:val="0"/>
        <w:ind w:left="0" w:firstLine="709"/>
        <w:jc w:val="both"/>
        <w:rPr>
          <w:rFonts w:ascii="Times New Roman" w:hAnsi="Times New Roman"/>
          <w:color w:val="000000"/>
          <w:sz w:val="24"/>
          <w:szCs w:val="24"/>
        </w:rPr>
      </w:pPr>
      <w:r>
        <w:rPr>
          <w:rFonts w:ascii="Times New Roman" w:hAnsi="Times New Roman"/>
          <w:color w:val="000000"/>
          <w:sz w:val="24"/>
          <w:szCs w:val="24"/>
        </w:rPr>
        <w:t>- на реализацию мероприятий по модернизации региональных и муниципальных детских школ искусств по видам искусств в сумме 55 505,04 тыс.руб., из них за счет средств областного бюджета – 24 467,10 тыс.руб., в том числе:</w:t>
      </w:r>
    </w:p>
    <w:p>
      <w:pPr>
        <w:pStyle w:val="aff1"/>
        <w:widowControl w:val="0"/>
        <w:shd w:val="clear" w:color="auto" w:fill="FFFFFF" w:themeFill="background1"/>
        <w:autoSpaceDE w:val="0"/>
        <w:autoSpaceDN w:val="0"/>
        <w:adjustRightInd w:val="0"/>
        <w:ind w:left="0" w:firstLine="709"/>
        <w:jc w:val="both"/>
        <w:rPr>
          <w:rFonts w:ascii="Times New Roman" w:hAnsi="Times New Roman"/>
          <w:color w:val="000000"/>
          <w:sz w:val="24"/>
          <w:szCs w:val="24"/>
        </w:rPr>
      </w:pPr>
      <w:r>
        <w:rPr>
          <w:rFonts w:ascii="Times New Roman" w:hAnsi="Times New Roman"/>
          <w:color w:val="000000"/>
          <w:sz w:val="24"/>
          <w:szCs w:val="24"/>
        </w:rPr>
        <w:t>а) капитальный ремонт здания МАУ ДО «Детская школа искусств», корпус 2 по адресу: Томская область, г.Северск, ул.40 лет Октября, 4 – 36 504,72 тыс.руб.;</w:t>
      </w:r>
    </w:p>
    <w:p>
      <w:pPr>
        <w:pStyle w:val="aff1"/>
        <w:widowControl w:val="0"/>
        <w:shd w:val="clear" w:color="auto" w:fill="FFFFFF" w:themeFill="background1"/>
        <w:autoSpaceDE w:val="0"/>
        <w:autoSpaceDN w:val="0"/>
        <w:adjustRightInd w:val="0"/>
        <w:ind w:left="0" w:firstLine="709"/>
        <w:jc w:val="both"/>
        <w:rPr>
          <w:rFonts w:ascii="Times New Roman" w:hAnsi="Times New Roman"/>
          <w:color w:val="000000"/>
          <w:sz w:val="24"/>
          <w:szCs w:val="24"/>
        </w:rPr>
      </w:pPr>
      <w:r>
        <w:rPr>
          <w:rFonts w:ascii="Times New Roman" w:hAnsi="Times New Roman"/>
          <w:color w:val="000000"/>
          <w:sz w:val="24"/>
          <w:szCs w:val="24"/>
        </w:rPr>
        <w:t>б) капитальный ремонт здания МБУДО «Самусьская ДШИ», по адресу: Томская область, п.Самусь, ул. Гагарина, 4</w:t>
      </w:r>
      <w:r>
        <w:rPr>
          <w:rFonts w:ascii="Times New Roman" w:hAnsi="Times New Roman"/>
          <w:color w:val="000000"/>
          <w:sz w:val="24"/>
          <w:szCs w:val="24"/>
        </w:rPr>
        <w:tab/>
        <w:t xml:space="preserve"> - 17 791,90 тыс.руб.;</w:t>
      </w:r>
    </w:p>
    <w:p>
      <w:pPr>
        <w:pStyle w:val="aff1"/>
        <w:widowControl w:val="0"/>
        <w:shd w:val="clear" w:color="auto" w:fill="FFFFFF" w:themeFill="background1"/>
        <w:autoSpaceDE w:val="0"/>
        <w:autoSpaceDN w:val="0"/>
        <w:adjustRightInd w:val="0"/>
        <w:ind w:left="0" w:firstLine="709"/>
        <w:jc w:val="both"/>
        <w:rPr>
          <w:rFonts w:ascii="Times New Roman" w:hAnsi="Times New Roman"/>
          <w:color w:val="000000"/>
          <w:sz w:val="24"/>
          <w:szCs w:val="24"/>
        </w:rPr>
      </w:pPr>
      <w:r>
        <w:rPr>
          <w:rFonts w:ascii="Times New Roman" w:hAnsi="Times New Roman"/>
          <w:color w:val="000000"/>
          <w:sz w:val="24"/>
          <w:szCs w:val="24"/>
        </w:rPr>
        <w:t>в) капитальный ремонт помещений здания МБУДО «Художественная школа» по адресу: Томская область, ЗАТО Северск, г.Северск, просп.Коммунистический, 122 – 1 208,42 тыс.руб.</w:t>
      </w:r>
    </w:p>
    <w:p>
      <w:pPr>
        <w:widowControl w:val="0"/>
        <w:autoSpaceDE w:val="0"/>
        <w:autoSpaceDN w:val="0"/>
        <w:adjustRightInd w:val="0"/>
        <w:ind w:firstLine="709"/>
        <w:jc w:val="both"/>
        <w:rPr>
          <w:rFonts w:ascii="Times New Roman" w:hAnsi="Times New Roman"/>
          <w:sz w:val="16"/>
          <w:szCs w:val="16"/>
        </w:rPr>
      </w:pPr>
    </w:p>
    <w:p>
      <w:pPr>
        <w:ind w:firstLine="709"/>
        <w:jc w:val="both"/>
        <w:rPr>
          <w:rFonts w:ascii="Times New Roman" w:hAnsi="Times New Roman"/>
          <w:sz w:val="24"/>
          <w:szCs w:val="24"/>
        </w:rPr>
      </w:pPr>
      <w:r>
        <w:rPr>
          <w:rFonts w:ascii="Times New Roman" w:hAnsi="Times New Roman"/>
          <w:sz w:val="24"/>
          <w:szCs w:val="24"/>
        </w:rPr>
        <w:t xml:space="preserve">По обеспечивающей подпрограмме 3 учтены расходы на содержание Управления культуры Администрации ЗАТО Северск. </w:t>
      </w:r>
    </w:p>
    <w:p>
      <w:pPr>
        <w:ind w:firstLine="709"/>
        <w:jc w:val="center"/>
        <w:rPr>
          <w:rFonts w:ascii="Times New Roman" w:hAnsi="Times New Roman"/>
          <w:b/>
          <w:color w:val="000000"/>
          <w:sz w:val="16"/>
          <w:szCs w:val="16"/>
        </w:rPr>
      </w:pPr>
    </w:p>
    <w:p>
      <w:pPr>
        <w:ind w:firstLine="709"/>
        <w:jc w:val="center"/>
        <w:rPr>
          <w:rFonts w:ascii="Times New Roman" w:hAnsi="Times New Roman"/>
          <w:b/>
          <w:color w:val="000000"/>
          <w:sz w:val="24"/>
          <w:szCs w:val="24"/>
        </w:rPr>
      </w:pPr>
      <w:r>
        <w:rPr>
          <w:rFonts w:ascii="Times New Roman" w:hAnsi="Times New Roman"/>
          <w:b/>
          <w:color w:val="000000"/>
          <w:sz w:val="24"/>
          <w:szCs w:val="24"/>
        </w:rPr>
        <w:t>2.7.1.6. МП « Профилактика алкоголизма, наркомании,</w:t>
      </w:r>
    </w:p>
    <w:p>
      <w:pPr>
        <w:spacing w:after="120"/>
        <w:ind w:firstLine="709"/>
        <w:jc w:val="center"/>
        <w:rPr>
          <w:rFonts w:ascii="Times New Roman" w:hAnsi="Times New Roman"/>
          <w:b/>
          <w:color w:val="000000"/>
          <w:sz w:val="24"/>
          <w:szCs w:val="24"/>
        </w:rPr>
      </w:pPr>
      <w:r>
        <w:rPr>
          <w:rFonts w:ascii="Times New Roman" w:hAnsi="Times New Roman"/>
          <w:b/>
          <w:color w:val="000000"/>
          <w:sz w:val="24"/>
          <w:szCs w:val="24"/>
        </w:rPr>
        <w:t>токсикомании и ВИЧ-инфекции»</w:t>
      </w:r>
    </w:p>
    <w:p>
      <w:pPr>
        <w:tabs>
          <w:tab w:val="left" w:pos="709"/>
        </w:tabs>
        <w:ind w:firstLine="709"/>
        <w:jc w:val="both"/>
        <w:rPr>
          <w:rFonts w:ascii="Times New Roman" w:hAnsi="Times New Roman"/>
          <w:sz w:val="23"/>
          <w:szCs w:val="23"/>
        </w:rPr>
      </w:pPr>
      <w:r>
        <w:rPr>
          <w:rFonts w:ascii="Times New Roman" w:hAnsi="Times New Roman"/>
          <w:sz w:val="23"/>
          <w:szCs w:val="23"/>
        </w:rPr>
        <w:t xml:space="preserve">Финансовое обеспечение по </w:t>
      </w:r>
      <w:r>
        <w:rPr>
          <w:rFonts w:ascii="Times New Roman" w:hAnsi="Times New Roman"/>
          <w:color w:val="000000"/>
          <w:sz w:val="23"/>
          <w:szCs w:val="23"/>
        </w:rPr>
        <w:t xml:space="preserve">МП «Профилактика алкоголизма, наркомании, токсикомании и ВИЧ-инфекции среди подростков и молодежи ЗАТО Северск» </w:t>
      </w:r>
      <w:r>
        <w:rPr>
          <w:rFonts w:ascii="Times New Roman" w:hAnsi="Times New Roman"/>
          <w:sz w:val="23"/>
          <w:szCs w:val="23"/>
        </w:rPr>
        <w:t>предусмотрено на 2021 год в объеме 953,53 тыс.руб., на 2022 год  - 953,53 тыс.руб., на 2023 год  - 953,53 тыс.руб.</w:t>
      </w:r>
    </w:p>
    <w:p>
      <w:pPr>
        <w:ind w:firstLine="709"/>
        <w:jc w:val="both"/>
        <w:rPr>
          <w:bCs/>
          <w:sz w:val="23"/>
          <w:szCs w:val="23"/>
        </w:rPr>
      </w:pPr>
      <w:r>
        <w:rPr>
          <w:rFonts w:ascii="Times New Roman" w:hAnsi="Times New Roman"/>
          <w:sz w:val="23"/>
          <w:szCs w:val="23"/>
        </w:rPr>
        <w:t>Цель МП:</w:t>
      </w:r>
      <w:r>
        <w:rPr>
          <w:bCs/>
          <w:sz w:val="23"/>
          <w:szCs w:val="23"/>
        </w:rPr>
        <w:t xml:space="preserve"> снижение распространенности наркомании, алкоголизма, ВИЧ-инфекции в молодежной среде.</w:t>
      </w:r>
    </w:p>
    <w:p>
      <w:pPr>
        <w:ind w:firstLine="709"/>
        <w:jc w:val="both"/>
        <w:rPr>
          <w:rFonts w:ascii="Times New Roman" w:hAnsi="Times New Roman"/>
          <w:color w:val="000000"/>
          <w:sz w:val="23"/>
          <w:szCs w:val="23"/>
        </w:rPr>
      </w:pPr>
      <w:r>
        <w:rPr>
          <w:rFonts w:ascii="Times New Roman" w:hAnsi="Times New Roman"/>
          <w:color w:val="000000"/>
          <w:sz w:val="23"/>
          <w:szCs w:val="23"/>
        </w:rPr>
        <w:t xml:space="preserve">Ответственный исполнитель: </w:t>
      </w:r>
      <w:r>
        <w:rPr>
          <w:color w:val="000000"/>
          <w:sz w:val="23"/>
          <w:szCs w:val="23"/>
        </w:rPr>
        <w:t>Отдел социальной поддержки населения Администрации ЗАТО Северск.</w:t>
      </w:r>
    </w:p>
    <w:p>
      <w:pPr>
        <w:ind w:firstLine="709"/>
        <w:jc w:val="both"/>
        <w:rPr>
          <w:rFonts w:ascii="Times New Roman" w:hAnsi="Times New Roman"/>
          <w:color w:val="000000"/>
          <w:sz w:val="23"/>
          <w:szCs w:val="23"/>
        </w:rPr>
      </w:pPr>
      <w:r>
        <w:rPr>
          <w:rFonts w:ascii="Times New Roman" w:hAnsi="Times New Roman"/>
          <w:color w:val="000000"/>
          <w:sz w:val="23"/>
          <w:szCs w:val="23"/>
        </w:rPr>
        <w:t>Соисполнители и (или) участники:</w:t>
      </w:r>
      <w:r>
        <w:rPr>
          <w:color w:val="000000"/>
          <w:sz w:val="19"/>
          <w:szCs w:val="19"/>
        </w:rPr>
        <w:t xml:space="preserve"> </w:t>
      </w:r>
      <w:r>
        <w:rPr>
          <w:color w:val="000000"/>
          <w:sz w:val="23"/>
          <w:szCs w:val="24"/>
        </w:rPr>
        <w:t>Администрация ЗАТО Северск,</w:t>
      </w:r>
      <w:r>
        <w:rPr>
          <w:color w:val="000000"/>
          <w:sz w:val="19"/>
          <w:szCs w:val="19"/>
        </w:rPr>
        <w:t xml:space="preserve"> </w:t>
      </w:r>
      <w:r>
        <w:rPr>
          <w:color w:val="000000"/>
          <w:sz w:val="23"/>
          <w:szCs w:val="23"/>
        </w:rPr>
        <w:t>Отдел социальной поддержки населения Администрации ЗАТО Северск</w:t>
      </w:r>
      <w:r>
        <w:rPr>
          <w:rFonts w:ascii="Times New Roman" w:hAnsi="Times New Roman"/>
          <w:color w:val="000000"/>
          <w:sz w:val="23"/>
          <w:szCs w:val="23"/>
        </w:rPr>
        <w:t xml:space="preserve"> Управление культуры Администрации ЗАТО Северск, УМСП ФКиС Администрации ЗАТО Северск, Управление образования.</w:t>
      </w:r>
    </w:p>
    <w:p>
      <w:pPr>
        <w:spacing w:after="120"/>
        <w:ind w:firstLine="709"/>
        <w:jc w:val="both"/>
        <w:rPr>
          <w:rFonts w:ascii="Times New Roman" w:hAnsi="Times New Roman"/>
          <w:sz w:val="23"/>
          <w:szCs w:val="23"/>
        </w:rPr>
      </w:pPr>
      <w:r>
        <w:rPr>
          <w:rFonts w:ascii="Times New Roman" w:hAnsi="Times New Roman"/>
          <w:sz w:val="23"/>
          <w:szCs w:val="23"/>
        </w:rPr>
        <w:t>В 2020 году и плановом периоде 2021-2023 годов планируется достижение следующих целевых индикаторов результативности МП:</w:t>
      </w:r>
    </w:p>
    <w:p>
      <w:pPr>
        <w:ind w:firstLine="709"/>
        <w:jc w:val="both"/>
        <w:rPr>
          <w:rFonts w:ascii="Times New Roman" w:hAnsi="Times New Roman"/>
          <w:sz w:val="23"/>
          <w:szCs w:val="23"/>
        </w:rPr>
      </w:pPr>
    </w:p>
    <w:p>
      <w:pPr>
        <w:ind w:firstLine="709"/>
        <w:jc w:val="both"/>
        <w:rPr>
          <w:rFonts w:ascii="Times New Roman" w:hAnsi="Times New Roman"/>
          <w:sz w:val="23"/>
          <w:szCs w:val="23"/>
        </w:rPr>
      </w:pPr>
    </w:p>
    <w:p>
      <w:pPr>
        <w:ind w:firstLine="709"/>
        <w:jc w:val="both"/>
        <w:rPr>
          <w:rFonts w:ascii="Times New Roman" w:hAnsi="Times New Roman"/>
          <w:color w:val="000000"/>
          <w:sz w:val="23"/>
          <w:szCs w:val="23"/>
        </w:rPr>
      </w:pPr>
      <w:r>
        <w:rPr>
          <w:rFonts w:ascii="Times New Roman" w:hAnsi="Times New Roman"/>
          <w:sz w:val="23"/>
          <w:szCs w:val="23"/>
        </w:rPr>
        <w:t>Таблица 51 - Целевые индикаторы МП</w:t>
      </w:r>
      <w:r>
        <w:rPr>
          <w:rFonts w:ascii="Times New Roman" w:hAnsi="Times New Roman"/>
          <w:color w:val="000000"/>
          <w:sz w:val="23"/>
          <w:szCs w:val="23"/>
        </w:rPr>
        <w:t xml:space="preserve"> «Профилактика алкоголизма, наркомании, токсикомании и ВИЧ-инфекции»</w:t>
      </w:r>
    </w:p>
    <w:p>
      <w:pPr>
        <w:ind w:firstLine="709"/>
        <w:jc w:val="both"/>
        <w:rPr>
          <w:rFonts w:ascii="Times New Roman" w:hAnsi="Times New Roman"/>
          <w:color w:val="000000"/>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134"/>
        <w:gridCol w:w="1191"/>
        <w:gridCol w:w="1173"/>
        <w:gridCol w:w="1146"/>
      </w:tblGrid>
      <w:tr>
        <w:trPr>
          <w:trHeight w:val="759"/>
        </w:trPr>
        <w:tc>
          <w:tcPr>
            <w:tcW w:w="4678" w:type="dxa"/>
            <w:tcBorders>
              <w:top w:val="single" w:sz="4" w:space="0" w:color="auto"/>
              <w:left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Наименование целевых индикаторов результативности программы</w:t>
            </w:r>
          </w:p>
        </w:tc>
        <w:tc>
          <w:tcPr>
            <w:tcW w:w="1134" w:type="dxa"/>
            <w:tcBorders>
              <w:top w:val="single" w:sz="4" w:space="0" w:color="auto"/>
              <w:left w:val="single" w:sz="4" w:space="0" w:color="auto"/>
              <w:right w:val="single" w:sz="4" w:space="0" w:color="auto"/>
            </w:tcBorders>
            <w:vAlign w:val="center"/>
          </w:tcPr>
          <w:p>
            <w:pPr>
              <w:jc w:val="center"/>
              <w:rPr>
                <w:rFonts w:ascii="Times New Roman" w:hAnsi="Times New Roman"/>
                <w:sz w:val="21"/>
                <w:szCs w:val="21"/>
              </w:rPr>
            </w:pPr>
            <w:r>
              <w:rPr>
                <w:rFonts w:ascii="Times New Roman" w:hAnsi="Times New Roman"/>
                <w:sz w:val="21"/>
                <w:szCs w:val="21"/>
              </w:rPr>
              <w:t>Оценка</w:t>
            </w:r>
          </w:p>
          <w:p>
            <w:pPr>
              <w:jc w:val="center"/>
              <w:rPr>
                <w:rFonts w:ascii="Times New Roman" w:hAnsi="Times New Roman"/>
                <w:sz w:val="21"/>
                <w:szCs w:val="21"/>
              </w:rPr>
            </w:pPr>
            <w:r>
              <w:rPr>
                <w:rFonts w:ascii="Times New Roman" w:hAnsi="Times New Roman"/>
                <w:sz w:val="21"/>
                <w:szCs w:val="21"/>
              </w:rPr>
              <w:t>2020 года</w:t>
            </w:r>
          </w:p>
        </w:tc>
        <w:tc>
          <w:tcPr>
            <w:tcW w:w="1191" w:type="dxa"/>
            <w:tcBorders>
              <w:top w:val="single" w:sz="4" w:space="0" w:color="auto"/>
              <w:left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Прогноз 2021 года</w:t>
            </w:r>
          </w:p>
        </w:tc>
        <w:tc>
          <w:tcPr>
            <w:tcW w:w="1173" w:type="dxa"/>
            <w:tcBorders>
              <w:top w:val="single" w:sz="4" w:space="0" w:color="auto"/>
              <w:left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2022 года</w:t>
            </w:r>
          </w:p>
        </w:tc>
        <w:tc>
          <w:tcPr>
            <w:tcW w:w="1146" w:type="dxa"/>
            <w:tcBorders>
              <w:top w:val="single" w:sz="4" w:space="0" w:color="auto"/>
              <w:left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2023 года</w:t>
            </w:r>
          </w:p>
        </w:tc>
      </w:tr>
      <w:tr>
        <w:tc>
          <w:tcPr>
            <w:tcW w:w="4678" w:type="dxa"/>
            <w:tcBorders>
              <w:top w:val="single" w:sz="4" w:space="0" w:color="auto"/>
              <w:left w:val="single" w:sz="4" w:space="0" w:color="auto"/>
              <w:bottom w:val="single" w:sz="4" w:space="0" w:color="auto"/>
              <w:right w:val="single" w:sz="4" w:space="0" w:color="auto"/>
            </w:tcBorders>
            <w:vAlign w:val="center"/>
            <w:hideMark/>
          </w:tcPr>
          <w:p>
            <w:pPr>
              <w:rPr>
                <w:bCs/>
                <w:sz w:val="23"/>
                <w:szCs w:val="23"/>
              </w:rPr>
            </w:pPr>
            <w:r>
              <w:rPr>
                <w:rFonts w:ascii="Times New Roman" w:hAnsi="Times New Roman"/>
                <w:sz w:val="21"/>
                <w:szCs w:val="21"/>
              </w:rPr>
              <w:t>Численность молодежи в возрасте от 13 до 18 лет, относящихся к «группе риска», человек</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bCs/>
                <w:sz w:val="23"/>
                <w:szCs w:val="23"/>
              </w:rPr>
            </w:pPr>
            <w:r>
              <w:rPr>
                <w:bCs/>
                <w:sz w:val="23"/>
                <w:szCs w:val="23"/>
              </w:rPr>
              <w:t>135</w:t>
            </w:r>
          </w:p>
        </w:tc>
        <w:tc>
          <w:tcPr>
            <w:tcW w:w="1191" w:type="dxa"/>
            <w:tcBorders>
              <w:top w:val="single" w:sz="4" w:space="0" w:color="auto"/>
              <w:left w:val="single" w:sz="4" w:space="0" w:color="auto"/>
              <w:bottom w:val="single" w:sz="4" w:space="0" w:color="auto"/>
              <w:right w:val="single" w:sz="4" w:space="0" w:color="auto"/>
            </w:tcBorders>
            <w:vAlign w:val="center"/>
            <w:hideMark/>
          </w:tcPr>
          <w:p>
            <w:pPr>
              <w:jc w:val="right"/>
              <w:rPr>
                <w:bCs/>
                <w:sz w:val="23"/>
                <w:szCs w:val="23"/>
              </w:rPr>
            </w:pPr>
            <w:r>
              <w:rPr>
                <w:bCs/>
                <w:sz w:val="23"/>
                <w:szCs w:val="23"/>
              </w:rPr>
              <w:t>130</w:t>
            </w:r>
          </w:p>
        </w:tc>
        <w:tc>
          <w:tcPr>
            <w:tcW w:w="1173" w:type="dxa"/>
            <w:tcBorders>
              <w:top w:val="single" w:sz="4" w:space="0" w:color="auto"/>
              <w:left w:val="single" w:sz="4" w:space="0" w:color="auto"/>
              <w:bottom w:val="single" w:sz="4" w:space="0" w:color="auto"/>
              <w:right w:val="single" w:sz="4" w:space="0" w:color="auto"/>
            </w:tcBorders>
            <w:vAlign w:val="center"/>
            <w:hideMark/>
          </w:tcPr>
          <w:p>
            <w:pPr>
              <w:jc w:val="right"/>
              <w:rPr>
                <w:bCs/>
                <w:sz w:val="23"/>
                <w:szCs w:val="23"/>
              </w:rPr>
            </w:pPr>
            <w:r>
              <w:rPr>
                <w:bCs/>
                <w:sz w:val="23"/>
                <w:szCs w:val="23"/>
              </w:rPr>
              <w:t>125</w:t>
            </w:r>
          </w:p>
        </w:tc>
        <w:tc>
          <w:tcPr>
            <w:tcW w:w="1146" w:type="dxa"/>
            <w:tcBorders>
              <w:top w:val="single" w:sz="4" w:space="0" w:color="auto"/>
              <w:left w:val="single" w:sz="4" w:space="0" w:color="auto"/>
              <w:bottom w:val="single" w:sz="4" w:space="0" w:color="auto"/>
              <w:right w:val="single" w:sz="4" w:space="0" w:color="auto"/>
            </w:tcBorders>
            <w:vAlign w:val="center"/>
            <w:hideMark/>
          </w:tcPr>
          <w:p>
            <w:pPr>
              <w:jc w:val="right"/>
              <w:rPr>
                <w:bCs/>
                <w:sz w:val="23"/>
                <w:szCs w:val="23"/>
              </w:rPr>
            </w:pPr>
            <w:r>
              <w:rPr>
                <w:bCs/>
                <w:sz w:val="23"/>
                <w:szCs w:val="23"/>
              </w:rPr>
              <w:t>125</w:t>
            </w:r>
          </w:p>
        </w:tc>
      </w:tr>
    </w:tbl>
    <w:p>
      <w:pPr>
        <w:jc w:val="both"/>
        <w:rPr>
          <w:color w:val="000000"/>
          <w:sz w:val="19"/>
          <w:szCs w:val="19"/>
        </w:rPr>
      </w:pPr>
    </w:p>
    <w:p>
      <w:pPr>
        <w:autoSpaceDE w:val="0"/>
        <w:autoSpaceDN w:val="0"/>
        <w:adjustRightInd w:val="0"/>
        <w:spacing w:after="120"/>
        <w:ind w:firstLine="709"/>
        <w:jc w:val="both"/>
        <w:rPr>
          <w:sz w:val="23"/>
          <w:szCs w:val="23"/>
        </w:rPr>
      </w:pPr>
      <w:r>
        <w:rPr>
          <w:sz w:val="23"/>
          <w:szCs w:val="23"/>
        </w:rPr>
        <w:t>В рамках муниципальной программы в 2021 году планируется реализация мероприятий по двум подпрограммам.</w:t>
      </w:r>
    </w:p>
    <w:p>
      <w:pPr>
        <w:spacing w:after="120"/>
        <w:ind w:firstLine="709"/>
        <w:jc w:val="both"/>
        <w:rPr>
          <w:rFonts w:ascii="Times New Roman" w:hAnsi="Times New Roman"/>
          <w:color w:val="000000"/>
          <w:sz w:val="23"/>
          <w:szCs w:val="23"/>
        </w:rPr>
      </w:pPr>
      <w:r>
        <w:rPr>
          <w:rFonts w:ascii="Times New Roman" w:hAnsi="Times New Roman"/>
          <w:sz w:val="23"/>
          <w:szCs w:val="23"/>
        </w:rPr>
        <w:t xml:space="preserve">Таблица 52 - Объем финансового обеспечения МП </w:t>
      </w:r>
      <w:r>
        <w:rPr>
          <w:rFonts w:ascii="Times New Roman" w:hAnsi="Times New Roman"/>
          <w:color w:val="000000"/>
          <w:sz w:val="23"/>
          <w:szCs w:val="23"/>
        </w:rPr>
        <w:t>«Профилактика алкоголизма, наркомании, токсикомании и ВИЧ-инфекции среди подростков и молодежи ЗАТО Северск»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1134"/>
        <w:gridCol w:w="1134"/>
        <w:gridCol w:w="1134"/>
      </w:tblGrid>
      <w:tr>
        <w:trPr>
          <w:trHeight w:val="1034"/>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19"/>
                <w:szCs w:val="19"/>
              </w:rPr>
            </w:pPr>
            <w:r>
              <w:rPr>
                <w:rFonts w:ascii="Times New Roman" w:hAnsi="Times New Roman"/>
                <w:sz w:val="19"/>
                <w:szCs w:val="19"/>
              </w:rPr>
              <w:t>Наименование</w:t>
            </w:r>
          </w:p>
        </w:tc>
        <w:tc>
          <w:tcPr>
            <w:tcW w:w="1134" w:type="dxa"/>
            <w:tcBorders>
              <w:top w:val="single" w:sz="4" w:space="0" w:color="auto"/>
              <w:left w:val="single" w:sz="4" w:space="0" w:color="auto"/>
              <w:right w:val="single" w:sz="4" w:space="0" w:color="auto"/>
            </w:tcBorders>
            <w:shd w:val="clear" w:color="auto" w:fill="auto"/>
            <w:vAlign w:val="center"/>
            <w:hideMark/>
          </w:tcPr>
          <w:p>
            <w:pPr>
              <w:ind w:left="-57" w:right="-57"/>
              <w:jc w:val="center"/>
              <w:rPr>
                <w:rFonts w:ascii="Times New Roman" w:hAnsi="Times New Roman"/>
                <w:b/>
                <w:sz w:val="19"/>
                <w:szCs w:val="19"/>
              </w:rPr>
            </w:pPr>
            <w:r>
              <w:rPr>
                <w:rFonts w:ascii="Times New Roman" w:hAnsi="Times New Roman"/>
                <w:sz w:val="19"/>
                <w:szCs w:val="19"/>
              </w:rPr>
              <w:t>Прогноз 2021 года,</w:t>
            </w:r>
          </w:p>
          <w:p>
            <w:pPr>
              <w:jc w:val="center"/>
              <w:rPr>
                <w:rFonts w:ascii="Times New Roman" w:hAnsi="Times New Roman"/>
                <w:b/>
                <w:sz w:val="19"/>
                <w:szCs w:val="19"/>
              </w:rPr>
            </w:pPr>
            <w:r>
              <w:rPr>
                <w:rFonts w:ascii="Times New Roman" w:hAnsi="Times New Roman"/>
                <w:sz w:val="19"/>
                <w:szCs w:val="19"/>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sz w:val="19"/>
                <w:szCs w:val="19"/>
              </w:rPr>
            </w:pPr>
            <w:r>
              <w:rPr>
                <w:rFonts w:ascii="Times New Roman" w:hAnsi="Times New Roman"/>
                <w:sz w:val="19"/>
                <w:szCs w:val="19"/>
              </w:rPr>
              <w:t xml:space="preserve">Прогноз </w:t>
            </w:r>
          </w:p>
          <w:p>
            <w:pPr>
              <w:ind w:left="-57" w:right="-57"/>
              <w:jc w:val="center"/>
              <w:rPr>
                <w:rFonts w:ascii="Times New Roman" w:hAnsi="Times New Roman"/>
                <w:b/>
                <w:sz w:val="19"/>
                <w:szCs w:val="19"/>
              </w:rPr>
            </w:pPr>
            <w:r>
              <w:rPr>
                <w:rFonts w:ascii="Times New Roman" w:hAnsi="Times New Roman"/>
                <w:sz w:val="19"/>
                <w:szCs w:val="19"/>
              </w:rPr>
              <w:t>2022 года</w:t>
            </w:r>
            <w:r>
              <w:rPr>
                <w:rFonts w:ascii="Times New Roman" w:hAnsi="Times New Roman"/>
                <w:b/>
                <w:sz w:val="19"/>
                <w:szCs w:val="19"/>
              </w:rPr>
              <w:t>,</w:t>
            </w:r>
          </w:p>
          <w:p>
            <w:pPr>
              <w:ind w:left="-57" w:right="-57"/>
              <w:jc w:val="center"/>
              <w:rPr>
                <w:rFonts w:ascii="Times New Roman" w:hAnsi="Times New Roman"/>
                <w:b/>
                <w:sz w:val="19"/>
                <w:szCs w:val="19"/>
              </w:rPr>
            </w:pPr>
            <w:r>
              <w:rPr>
                <w:rFonts w:ascii="Times New Roman" w:hAnsi="Times New Roman"/>
                <w:sz w:val="19"/>
                <w:szCs w:val="19"/>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sz w:val="19"/>
                <w:szCs w:val="19"/>
              </w:rPr>
            </w:pPr>
            <w:r>
              <w:rPr>
                <w:rFonts w:ascii="Times New Roman" w:hAnsi="Times New Roman"/>
                <w:sz w:val="19"/>
                <w:szCs w:val="19"/>
              </w:rPr>
              <w:t xml:space="preserve">Прогноз </w:t>
            </w:r>
          </w:p>
          <w:p>
            <w:pPr>
              <w:ind w:left="-57" w:right="-57"/>
              <w:jc w:val="center"/>
              <w:rPr>
                <w:rFonts w:ascii="Times New Roman" w:hAnsi="Times New Roman"/>
                <w:sz w:val="19"/>
                <w:szCs w:val="19"/>
              </w:rPr>
            </w:pPr>
            <w:r>
              <w:rPr>
                <w:rFonts w:ascii="Times New Roman" w:hAnsi="Times New Roman"/>
                <w:sz w:val="19"/>
                <w:szCs w:val="19"/>
              </w:rPr>
              <w:t>2023 года,</w:t>
            </w:r>
          </w:p>
          <w:p>
            <w:pPr>
              <w:ind w:left="-57" w:right="-57"/>
              <w:jc w:val="center"/>
              <w:rPr>
                <w:rFonts w:ascii="Times New Roman" w:hAnsi="Times New Roman"/>
                <w:b/>
                <w:sz w:val="19"/>
                <w:szCs w:val="19"/>
              </w:rPr>
            </w:pPr>
            <w:r>
              <w:rPr>
                <w:rFonts w:ascii="Times New Roman" w:hAnsi="Times New Roman"/>
                <w:sz w:val="19"/>
                <w:szCs w:val="19"/>
              </w:rPr>
              <w:t>тыс.руб.</w:t>
            </w:r>
          </w:p>
        </w:tc>
      </w:tr>
      <w:tr>
        <w:trPr>
          <w:trHeight w:val="373"/>
        </w:trPr>
        <w:tc>
          <w:tcPr>
            <w:tcW w:w="5954"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rFonts w:ascii="Times New Roman" w:hAnsi="Times New Roman"/>
                <w:sz w:val="19"/>
                <w:szCs w:val="19"/>
              </w:rPr>
            </w:pPr>
            <w:r>
              <w:rPr>
                <w:rFonts w:ascii="Times New Roman" w:hAnsi="Times New Roman"/>
                <w:sz w:val="19"/>
                <w:szCs w:val="19"/>
              </w:rPr>
              <w:t>Всего по МП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953,53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953,53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953,53</w:t>
            </w:r>
          </w:p>
        </w:tc>
      </w:tr>
      <w:tr>
        <w:trPr>
          <w:trHeight w:val="297"/>
        </w:trPr>
        <w:tc>
          <w:tcPr>
            <w:tcW w:w="5954" w:type="dxa"/>
            <w:tcBorders>
              <w:top w:val="nil"/>
              <w:left w:val="single" w:sz="4" w:space="0" w:color="auto"/>
              <w:bottom w:val="single" w:sz="4" w:space="0" w:color="auto"/>
              <w:right w:val="single" w:sz="4" w:space="0" w:color="auto"/>
            </w:tcBorders>
            <w:shd w:val="clear" w:color="auto" w:fill="auto"/>
            <w:vAlign w:val="center"/>
            <w:hideMark/>
          </w:tcPr>
          <w:p>
            <w:pPr>
              <w:rPr>
                <w:sz w:val="21"/>
                <w:szCs w:val="21"/>
              </w:rPr>
            </w:pPr>
            <w:r>
              <w:rPr>
                <w:sz w:val="21"/>
                <w:szCs w:val="21"/>
              </w:rPr>
              <w:t>Подпрограмма 1</w:t>
            </w:r>
          </w:p>
          <w:p>
            <w:pPr>
              <w:autoSpaceDE w:val="0"/>
              <w:autoSpaceDN w:val="0"/>
              <w:adjustRightInd w:val="0"/>
              <w:rPr>
                <w:rFonts w:ascii="Times New Roman" w:eastAsia="Calibri" w:hAnsi="Times New Roman"/>
                <w:sz w:val="19"/>
                <w:szCs w:val="19"/>
                <w:lang w:eastAsia="en-US"/>
              </w:rPr>
            </w:pPr>
            <w:r>
              <w:rPr>
                <w:sz w:val="21"/>
                <w:szCs w:val="21"/>
              </w:rPr>
              <w:t>«Совершенствование форм и методов профилактики злоупотребления спиртными напитками и психоактивными веществами»</w:t>
            </w:r>
          </w:p>
        </w:tc>
        <w:tc>
          <w:tcPr>
            <w:tcW w:w="1134"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753,49</w:t>
            </w:r>
          </w:p>
        </w:tc>
        <w:tc>
          <w:tcPr>
            <w:tcW w:w="1134"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753,49</w:t>
            </w:r>
          </w:p>
        </w:tc>
        <w:tc>
          <w:tcPr>
            <w:tcW w:w="1134" w:type="dxa"/>
            <w:tcBorders>
              <w:top w:val="single" w:sz="4" w:space="0" w:color="auto"/>
              <w:left w:val="single" w:sz="4" w:space="0" w:color="auto"/>
              <w:right w:val="single" w:sz="4" w:space="0" w:color="auto"/>
            </w:tcBorders>
            <w:shd w:val="clear" w:color="auto" w:fill="auto"/>
            <w:noWrap/>
            <w:vAlign w:val="center"/>
            <w:hideMark/>
          </w:tcPr>
          <w:p>
            <w:pPr>
              <w:jc w:val="right"/>
              <w:rPr>
                <w:rFonts w:ascii="Times New Roman" w:hAnsi="Times New Roman"/>
                <w:sz w:val="19"/>
                <w:szCs w:val="19"/>
              </w:rPr>
            </w:pPr>
            <w:r>
              <w:rPr>
                <w:rFonts w:ascii="Times New Roman" w:hAnsi="Times New Roman"/>
                <w:sz w:val="19"/>
                <w:szCs w:val="19"/>
              </w:rPr>
              <w:t>753,49</w:t>
            </w:r>
          </w:p>
        </w:tc>
      </w:tr>
      <w:tr>
        <w:trPr>
          <w:trHeight w:val="274"/>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sz w:val="21"/>
                <w:szCs w:val="21"/>
              </w:rPr>
            </w:pPr>
            <w:r>
              <w:rPr>
                <w:sz w:val="21"/>
                <w:szCs w:val="21"/>
              </w:rPr>
              <w:t>Подпрограмма 2</w:t>
            </w:r>
          </w:p>
          <w:p>
            <w:pPr>
              <w:autoSpaceDE w:val="0"/>
              <w:autoSpaceDN w:val="0"/>
              <w:adjustRightInd w:val="0"/>
              <w:rPr>
                <w:rFonts w:ascii="Times New Roman" w:eastAsia="Calibri" w:hAnsi="Times New Roman"/>
                <w:sz w:val="19"/>
                <w:szCs w:val="19"/>
                <w:lang w:eastAsia="en-US"/>
              </w:rPr>
            </w:pPr>
            <w:r>
              <w:rPr>
                <w:sz w:val="21"/>
                <w:szCs w:val="21"/>
              </w:rPr>
              <w:t>«Мониторинг распространения потребления психоактивных веществ среди подростков и молодежи ЗАТО Северск»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200,04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19"/>
                <w:szCs w:val="19"/>
              </w:rPr>
            </w:pPr>
            <w:r>
              <w:rPr>
                <w:rFonts w:ascii="Times New Roman" w:hAnsi="Times New Roman"/>
                <w:sz w:val="19"/>
                <w:szCs w:val="19"/>
              </w:rPr>
              <w:t>200,04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sz w:val="19"/>
                <w:szCs w:val="19"/>
              </w:rPr>
            </w:pPr>
          </w:p>
          <w:p>
            <w:pPr>
              <w:jc w:val="right"/>
              <w:rPr>
                <w:rFonts w:ascii="Times New Roman" w:hAnsi="Times New Roman"/>
                <w:sz w:val="19"/>
                <w:szCs w:val="19"/>
              </w:rPr>
            </w:pPr>
            <w:r>
              <w:rPr>
                <w:rFonts w:ascii="Times New Roman" w:hAnsi="Times New Roman"/>
                <w:sz w:val="19"/>
                <w:szCs w:val="19"/>
              </w:rPr>
              <w:t>200,04</w:t>
            </w:r>
          </w:p>
          <w:p>
            <w:pPr>
              <w:jc w:val="right"/>
              <w:rPr>
                <w:rFonts w:ascii="Times New Roman" w:hAnsi="Times New Roman"/>
                <w:sz w:val="19"/>
                <w:szCs w:val="19"/>
              </w:rPr>
            </w:pPr>
          </w:p>
        </w:tc>
      </w:tr>
    </w:tbl>
    <w:p>
      <w:pPr>
        <w:pStyle w:val="aff1"/>
        <w:spacing w:after="120"/>
        <w:ind w:left="0" w:firstLine="709"/>
        <w:jc w:val="center"/>
        <w:rPr>
          <w:rFonts w:ascii="Times New Roman" w:hAnsi="Times New Roman"/>
          <w:b/>
          <w:sz w:val="16"/>
          <w:szCs w:val="16"/>
        </w:rPr>
      </w:pPr>
    </w:p>
    <w:p>
      <w:pPr>
        <w:spacing w:after="120"/>
        <w:ind w:firstLine="709"/>
        <w:jc w:val="both"/>
        <w:rPr>
          <w:rFonts w:ascii="Times New Roman" w:hAnsi="Times New Roman"/>
          <w:sz w:val="23"/>
          <w:szCs w:val="23"/>
        </w:rPr>
      </w:pPr>
      <w:r>
        <w:rPr>
          <w:rFonts w:ascii="Times New Roman" w:hAnsi="Times New Roman"/>
          <w:sz w:val="23"/>
          <w:szCs w:val="23"/>
        </w:rPr>
        <w:t>На 2021 год о</w:t>
      </w:r>
      <w:r>
        <w:rPr>
          <w:rFonts w:ascii="Times New Roman" w:eastAsia="Calibri" w:hAnsi="Times New Roman"/>
          <w:sz w:val="23"/>
          <w:szCs w:val="23"/>
          <w:lang w:eastAsia="en-US"/>
        </w:rPr>
        <w:t xml:space="preserve">бщий объем расходов на реализацию </w:t>
      </w:r>
      <w:r>
        <w:rPr>
          <w:rFonts w:ascii="Times New Roman" w:hAnsi="Times New Roman"/>
          <w:sz w:val="23"/>
          <w:szCs w:val="23"/>
        </w:rPr>
        <w:t xml:space="preserve">МП </w:t>
      </w:r>
      <w:r>
        <w:rPr>
          <w:rFonts w:ascii="Times New Roman" w:hAnsi="Times New Roman"/>
          <w:color w:val="000000"/>
          <w:sz w:val="23"/>
          <w:szCs w:val="23"/>
        </w:rPr>
        <w:t>«Профилактика алкоголизма, наркомании, токсикомании и ВИЧ-инфекции среди подростков и молодежи ЗАТО Северск »</w:t>
      </w:r>
      <w:r>
        <w:rPr>
          <w:rFonts w:ascii="Times New Roman" w:hAnsi="Times New Roman"/>
          <w:sz w:val="23"/>
          <w:szCs w:val="23"/>
        </w:rPr>
        <w:t xml:space="preserve">  составит 953,53 тыс.руб., в том числе по подпрограммам:</w:t>
      </w:r>
    </w:p>
    <w:p>
      <w:pPr>
        <w:autoSpaceDE w:val="0"/>
        <w:autoSpaceDN w:val="0"/>
        <w:adjustRightInd w:val="0"/>
        <w:ind w:firstLine="709"/>
        <w:jc w:val="both"/>
        <w:rPr>
          <w:rFonts w:ascii="Times New Roman" w:hAnsi="Times New Roman"/>
          <w:sz w:val="23"/>
          <w:szCs w:val="23"/>
        </w:rPr>
      </w:pPr>
      <w:r>
        <w:rPr>
          <w:rFonts w:ascii="Times New Roman" w:hAnsi="Times New Roman"/>
          <w:sz w:val="23"/>
          <w:szCs w:val="23"/>
        </w:rPr>
        <w:t>По подпрограмме 1 «</w:t>
      </w:r>
      <w:r>
        <w:rPr>
          <w:rFonts w:ascii="Times New Roman" w:hAnsi="Times New Roman"/>
          <w:bCs/>
          <w:sz w:val="23"/>
          <w:szCs w:val="23"/>
        </w:rPr>
        <w:t>С</w:t>
      </w:r>
      <w:r>
        <w:rPr>
          <w:rFonts w:ascii="Times New Roman" w:hAnsi="Times New Roman"/>
          <w:sz w:val="23"/>
          <w:szCs w:val="23"/>
        </w:rPr>
        <w:t xml:space="preserve">овершенствование форм и методов профилактики злоупотребления спиртными напитками и психоактивными веществами» </w:t>
      </w:r>
      <w:r>
        <w:rPr>
          <w:rFonts w:ascii="Times New Roman" w:eastAsia="Calibri" w:hAnsi="Times New Roman"/>
          <w:sz w:val="23"/>
          <w:szCs w:val="23"/>
          <w:lang w:eastAsia="en-US"/>
        </w:rPr>
        <w:t xml:space="preserve">планируется проведение мероприятий, пропагандирующих здоровый образ жизни и проведение семинаров-тренингов, сборов с родителями, волонтерами и другими категориями населения на сумму 753,49 тыс.руб. </w:t>
      </w:r>
    </w:p>
    <w:p>
      <w:pPr>
        <w:ind w:firstLine="709"/>
        <w:jc w:val="both"/>
        <w:rPr>
          <w:rFonts w:ascii="Times New Roman" w:hAnsi="Times New Roman"/>
          <w:sz w:val="23"/>
          <w:szCs w:val="23"/>
        </w:rPr>
      </w:pPr>
      <w:r>
        <w:rPr>
          <w:rFonts w:ascii="Times New Roman" w:hAnsi="Times New Roman"/>
          <w:sz w:val="23"/>
          <w:szCs w:val="23"/>
        </w:rPr>
        <w:t>По подпрограмме 2 «</w:t>
      </w:r>
      <w:r>
        <w:rPr>
          <w:rFonts w:ascii="Times New Roman" w:hAnsi="Times New Roman"/>
          <w:sz w:val="23"/>
          <w:szCs w:val="24"/>
        </w:rPr>
        <w:t xml:space="preserve">Мониторинг распространения потребления психоактивных </w:t>
      </w:r>
      <w:r>
        <w:rPr>
          <w:rFonts w:ascii="Times New Roman" w:hAnsi="Times New Roman"/>
          <w:sz w:val="23"/>
          <w:szCs w:val="23"/>
        </w:rPr>
        <w:t xml:space="preserve"> </w:t>
      </w:r>
      <w:r>
        <w:rPr>
          <w:rFonts w:ascii="Times New Roman" w:hAnsi="Times New Roman"/>
          <w:sz w:val="23"/>
          <w:szCs w:val="24"/>
        </w:rPr>
        <w:t>веществ среди подростков и молодежи ЗАТО Северск</w:t>
      </w:r>
      <w:r>
        <w:rPr>
          <w:rFonts w:ascii="Times New Roman" w:hAnsi="Times New Roman"/>
          <w:sz w:val="23"/>
          <w:szCs w:val="23"/>
        </w:rPr>
        <w:t>»</w:t>
      </w:r>
      <w:r>
        <w:rPr>
          <w:rFonts w:ascii="Times New Roman" w:hAnsi="Times New Roman"/>
          <w:sz w:val="23"/>
          <w:szCs w:val="24"/>
        </w:rPr>
        <w:t xml:space="preserve"> </w:t>
      </w:r>
      <w:r>
        <w:rPr>
          <w:rFonts w:ascii="Times New Roman" w:hAnsi="Times New Roman"/>
          <w:sz w:val="23"/>
          <w:szCs w:val="23"/>
        </w:rPr>
        <w:t>п</w:t>
      </w:r>
      <w:r>
        <w:rPr>
          <w:rFonts w:ascii="Times New Roman" w:eastAsia="Calibri" w:hAnsi="Times New Roman"/>
          <w:sz w:val="23"/>
          <w:szCs w:val="23"/>
          <w:lang w:eastAsia="en-US"/>
        </w:rPr>
        <w:t xml:space="preserve">редусмотрены расходы на </w:t>
      </w:r>
      <w:r>
        <w:rPr>
          <w:rFonts w:ascii="Times New Roman" w:hAnsi="Times New Roman"/>
          <w:sz w:val="23"/>
          <w:szCs w:val="23"/>
        </w:rPr>
        <w:t>публикацию в средствах массовой информации статей и рубрик, размещение  роликов антинаркотической направленности на сумму 200,04 тыс.руб.</w:t>
      </w:r>
    </w:p>
    <w:p>
      <w:pPr>
        <w:pStyle w:val="ConsPlusNormal"/>
        <w:tabs>
          <w:tab w:val="left" w:pos="3600"/>
        </w:tabs>
        <w:ind w:firstLine="709"/>
        <w:jc w:val="both"/>
        <w:rPr>
          <w:rFonts w:ascii="Times New Roman" w:hAnsi="Times New Roman"/>
          <w:color w:val="000000"/>
          <w:sz w:val="16"/>
          <w:szCs w:val="16"/>
        </w:rPr>
      </w:pPr>
    </w:p>
    <w:p>
      <w:pPr>
        <w:pStyle w:val="ConsPlusNormal"/>
        <w:tabs>
          <w:tab w:val="left" w:pos="3600"/>
        </w:tabs>
        <w:ind w:firstLine="709"/>
        <w:jc w:val="both"/>
        <w:rPr>
          <w:rFonts w:ascii="Times New Roman" w:hAnsi="Times New Roman"/>
          <w:color w:val="000000"/>
          <w:sz w:val="24"/>
          <w:szCs w:val="24"/>
        </w:rPr>
      </w:pPr>
      <w:r>
        <w:rPr>
          <w:rFonts w:ascii="Times New Roman" w:hAnsi="Times New Roman"/>
          <w:b/>
          <w:color w:val="000000"/>
          <w:sz w:val="24"/>
          <w:szCs w:val="24"/>
        </w:rPr>
        <w:t>2.7.2. По направлению «</w:t>
      </w:r>
      <w:r>
        <w:rPr>
          <w:rFonts w:ascii="Times New Roman" w:hAnsi="Times New Roman"/>
          <w:b/>
          <w:bCs/>
          <w:color w:val="000000"/>
          <w:sz w:val="24"/>
          <w:szCs w:val="24"/>
        </w:rPr>
        <w:t>Городская среда и инженерная инфраструктура</w:t>
      </w:r>
      <w:r>
        <w:rPr>
          <w:rFonts w:ascii="Times New Roman" w:hAnsi="Times New Roman"/>
          <w:b/>
          <w:color w:val="000000"/>
          <w:sz w:val="24"/>
          <w:szCs w:val="24"/>
        </w:rPr>
        <w:t>»</w:t>
      </w:r>
      <w:r>
        <w:rPr>
          <w:rFonts w:ascii="Times New Roman" w:hAnsi="Times New Roman"/>
          <w:color w:val="000000"/>
          <w:sz w:val="24"/>
          <w:szCs w:val="24"/>
        </w:rPr>
        <w:t xml:space="preserve"> планируются к реализации 8 муниципальных программ и Комплексная программа</w:t>
      </w:r>
      <w:r>
        <w:rPr>
          <w:rFonts w:ascii="Times New Roman" w:hAnsi="Times New Roman"/>
          <w:sz w:val="24"/>
          <w:szCs w:val="24"/>
        </w:rPr>
        <w:t xml:space="preserve"> развития систем инженерной и коммунальной инфраструктуры ЗАТО Северск на 2013 год и на перспективу до 2035 года. </w:t>
      </w:r>
      <w:r>
        <w:rPr>
          <w:rFonts w:ascii="Times New Roman" w:hAnsi="Times New Roman"/>
          <w:color w:val="000000"/>
          <w:sz w:val="24"/>
          <w:szCs w:val="24"/>
        </w:rPr>
        <w:t xml:space="preserve"> </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color w:val="000000"/>
          <w:sz w:val="24"/>
          <w:szCs w:val="24"/>
        </w:rPr>
        <w:t xml:space="preserve">По данному направлению действующая до 2021 года МП «Улучшение качественного состояния объектов улично-дорожной сети, благоустройства и озеленения территории г.Северска» трансформирована в две программы: МП «Улучшение качественного состояния объектов благоустройства и озеленения города Северска»  и МП «Дорожная деятельность и транспортное обслуживание на территории ЗАТО Северск»; </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color w:val="000000"/>
          <w:sz w:val="24"/>
          <w:szCs w:val="24"/>
        </w:rPr>
        <w:t>В МП «Улучшение качественного состояния объектов благоустройства и озеленения города Северска» включены такие мероприятия из подпрограммы «Чистый город» МП «Охрана окружающей среды на территории ЗАТО Северск» как ликвидация несанкционированных свалок и устройство контейнерных площадок.</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color w:val="000000"/>
          <w:sz w:val="24"/>
          <w:szCs w:val="24"/>
        </w:rPr>
        <w:t>В МП «Дорожная деятельность и транспортное обслуживание на территории ЗАТО Северск» включены мероприятия из подпрограммы «Повышение безопасности дорожного движения на территории ЗАТО Северск» МП «Обеспечение безопасности населения на территории ЗАТО Северск».</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sz w:val="24"/>
          <w:szCs w:val="24"/>
        </w:rPr>
        <w:t>Таблица 53 – Программное р</w:t>
      </w:r>
      <w:r>
        <w:rPr>
          <w:rFonts w:ascii="Times New Roman" w:hAnsi="Times New Roman"/>
          <w:color w:val="000000"/>
          <w:sz w:val="24"/>
          <w:szCs w:val="24"/>
        </w:rPr>
        <w:t>аспределение бюджетных ассигнований по направлению «</w:t>
      </w:r>
      <w:r>
        <w:rPr>
          <w:rFonts w:ascii="Times New Roman" w:hAnsi="Times New Roman"/>
          <w:bCs/>
          <w:color w:val="000000"/>
          <w:sz w:val="24"/>
          <w:szCs w:val="24"/>
        </w:rPr>
        <w:t>Городская среда и инженерная инфраструктура</w:t>
      </w:r>
      <w:r>
        <w:rPr>
          <w:rFonts w:ascii="Times New Roman" w:hAnsi="Times New Roman"/>
          <w:color w:val="000000"/>
          <w:sz w:val="24"/>
          <w:szCs w:val="24"/>
        </w:rPr>
        <w:t>»</w:t>
      </w:r>
    </w:p>
    <w:p>
      <w:pPr>
        <w:pStyle w:val="ConsPlusNormal"/>
        <w:tabs>
          <w:tab w:val="left" w:pos="3600"/>
        </w:tabs>
        <w:ind w:left="1069" w:firstLine="0"/>
        <w:jc w:val="both"/>
        <w:rPr>
          <w:rFonts w:ascii="Times New Roman" w:hAnsi="Times New Roman"/>
          <w:color w:val="000000"/>
          <w:sz w:val="24"/>
          <w:szCs w:val="24"/>
        </w:rPr>
      </w:pP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276"/>
        <w:gridCol w:w="1276"/>
        <w:gridCol w:w="1275"/>
        <w:gridCol w:w="709"/>
        <w:gridCol w:w="1198"/>
        <w:gridCol w:w="1211"/>
      </w:tblGrid>
      <w:tr>
        <w:trPr>
          <w:trHeight w:val="146"/>
        </w:trPr>
        <w:tc>
          <w:tcPr>
            <w:tcW w:w="2835" w:type="dxa"/>
            <w:vMerge w:val="restart"/>
            <w:shd w:val="clear" w:color="auto" w:fill="auto"/>
            <w:vAlign w:val="center"/>
            <w:hideMark/>
          </w:tcPr>
          <w:p>
            <w:pPr>
              <w:jc w:val="center"/>
              <w:rPr>
                <w:rFonts w:ascii="Times New Roman" w:hAnsi="Times New Roman"/>
                <w:color w:val="000000"/>
                <w:sz w:val="18"/>
                <w:szCs w:val="18"/>
              </w:rPr>
            </w:pPr>
            <w:r>
              <w:rPr>
                <w:rFonts w:ascii="Times New Roman" w:hAnsi="Times New Roman"/>
                <w:color w:val="000000"/>
                <w:sz w:val="18"/>
                <w:szCs w:val="18"/>
              </w:rPr>
              <w:t>Наименование</w:t>
            </w:r>
          </w:p>
        </w:tc>
        <w:tc>
          <w:tcPr>
            <w:tcW w:w="2552" w:type="dxa"/>
            <w:gridSpan w:val="2"/>
            <w:shd w:val="clear" w:color="auto" w:fill="auto"/>
            <w:vAlign w:val="center"/>
            <w:hideMark/>
          </w:tcPr>
          <w:p>
            <w:pPr>
              <w:jc w:val="center"/>
              <w:rPr>
                <w:rFonts w:ascii="Times New Roman" w:hAnsi="Times New Roman"/>
                <w:color w:val="000000"/>
                <w:sz w:val="18"/>
                <w:szCs w:val="18"/>
              </w:rPr>
            </w:pPr>
            <w:r>
              <w:rPr>
                <w:rFonts w:ascii="Times New Roman" w:hAnsi="Times New Roman"/>
                <w:bCs/>
                <w:color w:val="000000"/>
                <w:sz w:val="18"/>
                <w:szCs w:val="18"/>
              </w:rPr>
              <w:t>2020 год</w:t>
            </w:r>
          </w:p>
        </w:tc>
        <w:tc>
          <w:tcPr>
            <w:tcW w:w="1984" w:type="dxa"/>
            <w:gridSpan w:val="2"/>
            <w:shd w:val="clear" w:color="auto" w:fill="auto"/>
            <w:vAlign w:val="center"/>
            <w:hideMark/>
          </w:tcPr>
          <w:p>
            <w:pPr>
              <w:jc w:val="center"/>
              <w:rPr>
                <w:rFonts w:ascii="Times New Roman" w:hAnsi="Times New Roman"/>
                <w:color w:val="000000"/>
                <w:sz w:val="18"/>
                <w:szCs w:val="18"/>
              </w:rPr>
            </w:pPr>
            <w:r>
              <w:rPr>
                <w:rFonts w:ascii="Times New Roman" w:hAnsi="Times New Roman"/>
                <w:color w:val="000000"/>
                <w:sz w:val="18"/>
                <w:szCs w:val="18"/>
              </w:rPr>
              <w:t>Прогноз 2021 года</w:t>
            </w:r>
          </w:p>
        </w:tc>
        <w:tc>
          <w:tcPr>
            <w:tcW w:w="1198" w:type="dxa"/>
            <w:vMerge w:val="restart"/>
            <w:shd w:val="clear" w:color="auto" w:fill="auto"/>
            <w:vAlign w:val="center"/>
            <w:hideMark/>
          </w:tcPr>
          <w:p>
            <w:pPr>
              <w:jc w:val="center"/>
              <w:rPr>
                <w:rFonts w:ascii="Times New Roman" w:hAnsi="Times New Roman"/>
                <w:color w:val="000000"/>
                <w:sz w:val="18"/>
                <w:szCs w:val="18"/>
              </w:rPr>
            </w:pPr>
            <w:r>
              <w:rPr>
                <w:rFonts w:ascii="Times New Roman" w:hAnsi="Times New Roman"/>
                <w:color w:val="000000"/>
                <w:sz w:val="18"/>
                <w:szCs w:val="18"/>
              </w:rPr>
              <w:t xml:space="preserve">Прогноз </w:t>
            </w:r>
          </w:p>
          <w:p>
            <w:pPr>
              <w:jc w:val="center"/>
              <w:rPr>
                <w:rFonts w:ascii="Times New Roman" w:hAnsi="Times New Roman"/>
                <w:color w:val="000000"/>
                <w:sz w:val="18"/>
                <w:szCs w:val="18"/>
              </w:rPr>
            </w:pPr>
            <w:r>
              <w:rPr>
                <w:rFonts w:ascii="Times New Roman" w:hAnsi="Times New Roman"/>
                <w:color w:val="000000"/>
                <w:sz w:val="18"/>
                <w:szCs w:val="18"/>
              </w:rPr>
              <w:t xml:space="preserve">2022 года, </w:t>
            </w:r>
            <w:r>
              <w:rPr>
                <w:rFonts w:ascii="Times New Roman" w:hAnsi="Times New Roman"/>
                <w:color w:val="000000"/>
                <w:sz w:val="18"/>
                <w:szCs w:val="18"/>
              </w:rPr>
              <w:br/>
              <w:t>тыс.руб.</w:t>
            </w:r>
          </w:p>
        </w:tc>
        <w:tc>
          <w:tcPr>
            <w:tcW w:w="1211" w:type="dxa"/>
            <w:vMerge w:val="restart"/>
            <w:shd w:val="clear" w:color="auto" w:fill="auto"/>
            <w:vAlign w:val="center"/>
            <w:hideMark/>
          </w:tcPr>
          <w:p>
            <w:pPr>
              <w:jc w:val="center"/>
              <w:rPr>
                <w:rFonts w:ascii="Times New Roman" w:hAnsi="Times New Roman"/>
                <w:color w:val="000000"/>
                <w:sz w:val="18"/>
                <w:szCs w:val="18"/>
              </w:rPr>
            </w:pPr>
            <w:r>
              <w:rPr>
                <w:rFonts w:ascii="Times New Roman" w:hAnsi="Times New Roman"/>
                <w:color w:val="000000"/>
                <w:sz w:val="18"/>
                <w:szCs w:val="18"/>
              </w:rPr>
              <w:t>Прогноз</w:t>
            </w:r>
          </w:p>
          <w:p>
            <w:pPr>
              <w:jc w:val="center"/>
              <w:rPr>
                <w:rFonts w:ascii="Times New Roman" w:hAnsi="Times New Roman"/>
                <w:color w:val="000000"/>
                <w:sz w:val="18"/>
                <w:szCs w:val="18"/>
              </w:rPr>
            </w:pPr>
            <w:r>
              <w:rPr>
                <w:rFonts w:ascii="Times New Roman" w:hAnsi="Times New Roman"/>
                <w:color w:val="000000"/>
                <w:sz w:val="18"/>
                <w:szCs w:val="18"/>
              </w:rPr>
              <w:t xml:space="preserve">2023 года, </w:t>
            </w:r>
            <w:r>
              <w:rPr>
                <w:rFonts w:ascii="Times New Roman" w:hAnsi="Times New Roman"/>
                <w:color w:val="000000"/>
                <w:sz w:val="18"/>
                <w:szCs w:val="18"/>
              </w:rPr>
              <w:br/>
              <w:t>тыс.руб.</w:t>
            </w:r>
          </w:p>
        </w:tc>
      </w:tr>
      <w:tr>
        <w:trPr>
          <w:trHeight w:val="375"/>
        </w:trPr>
        <w:tc>
          <w:tcPr>
            <w:tcW w:w="2835" w:type="dxa"/>
            <w:vMerge/>
            <w:shd w:val="clear" w:color="auto" w:fill="auto"/>
            <w:vAlign w:val="center"/>
            <w:hideMark/>
          </w:tcPr>
          <w:p>
            <w:pPr>
              <w:rPr>
                <w:rFonts w:ascii="Times New Roman" w:hAnsi="Times New Roman"/>
                <w:color w:val="000000"/>
                <w:sz w:val="18"/>
                <w:szCs w:val="18"/>
              </w:rPr>
            </w:pPr>
          </w:p>
        </w:tc>
        <w:tc>
          <w:tcPr>
            <w:tcW w:w="1276" w:type="dxa"/>
            <w:shd w:val="clear" w:color="auto" w:fill="auto"/>
            <w:vAlign w:val="center"/>
            <w:hideMark/>
          </w:tcPr>
          <w:p>
            <w:pPr>
              <w:jc w:val="center"/>
              <w:rPr>
                <w:rFonts w:ascii="Times New Roman" w:hAnsi="Times New Roman"/>
                <w:color w:val="000000"/>
                <w:sz w:val="18"/>
                <w:szCs w:val="18"/>
              </w:rPr>
            </w:pPr>
            <w:r>
              <w:rPr>
                <w:rFonts w:ascii="Times New Roman" w:hAnsi="Times New Roman"/>
                <w:bCs/>
                <w:color w:val="000000"/>
                <w:sz w:val="18"/>
                <w:szCs w:val="18"/>
              </w:rPr>
              <w:t>Первона-чально утверждено,</w:t>
            </w:r>
            <w:r>
              <w:rPr>
                <w:rFonts w:ascii="Times New Roman" w:hAnsi="Times New Roman"/>
                <w:bCs/>
                <w:color w:val="000000"/>
                <w:sz w:val="18"/>
                <w:szCs w:val="18"/>
              </w:rPr>
              <w:br/>
              <w:t>тыс.руб.</w:t>
            </w:r>
          </w:p>
        </w:tc>
        <w:tc>
          <w:tcPr>
            <w:tcW w:w="1276" w:type="dxa"/>
            <w:shd w:val="clear" w:color="auto" w:fill="auto"/>
            <w:vAlign w:val="center"/>
            <w:hideMark/>
          </w:tcPr>
          <w:p>
            <w:pPr>
              <w:jc w:val="center"/>
              <w:rPr>
                <w:rFonts w:ascii="Times New Roman" w:hAnsi="Times New Roman"/>
                <w:color w:val="000000"/>
                <w:sz w:val="18"/>
                <w:szCs w:val="18"/>
              </w:rPr>
            </w:pPr>
            <w:r>
              <w:rPr>
                <w:rFonts w:ascii="Times New Roman" w:hAnsi="Times New Roman"/>
                <w:bCs/>
                <w:color w:val="000000"/>
                <w:sz w:val="18"/>
                <w:szCs w:val="18"/>
              </w:rPr>
              <w:t>Оценка на тыс.руб.</w:t>
            </w:r>
          </w:p>
        </w:tc>
        <w:tc>
          <w:tcPr>
            <w:tcW w:w="1275" w:type="dxa"/>
            <w:shd w:val="clear" w:color="auto" w:fill="auto"/>
            <w:vAlign w:val="center"/>
            <w:hideMark/>
          </w:tcPr>
          <w:p>
            <w:pPr>
              <w:jc w:val="center"/>
              <w:rPr>
                <w:rFonts w:ascii="Times New Roman" w:hAnsi="Times New Roman"/>
                <w:color w:val="000000"/>
                <w:sz w:val="18"/>
                <w:szCs w:val="18"/>
              </w:rPr>
            </w:pPr>
            <w:r>
              <w:rPr>
                <w:rFonts w:ascii="Times New Roman" w:hAnsi="Times New Roman"/>
                <w:color w:val="000000"/>
                <w:sz w:val="18"/>
                <w:szCs w:val="18"/>
              </w:rPr>
              <w:t>Сумма</w:t>
            </w:r>
          </w:p>
        </w:tc>
        <w:tc>
          <w:tcPr>
            <w:tcW w:w="709" w:type="dxa"/>
            <w:shd w:val="clear" w:color="auto" w:fill="auto"/>
            <w:vAlign w:val="center"/>
            <w:hideMark/>
          </w:tcPr>
          <w:p>
            <w:pPr>
              <w:jc w:val="center"/>
              <w:rPr>
                <w:rFonts w:ascii="Times New Roman" w:hAnsi="Times New Roman"/>
                <w:color w:val="000000"/>
                <w:sz w:val="18"/>
                <w:szCs w:val="18"/>
              </w:rPr>
            </w:pPr>
            <w:r>
              <w:rPr>
                <w:rFonts w:ascii="Times New Roman" w:hAnsi="Times New Roman"/>
                <w:color w:val="000000"/>
                <w:sz w:val="18"/>
                <w:szCs w:val="18"/>
              </w:rPr>
              <w:t>%</w:t>
            </w:r>
          </w:p>
        </w:tc>
        <w:tc>
          <w:tcPr>
            <w:tcW w:w="1198" w:type="dxa"/>
            <w:vMerge/>
            <w:shd w:val="clear" w:color="auto" w:fill="auto"/>
            <w:vAlign w:val="center"/>
            <w:hideMark/>
          </w:tcPr>
          <w:p>
            <w:pPr>
              <w:jc w:val="center"/>
              <w:rPr>
                <w:rFonts w:ascii="Times New Roman" w:hAnsi="Times New Roman"/>
                <w:color w:val="000000"/>
                <w:sz w:val="18"/>
                <w:szCs w:val="18"/>
              </w:rPr>
            </w:pPr>
          </w:p>
        </w:tc>
        <w:tc>
          <w:tcPr>
            <w:tcW w:w="1211" w:type="dxa"/>
            <w:vMerge/>
            <w:shd w:val="clear" w:color="auto" w:fill="auto"/>
            <w:vAlign w:val="center"/>
            <w:hideMark/>
          </w:tcPr>
          <w:p>
            <w:pPr>
              <w:jc w:val="center"/>
              <w:rPr>
                <w:rFonts w:ascii="Times New Roman" w:hAnsi="Times New Roman"/>
                <w:color w:val="000000"/>
                <w:sz w:val="18"/>
                <w:szCs w:val="18"/>
              </w:rPr>
            </w:pPr>
          </w:p>
        </w:tc>
      </w:tr>
      <w:tr>
        <w:trPr>
          <w:trHeight w:val="337"/>
        </w:trPr>
        <w:tc>
          <w:tcPr>
            <w:tcW w:w="2835" w:type="dxa"/>
            <w:shd w:val="clear" w:color="auto" w:fill="auto"/>
            <w:vAlign w:val="center"/>
            <w:hideMark/>
          </w:tcPr>
          <w:p>
            <w:pPr>
              <w:rPr>
                <w:rFonts w:ascii="Times New Roman" w:hAnsi="Times New Roman"/>
                <w:b/>
                <w:bCs/>
                <w:color w:val="000000"/>
                <w:sz w:val="18"/>
                <w:szCs w:val="18"/>
              </w:rPr>
            </w:pPr>
            <w:r>
              <w:rPr>
                <w:rFonts w:ascii="Times New Roman" w:hAnsi="Times New Roman"/>
                <w:b/>
                <w:bCs/>
                <w:color w:val="000000"/>
                <w:sz w:val="18"/>
                <w:szCs w:val="18"/>
              </w:rPr>
              <w:t xml:space="preserve">Городская среда и инженерная инфраструктура </w:t>
            </w:r>
          </w:p>
        </w:tc>
        <w:tc>
          <w:tcPr>
            <w:tcW w:w="1276" w:type="dxa"/>
            <w:shd w:val="clear" w:color="auto" w:fill="auto"/>
            <w:vAlign w:val="center"/>
            <w:hideMark/>
          </w:tcPr>
          <w:p>
            <w:pPr>
              <w:jc w:val="right"/>
              <w:rPr>
                <w:rFonts w:ascii="Times New Roman" w:hAnsi="Times New Roman"/>
                <w:b/>
                <w:bCs/>
                <w:color w:val="000000"/>
              </w:rPr>
            </w:pPr>
            <w:r>
              <w:rPr>
                <w:b/>
                <w:bCs/>
                <w:color w:val="000000"/>
              </w:rPr>
              <w:t xml:space="preserve">723 861,16  </w:t>
            </w:r>
          </w:p>
        </w:tc>
        <w:tc>
          <w:tcPr>
            <w:tcW w:w="1276" w:type="dxa"/>
            <w:shd w:val="clear" w:color="auto" w:fill="auto"/>
            <w:vAlign w:val="center"/>
            <w:hideMark/>
          </w:tcPr>
          <w:p>
            <w:pPr>
              <w:jc w:val="right"/>
              <w:rPr>
                <w:b/>
                <w:bCs/>
                <w:color w:val="000000"/>
              </w:rPr>
            </w:pPr>
            <w:r>
              <w:rPr>
                <w:b/>
                <w:bCs/>
                <w:color w:val="000000"/>
              </w:rPr>
              <w:t xml:space="preserve">863 290,85  </w:t>
            </w:r>
          </w:p>
        </w:tc>
        <w:tc>
          <w:tcPr>
            <w:tcW w:w="1275" w:type="dxa"/>
            <w:shd w:val="clear" w:color="auto" w:fill="auto"/>
            <w:vAlign w:val="center"/>
            <w:hideMark/>
          </w:tcPr>
          <w:p>
            <w:pPr>
              <w:jc w:val="right"/>
              <w:rPr>
                <w:b/>
                <w:bCs/>
                <w:color w:val="000000"/>
              </w:rPr>
            </w:pPr>
            <w:r>
              <w:rPr>
                <w:b/>
                <w:bCs/>
                <w:color w:val="000000"/>
              </w:rPr>
              <w:t xml:space="preserve">730 387,04  </w:t>
            </w:r>
          </w:p>
        </w:tc>
        <w:tc>
          <w:tcPr>
            <w:tcW w:w="709" w:type="dxa"/>
            <w:shd w:val="clear" w:color="auto" w:fill="auto"/>
            <w:vAlign w:val="center"/>
            <w:hideMark/>
          </w:tcPr>
          <w:p>
            <w:pPr>
              <w:jc w:val="center"/>
              <w:rPr>
                <w:b/>
                <w:bCs/>
                <w:color w:val="000000"/>
              </w:rPr>
            </w:pPr>
            <w:r>
              <w:rPr>
                <w:b/>
                <w:bCs/>
                <w:color w:val="000000"/>
              </w:rPr>
              <w:t>84,6</w:t>
            </w:r>
          </w:p>
        </w:tc>
        <w:tc>
          <w:tcPr>
            <w:tcW w:w="1198" w:type="dxa"/>
            <w:shd w:val="clear" w:color="auto" w:fill="auto"/>
            <w:vAlign w:val="center"/>
            <w:hideMark/>
          </w:tcPr>
          <w:p>
            <w:pPr>
              <w:jc w:val="right"/>
              <w:rPr>
                <w:b/>
                <w:bCs/>
                <w:color w:val="000000"/>
              </w:rPr>
            </w:pPr>
            <w:r>
              <w:rPr>
                <w:b/>
                <w:bCs/>
                <w:color w:val="000000"/>
              </w:rPr>
              <w:t xml:space="preserve">565 995,92  </w:t>
            </w:r>
          </w:p>
        </w:tc>
        <w:tc>
          <w:tcPr>
            <w:tcW w:w="1211" w:type="dxa"/>
            <w:shd w:val="clear" w:color="auto" w:fill="auto"/>
            <w:vAlign w:val="center"/>
            <w:hideMark/>
          </w:tcPr>
          <w:p>
            <w:pPr>
              <w:jc w:val="right"/>
              <w:rPr>
                <w:b/>
                <w:bCs/>
                <w:color w:val="000000"/>
              </w:rPr>
            </w:pPr>
            <w:r>
              <w:rPr>
                <w:b/>
                <w:bCs/>
                <w:color w:val="000000"/>
              </w:rPr>
              <w:t xml:space="preserve">510 413,81  </w:t>
            </w:r>
          </w:p>
        </w:tc>
      </w:tr>
      <w:tr>
        <w:trPr>
          <w:trHeight w:val="970"/>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«Улучшение качественного состояния объектов улично-дорожной сети, благоустройства и озеленения территории г.Северска»</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532 110,82  </w:t>
            </w:r>
          </w:p>
        </w:tc>
        <w:tc>
          <w:tcPr>
            <w:tcW w:w="1276" w:type="dxa"/>
            <w:shd w:val="clear" w:color="auto" w:fill="auto"/>
            <w:vAlign w:val="center"/>
            <w:hideMark/>
          </w:tcPr>
          <w:p>
            <w:pPr>
              <w:jc w:val="right"/>
              <w:rPr>
                <w:rFonts w:ascii="Times New Roman" w:hAnsi="Times New Roman"/>
              </w:rPr>
            </w:pPr>
            <w:r>
              <w:rPr>
                <w:rFonts w:ascii="Times New Roman" w:hAnsi="Times New Roman"/>
              </w:rPr>
              <w:t>553 182,95</w:t>
            </w:r>
          </w:p>
        </w:tc>
        <w:tc>
          <w:tcPr>
            <w:tcW w:w="1275" w:type="dxa"/>
            <w:shd w:val="clear" w:color="auto" w:fill="auto"/>
            <w:vAlign w:val="center"/>
            <w:hideMark/>
          </w:tcPr>
          <w:p>
            <w:pPr>
              <w:jc w:val="right"/>
              <w:rPr>
                <w:rFonts w:ascii="Times New Roman" w:hAnsi="Times New Roman"/>
                <w:color w:val="000000"/>
              </w:rPr>
            </w:pPr>
            <w:r>
              <w:rPr>
                <w:rFonts w:ascii="Times New Roman" w:hAnsi="Times New Roman"/>
                <w:color w:val="000000"/>
              </w:rPr>
              <w:t> </w:t>
            </w:r>
          </w:p>
        </w:tc>
        <w:tc>
          <w:tcPr>
            <w:tcW w:w="709" w:type="dxa"/>
            <w:shd w:val="clear" w:color="auto" w:fill="auto"/>
            <w:vAlign w:val="center"/>
            <w:hideMark/>
          </w:tcPr>
          <w:p>
            <w:pPr>
              <w:jc w:val="right"/>
              <w:rPr>
                <w:color w:val="000000"/>
              </w:rPr>
            </w:pPr>
            <w:r>
              <w:rPr>
                <w:color w:val="000000"/>
              </w:rPr>
              <w:t> </w:t>
            </w:r>
          </w:p>
        </w:tc>
        <w:tc>
          <w:tcPr>
            <w:tcW w:w="1198" w:type="dxa"/>
            <w:shd w:val="clear" w:color="auto" w:fill="auto"/>
            <w:vAlign w:val="center"/>
            <w:hideMark/>
          </w:tcPr>
          <w:p>
            <w:pPr>
              <w:jc w:val="right"/>
              <w:rPr>
                <w:rFonts w:ascii="Times New Roman" w:hAnsi="Times New Roman"/>
                <w:color w:val="000000"/>
              </w:rPr>
            </w:pPr>
            <w:r>
              <w:rPr>
                <w:rFonts w:ascii="Times New Roman" w:hAnsi="Times New Roman"/>
                <w:color w:val="000000"/>
              </w:rPr>
              <w:t> </w:t>
            </w:r>
          </w:p>
        </w:tc>
        <w:tc>
          <w:tcPr>
            <w:tcW w:w="1211" w:type="dxa"/>
            <w:shd w:val="clear" w:color="auto" w:fill="auto"/>
            <w:vAlign w:val="center"/>
            <w:hideMark/>
          </w:tcPr>
          <w:p>
            <w:pPr>
              <w:jc w:val="right"/>
              <w:rPr>
                <w:rFonts w:ascii="Times New Roman" w:hAnsi="Times New Roman"/>
                <w:color w:val="000000"/>
              </w:rPr>
            </w:pPr>
            <w:r>
              <w:rPr>
                <w:rFonts w:ascii="Times New Roman" w:hAnsi="Times New Roman"/>
                <w:color w:val="000000"/>
              </w:rPr>
              <w:t> </w:t>
            </w:r>
          </w:p>
        </w:tc>
      </w:tr>
      <w:tr>
        <w:trPr>
          <w:trHeight w:val="841"/>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«Улучшение качественного состояния объектов благоустройства и озеленения города Северска»</w:t>
            </w:r>
          </w:p>
        </w:tc>
        <w:tc>
          <w:tcPr>
            <w:tcW w:w="1276" w:type="dxa"/>
            <w:shd w:val="clear" w:color="auto" w:fill="auto"/>
            <w:vAlign w:val="center"/>
            <w:hideMark/>
          </w:tcPr>
          <w:p>
            <w:pPr>
              <w:jc w:val="right"/>
              <w:rPr>
                <w:rFonts w:ascii="Times New Roman" w:hAnsi="Times New Roman"/>
              </w:rPr>
            </w:pPr>
            <w:r>
              <w:rPr>
                <w:rFonts w:ascii="Times New Roman" w:hAnsi="Times New Roman"/>
              </w:rPr>
              <w:t> </w:t>
            </w:r>
          </w:p>
        </w:tc>
        <w:tc>
          <w:tcPr>
            <w:tcW w:w="1276" w:type="dxa"/>
            <w:shd w:val="clear" w:color="auto" w:fill="auto"/>
            <w:vAlign w:val="center"/>
            <w:hideMark/>
          </w:tcPr>
          <w:p>
            <w:pPr>
              <w:jc w:val="right"/>
              <w:rPr>
                <w:rFonts w:ascii="Times New Roman" w:hAnsi="Times New Roman"/>
              </w:rPr>
            </w:pPr>
            <w:r>
              <w:rPr>
                <w:rFonts w:ascii="Times New Roman" w:hAnsi="Times New Roman"/>
              </w:rPr>
              <w:t> </w:t>
            </w:r>
          </w:p>
        </w:tc>
        <w:tc>
          <w:tcPr>
            <w:tcW w:w="1275" w:type="dxa"/>
            <w:shd w:val="clear" w:color="auto" w:fill="auto"/>
            <w:noWrap/>
            <w:vAlign w:val="center"/>
            <w:hideMark/>
          </w:tcPr>
          <w:p>
            <w:pPr>
              <w:jc w:val="right"/>
              <w:rPr>
                <w:rFonts w:ascii="Times New Roman" w:hAnsi="Times New Roman"/>
              </w:rPr>
            </w:pPr>
            <w:r>
              <w:rPr>
                <w:rFonts w:ascii="Times New Roman" w:hAnsi="Times New Roman"/>
              </w:rPr>
              <w:t>130 700,61</w:t>
            </w:r>
          </w:p>
        </w:tc>
        <w:tc>
          <w:tcPr>
            <w:tcW w:w="709" w:type="dxa"/>
            <w:shd w:val="clear" w:color="auto" w:fill="auto"/>
            <w:vAlign w:val="center"/>
            <w:hideMark/>
          </w:tcPr>
          <w:p>
            <w:pPr>
              <w:jc w:val="right"/>
              <w:rPr>
                <w:color w:val="000000"/>
              </w:rPr>
            </w:pPr>
            <w:r>
              <w:rPr>
                <w:color w:val="000000"/>
              </w:rPr>
              <w:t> </w:t>
            </w:r>
          </w:p>
        </w:tc>
        <w:tc>
          <w:tcPr>
            <w:tcW w:w="1198" w:type="dxa"/>
            <w:shd w:val="clear" w:color="auto" w:fill="auto"/>
            <w:noWrap/>
            <w:vAlign w:val="center"/>
            <w:hideMark/>
          </w:tcPr>
          <w:p>
            <w:pPr>
              <w:jc w:val="right"/>
              <w:rPr>
                <w:rFonts w:ascii="Times New Roman" w:hAnsi="Times New Roman"/>
              </w:rPr>
            </w:pPr>
            <w:r>
              <w:rPr>
                <w:rFonts w:ascii="Times New Roman" w:hAnsi="Times New Roman"/>
              </w:rPr>
              <w:t>93 352,59</w:t>
            </w:r>
          </w:p>
        </w:tc>
        <w:tc>
          <w:tcPr>
            <w:tcW w:w="1211" w:type="dxa"/>
            <w:shd w:val="clear" w:color="auto" w:fill="auto"/>
            <w:noWrap/>
            <w:vAlign w:val="center"/>
            <w:hideMark/>
          </w:tcPr>
          <w:p>
            <w:pPr>
              <w:jc w:val="right"/>
              <w:rPr>
                <w:rFonts w:ascii="Times New Roman" w:hAnsi="Times New Roman"/>
              </w:rPr>
            </w:pPr>
            <w:r>
              <w:rPr>
                <w:rFonts w:ascii="Times New Roman" w:hAnsi="Times New Roman"/>
              </w:rPr>
              <w:t>114 568,90</w:t>
            </w:r>
          </w:p>
        </w:tc>
      </w:tr>
      <w:tr>
        <w:trPr>
          <w:trHeight w:val="697"/>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«Дорожная деятельность и транспортное обслуживание на территории ЗАТО Северск»</w:t>
            </w:r>
          </w:p>
        </w:tc>
        <w:tc>
          <w:tcPr>
            <w:tcW w:w="1276" w:type="dxa"/>
            <w:shd w:val="clear" w:color="auto" w:fill="auto"/>
            <w:vAlign w:val="center"/>
            <w:hideMark/>
          </w:tcPr>
          <w:p>
            <w:pPr>
              <w:jc w:val="right"/>
              <w:rPr>
                <w:rFonts w:ascii="Times New Roman" w:hAnsi="Times New Roman"/>
              </w:rPr>
            </w:pPr>
            <w:r>
              <w:rPr>
                <w:rFonts w:ascii="Times New Roman" w:hAnsi="Times New Roman"/>
              </w:rPr>
              <w:t> </w:t>
            </w:r>
          </w:p>
        </w:tc>
        <w:tc>
          <w:tcPr>
            <w:tcW w:w="1276" w:type="dxa"/>
            <w:shd w:val="clear" w:color="auto" w:fill="auto"/>
            <w:vAlign w:val="center"/>
            <w:hideMark/>
          </w:tcPr>
          <w:p>
            <w:pPr>
              <w:jc w:val="right"/>
              <w:rPr>
                <w:rFonts w:ascii="Times New Roman" w:hAnsi="Times New Roman"/>
              </w:rPr>
            </w:pPr>
            <w:r>
              <w:rPr>
                <w:rFonts w:ascii="Times New Roman" w:hAnsi="Times New Roman"/>
              </w:rPr>
              <w:t> </w:t>
            </w:r>
          </w:p>
        </w:tc>
        <w:tc>
          <w:tcPr>
            <w:tcW w:w="1275" w:type="dxa"/>
            <w:shd w:val="clear" w:color="auto" w:fill="auto"/>
            <w:noWrap/>
            <w:vAlign w:val="center"/>
            <w:hideMark/>
          </w:tcPr>
          <w:p>
            <w:pPr>
              <w:jc w:val="right"/>
              <w:rPr>
                <w:rFonts w:ascii="Times New Roman" w:hAnsi="Times New Roman"/>
              </w:rPr>
            </w:pPr>
            <w:r>
              <w:rPr>
                <w:rFonts w:ascii="Times New Roman" w:hAnsi="Times New Roman"/>
              </w:rPr>
              <w:t>429 558,44</w:t>
            </w:r>
          </w:p>
        </w:tc>
        <w:tc>
          <w:tcPr>
            <w:tcW w:w="709" w:type="dxa"/>
            <w:shd w:val="clear" w:color="auto" w:fill="auto"/>
            <w:vAlign w:val="center"/>
            <w:hideMark/>
          </w:tcPr>
          <w:p>
            <w:pPr>
              <w:jc w:val="right"/>
              <w:rPr>
                <w:color w:val="000000"/>
              </w:rPr>
            </w:pPr>
            <w:r>
              <w:rPr>
                <w:color w:val="000000"/>
              </w:rPr>
              <w:t> </w:t>
            </w:r>
          </w:p>
        </w:tc>
        <w:tc>
          <w:tcPr>
            <w:tcW w:w="1198" w:type="dxa"/>
            <w:shd w:val="clear" w:color="auto" w:fill="auto"/>
            <w:noWrap/>
            <w:vAlign w:val="center"/>
            <w:hideMark/>
          </w:tcPr>
          <w:p>
            <w:pPr>
              <w:jc w:val="right"/>
              <w:rPr>
                <w:rFonts w:ascii="Times New Roman" w:hAnsi="Times New Roman"/>
              </w:rPr>
            </w:pPr>
            <w:r>
              <w:rPr>
                <w:rFonts w:ascii="Times New Roman" w:hAnsi="Times New Roman"/>
              </w:rPr>
              <w:t>292 510,84</w:t>
            </w:r>
          </w:p>
        </w:tc>
        <w:tc>
          <w:tcPr>
            <w:tcW w:w="1211" w:type="dxa"/>
            <w:shd w:val="clear" w:color="auto" w:fill="auto"/>
            <w:noWrap/>
            <w:vAlign w:val="center"/>
            <w:hideMark/>
          </w:tcPr>
          <w:p>
            <w:pPr>
              <w:jc w:val="right"/>
              <w:rPr>
                <w:rFonts w:ascii="Times New Roman" w:hAnsi="Times New Roman"/>
              </w:rPr>
            </w:pPr>
            <w:r>
              <w:rPr>
                <w:rFonts w:ascii="Times New Roman" w:hAnsi="Times New Roman"/>
              </w:rPr>
              <w:t>286 422,58</w:t>
            </w:r>
          </w:p>
        </w:tc>
      </w:tr>
      <w:tr>
        <w:trPr>
          <w:trHeight w:val="578"/>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«Повышение энергоэффективности в ЗАТО Северск»</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38 838,02  </w:t>
            </w:r>
          </w:p>
        </w:tc>
        <w:tc>
          <w:tcPr>
            <w:tcW w:w="1276" w:type="dxa"/>
            <w:shd w:val="clear" w:color="auto" w:fill="auto"/>
            <w:vAlign w:val="center"/>
            <w:hideMark/>
          </w:tcPr>
          <w:p>
            <w:pPr>
              <w:jc w:val="right"/>
              <w:rPr>
                <w:rFonts w:ascii="Times New Roman" w:hAnsi="Times New Roman"/>
              </w:rPr>
            </w:pPr>
            <w:r>
              <w:rPr>
                <w:rFonts w:ascii="Times New Roman" w:hAnsi="Times New Roman"/>
              </w:rPr>
              <w:t>41 044,06</w:t>
            </w:r>
          </w:p>
        </w:tc>
        <w:tc>
          <w:tcPr>
            <w:tcW w:w="1275" w:type="dxa"/>
            <w:shd w:val="clear" w:color="auto" w:fill="auto"/>
            <w:noWrap/>
            <w:vAlign w:val="center"/>
            <w:hideMark/>
          </w:tcPr>
          <w:p>
            <w:pPr>
              <w:jc w:val="right"/>
              <w:rPr>
                <w:rFonts w:ascii="Times New Roman" w:hAnsi="Times New Roman"/>
              </w:rPr>
            </w:pPr>
            <w:r>
              <w:rPr>
                <w:rFonts w:ascii="Times New Roman" w:hAnsi="Times New Roman"/>
              </w:rPr>
              <w:t>37 514,77</w:t>
            </w:r>
          </w:p>
        </w:tc>
        <w:tc>
          <w:tcPr>
            <w:tcW w:w="709" w:type="dxa"/>
            <w:shd w:val="clear" w:color="auto" w:fill="auto"/>
            <w:vAlign w:val="center"/>
            <w:hideMark/>
          </w:tcPr>
          <w:p>
            <w:pPr>
              <w:jc w:val="right"/>
              <w:rPr>
                <w:color w:val="000000"/>
              </w:rPr>
            </w:pPr>
            <w:r>
              <w:rPr>
                <w:color w:val="000000"/>
              </w:rPr>
              <w:t>91,4</w:t>
            </w:r>
          </w:p>
        </w:tc>
        <w:tc>
          <w:tcPr>
            <w:tcW w:w="1198" w:type="dxa"/>
            <w:shd w:val="clear" w:color="auto" w:fill="auto"/>
            <w:noWrap/>
            <w:vAlign w:val="center"/>
            <w:hideMark/>
          </w:tcPr>
          <w:p>
            <w:pPr>
              <w:jc w:val="right"/>
              <w:rPr>
                <w:rFonts w:ascii="Times New Roman" w:hAnsi="Times New Roman"/>
              </w:rPr>
            </w:pPr>
            <w:r>
              <w:rPr>
                <w:rFonts w:ascii="Times New Roman" w:hAnsi="Times New Roman"/>
              </w:rPr>
              <w:t>15 210,82</w:t>
            </w:r>
          </w:p>
        </w:tc>
        <w:tc>
          <w:tcPr>
            <w:tcW w:w="1211" w:type="dxa"/>
            <w:shd w:val="clear" w:color="auto" w:fill="auto"/>
            <w:noWrap/>
            <w:vAlign w:val="center"/>
            <w:hideMark/>
          </w:tcPr>
          <w:p>
            <w:pPr>
              <w:jc w:val="right"/>
              <w:rPr>
                <w:rFonts w:ascii="Times New Roman" w:hAnsi="Times New Roman"/>
              </w:rPr>
            </w:pPr>
            <w:r>
              <w:rPr>
                <w:rFonts w:ascii="Times New Roman" w:hAnsi="Times New Roman"/>
              </w:rPr>
              <w:t>15 343,93</w:t>
            </w:r>
          </w:p>
        </w:tc>
      </w:tr>
      <w:tr>
        <w:trPr>
          <w:trHeight w:val="645"/>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«Обеспечение доступным и комфортным жильем граждан ЗАТО Северск»</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16 586,09  </w:t>
            </w:r>
          </w:p>
        </w:tc>
        <w:tc>
          <w:tcPr>
            <w:tcW w:w="1276" w:type="dxa"/>
            <w:shd w:val="clear" w:color="auto" w:fill="auto"/>
            <w:vAlign w:val="center"/>
            <w:hideMark/>
          </w:tcPr>
          <w:p>
            <w:pPr>
              <w:jc w:val="right"/>
              <w:rPr>
                <w:rFonts w:ascii="Times New Roman" w:hAnsi="Times New Roman"/>
              </w:rPr>
            </w:pPr>
            <w:r>
              <w:rPr>
                <w:rFonts w:ascii="Times New Roman" w:hAnsi="Times New Roman"/>
              </w:rPr>
              <w:t>16 760,84</w:t>
            </w:r>
          </w:p>
        </w:tc>
        <w:tc>
          <w:tcPr>
            <w:tcW w:w="1275" w:type="dxa"/>
            <w:shd w:val="clear" w:color="auto" w:fill="auto"/>
            <w:noWrap/>
            <w:vAlign w:val="center"/>
            <w:hideMark/>
          </w:tcPr>
          <w:p>
            <w:pPr>
              <w:jc w:val="right"/>
              <w:rPr>
                <w:rFonts w:ascii="Times New Roman" w:hAnsi="Times New Roman"/>
              </w:rPr>
            </w:pPr>
            <w:r>
              <w:rPr>
                <w:rFonts w:ascii="Times New Roman" w:hAnsi="Times New Roman"/>
              </w:rPr>
              <w:t>12 281,99</w:t>
            </w:r>
          </w:p>
        </w:tc>
        <w:tc>
          <w:tcPr>
            <w:tcW w:w="709" w:type="dxa"/>
            <w:shd w:val="clear" w:color="auto" w:fill="auto"/>
            <w:vAlign w:val="center"/>
            <w:hideMark/>
          </w:tcPr>
          <w:p>
            <w:pPr>
              <w:jc w:val="right"/>
              <w:rPr>
                <w:color w:val="000000"/>
              </w:rPr>
            </w:pPr>
            <w:r>
              <w:rPr>
                <w:color w:val="000000"/>
              </w:rPr>
              <w:t>73,3</w:t>
            </w:r>
          </w:p>
        </w:tc>
        <w:tc>
          <w:tcPr>
            <w:tcW w:w="1198" w:type="dxa"/>
            <w:shd w:val="clear" w:color="auto" w:fill="auto"/>
            <w:noWrap/>
            <w:vAlign w:val="center"/>
            <w:hideMark/>
          </w:tcPr>
          <w:p>
            <w:pPr>
              <w:jc w:val="right"/>
              <w:rPr>
                <w:rFonts w:ascii="Times New Roman" w:hAnsi="Times New Roman"/>
              </w:rPr>
            </w:pPr>
            <w:r>
              <w:rPr>
                <w:rFonts w:ascii="Times New Roman" w:hAnsi="Times New Roman"/>
              </w:rPr>
              <w:t>11 374,14</w:t>
            </w:r>
          </w:p>
        </w:tc>
        <w:tc>
          <w:tcPr>
            <w:tcW w:w="1211" w:type="dxa"/>
            <w:shd w:val="clear" w:color="auto" w:fill="auto"/>
            <w:noWrap/>
            <w:vAlign w:val="center"/>
            <w:hideMark/>
          </w:tcPr>
          <w:p>
            <w:pPr>
              <w:jc w:val="right"/>
              <w:rPr>
                <w:rFonts w:ascii="Times New Roman" w:hAnsi="Times New Roman"/>
              </w:rPr>
            </w:pPr>
            <w:r>
              <w:rPr>
                <w:rFonts w:ascii="Times New Roman" w:hAnsi="Times New Roman"/>
              </w:rPr>
              <w:t>10 710,46</w:t>
            </w:r>
          </w:p>
        </w:tc>
      </w:tr>
      <w:tr>
        <w:trPr>
          <w:trHeight w:val="697"/>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«Улучшение жизнедеятельности внегородских территорий ЗАТО Северск»</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42 896,25  </w:t>
            </w:r>
          </w:p>
        </w:tc>
        <w:tc>
          <w:tcPr>
            <w:tcW w:w="1276" w:type="dxa"/>
            <w:shd w:val="clear" w:color="auto" w:fill="auto"/>
            <w:vAlign w:val="center"/>
            <w:hideMark/>
          </w:tcPr>
          <w:p>
            <w:pPr>
              <w:jc w:val="right"/>
              <w:rPr>
                <w:rFonts w:ascii="Times New Roman" w:hAnsi="Times New Roman"/>
              </w:rPr>
            </w:pPr>
            <w:r>
              <w:rPr>
                <w:rFonts w:ascii="Times New Roman" w:hAnsi="Times New Roman"/>
              </w:rPr>
              <w:t>47 291,10</w:t>
            </w:r>
          </w:p>
        </w:tc>
        <w:tc>
          <w:tcPr>
            <w:tcW w:w="1275" w:type="dxa"/>
            <w:shd w:val="clear" w:color="auto" w:fill="auto"/>
            <w:noWrap/>
            <w:vAlign w:val="center"/>
            <w:hideMark/>
          </w:tcPr>
          <w:p>
            <w:pPr>
              <w:jc w:val="right"/>
              <w:rPr>
                <w:rFonts w:ascii="Times New Roman" w:hAnsi="Times New Roman"/>
              </w:rPr>
            </w:pPr>
            <w:r>
              <w:rPr>
                <w:rFonts w:ascii="Times New Roman" w:hAnsi="Times New Roman"/>
              </w:rPr>
              <w:t>44 791,43</w:t>
            </w:r>
          </w:p>
        </w:tc>
        <w:tc>
          <w:tcPr>
            <w:tcW w:w="709" w:type="dxa"/>
            <w:shd w:val="clear" w:color="auto" w:fill="auto"/>
            <w:vAlign w:val="center"/>
            <w:hideMark/>
          </w:tcPr>
          <w:p>
            <w:pPr>
              <w:jc w:val="right"/>
              <w:rPr>
                <w:color w:val="000000"/>
              </w:rPr>
            </w:pPr>
            <w:r>
              <w:rPr>
                <w:color w:val="000000"/>
              </w:rPr>
              <w:t>94,7</w:t>
            </w:r>
          </w:p>
        </w:tc>
        <w:tc>
          <w:tcPr>
            <w:tcW w:w="1198" w:type="dxa"/>
            <w:shd w:val="clear" w:color="auto" w:fill="auto"/>
            <w:noWrap/>
            <w:vAlign w:val="center"/>
            <w:hideMark/>
          </w:tcPr>
          <w:p>
            <w:pPr>
              <w:jc w:val="right"/>
              <w:rPr>
                <w:rFonts w:ascii="Times New Roman" w:hAnsi="Times New Roman"/>
              </w:rPr>
            </w:pPr>
            <w:r>
              <w:rPr>
                <w:rFonts w:ascii="Times New Roman" w:hAnsi="Times New Roman"/>
              </w:rPr>
              <w:t>35 407,34</w:t>
            </w:r>
          </w:p>
        </w:tc>
        <w:tc>
          <w:tcPr>
            <w:tcW w:w="1211" w:type="dxa"/>
            <w:shd w:val="clear" w:color="auto" w:fill="auto"/>
            <w:noWrap/>
            <w:vAlign w:val="center"/>
            <w:hideMark/>
          </w:tcPr>
          <w:p>
            <w:pPr>
              <w:jc w:val="right"/>
              <w:rPr>
                <w:rFonts w:ascii="Times New Roman" w:hAnsi="Times New Roman"/>
              </w:rPr>
            </w:pPr>
            <w:r>
              <w:rPr>
                <w:rFonts w:ascii="Times New Roman" w:hAnsi="Times New Roman"/>
              </w:rPr>
              <w:t>34 811,09</w:t>
            </w:r>
          </w:p>
        </w:tc>
      </w:tr>
      <w:tr>
        <w:trPr>
          <w:trHeight w:val="551"/>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«Обеспечение безопасности населения на территории ЗАТО Северск»</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68 670,37  </w:t>
            </w:r>
          </w:p>
        </w:tc>
        <w:tc>
          <w:tcPr>
            <w:tcW w:w="1276" w:type="dxa"/>
            <w:shd w:val="clear" w:color="auto" w:fill="auto"/>
            <w:vAlign w:val="center"/>
            <w:hideMark/>
          </w:tcPr>
          <w:p>
            <w:pPr>
              <w:jc w:val="right"/>
              <w:rPr>
                <w:rFonts w:ascii="Times New Roman" w:hAnsi="Times New Roman"/>
              </w:rPr>
            </w:pPr>
            <w:r>
              <w:rPr>
                <w:rFonts w:ascii="Times New Roman" w:hAnsi="Times New Roman"/>
              </w:rPr>
              <w:t>70 401,80</w:t>
            </w:r>
          </w:p>
        </w:tc>
        <w:tc>
          <w:tcPr>
            <w:tcW w:w="1275" w:type="dxa"/>
            <w:shd w:val="clear" w:color="auto" w:fill="auto"/>
            <w:noWrap/>
            <w:vAlign w:val="center"/>
            <w:hideMark/>
          </w:tcPr>
          <w:p>
            <w:pPr>
              <w:jc w:val="right"/>
              <w:rPr>
                <w:rFonts w:ascii="Times New Roman" w:hAnsi="Times New Roman"/>
              </w:rPr>
            </w:pPr>
            <w:r>
              <w:rPr>
                <w:rFonts w:ascii="Times New Roman" w:hAnsi="Times New Roman"/>
              </w:rPr>
              <w:t>60 851,64</w:t>
            </w:r>
          </w:p>
        </w:tc>
        <w:tc>
          <w:tcPr>
            <w:tcW w:w="709" w:type="dxa"/>
            <w:shd w:val="clear" w:color="auto" w:fill="auto"/>
            <w:vAlign w:val="center"/>
            <w:hideMark/>
          </w:tcPr>
          <w:p>
            <w:pPr>
              <w:jc w:val="right"/>
              <w:rPr>
                <w:color w:val="000000"/>
              </w:rPr>
            </w:pPr>
            <w:r>
              <w:rPr>
                <w:color w:val="000000"/>
              </w:rPr>
              <w:t>86,4</w:t>
            </w:r>
          </w:p>
        </w:tc>
        <w:tc>
          <w:tcPr>
            <w:tcW w:w="1198" w:type="dxa"/>
            <w:shd w:val="clear" w:color="auto" w:fill="auto"/>
            <w:noWrap/>
            <w:vAlign w:val="center"/>
            <w:hideMark/>
          </w:tcPr>
          <w:p>
            <w:pPr>
              <w:jc w:val="right"/>
              <w:rPr>
                <w:rFonts w:ascii="Times New Roman" w:hAnsi="Times New Roman"/>
              </w:rPr>
            </w:pPr>
            <w:r>
              <w:rPr>
                <w:rFonts w:ascii="Times New Roman" w:hAnsi="Times New Roman"/>
              </w:rPr>
              <w:t>41 071,57</w:t>
            </w:r>
          </w:p>
        </w:tc>
        <w:tc>
          <w:tcPr>
            <w:tcW w:w="1211" w:type="dxa"/>
            <w:shd w:val="clear" w:color="auto" w:fill="auto"/>
            <w:noWrap/>
            <w:vAlign w:val="center"/>
            <w:hideMark/>
          </w:tcPr>
          <w:p>
            <w:pPr>
              <w:jc w:val="right"/>
              <w:rPr>
                <w:rFonts w:ascii="Times New Roman" w:hAnsi="Times New Roman"/>
              </w:rPr>
            </w:pPr>
            <w:r>
              <w:rPr>
                <w:rFonts w:ascii="Times New Roman" w:hAnsi="Times New Roman"/>
              </w:rPr>
              <w:t>42 804,47</w:t>
            </w:r>
          </w:p>
        </w:tc>
      </w:tr>
      <w:tr>
        <w:trPr>
          <w:trHeight w:val="347"/>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МП «Охрана окружающей среды на территории ЗАТО Северск»</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9 428,09  </w:t>
            </w:r>
          </w:p>
        </w:tc>
        <w:tc>
          <w:tcPr>
            <w:tcW w:w="1276" w:type="dxa"/>
            <w:shd w:val="clear" w:color="auto" w:fill="auto"/>
            <w:vAlign w:val="center"/>
            <w:hideMark/>
          </w:tcPr>
          <w:p>
            <w:pPr>
              <w:jc w:val="right"/>
              <w:rPr>
                <w:rFonts w:ascii="Times New Roman" w:hAnsi="Times New Roman"/>
              </w:rPr>
            </w:pPr>
            <w:r>
              <w:rPr>
                <w:rFonts w:ascii="Times New Roman" w:hAnsi="Times New Roman"/>
              </w:rPr>
              <w:t>7 264,36</w:t>
            </w:r>
          </w:p>
        </w:tc>
        <w:tc>
          <w:tcPr>
            <w:tcW w:w="1275" w:type="dxa"/>
            <w:shd w:val="clear" w:color="auto" w:fill="auto"/>
            <w:noWrap/>
            <w:vAlign w:val="center"/>
            <w:hideMark/>
          </w:tcPr>
          <w:p>
            <w:pPr>
              <w:jc w:val="right"/>
              <w:rPr>
                <w:rFonts w:ascii="Times New Roman" w:hAnsi="Times New Roman"/>
              </w:rPr>
            </w:pPr>
            <w:r>
              <w:rPr>
                <w:rFonts w:ascii="Times New Roman" w:hAnsi="Times New Roman"/>
              </w:rPr>
              <w:t>1 324,15</w:t>
            </w:r>
          </w:p>
        </w:tc>
        <w:tc>
          <w:tcPr>
            <w:tcW w:w="709" w:type="dxa"/>
            <w:shd w:val="clear" w:color="auto" w:fill="auto"/>
            <w:vAlign w:val="center"/>
            <w:hideMark/>
          </w:tcPr>
          <w:p>
            <w:pPr>
              <w:jc w:val="right"/>
              <w:rPr>
                <w:color w:val="000000"/>
              </w:rPr>
            </w:pPr>
            <w:r>
              <w:rPr>
                <w:color w:val="000000"/>
              </w:rPr>
              <w:t>18,2</w:t>
            </w:r>
          </w:p>
        </w:tc>
        <w:tc>
          <w:tcPr>
            <w:tcW w:w="1198" w:type="dxa"/>
            <w:shd w:val="clear" w:color="auto" w:fill="auto"/>
            <w:noWrap/>
            <w:vAlign w:val="center"/>
            <w:hideMark/>
          </w:tcPr>
          <w:p>
            <w:pPr>
              <w:jc w:val="right"/>
              <w:rPr>
                <w:rFonts w:ascii="Times New Roman" w:hAnsi="Times New Roman"/>
              </w:rPr>
            </w:pPr>
            <w:r>
              <w:rPr>
                <w:rFonts w:ascii="Times New Roman" w:hAnsi="Times New Roman"/>
              </w:rPr>
              <w:t>1 230,15</w:t>
            </w:r>
          </w:p>
        </w:tc>
        <w:tc>
          <w:tcPr>
            <w:tcW w:w="1211" w:type="dxa"/>
            <w:shd w:val="clear" w:color="auto" w:fill="auto"/>
            <w:noWrap/>
            <w:vAlign w:val="center"/>
            <w:hideMark/>
          </w:tcPr>
          <w:p>
            <w:pPr>
              <w:jc w:val="right"/>
              <w:rPr>
                <w:rFonts w:ascii="Times New Roman" w:hAnsi="Times New Roman"/>
              </w:rPr>
            </w:pPr>
            <w:r>
              <w:rPr>
                <w:rFonts w:ascii="Times New Roman" w:hAnsi="Times New Roman"/>
              </w:rPr>
              <w:t>1 230,15</w:t>
            </w:r>
          </w:p>
        </w:tc>
      </w:tr>
      <w:tr>
        <w:trPr>
          <w:trHeight w:val="495"/>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 xml:space="preserve">МП «Формирование современной городской среды ЗАТО Северск» </w:t>
            </w:r>
            <w:r>
              <w:rPr>
                <w:rFonts w:ascii="Times New Roman" w:hAnsi="Times New Roman"/>
                <w:color w:val="000000"/>
                <w:sz w:val="18"/>
                <w:szCs w:val="18"/>
              </w:rPr>
              <w:br/>
            </w:r>
            <w:r>
              <w:rPr>
                <w:rFonts w:ascii="Times New Roman" w:hAnsi="Times New Roman"/>
                <w:b/>
                <w:bCs/>
                <w:color w:val="000000"/>
                <w:sz w:val="18"/>
                <w:szCs w:val="18"/>
              </w:rPr>
              <w:t>(продолжена реализация)</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2 177,38  </w:t>
            </w:r>
          </w:p>
        </w:tc>
        <w:tc>
          <w:tcPr>
            <w:tcW w:w="1276" w:type="dxa"/>
            <w:shd w:val="clear" w:color="auto" w:fill="auto"/>
            <w:vAlign w:val="center"/>
            <w:hideMark/>
          </w:tcPr>
          <w:p>
            <w:pPr>
              <w:jc w:val="right"/>
              <w:rPr>
                <w:rFonts w:ascii="Times New Roman" w:hAnsi="Times New Roman"/>
              </w:rPr>
            </w:pPr>
            <w:r>
              <w:rPr>
                <w:rFonts w:ascii="Times New Roman" w:hAnsi="Times New Roman"/>
              </w:rPr>
              <w:t>114 461,19</w:t>
            </w:r>
          </w:p>
        </w:tc>
        <w:tc>
          <w:tcPr>
            <w:tcW w:w="1275" w:type="dxa"/>
            <w:shd w:val="clear" w:color="auto" w:fill="auto"/>
            <w:noWrap/>
            <w:vAlign w:val="center"/>
            <w:hideMark/>
          </w:tcPr>
          <w:p>
            <w:pPr>
              <w:jc w:val="right"/>
              <w:rPr>
                <w:rFonts w:ascii="Times New Roman" w:hAnsi="Times New Roman"/>
              </w:rPr>
            </w:pPr>
            <w:r>
              <w:rPr>
                <w:rFonts w:ascii="Times New Roman" w:hAnsi="Times New Roman"/>
              </w:rPr>
              <w:t>9 022,23</w:t>
            </w:r>
          </w:p>
        </w:tc>
        <w:tc>
          <w:tcPr>
            <w:tcW w:w="709" w:type="dxa"/>
            <w:shd w:val="clear" w:color="auto" w:fill="auto"/>
            <w:vAlign w:val="center"/>
            <w:hideMark/>
          </w:tcPr>
          <w:p>
            <w:pPr>
              <w:jc w:val="right"/>
              <w:rPr>
                <w:color w:val="000000"/>
              </w:rPr>
            </w:pPr>
            <w:r>
              <w:rPr>
                <w:color w:val="000000"/>
              </w:rPr>
              <w:t>7,9</w:t>
            </w:r>
          </w:p>
        </w:tc>
        <w:tc>
          <w:tcPr>
            <w:tcW w:w="1198" w:type="dxa"/>
            <w:shd w:val="clear" w:color="auto" w:fill="auto"/>
            <w:noWrap/>
            <w:vAlign w:val="center"/>
            <w:hideMark/>
          </w:tcPr>
          <w:p>
            <w:pPr>
              <w:jc w:val="right"/>
              <w:rPr>
                <w:rFonts w:ascii="Times New Roman" w:hAnsi="Times New Roman"/>
              </w:rPr>
            </w:pPr>
            <w:r>
              <w:rPr>
                <w:rFonts w:ascii="Times New Roman" w:hAnsi="Times New Roman"/>
              </w:rPr>
              <w:t>4 522,23</w:t>
            </w:r>
          </w:p>
        </w:tc>
        <w:tc>
          <w:tcPr>
            <w:tcW w:w="1211" w:type="dxa"/>
            <w:shd w:val="clear" w:color="auto" w:fill="auto"/>
            <w:noWrap/>
            <w:vAlign w:val="center"/>
            <w:hideMark/>
          </w:tcPr>
          <w:p>
            <w:pPr>
              <w:jc w:val="right"/>
              <w:rPr>
                <w:rFonts w:ascii="Times New Roman" w:hAnsi="Times New Roman"/>
              </w:rPr>
            </w:pPr>
            <w:r>
              <w:rPr>
                <w:rFonts w:ascii="Times New Roman" w:hAnsi="Times New Roman"/>
              </w:rPr>
              <w:t>4 522,23</w:t>
            </w:r>
          </w:p>
        </w:tc>
      </w:tr>
      <w:tr>
        <w:trPr>
          <w:trHeight w:val="1142"/>
        </w:trPr>
        <w:tc>
          <w:tcPr>
            <w:tcW w:w="2835" w:type="dxa"/>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 xml:space="preserve">Программа «Комплексное развитие систем коммунальной и инженерной инфраструктуры ЗАТО Северск» на 2013 год и на перспективу до 2035 года </w:t>
            </w:r>
            <w:r>
              <w:rPr>
                <w:rFonts w:ascii="Times New Roman" w:hAnsi="Times New Roman"/>
                <w:b/>
                <w:bCs/>
                <w:color w:val="000000"/>
                <w:sz w:val="18"/>
                <w:szCs w:val="18"/>
              </w:rPr>
              <w:t>(продолжена реализация)</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13 154,14  </w:t>
            </w:r>
          </w:p>
        </w:tc>
        <w:tc>
          <w:tcPr>
            <w:tcW w:w="1276" w:type="dxa"/>
            <w:shd w:val="clear" w:color="auto" w:fill="auto"/>
            <w:vAlign w:val="center"/>
            <w:hideMark/>
          </w:tcPr>
          <w:p>
            <w:pPr>
              <w:jc w:val="right"/>
              <w:rPr>
                <w:rFonts w:ascii="Times New Roman" w:hAnsi="Times New Roman"/>
              </w:rPr>
            </w:pPr>
            <w:r>
              <w:rPr>
                <w:rFonts w:ascii="Times New Roman" w:hAnsi="Times New Roman"/>
              </w:rPr>
              <w:t>12 884,55</w:t>
            </w:r>
          </w:p>
        </w:tc>
        <w:tc>
          <w:tcPr>
            <w:tcW w:w="1275" w:type="dxa"/>
            <w:shd w:val="clear" w:color="auto" w:fill="auto"/>
            <w:noWrap/>
            <w:vAlign w:val="center"/>
            <w:hideMark/>
          </w:tcPr>
          <w:p>
            <w:pPr>
              <w:jc w:val="right"/>
              <w:rPr>
                <w:rFonts w:ascii="Times New Roman" w:hAnsi="Times New Roman"/>
              </w:rPr>
            </w:pPr>
            <w:r>
              <w:rPr>
                <w:rFonts w:ascii="Times New Roman" w:hAnsi="Times New Roman"/>
              </w:rPr>
              <w:t>4 341,78</w:t>
            </w:r>
          </w:p>
        </w:tc>
        <w:tc>
          <w:tcPr>
            <w:tcW w:w="709" w:type="dxa"/>
            <w:shd w:val="clear" w:color="auto" w:fill="auto"/>
            <w:vAlign w:val="center"/>
            <w:hideMark/>
          </w:tcPr>
          <w:p>
            <w:pPr>
              <w:jc w:val="right"/>
              <w:rPr>
                <w:color w:val="000000"/>
              </w:rPr>
            </w:pPr>
            <w:r>
              <w:rPr>
                <w:color w:val="000000"/>
              </w:rPr>
              <w:t>33,7</w:t>
            </w:r>
          </w:p>
        </w:tc>
        <w:tc>
          <w:tcPr>
            <w:tcW w:w="1198" w:type="dxa"/>
            <w:shd w:val="clear" w:color="auto" w:fill="auto"/>
            <w:noWrap/>
            <w:vAlign w:val="center"/>
            <w:hideMark/>
          </w:tcPr>
          <w:p>
            <w:pPr>
              <w:jc w:val="right"/>
              <w:rPr>
                <w:rFonts w:ascii="Times New Roman" w:hAnsi="Times New Roman"/>
              </w:rPr>
            </w:pPr>
            <w:r>
              <w:rPr>
                <w:rFonts w:ascii="Times New Roman" w:hAnsi="Times New Roman"/>
              </w:rPr>
              <w:t>71 316,24</w:t>
            </w:r>
          </w:p>
        </w:tc>
        <w:tc>
          <w:tcPr>
            <w:tcW w:w="1211" w:type="dxa"/>
            <w:shd w:val="clear" w:color="auto" w:fill="auto"/>
            <w:noWrap/>
            <w:vAlign w:val="center"/>
            <w:hideMark/>
          </w:tcPr>
          <w:p>
            <w:pPr>
              <w:jc w:val="right"/>
              <w:rPr>
                <w:rFonts w:ascii="Times New Roman" w:hAnsi="Times New Roman"/>
              </w:rPr>
            </w:pPr>
            <w:r>
              <w:rPr>
                <w:rFonts w:ascii="Times New Roman" w:hAnsi="Times New Roman"/>
              </w:rPr>
              <w:t> </w:t>
            </w:r>
          </w:p>
        </w:tc>
      </w:tr>
    </w:tbl>
    <w:p>
      <w:pPr>
        <w:pStyle w:val="aff1"/>
        <w:spacing w:after="120"/>
        <w:ind w:left="0" w:firstLine="709"/>
        <w:jc w:val="center"/>
        <w:rPr>
          <w:rFonts w:ascii="Times New Roman" w:hAnsi="Times New Roman"/>
          <w:b/>
          <w:sz w:val="24"/>
          <w:szCs w:val="24"/>
        </w:rPr>
      </w:pPr>
    </w:p>
    <w:p>
      <w:pPr>
        <w:pStyle w:val="aff1"/>
        <w:spacing w:after="120"/>
        <w:ind w:left="0" w:firstLine="709"/>
        <w:jc w:val="center"/>
        <w:rPr>
          <w:rFonts w:ascii="Times New Roman" w:hAnsi="Times New Roman"/>
          <w:b/>
          <w:sz w:val="24"/>
          <w:szCs w:val="24"/>
        </w:rPr>
      </w:pPr>
      <w:r>
        <w:rPr>
          <w:rFonts w:ascii="Times New Roman" w:hAnsi="Times New Roman"/>
          <w:b/>
          <w:sz w:val="24"/>
          <w:szCs w:val="24"/>
        </w:rPr>
        <w:t xml:space="preserve">2.7.2.1. МП «Улучшение качественного состояния объектов </w:t>
      </w:r>
    </w:p>
    <w:p>
      <w:pPr>
        <w:pStyle w:val="aff1"/>
        <w:spacing w:after="120"/>
        <w:ind w:left="0" w:firstLine="709"/>
        <w:jc w:val="center"/>
        <w:rPr>
          <w:rFonts w:ascii="Times New Roman" w:hAnsi="Times New Roman"/>
          <w:b/>
          <w:sz w:val="24"/>
          <w:szCs w:val="24"/>
        </w:rPr>
      </w:pPr>
      <w:r>
        <w:rPr>
          <w:rFonts w:ascii="Times New Roman" w:hAnsi="Times New Roman"/>
          <w:b/>
          <w:sz w:val="24"/>
          <w:szCs w:val="24"/>
        </w:rPr>
        <w:t>благоустройства и озеленения города Северска»</w:t>
      </w:r>
    </w:p>
    <w:p>
      <w:pPr>
        <w:tabs>
          <w:tab w:val="left" w:pos="709"/>
        </w:tabs>
        <w:ind w:firstLine="709"/>
        <w:jc w:val="both"/>
        <w:rPr>
          <w:rFonts w:ascii="Times New Roman" w:hAnsi="Times New Roman"/>
          <w:sz w:val="24"/>
          <w:szCs w:val="24"/>
        </w:rPr>
      </w:pPr>
      <w:r>
        <w:rPr>
          <w:rFonts w:ascii="Times New Roman" w:hAnsi="Times New Roman"/>
          <w:sz w:val="24"/>
          <w:szCs w:val="24"/>
        </w:rPr>
        <w:t>Финансовое обеспечение по МП «Улучшение качественного состояния объектов благоустройства и озеленения города Северска» предусмотрено на 2021 год в объеме 130 700,61 тыс.руб., на 2022 год – 93 352,59 тыс.руб., на 2023 год – 114 568,90 тыс.руб.</w:t>
      </w:r>
    </w:p>
    <w:p>
      <w:pPr>
        <w:ind w:firstLine="709"/>
        <w:jc w:val="both"/>
        <w:rPr>
          <w:rFonts w:ascii="Times New Roman" w:hAnsi="Times New Roman"/>
          <w:sz w:val="24"/>
          <w:szCs w:val="24"/>
        </w:rPr>
      </w:pPr>
      <w:r>
        <w:rPr>
          <w:rFonts w:ascii="Times New Roman" w:hAnsi="Times New Roman"/>
          <w:sz w:val="24"/>
          <w:szCs w:val="24"/>
        </w:rPr>
        <w:t xml:space="preserve">Цель МП: </w:t>
      </w:r>
      <w:r>
        <w:rPr>
          <w:rFonts w:ascii="Times New Roman" w:eastAsia="Calibri" w:hAnsi="Times New Roman"/>
          <w:bCs/>
          <w:sz w:val="24"/>
          <w:szCs w:val="24"/>
          <w:lang w:eastAsia="en-US"/>
        </w:rPr>
        <w:t>Формирование благоприятной, комфортной и безопасной среды для проживания и жизнедеятельности населения города Северска</w:t>
      </w:r>
      <w:r>
        <w:rPr>
          <w:rFonts w:ascii="Times New Roman" w:hAnsi="Times New Roman"/>
          <w:sz w:val="24"/>
          <w:szCs w:val="24"/>
        </w:rPr>
        <w:t>.</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Управление жилищно-коммунального хозяйства, транспорта и связи.</w:t>
      </w:r>
    </w:p>
    <w:p>
      <w:pPr>
        <w:ind w:firstLine="709"/>
        <w:jc w:val="both"/>
        <w:rPr>
          <w:rFonts w:ascii="Times New Roman" w:hAnsi="Times New Roman"/>
          <w:sz w:val="24"/>
          <w:szCs w:val="24"/>
        </w:rPr>
      </w:pPr>
      <w:r>
        <w:rPr>
          <w:rFonts w:ascii="Times New Roman" w:hAnsi="Times New Roman"/>
          <w:sz w:val="24"/>
          <w:szCs w:val="24"/>
        </w:rPr>
        <w:t>Соисполнители и (или) участники: УКС Администрации ЗАТО Северск.</w:t>
      </w:r>
    </w:p>
    <w:p>
      <w:pPr>
        <w:autoSpaceDE w:val="0"/>
        <w:autoSpaceDN w:val="0"/>
        <w:adjustRightInd w:val="0"/>
        <w:spacing w:before="120" w:after="120"/>
        <w:ind w:firstLine="709"/>
        <w:jc w:val="both"/>
        <w:rPr>
          <w:rFonts w:ascii="Times New Roman" w:eastAsia="Calibri" w:hAnsi="Times New Roman"/>
          <w:sz w:val="24"/>
          <w:szCs w:val="24"/>
          <w:lang w:eastAsia="en-US"/>
        </w:rPr>
      </w:pPr>
    </w:p>
    <w:p>
      <w:pPr>
        <w:autoSpaceDE w:val="0"/>
        <w:autoSpaceDN w:val="0"/>
        <w:adjustRightInd w:val="0"/>
        <w:spacing w:before="120" w:after="120"/>
        <w:ind w:firstLine="709"/>
        <w:jc w:val="both"/>
        <w:rPr>
          <w:rFonts w:ascii="Times New Roman" w:eastAsia="Calibri" w:hAnsi="Times New Roman"/>
          <w:sz w:val="24"/>
          <w:szCs w:val="24"/>
          <w:lang w:eastAsia="en-US"/>
        </w:rPr>
      </w:pPr>
    </w:p>
    <w:p>
      <w:pPr>
        <w:autoSpaceDE w:val="0"/>
        <w:autoSpaceDN w:val="0"/>
        <w:adjustRightInd w:val="0"/>
        <w:spacing w:before="120" w:after="120"/>
        <w:ind w:firstLine="709"/>
        <w:jc w:val="both"/>
        <w:rPr>
          <w:rFonts w:ascii="Times New Roman" w:eastAsia="Calibri" w:hAnsi="Times New Roman"/>
          <w:sz w:val="24"/>
          <w:szCs w:val="24"/>
          <w:lang w:eastAsia="en-US"/>
        </w:rPr>
      </w:pPr>
    </w:p>
    <w:p>
      <w:pPr>
        <w:autoSpaceDE w:val="0"/>
        <w:autoSpaceDN w:val="0"/>
        <w:adjustRightInd w:val="0"/>
        <w:spacing w:before="120" w:after="120"/>
        <w:ind w:firstLine="709"/>
        <w:jc w:val="both"/>
        <w:rPr>
          <w:rFonts w:ascii="Times New Roman" w:eastAsia="Calibri" w:hAnsi="Times New Roman"/>
          <w:sz w:val="24"/>
          <w:szCs w:val="24"/>
          <w:lang w:eastAsia="en-US"/>
        </w:rPr>
      </w:pPr>
    </w:p>
    <w:p>
      <w:pPr>
        <w:autoSpaceDE w:val="0"/>
        <w:autoSpaceDN w:val="0"/>
        <w:adjustRightInd w:val="0"/>
        <w:spacing w:before="120" w:after="12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Таблица 54 – Целевые индикаторы МП </w:t>
      </w:r>
      <w:r>
        <w:rPr>
          <w:rFonts w:ascii="Times New Roman" w:hAnsi="Times New Roman"/>
          <w:sz w:val="24"/>
          <w:szCs w:val="24"/>
        </w:rPr>
        <w:t>«Улучшение качественного состояния объектов благоустройства и озеленения города Северска»</w:t>
      </w:r>
    </w:p>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1134"/>
        <w:gridCol w:w="1134"/>
        <w:gridCol w:w="1135"/>
        <w:gridCol w:w="1135"/>
      </w:tblGrid>
      <w:tr>
        <w:trPr>
          <w:trHeight w:val="850"/>
        </w:trPr>
        <w:tc>
          <w:tcPr>
            <w:tcW w:w="4962"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rPr>
            </w:pPr>
            <w:r>
              <w:rPr>
                <w:rFonts w:ascii="Times New Roman" w:hAnsi="Times New Roman"/>
              </w:rPr>
              <w:t xml:space="preserve">Наименование целевых индикаторов </w:t>
            </w:r>
          </w:p>
          <w:p>
            <w:pPr>
              <w:jc w:val="center"/>
              <w:rPr>
                <w:rFonts w:ascii="Times New Roman" w:hAnsi="Times New Roman"/>
              </w:rPr>
            </w:pPr>
            <w:r>
              <w:rPr>
                <w:rFonts w:ascii="Times New Roman" w:hAnsi="Times New Roman"/>
              </w:rPr>
              <w:t xml:space="preserve">результативности программы </w:t>
            </w:r>
          </w:p>
        </w:tc>
        <w:tc>
          <w:tcPr>
            <w:tcW w:w="1134" w:type="dxa"/>
            <w:tcBorders>
              <w:top w:val="single" w:sz="4" w:space="0" w:color="auto"/>
              <w:left w:val="single" w:sz="4" w:space="0" w:color="auto"/>
              <w:right w:val="single" w:sz="4" w:space="0" w:color="auto"/>
            </w:tcBorders>
            <w:shd w:val="clear" w:color="auto" w:fill="FFFFFF"/>
            <w:vAlign w:val="center"/>
          </w:tcPr>
          <w:p>
            <w:pPr>
              <w:jc w:val="center"/>
            </w:pPr>
            <w:r>
              <w:t>Оценка</w:t>
            </w:r>
          </w:p>
          <w:p>
            <w:pPr>
              <w:jc w:val="center"/>
            </w:pPr>
            <w:r>
              <w:t>2020 года</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ind w:left="-57" w:right="-57"/>
              <w:jc w:val="center"/>
              <w:rPr>
                <w:rFonts w:ascii="Times New Roman" w:hAnsi="Times New Roman"/>
                <w:b/>
              </w:rPr>
            </w:pPr>
            <w:r>
              <w:rPr>
                <w:rFonts w:ascii="Times New Roman" w:hAnsi="Times New Roman"/>
              </w:rPr>
              <w:t>Прогноз 2021 года</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ind w:left="-57" w:right="-57"/>
              <w:jc w:val="center"/>
              <w:rPr>
                <w:rFonts w:ascii="Times New Roman" w:hAnsi="Times New Roman"/>
                <w:b/>
              </w:rPr>
            </w:pPr>
            <w:r>
              <w:rPr>
                <w:rFonts w:ascii="Times New Roman" w:hAnsi="Times New Roman"/>
              </w:rPr>
              <w:t>Прогноз 2022 года</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b/>
              </w:rPr>
            </w:pPr>
            <w:r>
              <w:rPr>
                <w:rFonts w:ascii="Times New Roman" w:hAnsi="Times New Roman"/>
              </w:rPr>
              <w:t>Прогноз 2023 года</w:t>
            </w:r>
          </w:p>
        </w:tc>
      </w:tr>
      <w:tr>
        <w:trPr>
          <w:trHeight w:val="756"/>
        </w:trPr>
        <w:tc>
          <w:tcPr>
            <w:tcW w:w="4962" w:type="dxa"/>
            <w:tcBorders>
              <w:top w:val="single" w:sz="4" w:space="0" w:color="000000"/>
              <w:left w:val="single" w:sz="4" w:space="0" w:color="auto"/>
              <w:bottom w:val="single" w:sz="4" w:space="0" w:color="auto"/>
              <w:right w:val="single" w:sz="4" w:space="0" w:color="auto"/>
            </w:tcBorders>
            <w:shd w:val="clear" w:color="auto" w:fill="FFFFFF"/>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1. Количество выданных за год предписаний надзорных органов, направленных на улучшение санитарного состояния города Северска, ед.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pPr>
              <w:autoSpaceDE w:val="0"/>
              <w:autoSpaceDN w:val="0"/>
              <w:adjustRightInd w:val="0"/>
              <w:jc w:val="center"/>
              <w:rPr>
                <w:rFonts w:ascii="Times New Roman" w:eastAsia="Calibri" w:hAnsi="Times New Roman"/>
                <w:sz w:val="21"/>
                <w:szCs w:val="21"/>
                <w:lang w:eastAsia="en-US"/>
              </w:rPr>
            </w:pPr>
            <w:r>
              <w:rPr>
                <w:rFonts w:ascii="Times New Roman" w:eastAsia="Calibri" w:hAnsi="Times New Roman"/>
                <w:sz w:val="21"/>
                <w:szCs w:val="21"/>
                <w:lang w:eastAsia="en-US"/>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autoSpaceDE w:val="0"/>
              <w:autoSpaceDN w:val="0"/>
              <w:adjustRightInd w:val="0"/>
              <w:jc w:val="center"/>
              <w:rPr>
                <w:rFonts w:ascii="Times New Roman" w:eastAsia="Calibri" w:hAnsi="Times New Roman"/>
                <w:sz w:val="21"/>
                <w:szCs w:val="21"/>
                <w:lang w:eastAsia="en-US"/>
              </w:rPr>
            </w:pPr>
            <w:r>
              <w:rPr>
                <w:rFonts w:ascii="Times New Roman" w:eastAsia="Calibri" w:hAnsi="Times New Roman"/>
                <w:sz w:val="21"/>
                <w:szCs w:val="21"/>
                <w:lang w:eastAsia="en-US"/>
              </w:rPr>
              <w:t>4</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autoSpaceDE w:val="0"/>
              <w:autoSpaceDN w:val="0"/>
              <w:adjustRightInd w:val="0"/>
              <w:jc w:val="center"/>
              <w:rPr>
                <w:rFonts w:ascii="Times New Roman" w:eastAsia="Calibri" w:hAnsi="Times New Roman"/>
                <w:sz w:val="21"/>
                <w:szCs w:val="21"/>
                <w:lang w:eastAsia="en-US"/>
              </w:rPr>
            </w:pPr>
            <w:r>
              <w:rPr>
                <w:rFonts w:ascii="Times New Roman" w:eastAsia="Calibri" w:hAnsi="Times New Roman"/>
                <w:sz w:val="21"/>
                <w:szCs w:val="21"/>
                <w:lang w:eastAsia="en-US"/>
              </w:rPr>
              <w:t>4</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pPr>
              <w:autoSpaceDE w:val="0"/>
              <w:autoSpaceDN w:val="0"/>
              <w:adjustRightInd w:val="0"/>
              <w:jc w:val="center"/>
              <w:rPr>
                <w:rFonts w:ascii="Times New Roman" w:eastAsia="Calibri" w:hAnsi="Times New Roman"/>
                <w:sz w:val="21"/>
                <w:szCs w:val="21"/>
                <w:lang w:eastAsia="en-US"/>
              </w:rPr>
            </w:pPr>
            <w:r>
              <w:rPr>
                <w:rFonts w:ascii="Times New Roman" w:eastAsia="Calibri" w:hAnsi="Times New Roman"/>
                <w:sz w:val="21"/>
                <w:szCs w:val="21"/>
                <w:lang w:eastAsia="en-US"/>
              </w:rPr>
              <w:t>3</w:t>
            </w:r>
          </w:p>
        </w:tc>
      </w:tr>
      <w:tr>
        <w:trPr>
          <w:trHeight w:val="312"/>
        </w:trPr>
        <w:tc>
          <w:tcPr>
            <w:tcW w:w="4962" w:type="dxa"/>
            <w:tcBorders>
              <w:top w:val="nil"/>
              <w:left w:val="single" w:sz="4" w:space="0" w:color="auto"/>
              <w:bottom w:val="single" w:sz="4" w:space="0" w:color="auto"/>
              <w:right w:val="single" w:sz="4" w:space="0" w:color="auto"/>
            </w:tcBorders>
            <w:shd w:val="clear" w:color="auto" w:fill="FFFFFF"/>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2. Количество обращений жителей города в ландшафтную комиссию с целью сноса и формовочной обрезки деревьев на территории города Северска, ед.</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Fonts w:ascii="Times New Roman" w:hAnsi="Times New Roman"/>
                <w:sz w:val="21"/>
                <w:szCs w:val="21"/>
              </w:rPr>
            </w:pPr>
            <w:r>
              <w:rPr>
                <w:rFonts w:ascii="Times New Roman" w:hAnsi="Times New Roman"/>
                <w:sz w:val="21"/>
                <w:szCs w:val="21"/>
              </w:rPr>
              <w:t>560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1"/>
                <w:szCs w:val="21"/>
              </w:rPr>
            </w:pPr>
            <w:r>
              <w:rPr>
                <w:rFonts w:ascii="Times New Roman" w:hAnsi="Times New Roman"/>
                <w:sz w:val="21"/>
                <w:szCs w:val="21"/>
              </w:rPr>
              <w:t>530</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1"/>
                <w:szCs w:val="21"/>
              </w:rPr>
            </w:pPr>
            <w:r>
              <w:rPr>
                <w:rFonts w:ascii="Times New Roman" w:hAnsi="Times New Roman"/>
                <w:sz w:val="21"/>
                <w:szCs w:val="21"/>
              </w:rPr>
              <w:t>500</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pPr>
              <w:jc w:val="center"/>
              <w:rPr>
                <w:rFonts w:ascii="Times New Roman" w:hAnsi="Times New Roman"/>
                <w:sz w:val="21"/>
                <w:szCs w:val="21"/>
              </w:rPr>
            </w:pPr>
            <w:r>
              <w:rPr>
                <w:rFonts w:ascii="Times New Roman" w:hAnsi="Times New Roman"/>
                <w:sz w:val="21"/>
                <w:szCs w:val="21"/>
              </w:rPr>
              <w:t>470</w:t>
            </w:r>
          </w:p>
        </w:tc>
      </w:tr>
      <w:tr>
        <w:trPr>
          <w:trHeight w:val="312"/>
        </w:trPr>
        <w:tc>
          <w:tcPr>
            <w:tcW w:w="4962"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3. Доля объектов с обновленными элементами благоустройства относительно общего количества объектов, подлежащих обновлению (нарастающим итогом),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Fonts w:ascii="Times New Roman" w:hAnsi="Times New Roman"/>
                <w:sz w:val="21"/>
                <w:szCs w:val="21"/>
              </w:rPr>
            </w:pPr>
            <w:r>
              <w:rPr>
                <w:rFonts w:ascii="Times New Roman" w:hAnsi="Times New Roman"/>
                <w:sz w:val="21"/>
                <w:szCs w:val="21"/>
              </w:rPr>
              <w:t>12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1"/>
                <w:szCs w:val="21"/>
              </w:rPr>
            </w:pPr>
            <w:r>
              <w:rPr>
                <w:rFonts w:ascii="Times New Roman" w:hAnsi="Times New Roman"/>
                <w:sz w:val="21"/>
                <w:szCs w:val="21"/>
              </w:rPr>
              <w:t>24</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1"/>
                <w:szCs w:val="21"/>
              </w:rPr>
            </w:pPr>
            <w:r>
              <w:rPr>
                <w:rFonts w:ascii="Times New Roman" w:hAnsi="Times New Roman"/>
                <w:sz w:val="21"/>
                <w:szCs w:val="21"/>
              </w:rPr>
              <w:t>36</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pPr>
              <w:jc w:val="center"/>
              <w:rPr>
                <w:rFonts w:ascii="Times New Roman" w:hAnsi="Times New Roman"/>
                <w:sz w:val="21"/>
                <w:szCs w:val="21"/>
              </w:rPr>
            </w:pPr>
            <w:r>
              <w:rPr>
                <w:rFonts w:ascii="Times New Roman" w:hAnsi="Times New Roman"/>
                <w:sz w:val="21"/>
                <w:szCs w:val="21"/>
              </w:rPr>
              <w:t>48</w:t>
            </w:r>
          </w:p>
        </w:tc>
      </w:tr>
      <w:tr>
        <w:trPr>
          <w:trHeight w:val="585"/>
        </w:trPr>
        <w:tc>
          <w:tcPr>
            <w:tcW w:w="4962"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4. Доля жителей, удовлетворенных благоустройством города Северска от числа участников онлайн-опросов на официальных интернет-ресурсах ЗАТО Северск</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Fonts w:ascii="Times New Roman" w:hAnsi="Times New Roman"/>
                <w:sz w:val="21"/>
                <w:szCs w:val="21"/>
              </w:rPr>
            </w:pPr>
            <w:r>
              <w:rPr>
                <w:rFonts w:ascii="Times New Roman" w:hAnsi="Times New Roman"/>
                <w:sz w:val="21"/>
                <w:szCs w:val="21"/>
              </w:rPr>
              <w:t>40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1"/>
                <w:szCs w:val="21"/>
              </w:rPr>
            </w:pPr>
            <w:r>
              <w:rPr>
                <w:rFonts w:ascii="Times New Roman" w:hAnsi="Times New Roman"/>
                <w:sz w:val="21"/>
                <w:szCs w:val="21"/>
              </w:rPr>
              <w:t>40</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1"/>
                <w:szCs w:val="21"/>
              </w:rPr>
            </w:pPr>
            <w:r>
              <w:rPr>
                <w:rFonts w:ascii="Times New Roman" w:hAnsi="Times New Roman"/>
                <w:sz w:val="21"/>
                <w:szCs w:val="21"/>
              </w:rPr>
              <w:t>40</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pPr>
              <w:jc w:val="center"/>
              <w:rPr>
                <w:rFonts w:ascii="Times New Roman" w:hAnsi="Times New Roman"/>
                <w:sz w:val="21"/>
                <w:szCs w:val="21"/>
              </w:rPr>
            </w:pPr>
            <w:r>
              <w:rPr>
                <w:rFonts w:ascii="Times New Roman" w:hAnsi="Times New Roman"/>
                <w:sz w:val="21"/>
                <w:szCs w:val="21"/>
              </w:rPr>
              <w:t>40</w:t>
            </w:r>
          </w:p>
        </w:tc>
      </w:tr>
    </w:tbl>
    <w:p>
      <w:pPr>
        <w:autoSpaceDE w:val="0"/>
        <w:autoSpaceDN w:val="0"/>
        <w:adjustRightInd w:val="0"/>
        <w:spacing w:before="120" w:after="12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МП </w:t>
      </w:r>
      <w:r>
        <w:rPr>
          <w:rFonts w:ascii="Times New Roman" w:hAnsi="Times New Roman"/>
          <w:sz w:val="24"/>
          <w:szCs w:val="24"/>
        </w:rPr>
        <w:t xml:space="preserve">«Улучшение качественного состояния объектов благоустройства и озеленения города Северска» </w:t>
      </w:r>
      <w:r>
        <w:rPr>
          <w:rFonts w:ascii="Times New Roman" w:eastAsia="Calibri" w:hAnsi="Times New Roman"/>
          <w:sz w:val="24"/>
          <w:szCs w:val="24"/>
          <w:lang w:eastAsia="en-US"/>
        </w:rPr>
        <w:t>реализуется в рамках 4 подпрограмм.</w:t>
      </w:r>
    </w:p>
    <w:p>
      <w:pPr>
        <w:spacing w:after="120"/>
        <w:ind w:firstLine="709"/>
        <w:jc w:val="both"/>
        <w:rPr>
          <w:rFonts w:ascii="Times New Roman" w:hAnsi="Times New Roman"/>
          <w:sz w:val="24"/>
          <w:szCs w:val="24"/>
        </w:rPr>
      </w:pPr>
      <w:r>
        <w:rPr>
          <w:rFonts w:ascii="Times New Roman" w:hAnsi="Times New Roman"/>
          <w:sz w:val="24"/>
          <w:szCs w:val="24"/>
        </w:rPr>
        <w:t>Таблица 55 - Объем финансового обеспечения МП «Улучшение качественного состояния объектов благоустройства и озеленения города Северска»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5670"/>
        <w:gridCol w:w="1418"/>
        <w:gridCol w:w="1276"/>
        <w:gridCol w:w="1134"/>
      </w:tblGrid>
      <w:tr>
        <w:trPr>
          <w:trHeight w:val="266"/>
        </w:trPr>
        <w:tc>
          <w:tcPr>
            <w:tcW w:w="567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center"/>
              <w:rPr>
                <w:rFonts w:ascii="Times New Roman" w:hAnsi="Times New Roman"/>
              </w:rPr>
            </w:pPr>
            <w:r>
              <w:rPr>
                <w:rFonts w:ascii="Times New Roman" w:hAnsi="Times New Roman"/>
              </w:rPr>
              <w:t>Наименование</w:t>
            </w:r>
          </w:p>
        </w:tc>
        <w:tc>
          <w:tcPr>
            <w:tcW w:w="1418" w:type="dxa"/>
            <w:vMerge w:val="restart"/>
            <w:tcBorders>
              <w:top w:val="single" w:sz="4" w:space="0" w:color="auto"/>
              <w:left w:val="single" w:sz="4" w:space="0" w:color="auto"/>
              <w:right w:val="single" w:sz="4" w:space="0" w:color="auto"/>
            </w:tcBorders>
            <w:shd w:val="clear" w:color="auto" w:fill="FFFFFF" w:themeFill="background1"/>
            <w:vAlign w:val="center"/>
            <w:hideMark/>
          </w:tcPr>
          <w:p>
            <w:pPr>
              <w:ind w:left="-57" w:right="-57"/>
              <w:jc w:val="center"/>
              <w:rPr>
                <w:rFonts w:ascii="Times New Roman" w:hAnsi="Times New Roman"/>
              </w:rPr>
            </w:pPr>
            <w:r>
              <w:rPr>
                <w:rFonts w:ascii="Times New Roman" w:hAnsi="Times New Roman"/>
              </w:rPr>
              <w:t>Прогноз</w:t>
            </w:r>
          </w:p>
          <w:p>
            <w:pPr>
              <w:ind w:left="-57" w:right="-57"/>
              <w:jc w:val="center"/>
              <w:rPr>
                <w:rFonts w:ascii="Times New Roman" w:hAnsi="Times New Roman"/>
                <w:b/>
              </w:rPr>
            </w:pPr>
            <w:r>
              <w:rPr>
                <w:rFonts w:ascii="Times New Roman" w:hAnsi="Times New Roman"/>
              </w:rPr>
              <w:t>2021 года</w:t>
            </w:r>
            <w:r>
              <w:rPr>
                <w:rFonts w:ascii="Times New Roman" w:hAnsi="Times New Roman"/>
                <w:b/>
              </w:rPr>
              <w:t>,</w:t>
            </w:r>
          </w:p>
          <w:p>
            <w:pPr>
              <w:jc w:val="center"/>
              <w:rPr>
                <w:rFonts w:ascii="Times New Roman" w:hAnsi="Times New Roman"/>
                <w:b/>
              </w:rPr>
            </w:pPr>
            <w:r>
              <w:rPr>
                <w:rFonts w:ascii="Times New Roman" w:hAnsi="Times New Roman"/>
              </w:rPr>
              <w:t>тыс.руб.</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ind w:left="-57" w:right="-57"/>
              <w:jc w:val="center"/>
              <w:rPr>
                <w:rFonts w:ascii="Times New Roman" w:hAnsi="Times New Roman"/>
              </w:rPr>
            </w:pPr>
            <w:r>
              <w:rPr>
                <w:rFonts w:ascii="Times New Roman" w:hAnsi="Times New Roman"/>
              </w:rPr>
              <w:t>Прогноз</w:t>
            </w:r>
          </w:p>
          <w:p>
            <w:pPr>
              <w:ind w:left="-57" w:right="-57"/>
              <w:jc w:val="center"/>
              <w:rPr>
                <w:rFonts w:ascii="Times New Roman" w:hAnsi="Times New Roman"/>
                <w:b/>
              </w:rPr>
            </w:pPr>
            <w:r>
              <w:rPr>
                <w:rFonts w:ascii="Times New Roman" w:hAnsi="Times New Roman"/>
              </w:rPr>
              <w:t>2022 года</w:t>
            </w:r>
            <w:r>
              <w:rPr>
                <w:rFonts w:ascii="Times New Roman" w:hAnsi="Times New Roman"/>
                <w:b/>
              </w:rPr>
              <w:t>,</w:t>
            </w:r>
          </w:p>
          <w:p>
            <w:pPr>
              <w:ind w:left="-57" w:right="-57"/>
              <w:jc w:val="center"/>
              <w:rPr>
                <w:rFonts w:ascii="Times New Roman" w:hAnsi="Times New Roman"/>
                <w:b/>
              </w:rPr>
            </w:pPr>
            <w:r>
              <w:rPr>
                <w:rFonts w:ascii="Times New Roman" w:hAnsi="Times New Roman"/>
              </w:rPr>
              <w:t>тыс.руб.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ind w:left="-57" w:right="-57"/>
              <w:jc w:val="center"/>
              <w:rPr>
                <w:rFonts w:ascii="Times New Roman" w:hAnsi="Times New Roman"/>
              </w:rPr>
            </w:pPr>
            <w:r>
              <w:rPr>
                <w:rFonts w:ascii="Times New Roman" w:hAnsi="Times New Roman"/>
              </w:rPr>
              <w:t>Прогноз 2023 года,</w:t>
            </w:r>
          </w:p>
          <w:p>
            <w:pPr>
              <w:ind w:left="-57" w:right="-57"/>
              <w:jc w:val="center"/>
              <w:rPr>
                <w:rFonts w:ascii="Times New Roman" w:hAnsi="Times New Roman"/>
                <w:b/>
              </w:rPr>
            </w:pPr>
            <w:r>
              <w:rPr>
                <w:rFonts w:ascii="Times New Roman" w:hAnsi="Times New Roman"/>
              </w:rPr>
              <w:t>тыс.руб.</w:t>
            </w:r>
          </w:p>
        </w:tc>
      </w:tr>
      <w:tr>
        <w:trPr>
          <w:trHeight w:val="564"/>
        </w:trPr>
        <w:tc>
          <w:tcPr>
            <w:tcW w:w="567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rPr>
                <w:rFonts w:ascii="Times New Roman" w:hAnsi="Times New Roman"/>
                <w:highlight w:val="yellow"/>
              </w:rPr>
            </w:pPr>
          </w:p>
        </w:tc>
        <w:tc>
          <w:tcPr>
            <w:tcW w:w="1418" w:type="dxa"/>
            <w:vMerge/>
            <w:tcBorders>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center"/>
              <w:rPr>
                <w:rFonts w:ascii="Times New Roman" w:hAnsi="Times New Roman"/>
                <w:b/>
                <w:highlight w:val="yellow"/>
              </w:rPr>
            </w:pPr>
          </w:p>
        </w:tc>
        <w:tc>
          <w:tcPr>
            <w:tcW w:w="11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center"/>
              <w:rPr>
                <w:rFonts w:ascii="Times New Roman" w:hAnsi="Times New Roman"/>
                <w:b/>
                <w:highlight w:val="yellow"/>
              </w:rPr>
            </w:pPr>
          </w:p>
        </w:tc>
      </w:tr>
      <w:tr>
        <w:trPr>
          <w:trHeight w:val="252"/>
        </w:trPr>
        <w:tc>
          <w:tcPr>
            <w:tcW w:w="5670"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shd w:val="clear" w:color="auto" w:fill="FFFFFF" w:themeFill="background1"/>
              <w:autoSpaceDE w:val="0"/>
              <w:autoSpaceDN w:val="0"/>
              <w:adjustRightInd w:val="0"/>
              <w:rPr>
                <w:rFonts w:ascii="Times New Roman" w:hAnsi="Times New Roman"/>
                <w:highlight w:val="yellow"/>
              </w:rPr>
            </w:pPr>
            <w:r>
              <w:rPr>
                <w:rFonts w:ascii="Times New Roman" w:hAnsi="Times New Roman"/>
              </w:rPr>
              <w:t>Всего по МП</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130 700,61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93 352,59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hd w:val="clear" w:color="auto" w:fill="FFFFFF" w:themeFill="background1"/>
              <w:jc w:val="right"/>
              <w:rPr>
                <w:rFonts w:ascii="Times New Roman" w:hAnsi="Times New Roman"/>
              </w:rPr>
            </w:pPr>
            <w:r>
              <w:rPr>
                <w:rFonts w:ascii="Times New Roman" w:hAnsi="Times New Roman"/>
              </w:rPr>
              <w:t>114 568,90</w:t>
            </w:r>
          </w:p>
        </w:tc>
      </w:tr>
      <w:tr>
        <w:trPr>
          <w:trHeight w:val="252"/>
        </w:trPr>
        <w:tc>
          <w:tcPr>
            <w:tcW w:w="5670"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shd w:val="clear" w:color="auto" w:fill="FFFFFF" w:themeFill="background1"/>
              <w:autoSpaceDE w:val="0"/>
              <w:autoSpaceDN w:val="0"/>
              <w:adjustRightInd w:val="0"/>
              <w:rPr>
                <w:rFonts w:ascii="Times New Roman" w:hAnsi="Times New Roman"/>
                <w:highlight w:val="yellow"/>
              </w:rPr>
            </w:pPr>
            <w:r>
              <w:rPr>
                <w:rFonts w:ascii="Times New Roman" w:eastAsia="Calibri" w:hAnsi="Times New Roman"/>
                <w:lang w:eastAsia="en-US"/>
              </w:rPr>
              <w:t xml:space="preserve">Подпрограмма 1 «Озеленение города Северска», </w:t>
            </w:r>
          </w:p>
        </w:tc>
        <w:tc>
          <w:tcPr>
            <w:tcW w:w="1418" w:type="dxa"/>
            <w:tcBorders>
              <w:top w:val="single" w:sz="4" w:space="0" w:color="auto"/>
              <w:left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16 952,84</w:t>
            </w:r>
          </w:p>
        </w:tc>
        <w:tc>
          <w:tcPr>
            <w:tcW w:w="1276" w:type="dxa"/>
            <w:tcBorders>
              <w:top w:val="single" w:sz="4" w:space="0" w:color="auto"/>
              <w:left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16 800,70</w:t>
            </w:r>
          </w:p>
        </w:tc>
        <w:tc>
          <w:tcPr>
            <w:tcW w:w="1134" w:type="dxa"/>
            <w:tcBorders>
              <w:top w:val="single" w:sz="4" w:space="0" w:color="auto"/>
              <w:left w:val="single" w:sz="4" w:space="0" w:color="auto"/>
              <w:right w:val="single" w:sz="4" w:space="0" w:color="auto"/>
            </w:tcBorders>
            <w:shd w:val="clear" w:color="auto" w:fill="auto"/>
            <w:noWrap/>
            <w:vAlign w:val="center"/>
            <w:hideMark/>
          </w:tcPr>
          <w:p>
            <w:pPr>
              <w:shd w:val="clear" w:color="auto" w:fill="FFFFFF" w:themeFill="background1"/>
              <w:jc w:val="right"/>
              <w:rPr>
                <w:rFonts w:ascii="Times New Roman" w:hAnsi="Times New Roman"/>
              </w:rPr>
            </w:pPr>
            <w:r>
              <w:rPr>
                <w:rFonts w:ascii="Times New Roman" w:hAnsi="Times New Roman"/>
              </w:rPr>
              <w:t>17 036,68</w:t>
            </w:r>
          </w:p>
        </w:tc>
      </w:tr>
      <w:tr>
        <w:trPr>
          <w:trHeight w:val="272"/>
        </w:trPr>
        <w:tc>
          <w:tcPr>
            <w:tcW w:w="5670" w:type="dxa"/>
            <w:tcBorders>
              <w:top w:val="nil"/>
              <w:left w:val="single" w:sz="4" w:space="0" w:color="auto"/>
              <w:bottom w:val="single" w:sz="4" w:space="0" w:color="auto"/>
              <w:right w:val="single" w:sz="4" w:space="0" w:color="auto"/>
            </w:tcBorders>
            <w:shd w:val="clear" w:color="auto" w:fill="auto"/>
            <w:vAlign w:val="center"/>
            <w:hideMark/>
          </w:tcPr>
          <w:p>
            <w:pPr>
              <w:shd w:val="clear" w:color="auto" w:fill="FFFFFF" w:themeFill="background1"/>
              <w:autoSpaceDE w:val="0"/>
              <w:autoSpaceDN w:val="0"/>
              <w:adjustRightInd w:val="0"/>
              <w:rPr>
                <w:rFonts w:ascii="Times New Roman" w:eastAsia="Calibri" w:hAnsi="Times New Roman"/>
                <w:lang w:eastAsia="en-US"/>
              </w:rPr>
            </w:pPr>
            <w:r>
              <w:rPr>
                <w:rFonts w:ascii="Times New Roman" w:eastAsia="Calibri" w:hAnsi="Times New Roman"/>
                <w:lang w:eastAsia="en-US"/>
              </w:rPr>
              <w:t>Подпрограмма 2 «Благоустройство города Северска»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56 829,10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23 947,98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hd w:val="clear" w:color="auto" w:fill="FFFFFF" w:themeFill="background1"/>
              <w:jc w:val="right"/>
              <w:rPr>
                <w:rFonts w:ascii="Times New Roman" w:hAnsi="Times New Roman"/>
              </w:rPr>
            </w:pPr>
            <w:r>
              <w:rPr>
                <w:rFonts w:ascii="Times New Roman" w:hAnsi="Times New Roman"/>
              </w:rPr>
              <w:t>25 075,76</w:t>
            </w:r>
          </w:p>
        </w:tc>
      </w:tr>
      <w:tr>
        <w:trPr>
          <w:trHeight w:val="312"/>
        </w:trPr>
        <w:tc>
          <w:tcPr>
            <w:tcW w:w="5670" w:type="dxa"/>
            <w:tcBorders>
              <w:top w:val="nil"/>
              <w:left w:val="single" w:sz="4" w:space="0" w:color="auto"/>
              <w:bottom w:val="single" w:sz="4" w:space="0" w:color="auto"/>
              <w:right w:val="single" w:sz="4" w:space="0" w:color="auto"/>
            </w:tcBorders>
            <w:shd w:val="clear" w:color="auto" w:fill="auto"/>
            <w:vAlign w:val="center"/>
            <w:hideMark/>
          </w:tcPr>
          <w:p>
            <w:pPr>
              <w:shd w:val="clear" w:color="auto" w:fill="FFFFFF" w:themeFill="background1"/>
              <w:autoSpaceDE w:val="0"/>
              <w:autoSpaceDN w:val="0"/>
              <w:adjustRightInd w:val="0"/>
              <w:ind w:right="-250"/>
              <w:rPr>
                <w:rFonts w:ascii="Times New Roman" w:eastAsia="Calibri" w:hAnsi="Times New Roman"/>
                <w:lang w:eastAsia="en-US"/>
              </w:rPr>
            </w:pPr>
            <w:r>
              <w:rPr>
                <w:rFonts w:ascii="Times New Roman" w:eastAsia="Calibri" w:hAnsi="Times New Roman"/>
                <w:lang w:eastAsia="en-US"/>
              </w:rPr>
              <w:t xml:space="preserve">          ВЦП «Текущее содержание и ремонт объектов благоустройства города Северска»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49 566,12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17 685,01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hd w:val="clear" w:color="auto" w:fill="FFFFFF" w:themeFill="background1"/>
              <w:jc w:val="right"/>
              <w:rPr>
                <w:rFonts w:ascii="Times New Roman" w:hAnsi="Times New Roman"/>
              </w:rPr>
            </w:pPr>
            <w:r>
              <w:rPr>
                <w:rFonts w:ascii="Times New Roman" w:hAnsi="Times New Roman"/>
              </w:rPr>
              <w:t>17 812,78</w:t>
            </w:r>
          </w:p>
        </w:tc>
      </w:tr>
      <w:tr>
        <w:trPr>
          <w:trHeight w:val="312"/>
        </w:trPr>
        <w:tc>
          <w:tcPr>
            <w:tcW w:w="5670" w:type="dxa"/>
            <w:tcBorders>
              <w:top w:val="nil"/>
              <w:left w:val="single" w:sz="4" w:space="0" w:color="auto"/>
              <w:bottom w:val="single" w:sz="4" w:space="0" w:color="auto"/>
              <w:right w:val="single" w:sz="4" w:space="0" w:color="auto"/>
            </w:tcBorders>
            <w:shd w:val="clear" w:color="auto" w:fill="auto"/>
            <w:vAlign w:val="center"/>
            <w:hideMark/>
          </w:tcPr>
          <w:p>
            <w:pPr>
              <w:shd w:val="clear" w:color="auto" w:fill="FFFFFF" w:themeFill="background1"/>
              <w:autoSpaceDE w:val="0"/>
              <w:autoSpaceDN w:val="0"/>
              <w:adjustRightInd w:val="0"/>
              <w:rPr>
                <w:rFonts w:ascii="Times New Roman" w:eastAsia="Calibri" w:hAnsi="Times New Roman"/>
                <w:lang w:eastAsia="en-US"/>
              </w:rPr>
            </w:pPr>
            <w:r>
              <w:rPr>
                <w:rFonts w:ascii="Times New Roman" w:eastAsia="Calibri" w:hAnsi="Times New Roman"/>
                <w:lang w:eastAsia="en-US"/>
              </w:rPr>
              <w:t xml:space="preserve">          ВЦП «Проведение мероприятий для обеспечения безопасных и комфортных условий проживания на территории города Северска»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7 262,98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6 262,97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hd w:val="clear" w:color="auto" w:fill="FFFFFF" w:themeFill="background1"/>
              <w:jc w:val="right"/>
              <w:rPr>
                <w:rFonts w:ascii="Times New Roman" w:hAnsi="Times New Roman"/>
              </w:rPr>
            </w:pPr>
            <w:r>
              <w:rPr>
                <w:rFonts w:ascii="Times New Roman" w:hAnsi="Times New Roman"/>
              </w:rPr>
              <w:t>7 262,98</w:t>
            </w:r>
          </w:p>
        </w:tc>
      </w:tr>
      <w:tr>
        <w:trPr>
          <w:trHeight w:val="598"/>
        </w:trPr>
        <w:tc>
          <w:tcPr>
            <w:tcW w:w="5670" w:type="dxa"/>
            <w:tcBorders>
              <w:top w:val="nil"/>
              <w:left w:val="single" w:sz="4" w:space="0" w:color="auto"/>
              <w:bottom w:val="single" w:sz="4" w:space="0" w:color="auto"/>
              <w:right w:val="single" w:sz="4" w:space="0" w:color="auto"/>
            </w:tcBorders>
            <w:shd w:val="clear" w:color="auto" w:fill="auto"/>
            <w:vAlign w:val="center"/>
            <w:hideMark/>
          </w:tcPr>
          <w:p>
            <w:pPr>
              <w:shd w:val="clear" w:color="auto" w:fill="FFFFFF" w:themeFill="background1"/>
              <w:autoSpaceDE w:val="0"/>
              <w:autoSpaceDN w:val="0"/>
              <w:adjustRightInd w:val="0"/>
              <w:ind w:right="-250"/>
              <w:rPr>
                <w:rFonts w:ascii="Times New Roman" w:eastAsia="Calibri" w:hAnsi="Times New Roman"/>
                <w:lang w:eastAsia="en-US"/>
              </w:rPr>
            </w:pPr>
            <w:r>
              <w:rPr>
                <w:rFonts w:ascii="Times New Roman" w:eastAsia="Calibri" w:hAnsi="Times New Roman"/>
                <w:lang w:eastAsia="en-US"/>
              </w:rPr>
              <w:t>Подпрограмма 3 «Создание комфортной среды в местах массового посещения на территории города Северска»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25 000,00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20 630,88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shd w:val="clear" w:color="auto" w:fill="FFFFFF" w:themeFill="background1"/>
              <w:jc w:val="right"/>
              <w:rPr>
                <w:rFonts w:ascii="Times New Roman" w:hAnsi="Times New Roman"/>
              </w:rPr>
            </w:pPr>
            <w:r>
              <w:rPr>
                <w:rFonts w:ascii="Times New Roman" w:hAnsi="Times New Roman"/>
              </w:rPr>
              <w:t>40 352,53</w:t>
            </w:r>
          </w:p>
        </w:tc>
      </w:tr>
      <w:tr>
        <w:trPr>
          <w:trHeight w:val="499"/>
        </w:trPr>
        <w:tc>
          <w:tcPr>
            <w:tcW w:w="5670" w:type="dxa"/>
            <w:tcBorders>
              <w:top w:val="single" w:sz="4" w:space="0" w:color="auto"/>
              <w:left w:val="single" w:sz="4" w:space="0" w:color="auto"/>
              <w:right w:val="single" w:sz="4" w:space="0" w:color="auto"/>
            </w:tcBorders>
            <w:shd w:val="clear" w:color="auto" w:fill="auto"/>
            <w:vAlign w:val="center"/>
            <w:hideMark/>
          </w:tcPr>
          <w:p>
            <w:pPr>
              <w:shd w:val="clear" w:color="auto" w:fill="FFFFFF" w:themeFill="background1"/>
              <w:autoSpaceDE w:val="0"/>
              <w:autoSpaceDN w:val="0"/>
              <w:adjustRightInd w:val="0"/>
              <w:ind w:right="-250"/>
              <w:rPr>
                <w:rFonts w:ascii="Times New Roman" w:eastAsia="Calibri" w:hAnsi="Times New Roman"/>
                <w:lang w:eastAsia="en-US"/>
              </w:rPr>
            </w:pPr>
            <w:r>
              <w:rPr>
                <w:rFonts w:ascii="Times New Roman" w:eastAsia="Calibri" w:hAnsi="Times New Roman"/>
                <w:lang w:eastAsia="en-US"/>
              </w:rPr>
              <w:t xml:space="preserve">Подпрограмма </w:t>
            </w:r>
            <w:r>
              <w:t>4</w:t>
            </w:r>
            <w:r>
              <w:rPr>
                <w:rFonts w:ascii="Times New Roman" w:eastAsia="Calibri" w:hAnsi="Times New Roman"/>
                <w:lang w:eastAsia="en-US"/>
              </w:rPr>
              <w:t xml:space="preserve"> «Обеспечивающая подпрограмма» </w:t>
            </w:r>
          </w:p>
          <w:p>
            <w:pPr>
              <w:shd w:val="clear" w:color="auto" w:fill="FFFFFF" w:themeFill="background1"/>
              <w:autoSpaceDE w:val="0"/>
              <w:autoSpaceDN w:val="0"/>
              <w:adjustRightInd w:val="0"/>
              <w:ind w:right="-250"/>
              <w:rPr>
                <w:rFonts w:ascii="Times New Roman" w:eastAsia="Calibri" w:hAnsi="Times New Roman"/>
                <w:lang w:eastAsia="en-US"/>
              </w:rPr>
            </w:pPr>
            <w:r>
              <w:rPr>
                <w:rFonts w:ascii="Times New Roman" w:eastAsia="Calibri" w:hAnsi="Times New Roman"/>
                <w:lang w:eastAsia="en-US"/>
              </w:rPr>
              <w:t>(УЖКХ ТиС)</w:t>
            </w:r>
          </w:p>
        </w:tc>
        <w:tc>
          <w:tcPr>
            <w:tcW w:w="1418" w:type="dxa"/>
            <w:tcBorders>
              <w:top w:val="single" w:sz="4" w:space="0" w:color="auto"/>
              <w:left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31 918,67</w:t>
            </w:r>
          </w:p>
        </w:tc>
        <w:tc>
          <w:tcPr>
            <w:tcW w:w="1276" w:type="dxa"/>
            <w:tcBorders>
              <w:top w:val="single" w:sz="4" w:space="0" w:color="auto"/>
              <w:left w:val="single" w:sz="4" w:space="0" w:color="auto"/>
              <w:right w:val="single" w:sz="4" w:space="0" w:color="auto"/>
            </w:tcBorders>
            <w:shd w:val="clear" w:color="auto" w:fill="auto"/>
            <w:vAlign w:val="center"/>
            <w:hideMark/>
          </w:tcPr>
          <w:p>
            <w:pPr>
              <w:shd w:val="clear" w:color="auto" w:fill="FFFFFF" w:themeFill="background1"/>
              <w:jc w:val="right"/>
              <w:rPr>
                <w:rFonts w:ascii="Times New Roman" w:hAnsi="Times New Roman"/>
              </w:rPr>
            </w:pPr>
            <w:r>
              <w:rPr>
                <w:rFonts w:ascii="Times New Roman" w:hAnsi="Times New Roman"/>
              </w:rPr>
              <w:t>31 973,03</w:t>
            </w:r>
          </w:p>
        </w:tc>
        <w:tc>
          <w:tcPr>
            <w:tcW w:w="1134" w:type="dxa"/>
            <w:tcBorders>
              <w:top w:val="single" w:sz="4" w:space="0" w:color="auto"/>
              <w:left w:val="single" w:sz="4" w:space="0" w:color="auto"/>
              <w:right w:val="single" w:sz="4" w:space="0" w:color="auto"/>
            </w:tcBorders>
            <w:shd w:val="clear" w:color="auto" w:fill="auto"/>
            <w:noWrap/>
            <w:vAlign w:val="center"/>
            <w:hideMark/>
          </w:tcPr>
          <w:p>
            <w:pPr>
              <w:shd w:val="clear" w:color="auto" w:fill="FFFFFF" w:themeFill="background1"/>
              <w:jc w:val="right"/>
              <w:rPr>
                <w:rFonts w:ascii="Times New Roman" w:hAnsi="Times New Roman"/>
              </w:rPr>
            </w:pPr>
            <w:r>
              <w:rPr>
                <w:rFonts w:ascii="Times New Roman" w:hAnsi="Times New Roman"/>
              </w:rPr>
              <w:t>32 103,93</w:t>
            </w:r>
          </w:p>
        </w:tc>
      </w:tr>
    </w:tbl>
    <w:p>
      <w:pPr>
        <w:shd w:val="clear" w:color="auto" w:fill="FFFFFF" w:themeFill="background1"/>
        <w:ind w:firstLine="709"/>
        <w:jc w:val="both"/>
        <w:rPr>
          <w:rFonts w:ascii="Times New Roman" w:hAnsi="Times New Roman"/>
          <w:sz w:val="16"/>
          <w:szCs w:val="16"/>
          <w:highlight w:val="yellow"/>
        </w:rPr>
      </w:pPr>
    </w:p>
    <w:p>
      <w:pPr>
        <w:shd w:val="clear" w:color="auto" w:fill="FFFFFF" w:themeFill="background1"/>
        <w:ind w:firstLine="709"/>
        <w:jc w:val="both"/>
        <w:rPr>
          <w:rFonts w:ascii="Times New Roman" w:eastAsia="Calibri" w:hAnsi="Times New Roman"/>
          <w:sz w:val="24"/>
          <w:szCs w:val="24"/>
          <w:lang w:eastAsia="en-US"/>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МП </w:t>
      </w:r>
      <w:r>
        <w:rPr>
          <w:rFonts w:ascii="Times New Roman" w:hAnsi="Times New Roman"/>
          <w:sz w:val="24"/>
          <w:szCs w:val="24"/>
        </w:rPr>
        <w:t xml:space="preserve">«Улучшение качественного состояния объектов благоустройства и озеленения города Северска» </w:t>
      </w:r>
      <w:r>
        <w:rPr>
          <w:rFonts w:ascii="Times New Roman" w:eastAsia="Calibri" w:hAnsi="Times New Roman"/>
          <w:sz w:val="24"/>
          <w:szCs w:val="24"/>
          <w:lang w:eastAsia="en-US"/>
        </w:rPr>
        <w:t xml:space="preserve">составит 130 700,61 тыс.руб. </w:t>
      </w:r>
    </w:p>
    <w:p>
      <w:pPr>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В разрезе по подпрограммам:</w:t>
      </w:r>
    </w:p>
    <w:p>
      <w:pPr>
        <w:shd w:val="clear" w:color="auto" w:fill="FFFFFF" w:themeFill="background1"/>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По подпрограмме 1 «Озеленение города Северска» предусмотрены расходы в сумме 16 952,84 тыс.руб. на реализацию мероприятий по сносу, формовочной обрезке, содержанию газонов, клумб, живой изгороди и посадке зеленых насаждений.</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По подпрограмме 2 «Благоустройство города Северска» предусмотрены расходы в сумме 56 829,10 тыс.руб. на реализацию следующих мероприятий: </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благоустройство внутриквартальных территорий ЗАТО Северск в сумме 30 000,00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выполнение МЗ (ликвидация несанкционированных свалок) в сумме 9 728,04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работы по праздничному оформлению территории ЗАТО Северск в сумме 6 001,55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содержание животных без владельцев за счет средств областного бюджета в сумме 4 807,20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организация и содержание мест захоронения на территории ЗАТО Северск в сумме 1 983,76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работы по поднятию и перевозке трупов умерших и погибших граждан в сумме 1 455,77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противоклещевая обработка и дератизация территории г.Северска в сумме 1 000,01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содержание территории пляжа и водоснабжение питьевого фонтанчика на пляже в сумме 732,66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обустройство 12 контейнерных площадок в сумме 557,50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ремонт памятников в сумме 272,61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проведение конкурса «Северский дворик» в сумме 265,00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эвакуация брошенного автотранспорта в сумме 25,00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По подпрограмме 3 «Создание комфортной среды в местах массового посещения на территории города Северска» предусмотрены расходы в сумме 25 000,00 тыс.руб. </w:t>
      </w:r>
      <w:r>
        <w:rPr>
          <w:sz w:val="24"/>
          <w:szCs w:val="24"/>
        </w:rPr>
        <w:t xml:space="preserve">на </w:t>
      </w:r>
      <w:r>
        <w:rPr>
          <w:rFonts w:ascii="Times New Roman" w:eastAsia="Calibri" w:hAnsi="Times New Roman"/>
          <w:sz w:val="24"/>
          <w:szCs w:val="24"/>
          <w:lang w:eastAsia="en-US"/>
        </w:rPr>
        <w:t>строительство муниципального общественного кладбища в г.Северске.</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По подпрограмме 4 «Обеспечивающая подпрограмма» предусмотрены расходы на содержание УЖКХ ТиС. </w:t>
      </w:r>
    </w:p>
    <w:p>
      <w:pPr>
        <w:autoSpaceDE w:val="0"/>
        <w:autoSpaceDN w:val="0"/>
        <w:adjustRightInd w:val="0"/>
        <w:ind w:firstLine="540"/>
        <w:jc w:val="center"/>
        <w:rPr>
          <w:rFonts w:ascii="Times New Roman" w:eastAsia="Calibri" w:hAnsi="Times New Roman"/>
          <w:b/>
          <w:sz w:val="24"/>
          <w:szCs w:val="24"/>
          <w:lang w:eastAsia="en-US"/>
        </w:rPr>
      </w:pPr>
    </w:p>
    <w:p>
      <w:pPr>
        <w:autoSpaceDE w:val="0"/>
        <w:autoSpaceDN w:val="0"/>
        <w:adjustRightInd w:val="0"/>
        <w:ind w:firstLine="540"/>
        <w:jc w:val="center"/>
        <w:rPr>
          <w:rFonts w:ascii="Times New Roman" w:eastAsia="Calibri" w:hAnsi="Times New Roman"/>
          <w:b/>
          <w:sz w:val="24"/>
          <w:szCs w:val="24"/>
          <w:lang w:eastAsia="en-US"/>
        </w:rPr>
      </w:pPr>
      <w:r>
        <w:rPr>
          <w:rFonts w:ascii="Times New Roman" w:eastAsia="Calibri" w:hAnsi="Times New Roman"/>
          <w:b/>
          <w:sz w:val="24"/>
          <w:szCs w:val="24"/>
          <w:lang w:eastAsia="en-US"/>
        </w:rPr>
        <w:t>2.7.2.2. Муниципальная программа «Дорожная деятельность и транспортное обслуживание на территории ЗАТО Северск»</w:t>
      </w:r>
    </w:p>
    <w:p>
      <w:pPr>
        <w:autoSpaceDE w:val="0"/>
        <w:autoSpaceDN w:val="0"/>
        <w:adjustRightInd w:val="0"/>
        <w:ind w:firstLine="540"/>
        <w:jc w:val="center"/>
        <w:rPr>
          <w:rFonts w:ascii="Times New Roman" w:eastAsia="Calibri" w:hAnsi="Times New Roman"/>
          <w:b/>
          <w:sz w:val="24"/>
          <w:szCs w:val="24"/>
          <w:lang w:eastAsia="en-US"/>
        </w:rPr>
      </w:pPr>
    </w:p>
    <w:p>
      <w:pPr>
        <w:autoSpaceDE w:val="0"/>
        <w:autoSpaceDN w:val="0"/>
        <w:adjustRightInd w:val="0"/>
        <w:ind w:firstLine="540"/>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Общий объем расходов на реализацию МП</w:t>
      </w:r>
      <w:r>
        <w:rPr>
          <w:rFonts w:ascii="Times New Roman" w:eastAsia="Calibri" w:hAnsi="Times New Roman"/>
          <w:b/>
          <w:sz w:val="24"/>
          <w:szCs w:val="24"/>
          <w:lang w:eastAsia="en-US"/>
        </w:rPr>
        <w:t xml:space="preserve"> </w:t>
      </w:r>
      <w:r>
        <w:rPr>
          <w:rFonts w:ascii="Times New Roman" w:eastAsia="Calibri" w:hAnsi="Times New Roman"/>
          <w:sz w:val="24"/>
          <w:szCs w:val="24"/>
          <w:lang w:eastAsia="en-US"/>
        </w:rPr>
        <w:t>«Дорожная деятельность и транспортное обслуживание на территории ЗАТО Северск»</w:t>
      </w:r>
      <w:r>
        <w:rPr>
          <w:rFonts w:ascii="Times New Roman" w:eastAsia="Calibri" w:hAnsi="Times New Roman"/>
          <w:b/>
          <w:sz w:val="24"/>
          <w:szCs w:val="24"/>
          <w:lang w:eastAsia="en-US"/>
        </w:rPr>
        <w:t xml:space="preserve"> </w:t>
      </w:r>
      <w:r>
        <w:rPr>
          <w:rFonts w:ascii="Times New Roman" w:eastAsia="Calibri" w:hAnsi="Times New Roman"/>
          <w:bCs/>
          <w:sz w:val="24"/>
          <w:szCs w:val="24"/>
          <w:lang w:eastAsia="en-US"/>
        </w:rPr>
        <w:t xml:space="preserve">составит </w:t>
      </w:r>
      <w:r>
        <w:rPr>
          <w:rFonts w:ascii="Times New Roman" w:hAnsi="Times New Roman"/>
          <w:sz w:val="24"/>
          <w:szCs w:val="24"/>
        </w:rPr>
        <w:t xml:space="preserve">429 558,44 тыс.руб. </w:t>
      </w:r>
      <w:r>
        <w:rPr>
          <w:rFonts w:ascii="Times New Roman" w:eastAsia="Calibri" w:hAnsi="Times New Roman"/>
          <w:bCs/>
          <w:sz w:val="24"/>
          <w:szCs w:val="24"/>
          <w:lang w:eastAsia="en-US"/>
        </w:rPr>
        <w:t xml:space="preserve">в 2021 году тыс.руб., в 2022 году –  </w:t>
      </w:r>
      <w:r>
        <w:rPr>
          <w:rFonts w:ascii="Times New Roman" w:hAnsi="Times New Roman"/>
          <w:sz w:val="24"/>
          <w:szCs w:val="24"/>
        </w:rPr>
        <w:t xml:space="preserve">292 510,84 </w:t>
      </w:r>
      <w:r>
        <w:rPr>
          <w:rFonts w:ascii="Times New Roman" w:eastAsia="Calibri" w:hAnsi="Times New Roman"/>
          <w:bCs/>
          <w:sz w:val="24"/>
          <w:szCs w:val="24"/>
          <w:lang w:eastAsia="en-US"/>
        </w:rPr>
        <w:t xml:space="preserve">тыс.руб., в 2023 году – </w:t>
      </w:r>
      <w:r>
        <w:rPr>
          <w:rFonts w:ascii="Times New Roman" w:hAnsi="Times New Roman"/>
          <w:sz w:val="24"/>
          <w:szCs w:val="24"/>
        </w:rPr>
        <w:t xml:space="preserve">286 422,58 </w:t>
      </w:r>
      <w:r>
        <w:rPr>
          <w:rFonts w:ascii="Times New Roman" w:eastAsia="Calibri" w:hAnsi="Times New Roman"/>
          <w:bCs/>
          <w:sz w:val="24"/>
          <w:szCs w:val="24"/>
          <w:lang w:eastAsia="en-US"/>
        </w:rPr>
        <w:t>тыс.руб.</w:t>
      </w:r>
    </w:p>
    <w:p>
      <w:pPr>
        <w:autoSpaceDE w:val="0"/>
        <w:autoSpaceDN w:val="0"/>
        <w:adjustRightInd w:val="0"/>
        <w:spacing w:after="12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Цель Программы: Улучшение состояния улично-дорожной сети и качества транспортного обслуживания на территории ЗАТО Северск.</w:t>
      </w:r>
    </w:p>
    <w:p>
      <w:pPr>
        <w:autoSpaceDE w:val="0"/>
        <w:autoSpaceDN w:val="0"/>
        <w:adjustRightInd w:val="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Ответственные исполнители Программы - УЖКХ ТиС Администрации ЗАТО Северск.</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Соисполнители и (или) участники: УКС Администрации ЗАТО Северск,  Отдел информационной политики Администрации ЗАТО Северск, Управление образования Администрации ЗАТО Северск, Управление молодежной и семейной политики, физической культуры и спорта Администрации ЗАТО Северск, Управление культуры Администрации ЗАТО Северск, Управление по внегородским территориям Администрации ЗАТО Северск.</w:t>
      </w:r>
    </w:p>
    <w:p>
      <w:pPr>
        <w:autoSpaceDE w:val="0"/>
        <w:autoSpaceDN w:val="0"/>
        <w:adjustRightInd w:val="0"/>
        <w:ind w:firstLine="709"/>
        <w:jc w:val="both"/>
        <w:rPr>
          <w:rFonts w:ascii="Times New Roman" w:hAnsi="Times New Roman"/>
          <w:sz w:val="24"/>
          <w:szCs w:val="24"/>
        </w:rPr>
      </w:pPr>
    </w:p>
    <w:p>
      <w:pPr>
        <w:ind w:firstLine="709"/>
        <w:jc w:val="both"/>
        <w:rPr>
          <w:rFonts w:ascii="Times New Roman" w:hAnsi="Times New Roman"/>
          <w:sz w:val="24"/>
          <w:szCs w:val="24"/>
        </w:rPr>
      </w:pPr>
      <w:r>
        <w:rPr>
          <w:rFonts w:ascii="Times New Roman" w:hAnsi="Times New Roman"/>
          <w:sz w:val="24"/>
          <w:szCs w:val="24"/>
        </w:rPr>
        <w:t xml:space="preserve">Таблица 56 - Целевые индикаторы МП </w:t>
      </w:r>
      <w:r>
        <w:rPr>
          <w:rFonts w:ascii="Times New Roman" w:hAnsi="Times New Roman"/>
          <w:color w:val="000000"/>
          <w:sz w:val="24"/>
          <w:szCs w:val="24"/>
        </w:rPr>
        <w:t>«</w:t>
      </w:r>
      <w:r>
        <w:rPr>
          <w:rFonts w:ascii="Times New Roman" w:eastAsia="Calibri" w:hAnsi="Times New Roman"/>
          <w:sz w:val="24"/>
          <w:szCs w:val="24"/>
          <w:lang w:eastAsia="en-US"/>
        </w:rPr>
        <w:t>Дорожная деятельность и транспортное обслуживание на территории ЗАТО Северск</w:t>
      </w:r>
      <w:r>
        <w:rPr>
          <w:rFonts w:ascii="Times New Roman" w:hAnsi="Times New Roman"/>
          <w:color w:val="000000"/>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1134"/>
        <w:gridCol w:w="1134"/>
        <w:gridCol w:w="1134"/>
        <w:gridCol w:w="1134"/>
      </w:tblGrid>
      <w:tr>
        <w:trPr>
          <w:trHeight w:val="848"/>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highlight w:val="yellow"/>
              </w:rPr>
            </w:pPr>
            <w:r>
              <w:rPr>
                <w:rFonts w:ascii="Times New Roman" w:hAnsi="Times New Roman"/>
                <w:sz w:val="22"/>
                <w:szCs w:val="22"/>
              </w:rPr>
              <w:t>Наименование целевых индикаторов результативности программы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Оценка</w:t>
            </w:r>
          </w:p>
          <w:p>
            <w:pPr>
              <w:jc w:val="center"/>
              <w:rPr>
                <w:rFonts w:ascii="Times New Roman" w:hAnsi="Times New Roman"/>
                <w:sz w:val="22"/>
                <w:szCs w:val="22"/>
              </w:rPr>
            </w:pPr>
            <w:r>
              <w:rPr>
                <w:rFonts w:ascii="Times New Roman" w:hAnsi="Times New Roman"/>
                <w:sz w:val="22"/>
                <w:szCs w:val="22"/>
              </w:rPr>
              <w:t>2020 года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 2021 года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w:t>
            </w:r>
          </w:p>
        </w:tc>
      </w:tr>
      <w:tr>
        <w:tc>
          <w:tcPr>
            <w:tcW w:w="4820" w:type="dxa"/>
            <w:tcBorders>
              <w:top w:val="single" w:sz="4" w:space="0" w:color="auto"/>
              <w:left w:val="single" w:sz="4" w:space="0" w:color="auto"/>
              <w:bottom w:val="single" w:sz="4" w:space="0" w:color="auto"/>
              <w:right w:val="single" w:sz="4" w:space="0" w:color="auto"/>
            </w:tcBorders>
            <w:shd w:val="clear" w:color="auto" w:fill="auto"/>
            <w:hideMark/>
          </w:tcPr>
          <w:p>
            <w:pPr>
              <w:autoSpaceDE w:val="0"/>
              <w:autoSpaceDN w:val="0"/>
              <w:adjustRightInd w:val="0"/>
              <w:rPr>
                <w:rFonts w:ascii="Times New Roman" w:hAnsi="Times New Roman"/>
                <w:sz w:val="22"/>
                <w:szCs w:val="22"/>
              </w:rPr>
            </w:pPr>
            <w:r>
              <w:rPr>
                <w:rFonts w:ascii="Times New Roman" w:hAnsi="Times New Roman"/>
                <w:sz w:val="22"/>
                <w:szCs w:val="22"/>
              </w:rPr>
              <w:t>1. Доля протяженности автомобильных дорог общего пользования местного значения, отвечающих нормативным требованиям, в общей протяженности автомобильных дорог общего пользования местного значения,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74,88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77,06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highlight w:val="yellow"/>
              </w:rPr>
            </w:pPr>
            <w:r>
              <w:rPr>
                <w:rFonts w:ascii="Times New Roman" w:hAnsi="Times New Roman"/>
                <w:sz w:val="22"/>
                <w:szCs w:val="22"/>
              </w:rPr>
              <w:t>79,23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81,40</w:t>
            </w:r>
          </w:p>
        </w:tc>
      </w:tr>
      <w:tr>
        <w:tc>
          <w:tcPr>
            <w:tcW w:w="4820"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 xml:space="preserve">2. </w:t>
            </w:r>
            <w:r>
              <w:rPr>
                <w:rFonts w:ascii="Times New Roman" w:eastAsia="Calibri" w:hAnsi="Times New Roman"/>
                <w:sz w:val="22"/>
                <w:szCs w:val="22"/>
              </w:rPr>
              <w:t xml:space="preserve">Транспортный риск (число лиц, погибших в дорожно-транспортных происшествиях, на 10 тыс. транспортных средств) </w:t>
            </w:r>
            <w:r>
              <w:rPr>
                <w:rFonts w:ascii="Times New Roman" w:hAnsi="Times New Roman"/>
                <w:sz w:val="22"/>
                <w:szCs w:val="22"/>
              </w:rPr>
              <w:t>ед</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1,59</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1,36</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1,36</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1,14</w:t>
            </w:r>
          </w:p>
        </w:tc>
      </w:tr>
      <w:tr>
        <w:tc>
          <w:tcPr>
            <w:tcW w:w="4820"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3. Доля исполненных предписаний надзорных органов по вопросам состояния и качества содержания объектов улично-дорожной сети, %</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100</w:t>
            </w:r>
          </w:p>
        </w:tc>
      </w:tr>
      <w:tr>
        <w:tc>
          <w:tcPr>
            <w:tcW w:w="4820"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 xml:space="preserve">4. Число пассажиров, перевезенных общественным транспортом </w:t>
            </w:r>
          </w:p>
          <w:p>
            <w:pPr>
              <w:autoSpaceDE w:val="0"/>
              <w:autoSpaceDN w:val="0"/>
              <w:adjustRightInd w:val="0"/>
              <w:rPr>
                <w:rFonts w:ascii="Times New Roman" w:hAnsi="Times New Roman"/>
                <w:sz w:val="22"/>
                <w:szCs w:val="22"/>
              </w:rPr>
            </w:pPr>
            <w:r>
              <w:rPr>
                <w:rFonts w:ascii="Times New Roman" w:hAnsi="Times New Roman"/>
                <w:sz w:val="22"/>
                <w:szCs w:val="22"/>
              </w:rPr>
              <w:t>за отчетный период (год), млн. чел</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11,40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11,40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11,40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11,41</w:t>
            </w:r>
          </w:p>
        </w:tc>
      </w:tr>
    </w:tbl>
    <w:p>
      <w:pPr>
        <w:autoSpaceDE w:val="0"/>
        <w:autoSpaceDN w:val="0"/>
        <w:adjustRightInd w:val="0"/>
        <w:ind w:firstLine="709"/>
        <w:jc w:val="both"/>
        <w:rPr>
          <w:rFonts w:ascii="Times New Roman" w:eastAsia="Calibri" w:hAnsi="Times New Roman"/>
          <w:sz w:val="24"/>
          <w:szCs w:val="24"/>
          <w:lang w:eastAsia="en-US"/>
        </w:rPr>
      </w:pPr>
    </w:p>
    <w:p>
      <w:pPr>
        <w:autoSpaceDE w:val="0"/>
        <w:autoSpaceDN w:val="0"/>
        <w:adjustRightInd w:val="0"/>
        <w:ind w:firstLine="709"/>
        <w:jc w:val="both"/>
        <w:rPr>
          <w:rFonts w:ascii="Times New Roman" w:eastAsia="Calibri" w:hAnsi="Times New Roman"/>
          <w:sz w:val="24"/>
          <w:szCs w:val="24"/>
          <w:lang w:eastAsia="en-US"/>
        </w:rPr>
      </w:pPr>
    </w:p>
    <w:p>
      <w:pPr>
        <w:spacing w:before="120" w:after="120"/>
        <w:ind w:firstLine="709"/>
        <w:jc w:val="both"/>
        <w:rPr>
          <w:rFonts w:ascii="Times New Roman" w:hAnsi="Times New Roman"/>
          <w:sz w:val="24"/>
          <w:szCs w:val="24"/>
        </w:rPr>
      </w:pPr>
      <w:r>
        <w:rPr>
          <w:rFonts w:ascii="Times New Roman" w:hAnsi="Times New Roman"/>
          <w:sz w:val="24"/>
          <w:szCs w:val="24"/>
        </w:rPr>
        <w:t xml:space="preserve">Таблица 57 -  Объем финансового обеспечения Программы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468"/>
        <w:gridCol w:w="1296"/>
        <w:gridCol w:w="1296"/>
        <w:gridCol w:w="1296"/>
      </w:tblGrid>
      <w:tr>
        <w:trPr>
          <w:trHeight w:val="867"/>
        </w:trPr>
        <w:tc>
          <w:tcPr>
            <w:tcW w:w="5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sz w:val="22"/>
                <w:szCs w:val="22"/>
              </w:rPr>
            </w:pPr>
            <w:r>
              <w:rPr>
                <w:rFonts w:ascii="Times New Roman" w:hAnsi="Times New Roman"/>
                <w:sz w:val="22"/>
                <w:szCs w:val="22"/>
              </w:rPr>
              <w:t>Наименование</w:t>
            </w:r>
          </w:p>
        </w:tc>
        <w:tc>
          <w:tcPr>
            <w:tcW w:w="1296" w:type="dxa"/>
            <w:tcBorders>
              <w:top w:val="single" w:sz="4" w:space="0" w:color="auto"/>
              <w:left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sz w:val="22"/>
                <w:szCs w:val="22"/>
              </w:rPr>
            </w:pPr>
            <w:r>
              <w:rPr>
                <w:rFonts w:ascii="Times New Roman" w:hAnsi="Times New Roman"/>
                <w:sz w:val="22"/>
                <w:szCs w:val="22"/>
              </w:rPr>
              <w:t>Прогноз 2021 года,</w:t>
            </w:r>
          </w:p>
          <w:p>
            <w:pPr>
              <w:shd w:val="clear" w:color="auto" w:fill="FFFFFF" w:themeFill="background1"/>
              <w:jc w:val="center"/>
              <w:rPr>
                <w:rFonts w:ascii="Times New Roman" w:hAnsi="Times New Roman"/>
                <w:sz w:val="22"/>
                <w:szCs w:val="22"/>
              </w:rPr>
            </w:pPr>
            <w:r>
              <w:rPr>
                <w:rFonts w:ascii="Times New Roman" w:hAnsi="Times New Roman"/>
                <w:sz w:val="22"/>
                <w:szCs w:val="22"/>
              </w:rPr>
              <w:t>тыс.руб.</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sz w:val="22"/>
                <w:szCs w:val="22"/>
              </w:rPr>
            </w:pPr>
            <w:r>
              <w:rPr>
                <w:rFonts w:ascii="Times New Roman" w:hAnsi="Times New Roman"/>
                <w:sz w:val="22"/>
                <w:szCs w:val="22"/>
              </w:rPr>
              <w:t>Прогноз</w:t>
            </w:r>
          </w:p>
          <w:p>
            <w:pPr>
              <w:shd w:val="clear" w:color="auto" w:fill="FFFFFF" w:themeFill="background1"/>
              <w:jc w:val="center"/>
              <w:rPr>
                <w:rFonts w:ascii="Times New Roman" w:hAnsi="Times New Roman"/>
                <w:sz w:val="22"/>
                <w:szCs w:val="22"/>
              </w:rPr>
            </w:pPr>
            <w:r>
              <w:rPr>
                <w:rFonts w:ascii="Times New Roman" w:hAnsi="Times New Roman"/>
                <w:sz w:val="22"/>
                <w:szCs w:val="22"/>
              </w:rPr>
              <w:t>2022 года, тыс.руб.</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sz w:val="22"/>
                <w:szCs w:val="22"/>
              </w:rPr>
            </w:pPr>
            <w:r>
              <w:rPr>
                <w:rFonts w:ascii="Times New Roman" w:hAnsi="Times New Roman"/>
                <w:sz w:val="22"/>
                <w:szCs w:val="22"/>
              </w:rPr>
              <w:t>Прогноз</w:t>
            </w:r>
          </w:p>
          <w:p>
            <w:pPr>
              <w:shd w:val="clear" w:color="auto" w:fill="FFFFFF" w:themeFill="background1"/>
              <w:jc w:val="center"/>
              <w:rPr>
                <w:rFonts w:ascii="Times New Roman" w:hAnsi="Times New Roman"/>
                <w:sz w:val="22"/>
                <w:szCs w:val="22"/>
              </w:rPr>
            </w:pPr>
            <w:r>
              <w:rPr>
                <w:rFonts w:ascii="Times New Roman" w:hAnsi="Times New Roman"/>
                <w:sz w:val="22"/>
                <w:szCs w:val="22"/>
              </w:rPr>
              <w:t>2023 года, тыс.руб.</w:t>
            </w:r>
          </w:p>
        </w:tc>
      </w:tr>
      <w:tr>
        <w:trPr>
          <w:trHeight w:val="106"/>
        </w:trPr>
        <w:tc>
          <w:tcPr>
            <w:tcW w:w="5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bCs/>
                <w:sz w:val="22"/>
                <w:szCs w:val="22"/>
              </w:rPr>
            </w:pPr>
            <w:r>
              <w:rPr>
                <w:rFonts w:ascii="Times New Roman" w:hAnsi="Times New Roman"/>
                <w:bCs/>
                <w:sz w:val="22"/>
                <w:szCs w:val="22"/>
              </w:rPr>
              <w:t>ВСЕГО:</w:t>
            </w:r>
          </w:p>
        </w:tc>
        <w:tc>
          <w:tcPr>
            <w:tcW w:w="1296" w:type="dxa"/>
            <w:tcBorders>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429 558,44</w:t>
            </w:r>
          </w:p>
        </w:tc>
        <w:tc>
          <w:tcPr>
            <w:tcW w:w="1296" w:type="dxa"/>
            <w:tcBorders>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292 510,84</w:t>
            </w:r>
          </w:p>
        </w:tc>
        <w:tc>
          <w:tcPr>
            <w:tcW w:w="1296" w:type="dxa"/>
            <w:tcBorders>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286 422,58</w:t>
            </w:r>
          </w:p>
        </w:tc>
      </w:tr>
      <w:tr>
        <w:trPr>
          <w:trHeight w:val="489"/>
        </w:trPr>
        <w:tc>
          <w:tcPr>
            <w:tcW w:w="5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Подпрограмма 1 «Строительство и ремонт объектов улично-дорожной сети»</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160 000,00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50 000,00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50 000,00</w:t>
            </w:r>
          </w:p>
        </w:tc>
      </w:tr>
      <w:tr>
        <w:trPr>
          <w:trHeight w:val="489"/>
        </w:trPr>
        <w:tc>
          <w:tcPr>
            <w:tcW w:w="5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из них расходы интегрированные в региональный проект «Дорожная сеть»</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160 000,00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50 000,00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50 000,00</w:t>
            </w:r>
          </w:p>
        </w:tc>
      </w:tr>
      <w:tr>
        <w:trPr>
          <w:trHeight w:val="694"/>
        </w:trPr>
        <w:tc>
          <w:tcPr>
            <w:tcW w:w="5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sz w:val="22"/>
                <w:szCs w:val="22"/>
              </w:rPr>
            </w:pPr>
            <w:r>
              <w:rPr>
                <w:rFonts w:ascii="Times New Roman" w:hAnsi="Times New Roman"/>
                <w:sz w:val="22"/>
                <w:szCs w:val="22"/>
              </w:rPr>
              <w:t>Подпрограмма 2 «Повышение безопасности дорожного движения на территории ЗАТО Северск»</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11 231,68</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6 097,64</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6 137,38</w:t>
            </w:r>
          </w:p>
        </w:tc>
      </w:tr>
      <w:tr>
        <w:trPr>
          <w:trHeight w:val="694"/>
        </w:trPr>
        <w:tc>
          <w:tcPr>
            <w:tcW w:w="5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outlineLvl w:val="0"/>
              <w:rPr>
                <w:rFonts w:ascii="Times New Roman" w:hAnsi="Times New Roman"/>
                <w:bCs/>
                <w:iCs/>
                <w:sz w:val="22"/>
                <w:szCs w:val="22"/>
              </w:rPr>
            </w:pPr>
            <w:r>
              <w:rPr>
                <w:rFonts w:ascii="Times New Roman" w:hAnsi="Times New Roman"/>
                <w:bCs/>
                <w:iCs/>
                <w:sz w:val="22"/>
                <w:szCs w:val="22"/>
              </w:rPr>
              <w:t>Подпрограмма 3 «Обеспечение сохранности и доступности автомобильных дорог г.Северска, улучшение транспортной инфраструктуры»</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190 155,89</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188 242,33</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182 264,33</w:t>
            </w:r>
          </w:p>
        </w:tc>
      </w:tr>
      <w:tr>
        <w:trPr>
          <w:trHeight w:val="694"/>
        </w:trPr>
        <w:tc>
          <w:tcPr>
            <w:tcW w:w="5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outlineLvl w:val="0"/>
              <w:rPr>
                <w:rFonts w:ascii="Times New Roman" w:hAnsi="Times New Roman"/>
                <w:bCs/>
                <w:iCs/>
                <w:sz w:val="22"/>
                <w:szCs w:val="22"/>
              </w:rPr>
            </w:pPr>
            <w:r>
              <w:rPr>
                <w:rFonts w:ascii="Times New Roman" w:hAnsi="Times New Roman"/>
                <w:bCs/>
                <w:iCs/>
                <w:sz w:val="22"/>
                <w:szCs w:val="22"/>
              </w:rPr>
              <w:t>Подпрограмма 4 «Транспортное обслуживание населения в границах ЗАТО Северск»</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42 690,78</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22 690,78</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22 540,78</w:t>
            </w:r>
          </w:p>
        </w:tc>
      </w:tr>
      <w:tr>
        <w:trPr>
          <w:trHeight w:val="694"/>
        </w:trPr>
        <w:tc>
          <w:tcPr>
            <w:tcW w:w="5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outlineLvl w:val="0"/>
              <w:rPr>
                <w:rFonts w:ascii="Times New Roman" w:hAnsi="Times New Roman"/>
                <w:iCs/>
                <w:sz w:val="22"/>
                <w:szCs w:val="22"/>
              </w:rPr>
            </w:pPr>
            <w:r>
              <w:rPr>
                <w:rFonts w:ascii="Times New Roman" w:hAnsi="Times New Roman"/>
                <w:iCs/>
                <w:sz w:val="22"/>
                <w:szCs w:val="22"/>
              </w:rPr>
              <w:t>Обеспечивающая подпрограмма УКС Администрации ЗАТО Северск</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25 480,09</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25 480,09</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rPr>
                <w:rFonts w:ascii="Times New Roman" w:hAnsi="Times New Roman"/>
                <w:sz w:val="22"/>
                <w:szCs w:val="22"/>
              </w:rPr>
            </w:pPr>
            <w:r>
              <w:rPr>
                <w:rFonts w:ascii="Times New Roman" w:hAnsi="Times New Roman"/>
                <w:sz w:val="22"/>
                <w:szCs w:val="22"/>
              </w:rPr>
              <w:t>25 480,09</w:t>
            </w:r>
          </w:p>
        </w:tc>
      </w:tr>
    </w:tbl>
    <w:p>
      <w:pPr>
        <w:autoSpaceDE w:val="0"/>
        <w:autoSpaceDN w:val="0"/>
        <w:adjustRightInd w:val="0"/>
        <w:ind w:firstLine="709"/>
        <w:jc w:val="both"/>
        <w:rPr>
          <w:rFonts w:ascii="Times New Roman" w:eastAsia="Calibri" w:hAnsi="Times New Roman"/>
          <w:bCs/>
          <w:sz w:val="24"/>
          <w:szCs w:val="24"/>
          <w:lang w:eastAsia="en-US"/>
        </w:rPr>
      </w:pPr>
    </w:p>
    <w:p>
      <w:pPr>
        <w:autoSpaceDE w:val="0"/>
        <w:autoSpaceDN w:val="0"/>
        <w:adjustRightInd w:val="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По подпрограмме 1 «Строительство и ремонт объектов улично-дорожной сети» в 2021 году </w:t>
      </w:r>
      <w:r>
        <w:rPr>
          <w:sz w:val="24"/>
          <w:szCs w:val="24"/>
        </w:rPr>
        <w:t xml:space="preserve">предусмотрены расходы на </w:t>
      </w:r>
      <w:r>
        <w:rPr>
          <w:rFonts w:ascii="Times New Roman" w:eastAsia="Calibri" w:hAnsi="Times New Roman"/>
          <w:sz w:val="24"/>
          <w:szCs w:val="24"/>
          <w:lang w:eastAsia="en-US"/>
        </w:rPr>
        <w:t xml:space="preserve">реализацию мероприятий, интегрированных в  региональный проекта «Дорожная сеть» </w:t>
      </w:r>
      <w:r>
        <w:rPr>
          <w:sz w:val="24"/>
          <w:szCs w:val="24"/>
        </w:rPr>
        <w:t xml:space="preserve">в сумме </w:t>
      </w:r>
      <w:r>
        <w:rPr>
          <w:rFonts w:ascii="Times New Roman" w:eastAsia="Calibri" w:hAnsi="Times New Roman"/>
          <w:bCs/>
          <w:sz w:val="24"/>
          <w:szCs w:val="24"/>
          <w:lang w:eastAsia="en-US"/>
        </w:rPr>
        <w:t>160 000,0 тыс.руб. (80 000,0 тыс.руб. – средства федерального бюджета, 30 000,0 тыс.руб. – средства областного бюджета, 50 000,0 тыс.руб. – средства местного бюджета). В рамках подпрограммы планируется выполнение ремонта следующих объектов улично-дорожной сети:</w:t>
      </w:r>
    </w:p>
    <w:p>
      <w:pPr>
        <w:autoSpaceDE w:val="0"/>
        <w:autoSpaceDN w:val="0"/>
        <w:adjustRightInd w:val="0"/>
        <w:ind w:firstLine="709"/>
        <w:jc w:val="both"/>
        <w:rPr>
          <w:rFonts w:eastAsia="Calibri"/>
          <w:bCs/>
          <w:sz w:val="24"/>
          <w:szCs w:val="24"/>
          <w:lang w:eastAsia="en-US"/>
        </w:rPr>
      </w:pPr>
      <w:r>
        <w:rPr>
          <w:rFonts w:eastAsia="Calibri"/>
          <w:bCs/>
          <w:sz w:val="24"/>
          <w:szCs w:val="24"/>
          <w:lang w:eastAsia="en-US"/>
        </w:rPr>
        <w:t>- проезжей части ул.  Калинина (от кольца на въезде в город до ул. Солнечной);</w:t>
      </w:r>
    </w:p>
    <w:p>
      <w:pPr>
        <w:autoSpaceDE w:val="0"/>
        <w:autoSpaceDN w:val="0"/>
        <w:adjustRightInd w:val="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проезжей части пр. Коммунистический (от ул. Свердлова до ул. Комсомольская);</w:t>
      </w:r>
    </w:p>
    <w:p>
      <w:pPr>
        <w:autoSpaceDE w:val="0"/>
        <w:autoSpaceDN w:val="0"/>
        <w:adjustRightInd w:val="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проезжей части ул. Транспортная (от ул.Московской до ул. Калинина);</w:t>
      </w:r>
    </w:p>
    <w:p>
      <w:pPr>
        <w:autoSpaceDE w:val="0"/>
        <w:autoSpaceDN w:val="0"/>
        <w:adjustRightInd w:val="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проезжей части ул. Советской (от площади им.В.И.Ленина до ул.Северной).</w:t>
      </w:r>
    </w:p>
    <w:p>
      <w:pPr>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lang w:eastAsia="en-US"/>
        </w:rPr>
        <w:t>По подпрограмме 2 «</w:t>
      </w:r>
      <w:r>
        <w:rPr>
          <w:rFonts w:ascii="Times New Roman" w:hAnsi="Times New Roman"/>
          <w:sz w:val="24"/>
          <w:szCs w:val="24"/>
        </w:rPr>
        <w:t>Повышение безопасности дорожного движения на территории ЗАТО Северск</w:t>
      </w:r>
      <w:r>
        <w:rPr>
          <w:rFonts w:ascii="Times New Roman" w:eastAsia="Calibri" w:hAnsi="Times New Roman"/>
          <w:sz w:val="24"/>
          <w:szCs w:val="24"/>
          <w:lang w:eastAsia="en-US"/>
        </w:rPr>
        <w:t xml:space="preserve">» предусмотрены расходы </w:t>
      </w:r>
      <w:r>
        <w:rPr>
          <w:rFonts w:ascii="Times New Roman" w:hAnsi="Times New Roman"/>
          <w:sz w:val="24"/>
          <w:szCs w:val="24"/>
        </w:rPr>
        <w:t>в сумме 11 231,68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дорожную разметку – 8 083,48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выполнение муниципального задания МБЭУ в части очистки придорожных территорий от поросли и обслуживания и содержания светофоров и дорожных знаков – 2 798,98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приобретение знаков – 300,00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оснащение детских учреждений специальными элементами дорожного обустройства и обучения – 49,22 тыс.руб.</w:t>
      </w:r>
    </w:p>
    <w:p>
      <w:pPr>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lang w:eastAsia="en-US"/>
        </w:rPr>
        <w:t>По подпрограмме 3 «</w:t>
      </w:r>
      <w:r>
        <w:rPr>
          <w:rFonts w:ascii="Times New Roman" w:hAnsi="Times New Roman"/>
          <w:bCs/>
          <w:iCs/>
          <w:sz w:val="24"/>
          <w:szCs w:val="24"/>
        </w:rPr>
        <w:t>Обеспечение сохранности и доступности автомобильных дорог г.Северска, улучшение транспортной инфраструктуры</w:t>
      </w:r>
      <w:r>
        <w:rPr>
          <w:rFonts w:ascii="Times New Roman" w:eastAsia="Calibri" w:hAnsi="Times New Roman"/>
          <w:sz w:val="24"/>
          <w:szCs w:val="24"/>
          <w:lang w:eastAsia="en-US"/>
        </w:rPr>
        <w:t xml:space="preserve">» предусмотрены расходы </w:t>
      </w:r>
      <w:r>
        <w:rPr>
          <w:rFonts w:ascii="Times New Roman" w:hAnsi="Times New Roman"/>
          <w:sz w:val="24"/>
          <w:szCs w:val="24"/>
        </w:rPr>
        <w:t>в сумме 190 155,89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w:t>
      </w:r>
      <w:r>
        <w:rPr>
          <w:rFonts w:ascii="Times New Roman" w:eastAsia="Calibri" w:hAnsi="Times New Roman"/>
          <w:sz w:val="24"/>
          <w:szCs w:val="24"/>
          <w:lang w:eastAsia="en-US"/>
        </w:rPr>
        <w:t xml:space="preserve">на текущее содержание и ремонт объектов улично-дорожной сети и внешнего благоустройства, ливневой канализации в рамках финансового обеспечения муниципального задания МБЭУ </w:t>
      </w:r>
      <w:r>
        <w:rPr>
          <w:rFonts w:ascii="Times New Roman" w:hAnsi="Times New Roman"/>
          <w:sz w:val="24"/>
          <w:szCs w:val="24"/>
        </w:rPr>
        <w:t>– 130 757,50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w:t>
      </w:r>
      <w:r>
        <w:rPr>
          <w:rFonts w:ascii="Times New Roman" w:eastAsia="Calibri" w:hAnsi="Times New Roman"/>
          <w:sz w:val="24"/>
          <w:szCs w:val="24"/>
          <w:lang w:eastAsia="en-US"/>
        </w:rPr>
        <w:t>на текущее содержание инфраструктуры улично-дорожной сети в соответствии с нормативными требованиями, усиление контроля над качеством содержания дорожного хозяйства, внутриквартальных территорий, ливневой канализации, проведение мероприятий по текущему ремонту дорожного полотна, эвакуация брошенного автотранспорта, мероприятия по сокращению численности безнадзорных животных и иные мероприятия (МКУ ТЦ)</w:t>
      </w:r>
      <w:r>
        <w:rPr>
          <w:rFonts w:ascii="Times New Roman" w:hAnsi="Times New Roman"/>
          <w:sz w:val="24"/>
          <w:szCs w:val="24"/>
        </w:rPr>
        <w:t xml:space="preserve"> – 38 181,92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содержание и ремонт автомобильных дорог – 17 420,98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транспортные услуги по вывозу снега – 3 500,00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ремонт проездов к дворовым территориям – 263,22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ПИР по организации гостевых стоянок автотранспорта и расширение внутриквартальных проездов – 32,27 тыс.руб.</w:t>
      </w:r>
    </w:p>
    <w:p>
      <w:pPr>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lang w:eastAsia="en-US"/>
        </w:rPr>
        <w:t xml:space="preserve">По подпрограмме 4 «Транспортное обслуживание населения в границах ЗАТО Северск» предусмотрены расходы </w:t>
      </w:r>
      <w:r>
        <w:rPr>
          <w:rFonts w:ascii="Times New Roman" w:hAnsi="Times New Roman"/>
          <w:sz w:val="24"/>
          <w:szCs w:val="24"/>
        </w:rPr>
        <w:t>в сумме 42 690,78 тыс.руб.:</w:t>
      </w:r>
    </w:p>
    <w:p>
      <w:pPr>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lang w:eastAsia="en-US"/>
        </w:rPr>
        <w:t>- на о</w:t>
      </w:r>
      <w:r>
        <w:rPr>
          <w:rFonts w:ascii="Times New Roman" w:hAnsi="Times New Roman"/>
          <w:sz w:val="24"/>
          <w:szCs w:val="24"/>
        </w:rPr>
        <w:t>рганизацию транспортного обслуживания населения ЗАТО Северск автомобильным транспортом по муниципальным маршрутам регулярных перевозок в сумме 42 540,78 тыс.руб.;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устройство и ремонт остановок общественного транспорта – 150,00 тыс.руб.</w:t>
      </w:r>
    </w:p>
    <w:p/>
    <w:p>
      <w:pPr>
        <w:spacing w:after="120"/>
        <w:ind w:firstLine="709"/>
        <w:jc w:val="center"/>
        <w:rPr>
          <w:rFonts w:ascii="Times New Roman" w:hAnsi="Times New Roman"/>
          <w:b/>
          <w:sz w:val="24"/>
          <w:szCs w:val="24"/>
        </w:rPr>
      </w:pPr>
      <w:r>
        <w:rPr>
          <w:rFonts w:ascii="Times New Roman" w:hAnsi="Times New Roman"/>
          <w:b/>
          <w:sz w:val="24"/>
          <w:szCs w:val="24"/>
        </w:rPr>
        <w:t xml:space="preserve">2.7.2.3. МП «Повышение энергоэффективности в ЗАТО Северск» </w:t>
      </w:r>
    </w:p>
    <w:p>
      <w:pPr>
        <w:tabs>
          <w:tab w:val="left" w:pos="709"/>
        </w:tabs>
        <w:ind w:firstLine="709"/>
        <w:jc w:val="both"/>
        <w:rPr>
          <w:rFonts w:ascii="Times New Roman" w:hAnsi="Times New Roman"/>
          <w:sz w:val="24"/>
          <w:szCs w:val="24"/>
        </w:rPr>
      </w:pPr>
      <w:r>
        <w:rPr>
          <w:rFonts w:ascii="Times New Roman" w:hAnsi="Times New Roman"/>
          <w:sz w:val="24"/>
          <w:szCs w:val="24"/>
        </w:rPr>
        <w:t>Финансовое обеспечение по МП «Повышение энергоэффективности в ЗАТО Северск» предусмотрено на 2021 год в объеме 37 514,77 тыс.руб., на 2022 год – 15 210,82 тыс.руб., на 2023 год – 15 343,93 тыс.руб.</w:t>
      </w:r>
    </w:p>
    <w:p>
      <w:pPr>
        <w:ind w:firstLine="709"/>
        <w:jc w:val="both"/>
        <w:rPr>
          <w:rFonts w:ascii="Times New Roman" w:hAnsi="Times New Roman"/>
          <w:sz w:val="24"/>
          <w:szCs w:val="24"/>
        </w:rPr>
      </w:pPr>
      <w:r>
        <w:rPr>
          <w:rFonts w:ascii="Times New Roman" w:hAnsi="Times New Roman"/>
          <w:sz w:val="24"/>
          <w:szCs w:val="24"/>
        </w:rPr>
        <w:t xml:space="preserve">Цель МП: Повышение </w:t>
      </w:r>
      <w:r>
        <w:rPr>
          <w:rFonts w:ascii="Times New Roman" w:hAnsi="Times New Roman"/>
          <w:iCs/>
          <w:sz w:val="24"/>
          <w:szCs w:val="24"/>
        </w:rPr>
        <w:t>энергоэффективности в ЗАТО Северск.</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Управление жилищно-коммунального хозяйства, транспорта и связи.</w:t>
      </w:r>
    </w:p>
    <w:p>
      <w:pPr>
        <w:autoSpaceDE w:val="0"/>
        <w:autoSpaceDN w:val="0"/>
        <w:adjustRightInd w:val="0"/>
        <w:ind w:firstLine="709"/>
        <w:jc w:val="both"/>
        <w:rPr>
          <w:rFonts w:ascii="Times New Roman" w:eastAsia="Calibri" w:hAnsi="Times New Roman"/>
          <w:bCs/>
          <w:sz w:val="24"/>
          <w:szCs w:val="24"/>
          <w:lang w:eastAsia="en-US"/>
        </w:rPr>
      </w:pPr>
      <w:r>
        <w:rPr>
          <w:rFonts w:ascii="Times New Roman" w:hAnsi="Times New Roman"/>
          <w:sz w:val="24"/>
          <w:szCs w:val="24"/>
        </w:rPr>
        <w:t xml:space="preserve">Соисполнители и (или) участники: </w:t>
      </w:r>
      <w:r>
        <w:rPr>
          <w:rFonts w:ascii="Times New Roman" w:eastAsia="Calibri" w:hAnsi="Times New Roman"/>
          <w:bCs/>
          <w:sz w:val="24"/>
          <w:szCs w:val="24"/>
          <w:lang w:eastAsia="en-US"/>
        </w:rPr>
        <w:t>УКС Администрации ЗАТО Северск, Управление культуры Администрации ЗАТО Северск.</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Таблица 58 - Целевые индикаторы МП </w:t>
      </w:r>
      <w:r>
        <w:rPr>
          <w:rFonts w:ascii="Times New Roman" w:hAnsi="Times New Roman"/>
          <w:sz w:val="24"/>
          <w:szCs w:val="24"/>
        </w:rPr>
        <w:t>«Повышение энергоэффективности в ЗАТО Северск»</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1134"/>
        <w:gridCol w:w="850"/>
        <w:gridCol w:w="992"/>
        <w:gridCol w:w="992"/>
      </w:tblGrid>
      <w:tr>
        <w:trPr>
          <w:trHeight w:val="690"/>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 xml:space="preserve">Наименование целевых индикаторов результативности программы </w:t>
            </w:r>
          </w:p>
        </w:tc>
        <w:tc>
          <w:tcPr>
            <w:tcW w:w="1134" w:type="dxa"/>
            <w:tcBorders>
              <w:top w:val="single" w:sz="4" w:space="0" w:color="auto"/>
              <w:left w:val="single" w:sz="4" w:space="0" w:color="auto"/>
              <w:right w:val="single" w:sz="4" w:space="0" w:color="auto"/>
            </w:tcBorders>
            <w:shd w:val="clear" w:color="auto" w:fill="auto"/>
            <w:vAlign w:val="center"/>
          </w:tcPr>
          <w:p>
            <w:pPr>
              <w:jc w:val="center"/>
            </w:pPr>
            <w:r>
              <w:t>Оценка</w:t>
            </w:r>
          </w:p>
          <w:p>
            <w:pPr>
              <w:jc w:val="center"/>
            </w:pPr>
            <w:r>
              <w:t>2020 года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b/>
              </w:rPr>
            </w:pPr>
            <w:r>
              <w:rPr>
                <w:rFonts w:ascii="Times New Roman" w:hAnsi="Times New Roman"/>
              </w:rPr>
              <w:t>Прогноз 2021 года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b/>
              </w:rPr>
            </w:pPr>
            <w:r>
              <w:rPr>
                <w:rFonts w:ascii="Times New Roman" w:hAnsi="Times New Roman"/>
              </w:rPr>
              <w:t>Прогноз 2022 года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b/>
              </w:rPr>
            </w:pPr>
            <w:r>
              <w:rPr>
                <w:rFonts w:ascii="Times New Roman" w:hAnsi="Times New Roman"/>
              </w:rPr>
              <w:t>Прогноз 2023 года</w:t>
            </w:r>
          </w:p>
        </w:tc>
      </w:tr>
      <w:tr>
        <w:trPr>
          <w:trHeight w:val="589"/>
        </w:trPr>
        <w:tc>
          <w:tcPr>
            <w:tcW w:w="5529"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both"/>
              <w:rPr>
                <w:rFonts w:ascii="Times New Roman" w:eastAsia="Calibri" w:hAnsi="Times New Roman"/>
                <w:lang w:eastAsia="en-US"/>
              </w:rPr>
            </w:pPr>
            <w:r>
              <w:rPr>
                <w:rFonts w:ascii="Times New Roman" w:eastAsia="Calibri" w:hAnsi="Times New Roman"/>
                <w:lang w:eastAsia="en-US"/>
              </w:rPr>
              <w:t>1. Удельная величина потребления электрической энергии в многоквартирных домах на 1 проживающего, кВт*ч</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891,4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878,0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864,9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851,9</w:t>
            </w:r>
          </w:p>
        </w:tc>
      </w:tr>
      <w:tr>
        <w:trPr>
          <w:trHeight w:val="312"/>
        </w:trPr>
        <w:tc>
          <w:tcPr>
            <w:tcW w:w="5529" w:type="dxa"/>
            <w:tcBorders>
              <w:top w:val="nil"/>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both"/>
              <w:rPr>
                <w:rFonts w:ascii="Times New Roman" w:eastAsia="Calibri" w:hAnsi="Times New Roman"/>
                <w:lang w:eastAsia="en-US"/>
              </w:rPr>
            </w:pPr>
            <w:r>
              <w:rPr>
                <w:rFonts w:ascii="Times New Roman" w:eastAsia="Calibri" w:hAnsi="Times New Roman"/>
                <w:lang w:eastAsia="en-US"/>
              </w:rPr>
              <w:t>2. Удельная величина потребления тепловой энергии в многоквартирных домах на 1 кв.м общей площади, Гигакал</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0,278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0,273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0,269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0,265</w:t>
            </w:r>
          </w:p>
        </w:tc>
      </w:tr>
      <w:tr>
        <w:trPr>
          <w:trHeight w:val="312"/>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both"/>
              <w:rPr>
                <w:rFonts w:ascii="Times New Roman" w:eastAsia="Calibri" w:hAnsi="Times New Roman"/>
                <w:lang w:eastAsia="en-US"/>
              </w:rPr>
            </w:pPr>
            <w:r>
              <w:rPr>
                <w:rFonts w:ascii="Times New Roman" w:eastAsia="Calibri" w:hAnsi="Times New Roman"/>
                <w:lang w:eastAsia="en-US"/>
              </w:rPr>
              <w:t>3. Удельная величина потребления горячей воды в многоквартирных домах на 1 проживающего, м3</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18,77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18,48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18,21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17,93</w:t>
            </w:r>
          </w:p>
        </w:tc>
      </w:tr>
      <w:tr>
        <w:trPr>
          <w:trHeight w:val="312"/>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both"/>
              <w:rPr>
                <w:rFonts w:ascii="Times New Roman" w:eastAsia="Calibri" w:hAnsi="Times New Roman"/>
                <w:lang w:eastAsia="en-US"/>
              </w:rPr>
            </w:pPr>
            <w:r>
              <w:rPr>
                <w:rFonts w:ascii="Times New Roman" w:eastAsia="Calibri" w:hAnsi="Times New Roman"/>
                <w:lang w:eastAsia="en-US"/>
              </w:rPr>
              <w:t>4. Удельная величина потребления холодной воды в многоквартирных домах на 1 проживающего, м3</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36,23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36,23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36,23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36,23</w:t>
            </w:r>
          </w:p>
        </w:tc>
      </w:tr>
      <w:tr>
        <w:trPr>
          <w:trHeight w:val="589"/>
        </w:trPr>
        <w:tc>
          <w:tcPr>
            <w:tcW w:w="5529"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both"/>
              <w:rPr>
                <w:rFonts w:ascii="Times New Roman" w:eastAsia="Calibri" w:hAnsi="Times New Roman"/>
                <w:lang w:eastAsia="en-US"/>
              </w:rPr>
            </w:pPr>
            <w:r>
              <w:rPr>
                <w:rFonts w:ascii="Times New Roman" w:eastAsia="Calibri" w:hAnsi="Times New Roman"/>
                <w:lang w:eastAsia="en-US"/>
              </w:rPr>
              <w:t>5. Удельная величина потребления электрической энергии органами местного самоуправления и муниципальными учреждениями на 1 человека, кВт*ч</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110,2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108,9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107,2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105,5</w:t>
            </w:r>
          </w:p>
        </w:tc>
      </w:tr>
      <w:tr>
        <w:trPr>
          <w:trHeight w:val="589"/>
        </w:trPr>
        <w:tc>
          <w:tcPr>
            <w:tcW w:w="5529"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both"/>
              <w:rPr>
                <w:rFonts w:ascii="Times New Roman" w:eastAsia="Calibri" w:hAnsi="Times New Roman"/>
                <w:lang w:eastAsia="en-US"/>
              </w:rPr>
            </w:pPr>
            <w:r>
              <w:rPr>
                <w:rFonts w:ascii="Times New Roman" w:eastAsia="Calibri" w:hAnsi="Times New Roman"/>
                <w:lang w:eastAsia="en-US"/>
              </w:rPr>
              <w:t>6. Удельная величина потребления тепловой энергии органами местного самоуправления и муниципальными учреждениями на 1 кв.м общей площади, Гигакал</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0,255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0,251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0,248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0,248</w:t>
            </w:r>
          </w:p>
        </w:tc>
      </w:tr>
      <w:tr>
        <w:trPr>
          <w:trHeight w:val="589"/>
        </w:trPr>
        <w:tc>
          <w:tcPr>
            <w:tcW w:w="5529"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both"/>
              <w:rPr>
                <w:rFonts w:ascii="Times New Roman" w:eastAsia="Calibri" w:hAnsi="Times New Roman"/>
                <w:lang w:eastAsia="en-US"/>
              </w:rPr>
            </w:pPr>
            <w:r>
              <w:rPr>
                <w:rFonts w:ascii="Times New Roman" w:eastAsia="Calibri" w:hAnsi="Times New Roman"/>
                <w:lang w:eastAsia="en-US"/>
              </w:rPr>
              <w:t>7. Удельная величина потребления горячей воды органами местного самоуправления и муниципальными учреждениями на 1 человека, м3</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1,79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1,73</w:t>
            </w:r>
          </w:p>
        </w:tc>
      </w:tr>
      <w:tr>
        <w:trPr>
          <w:trHeight w:val="589"/>
        </w:trPr>
        <w:tc>
          <w:tcPr>
            <w:tcW w:w="5529"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both"/>
              <w:rPr>
                <w:rFonts w:ascii="Times New Roman" w:eastAsia="Calibri" w:hAnsi="Times New Roman"/>
                <w:lang w:eastAsia="en-US"/>
              </w:rPr>
            </w:pPr>
            <w:r>
              <w:rPr>
                <w:rFonts w:ascii="Times New Roman" w:eastAsia="Calibri" w:hAnsi="Times New Roman"/>
                <w:lang w:eastAsia="en-US"/>
              </w:rPr>
              <w:t>8. Удельная величина потребления холодной воды органами местного самоуправления и муниципальными учреждениями на 1 человека, м3</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1,82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1,79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1,77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pPr>
              <w:autoSpaceDE w:val="0"/>
              <w:autoSpaceDN w:val="0"/>
              <w:adjustRightInd w:val="0"/>
              <w:jc w:val="center"/>
              <w:rPr>
                <w:rFonts w:ascii="Times New Roman" w:eastAsia="Calibri" w:hAnsi="Times New Roman"/>
                <w:lang w:eastAsia="en-US"/>
              </w:rPr>
            </w:pPr>
            <w:r>
              <w:rPr>
                <w:rFonts w:ascii="Times New Roman" w:eastAsia="Calibri" w:hAnsi="Times New Roman"/>
                <w:lang w:eastAsia="en-US"/>
              </w:rPr>
              <w:t>1,74</w:t>
            </w:r>
          </w:p>
        </w:tc>
      </w:tr>
    </w:tbl>
    <w:p>
      <w:pPr>
        <w:autoSpaceDE w:val="0"/>
        <w:autoSpaceDN w:val="0"/>
        <w:adjustRightInd w:val="0"/>
        <w:ind w:firstLine="709"/>
        <w:jc w:val="both"/>
        <w:rPr>
          <w:rFonts w:ascii="Times New Roman" w:eastAsia="Calibri" w:hAnsi="Times New Roman"/>
          <w:sz w:val="10"/>
          <w:szCs w:val="10"/>
          <w:lang w:eastAsia="en-US"/>
        </w:rPr>
      </w:pPr>
    </w:p>
    <w:p>
      <w:pPr>
        <w:autoSpaceDE w:val="0"/>
        <w:autoSpaceDN w:val="0"/>
        <w:adjustRightInd w:val="0"/>
        <w:ind w:firstLine="709"/>
        <w:jc w:val="both"/>
        <w:rPr>
          <w:rFonts w:ascii="Times New Roman" w:eastAsia="Calibri" w:hAnsi="Times New Roman"/>
          <w:sz w:val="10"/>
          <w:szCs w:val="10"/>
          <w:lang w:eastAsia="en-US"/>
        </w:rPr>
      </w:pPr>
      <w:r>
        <w:rPr>
          <w:rFonts w:ascii="Times New Roman" w:eastAsia="Calibri" w:hAnsi="Times New Roman"/>
          <w:sz w:val="24"/>
          <w:szCs w:val="24"/>
          <w:lang w:eastAsia="en-US"/>
        </w:rPr>
        <w:t>В рамках муниципальной программы реализуется 3 подпрограммы, финансирование предусмотрено по 2 подпрограммам.</w:t>
      </w:r>
    </w:p>
    <w:p>
      <w:pPr>
        <w:ind w:firstLine="709"/>
        <w:jc w:val="both"/>
        <w:rPr>
          <w:rFonts w:ascii="Times New Roman" w:hAnsi="Times New Roman"/>
          <w:sz w:val="24"/>
          <w:szCs w:val="24"/>
        </w:rPr>
      </w:pPr>
      <w:r>
        <w:rPr>
          <w:rFonts w:ascii="Times New Roman" w:hAnsi="Times New Roman"/>
          <w:sz w:val="24"/>
          <w:szCs w:val="24"/>
        </w:rPr>
        <w:t>Таблица 59 - Объем финансового обеспечения МП «Повышение энергоэффективности в ЗАТО Северск»</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1134"/>
        <w:gridCol w:w="1134"/>
        <w:gridCol w:w="1134"/>
      </w:tblGrid>
      <w:tr>
        <w:trPr>
          <w:trHeight w:val="1034"/>
        </w:trPr>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Наименование</w:t>
            </w:r>
          </w:p>
        </w:tc>
        <w:tc>
          <w:tcPr>
            <w:tcW w:w="1134" w:type="dxa"/>
            <w:tcBorders>
              <w:top w:val="single" w:sz="4" w:space="0" w:color="auto"/>
              <w:left w:val="single" w:sz="4" w:space="0" w:color="auto"/>
              <w:right w:val="single" w:sz="4" w:space="0" w:color="auto"/>
            </w:tcBorders>
            <w:shd w:val="clear" w:color="auto" w:fill="auto"/>
            <w:vAlign w:val="center"/>
            <w:hideMark/>
          </w:tcPr>
          <w:p>
            <w:pPr>
              <w:ind w:left="-57" w:right="-57"/>
              <w:jc w:val="center"/>
              <w:rPr>
                <w:rFonts w:ascii="Times New Roman" w:hAnsi="Times New Roman"/>
                <w:b/>
              </w:rPr>
            </w:pPr>
            <w:r>
              <w:rPr>
                <w:rFonts w:ascii="Times New Roman" w:hAnsi="Times New Roman"/>
              </w:rPr>
              <w:t>Прогноз 2021 года,</w:t>
            </w:r>
          </w:p>
          <w:p>
            <w:pPr>
              <w:jc w:val="center"/>
              <w:rPr>
                <w:rFonts w:ascii="Times New Roman" w:hAnsi="Times New Roman"/>
                <w:b/>
              </w:rPr>
            </w:pPr>
            <w:r>
              <w:rPr>
                <w:rFonts w:ascii="Times New Roman" w:hAnsi="Times New Roman"/>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 xml:space="preserve">Прогноз </w:t>
            </w:r>
          </w:p>
          <w:p>
            <w:pPr>
              <w:ind w:left="-57" w:right="-57"/>
              <w:jc w:val="center"/>
              <w:rPr>
                <w:rFonts w:ascii="Times New Roman" w:hAnsi="Times New Roman"/>
                <w:b/>
              </w:rPr>
            </w:pPr>
            <w:r>
              <w:rPr>
                <w:rFonts w:ascii="Times New Roman" w:hAnsi="Times New Roman"/>
              </w:rPr>
              <w:t>2022 года</w:t>
            </w:r>
            <w:r>
              <w:rPr>
                <w:rFonts w:ascii="Times New Roman" w:hAnsi="Times New Roman"/>
                <w:b/>
              </w:rPr>
              <w:t>,</w:t>
            </w:r>
          </w:p>
          <w:p>
            <w:pPr>
              <w:ind w:left="-57" w:right="-57"/>
              <w:jc w:val="center"/>
              <w:rPr>
                <w:rFonts w:ascii="Times New Roman" w:hAnsi="Times New Roman"/>
                <w:b/>
              </w:rPr>
            </w:pPr>
            <w:r>
              <w:rPr>
                <w:rFonts w:ascii="Times New Roman" w:hAnsi="Times New Roman"/>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 xml:space="preserve">Прогноз </w:t>
            </w:r>
          </w:p>
          <w:p>
            <w:pPr>
              <w:ind w:left="-57" w:right="-57"/>
              <w:jc w:val="center"/>
              <w:rPr>
                <w:rFonts w:ascii="Times New Roman" w:hAnsi="Times New Roman"/>
              </w:rPr>
            </w:pPr>
            <w:r>
              <w:rPr>
                <w:rFonts w:ascii="Times New Roman" w:hAnsi="Times New Roman"/>
              </w:rPr>
              <w:t>2023 года,</w:t>
            </w:r>
          </w:p>
          <w:p>
            <w:pPr>
              <w:ind w:left="-57" w:right="-57"/>
              <w:jc w:val="center"/>
              <w:rPr>
                <w:rFonts w:ascii="Times New Roman" w:hAnsi="Times New Roman"/>
                <w:b/>
              </w:rPr>
            </w:pPr>
            <w:r>
              <w:rPr>
                <w:rFonts w:ascii="Times New Roman" w:hAnsi="Times New Roman"/>
              </w:rPr>
              <w:t>тыс.руб.</w:t>
            </w:r>
          </w:p>
        </w:tc>
      </w:tr>
      <w:tr>
        <w:trPr>
          <w:trHeight w:val="373"/>
        </w:trPr>
        <w:tc>
          <w:tcPr>
            <w:tcW w:w="6237"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rFonts w:ascii="Times New Roman" w:hAnsi="Times New Roman"/>
              </w:rPr>
            </w:pPr>
            <w:r>
              <w:rPr>
                <w:rFonts w:ascii="Times New Roman" w:hAnsi="Times New Roman"/>
              </w:rPr>
              <w:t>Всего по МП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37 514,77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15 210,82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15 343,93</w:t>
            </w:r>
          </w:p>
        </w:tc>
      </w:tr>
      <w:tr>
        <w:trPr>
          <w:trHeight w:val="297"/>
        </w:trPr>
        <w:tc>
          <w:tcPr>
            <w:tcW w:w="6237" w:type="dxa"/>
            <w:tcBorders>
              <w:top w:val="nil"/>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Подпрограмма 1 «Повышение энергетической эффективности в муниципальном и жилищном секторе»</w:t>
            </w:r>
          </w:p>
        </w:tc>
        <w:tc>
          <w:tcPr>
            <w:tcW w:w="1134"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368,71</w:t>
            </w:r>
          </w:p>
        </w:tc>
        <w:tc>
          <w:tcPr>
            <w:tcW w:w="1134"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368,71</w:t>
            </w:r>
          </w:p>
        </w:tc>
        <w:tc>
          <w:tcPr>
            <w:tcW w:w="1134" w:type="dxa"/>
            <w:tcBorders>
              <w:top w:val="single" w:sz="4" w:space="0" w:color="auto"/>
              <w:left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368,71</w:t>
            </w:r>
          </w:p>
        </w:tc>
      </w:tr>
      <w:tr>
        <w:trPr>
          <w:trHeight w:val="274"/>
        </w:trPr>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Подпрограмма 2 «Развитие сетей энергоснабжения в ЗАТО Северск»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37 146,06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14 842,11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14 975,22</w:t>
            </w:r>
          </w:p>
        </w:tc>
      </w:tr>
    </w:tbl>
    <w:p>
      <w:pPr>
        <w:autoSpaceDE w:val="0"/>
        <w:autoSpaceDN w:val="0"/>
        <w:adjustRightInd w:val="0"/>
        <w:ind w:firstLine="709"/>
        <w:jc w:val="both"/>
        <w:rPr>
          <w:rFonts w:ascii="Times New Roman" w:eastAsia="Calibri" w:hAnsi="Times New Roman"/>
          <w:sz w:val="24"/>
          <w:szCs w:val="24"/>
          <w:highlight w:val="yellow"/>
          <w:lang w:eastAsia="en-US"/>
        </w:rPr>
      </w:pPr>
    </w:p>
    <w:p>
      <w:pPr>
        <w:ind w:firstLine="709"/>
        <w:jc w:val="both"/>
        <w:rPr>
          <w:rFonts w:ascii="Times New Roman" w:hAnsi="Times New Roman"/>
          <w:sz w:val="24"/>
          <w:szCs w:val="24"/>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МП </w:t>
      </w:r>
      <w:r>
        <w:rPr>
          <w:rFonts w:ascii="Times New Roman" w:hAnsi="Times New Roman"/>
          <w:sz w:val="24"/>
          <w:szCs w:val="24"/>
        </w:rPr>
        <w:t>«Повышение энергоэффективности в ЗАТО Северск» составит 37 146,06 тыс.руб., в том числе по подпрограммам:</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По подпрограмме 1 «Повышение энергетической эффективности в муниципальном и жилищном секторе» предусмотрены расходы:</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установку приборов учета потребления коммунальных ресурсов и реализация энергосберегающих мероприятий в жилищном фонде в сумме 368,70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содержание бесхозяйных объектов на сумму 0,01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По подпрограмме 2 «Развитие сетей энергоснабжения в ЗАТО Северск» предусмотрены расходы:</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организацию уличного освещения и текущего содержания электрооборудования объектов благоустройства и объектов дорожного обустройства ЗАТО Северск в сумме 34 703,58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на выполнение муниципального задания МБЭУ (электроснабжение светофоров, фонтанов, часов)  – 2 219,36 тыс.руб.; </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сооружение нормативного освещения пешеходных переходов – 223,12 тыс.руб.;</w:t>
      </w:r>
    </w:p>
    <w:p>
      <w:pPr>
        <w:ind w:firstLine="709"/>
        <w:jc w:val="center"/>
        <w:rPr>
          <w:rFonts w:ascii="Times New Roman" w:hAnsi="Times New Roman"/>
          <w:b/>
          <w:sz w:val="24"/>
          <w:szCs w:val="24"/>
        </w:rPr>
      </w:pPr>
    </w:p>
    <w:p>
      <w:pPr>
        <w:ind w:firstLine="709"/>
        <w:jc w:val="center"/>
        <w:rPr>
          <w:rFonts w:ascii="Times New Roman" w:hAnsi="Times New Roman"/>
          <w:b/>
          <w:sz w:val="24"/>
          <w:szCs w:val="24"/>
        </w:rPr>
      </w:pPr>
      <w:r>
        <w:rPr>
          <w:rFonts w:ascii="Times New Roman" w:hAnsi="Times New Roman"/>
          <w:b/>
          <w:sz w:val="24"/>
          <w:szCs w:val="24"/>
        </w:rPr>
        <w:t>2.7.2.4. МП «Обеспечение доступным и комфортным жильем</w:t>
      </w:r>
    </w:p>
    <w:p>
      <w:pPr>
        <w:spacing w:after="120"/>
        <w:ind w:firstLine="709"/>
        <w:jc w:val="center"/>
        <w:rPr>
          <w:rFonts w:ascii="Times New Roman" w:hAnsi="Times New Roman"/>
          <w:b/>
          <w:sz w:val="24"/>
          <w:szCs w:val="24"/>
        </w:rPr>
      </w:pPr>
      <w:r>
        <w:rPr>
          <w:rFonts w:ascii="Times New Roman" w:hAnsi="Times New Roman"/>
          <w:b/>
          <w:sz w:val="24"/>
          <w:szCs w:val="24"/>
        </w:rPr>
        <w:t xml:space="preserve"> граждан ЗАТО Северск»</w:t>
      </w:r>
    </w:p>
    <w:p>
      <w:pPr>
        <w:tabs>
          <w:tab w:val="left" w:pos="709"/>
        </w:tabs>
        <w:ind w:firstLine="709"/>
        <w:jc w:val="both"/>
        <w:rPr>
          <w:rFonts w:ascii="Times New Roman" w:hAnsi="Times New Roman"/>
          <w:sz w:val="24"/>
          <w:szCs w:val="24"/>
        </w:rPr>
      </w:pPr>
      <w:r>
        <w:rPr>
          <w:rFonts w:ascii="Times New Roman" w:hAnsi="Times New Roman"/>
          <w:sz w:val="24"/>
          <w:szCs w:val="24"/>
        </w:rPr>
        <w:t>Финансовое обеспечение по МП «Обеспечение доступным и комфортным жильем граждан ЗАТО Северск» предусмотрено на 2021 год в объеме 12 281,99 тыс.руб., на 2022 год – 11 374,14 тыс.руб., на 2023 год – 10 710,46 тыс.руб.</w:t>
      </w:r>
    </w:p>
    <w:p>
      <w:pPr>
        <w:ind w:firstLine="709"/>
        <w:jc w:val="both"/>
        <w:rPr>
          <w:rFonts w:ascii="Times New Roman" w:hAnsi="Times New Roman"/>
          <w:sz w:val="24"/>
          <w:szCs w:val="24"/>
        </w:rPr>
      </w:pPr>
      <w:r>
        <w:rPr>
          <w:rFonts w:ascii="Times New Roman" w:hAnsi="Times New Roman"/>
          <w:sz w:val="24"/>
          <w:szCs w:val="24"/>
        </w:rPr>
        <w:t xml:space="preserve">Цель МП: Повышение доступности и качества жилищного обеспечения населения ЗАТО Северск. </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Управление жилищно-коммунального хозяйства, транспорта и связи.</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Соисполнители и (или) участники: Управление жилищно-коммунального хозяйства, транспорта и связи, Управление капитального строительства Администрации ЗАТО Северск.</w:t>
      </w:r>
    </w:p>
    <w:p>
      <w:pPr>
        <w:ind w:firstLine="709"/>
        <w:jc w:val="both"/>
        <w:rPr>
          <w:rFonts w:ascii="Times New Roman" w:hAnsi="Times New Roman"/>
          <w:sz w:val="24"/>
          <w:szCs w:val="24"/>
        </w:rPr>
      </w:pPr>
    </w:p>
    <w:p>
      <w:pPr>
        <w:spacing w:before="120" w:after="120"/>
        <w:ind w:firstLine="709"/>
        <w:jc w:val="both"/>
        <w:rPr>
          <w:rFonts w:ascii="Times New Roman" w:hAnsi="Times New Roman"/>
          <w:sz w:val="24"/>
          <w:szCs w:val="24"/>
        </w:rPr>
      </w:pPr>
      <w:r>
        <w:rPr>
          <w:rFonts w:ascii="Times New Roman" w:eastAsia="Calibri" w:hAnsi="Times New Roman"/>
          <w:sz w:val="24"/>
          <w:szCs w:val="24"/>
          <w:lang w:eastAsia="en-US"/>
        </w:rPr>
        <w:t xml:space="preserve">Таблица 60 - Целевые индикаторы МП </w:t>
      </w:r>
      <w:r>
        <w:rPr>
          <w:rFonts w:ascii="Times New Roman" w:hAnsi="Times New Roman"/>
          <w:sz w:val="24"/>
          <w:szCs w:val="24"/>
        </w:rPr>
        <w:t>«Обеспечение доступным и комфортным жильем граждан ЗАТО Северск»</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1134"/>
        <w:gridCol w:w="1134"/>
        <w:gridCol w:w="1134"/>
        <w:gridCol w:w="1134"/>
      </w:tblGrid>
      <w:tr>
        <w:trPr>
          <w:trHeight w:val="276"/>
        </w:trPr>
        <w:tc>
          <w:tcPr>
            <w:tcW w:w="4962" w:type="dxa"/>
            <w:vMerge w:val="restart"/>
            <w:shd w:val="clear" w:color="auto" w:fill="FFFFFF"/>
            <w:vAlign w:val="center"/>
            <w:hideMark/>
          </w:tcPr>
          <w:p>
            <w:pPr>
              <w:jc w:val="center"/>
              <w:rPr>
                <w:rFonts w:ascii="Times New Roman" w:hAnsi="Times New Roman"/>
              </w:rPr>
            </w:pPr>
            <w:r>
              <w:rPr>
                <w:rFonts w:ascii="Times New Roman" w:hAnsi="Times New Roman"/>
              </w:rPr>
              <w:t xml:space="preserve">Наименование целевых индикаторов результативности программы </w:t>
            </w:r>
          </w:p>
        </w:tc>
        <w:tc>
          <w:tcPr>
            <w:tcW w:w="1134" w:type="dxa"/>
            <w:vMerge w:val="restart"/>
            <w:shd w:val="clear" w:color="auto" w:fill="FFFFFF"/>
            <w:vAlign w:val="center"/>
            <w:hideMark/>
          </w:tcPr>
          <w:p>
            <w:pPr>
              <w:ind w:left="-57" w:right="-57"/>
              <w:jc w:val="center"/>
              <w:rPr>
                <w:rFonts w:ascii="Times New Roman" w:hAnsi="Times New Roman"/>
              </w:rPr>
            </w:pPr>
            <w:r>
              <w:rPr>
                <w:rFonts w:ascii="Times New Roman" w:hAnsi="Times New Roman"/>
              </w:rPr>
              <w:t>Оценка</w:t>
            </w:r>
          </w:p>
          <w:p>
            <w:pPr>
              <w:ind w:left="-57" w:right="-57"/>
              <w:jc w:val="center"/>
              <w:rPr>
                <w:rFonts w:ascii="Times New Roman" w:hAnsi="Times New Roman"/>
                <w:b/>
              </w:rPr>
            </w:pPr>
            <w:r>
              <w:rPr>
                <w:rFonts w:ascii="Times New Roman" w:hAnsi="Times New Roman"/>
              </w:rPr>
              <w:t>2020 года</w:t>
            </w:r>
          </w:p>
        </w:tc>
        <w:tc>
          <w:tcPr>
            <w:tcW w:w="1134" w:type="dxa"/>
            <w:vMerge w:val="restart"/>
            <w:shd w:val="clear" w:color="auto" w:fill="FFFFFF"/>
            <w:vAlign w:val="center"/>
            <w:hideMark/>
          </w:tcPr>
          <w:p>
            <w:pPr>
              <w:ind w:left="-57" w:right="-57"/>
              <w:jc w:val="center"/>
              <w:rPr>
                <w:rFonts w:ascii="Times New Roman" w:hAnsi="Times New Roman"/>
                <w:b/>
              </w:rPr>
            </w:pPr>
            <w:r>
              <w:rPr>
                <w:rFonts w:ascii="Times New Roman" w:hAnsi="Times New Roman"/>
              </w:rPr>
              <w:t>Прогноз 2021 года</w:t>
            </w:r>
          </w:p>
        </w:tc>
        <w:tc>
          <w:tcPr>
            <w:tcW w:w="1134" w:type="dxa"/>
            <w:vMerge w:val="restart"/>
            <w:shd w:val="clear" w:color="auto" w:fill="FFFFFF"/>
            <w:vAlign w:val="center"/>
            <w:hideMark/>
          </w:tcPr>
          <w:p>
            <w:pPr>
              <w:ind w:left="-57" w:right="-57"/>
              <w:jc w:val="center"/>
              <w:rPr>
                <w:rFonts w:ascii="Times New Roman" w:hAnsi="Times New Roman"/>
                <w:b/>
              </w:rPr>
            </w:pPr>
            <w:r>
              <w:rPr>
                <w:rFonts w:ascii="Times New Roman" w:hAnsi="Times New Roman"/>
              </w:rPr>
              <w:t>Прогноз 2022 года</w:t>
            </w:r>
          </w:p>
        </w:tc>
        <w:tc>
          <w:tcPr>
            <w:tcW w:w="1134" w:type="dxa"/>
            <w:vMerge w:val="restart"/>
            <w:shd w:val="clear" w:color="auto" w:fill="FFFFFF"/>
            <w:vAlign w:val="center"/>
            <w:hideMark/>
          </w:tcPr>
          <w:p>
            <w:pPr>
              <w:jc w:val="center"/>
              <w:rPr>
                <w:rFonts w:ascii="Times New Roman" w:hAnsi="Times New Roman"/>
                <w:b/>
              </w:rPr>
            </w:pPr>
            <w:r>
              <w:rPr>
                <w:rFonts w:ascii="Times New Roman" w:hAnsi="Times New Roman"/>
              </w:rPr>
              <w:t>Прогноз 2023 года</w:t>
            </w:r>
          </w:p>
        </w:tc>
      </w:tr>
      <w:tr>
        <w:trPr>
          <w:trHeight w:val="564"/>
        </w:trPr>
        <w:tc>
          <w:tcPr>
            <w:tcW w:w="4962" w:type="dxa"/>
            <w:vMerge/>
            <w:vAlign w:val="center"/>
            <w:hideMark/>
          </w:tcPr>
          <w:p>
            <w:pPr>
              <w:rPr>
                <w:rFonts w:ascii="Times New Roman" w:hAnsi="Times New Roman"/>
              </w:rPr>
            </w:pPr>
          </w:p>
        </w:tc>
        <w:tc>
          <w:tcPr>
            <w:tcW w:w="1134" w:type="dxa"/>
            <w:vMerge/>
            <w:vAlign w:val="center"/>
            <w:hideMark/>
          </w:tcPr>
          <w:p>
            <w:pPr>
              <w:rPr>
                <w:rFonts w:ascii="Times New Roman" w:hAnsi="Times New Roman"/>
                <w:b/>
              </w:rPr>
            </w:pPr>
          </w:p>
        </w:tc>
        <w:tc>
          <w:tcPr>
            <w:tcW w:w="1134" w:type="dxa"/>
            <w:vMerge/>
            <w:vAlign w:val="center"/>
            <w:hideMark/>
          </w:tcPr>
          <w:p>
            <w:pPr>
              <w:rPr>
                <w:rFonts w:ascii="Times New Roman" w:hAnsi="Times New Roman"/>
                <w:b/>
              </w:rPr>
            </w:pPr>
          </w:p>
        </w:tc>
        <w:tc>
          <w:tcPr>
            <w:tcW w:w="1134" w:type="dxa"/>
            <w:vMerge/>
            <w:vAlign w:val="center"/>
            <w:hideMark/>
          </w:tcPr>
          <w:p>
            <w:pPr>
              <w:rPr>
                <w:rFonts w:ascii="Times New Roman" w:hAnsi="Times New Roman"/>
                <w:b/>
              </w:rPr>
            </w:pPr>
          </w:p>
        </w:tc>
        <w:tc>
          <w:tcPr>
            <w:tcW w:w="1134" w:type="dxa"/>
            <w:vMerge/>
            <w:vAlign w:val="center"/>
            <w:hideMark/>
          </w:tcPr>
          <w:p>
            <w:pPr>
              <w:rPr>
                <w:rFonts w:ascii="Times New Roman" w:hAnsi="Times New Roman"/>
                <w:b/>
              </w:rPr>
            </w:pPr>
          </w:p>
        </w:tc>
      </w:tr>
      <w:tr>
        <w:trPr>
          <w:trHeight w:val="489"/>
        </w:trPr>
        <w:tc>
          <w:tcPr>
            <w:tcW w:w="4962" w:type="dxa"/>
            <w:shd w:val="clear" w:color="auto" w:fill="FFFFFF"/>
            <w:vAlign w:val="center"/>
            <w:hideMark/>
          </w:tcPr>
          <w:p>
            <w:pPr>
              <w:autoSpaceDE w:val="0"/>
              <w:autoSpaceDN w:val="0"/>
              <w:adjustRightInd w:val="0"/>
            </w:pPr>
            <w:r>
              <w:t>Доля аварийного жилищного фонда в общей площади жилищного фонда, %</w:t>
            </w:r>
          </w:p>
        </w:tc>
        <w:tc>
          <w:tcPr>
            <w:tcW w:w="1134" w:type="dxa"/>
            <w:shd w:val="clear" w:color="auto" w:fill="FFFFFF"/>
            <w:noWrap/>
            <w:vAlign w:val="center"/>
            <w:hideMark/>
          </w:tcPr>
          <w:p>
            <w:pPr>
              <w:jc w:val="center"/>
              <w:rPr>
                <w:rFonts w:ascii="Times New Roman" w:hAnsi="Times New Roman"/>
              </w:rPr>
            </w:pPr>
            <w:r>
              <w:rPr>
                <w:rFonts w:ascii="Times New Roman" w:hAnsi="Times New Roman"/>
              </w:rPr>
              <w:t>0,56</w:t>
            </w:r>
          </w:p>
        </w:tc>
        <w:tc>
          <w:tcPr>
            <w:tcW w:w="1134" w:type="dxa"/>
            <w:shd w:val="clear" w:color="auto" w:fill="FFFFFF"/>
            <w:vAlign w:val="center"/>
            <w:hideMark/>
          </w:tcPr>
          <w:p>
            <w:pPr>
              <w:autoSpaceDE w:val="0"/>
              <w:autoSpaceDN w:val="0"/>
              <w:adjustRightInd w:val="0"/>
              <w:jc w:val="center"/>
              <w:rPr>
                <w:rFonts w:ascii="Times New Roman" w:hAnsi="Times New Roman"/>
              </w:rPr>
            </w:pPr>
            <w:r>
              <w:rPr>
                <w:rFonts w:ascii="Times New Roman" w:hAnsi="Times New Roman"/>
              </w:rPr>
              <w:t>0,55</w:t>
            </w:r>
          </w:p>
        </w:tc>
        <w:tc>
          <w:tcPr>
            <w:tcW w:w="1134" w:type="dxa"/>
            <w:shd w:val="clear" w:color="auto" w:fill="FFFFFF"/>
            <w:vAlign w:val="center"/>
            <w:hideMark/>
          </w:tcPr>
          <w:p>
            <w:pPr>
              <w:jc w:val="center"/>
              <w:rPr>
                <w:rFonts w:ascii="Times New Roman" w:hAnsi="Times New Roman"/>
              </w:rPr>
            </w:pPr>
            <w:r>
              <w:rPr>
                <w:rFonts w:ascii="Times New Roman" w:hAnsi="Times New Roman"/>
              </w:rPr>
              <w:t>0,55</w:t>
            </w:r>
          </w:p>
        </w:tc>
        <w:tc>
          <w:tcPr>
            <w:tcW w:w="1134" w:type="dxa"/>
            <w:shd w:val="clear" w:color="auto" w:fill="FFFFFF"/>
            <w:noWrap/>
            <w:vAlign w:val="center"/>
            <w:hideMark/>
          </w:tcPr>
          <w:p>
            <w:pPr>
              <w:jc w:val="center"/>
              <w:rPr>
                <w:rFonts w:ascii="Times New Roman" w:hAnsi="Times New Roman"/>
              </w:rPr>
            </w:pPr>
            <w:r>
              <w:rPr>
                <w:rFonts w:ascii="Times New Roman" w:hAnsi="Times New Roman"/>
              </w:rPr>
              <w:t>0,54</w:t>
            </w:r>
          </w:p>
        </w:tc>
      </w:tr>
      <w:tr>
        <w:trPr>
          <w:trHeight w:val="312"/>
        </w:trPr>
        <w:tc>
          <w:tcPr>
            <w:tcW w:w="4962" w:type="dxa"/>
            <w:shd w:val="clear" w:color="auto" w:fill="FFFFFF"/>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Доля помещений, находящихся в муниципальной собственности, требующих проведения ремонта, в общей площади муниципального жилищного фонда, %</w:t>
            </w:r>
          </w:p>
        </w:tc>
        <w:tc>
          <w:tcPr>
            <w:tcW w:w="1134" w:type="dxa"/>
            <w:shd w:val="clear" w:color="auto" w:fill="FFFFFF"/>
            <w:noWrap/>
            <w:vAlign w:val="center"/>
            <w:hideMark/>
          </w:tcPr>
          <w:p>
            <w:pPr>
              <w:jc w:val="center"/>
              <w:rPr>
                <w:rFonts w:ascii="Times New Roman" w:eastAsia="Calibri" w:hAnsi="Times New Roman"/>
                <w:lang w:eastAsia="en-US"/>
              </w:rPr>
            </w:pPr>
            <w:r>
              <w:rPr>
                <w:rFonts w:ascii="Times New Roman" w:eastAsia="Calibri" w:hAnsi="Times New Roman"/>
                <w:lang w:eastAsia="en-US"/>
              </w:rPr>
              <w:t>2,1</w:t>
            </w:r>
          </w:p>
        </w:tc>
        <w:tc>
          <w:tcPr>
            <w:tcW w:w="1134" w:type="dxa"/>
            <w:shd w:val="clear" w:color="auto" w:fill="FFFFFF"/>
            <w:vAlign w:val="center"/>
            <w:hideMark/>
          </w:tcPr>
          <w:p>
            <w:pPr>
              <w:jc w:val="center"/>
              <w:rPr>
                <w:rFonts w:ascii="Times New Roman" w:eastAsia="Calibri" w:hAnsi="Times New Roman"/>
                <w:lang w:eastAsia="en-US"/>
              </w:rPr>
            </w:pPr>
            <w:r>
              <w:rPr>
                <w:rFonts w:ascii="Times New Roman" w:eastAsia="Calibri" w:hAnsi="Times New Roman"/>
                <w:lang w:eastAsia="en-US"/>
              </w:rPr>
              <w:t>1,9</w:t>
            </w:r>
          </w:p>
        </w:tc>
        <w:tc>
          <w:tcPr>
            <w:tcW w:w="1134" w:type="dxa"/>
            <w:shd w:val="clear" w:color="auto" w:fill="FFFFFF"/>
            <w:vAlign w:val="center"/>
            <w:hideMark/>
          </w:tcPr>
          <w:p>
            <w:pPr>
              <w:jc w:val="center"/>
              <w:rPr>
                <w:rFonts w:ascii="Times New Roman" w:eastAsia="Calibri" w:hAnsi="Times New Roman"/>
                <w:lang w:eastAsia="en-US"/>
              </w:rPr>
            </w:pPr>
            <w:r>
              <w:rPr>
                <w:rFonts w:ascii="Times New Roman" w:eastAsia="Calibri" w:hAnsi="Times New Roman"/>
                <w:lang w:eastAsia="en-US"/>
              </w:rPr>
              <w:t>1,7</w:t>
            </w:r>
          </w:p>
        </w:tc>
        <w:tc>
          <w:tcPr>
            <w:tcW w:w="1134" w:type="dxa"/>
            <w:shd w:val="clear" w:color="auto" w:fill="FFFFFF"/>
            <w:noWrap/>
            <w:vAlign w:val="center"/>
            <w:hideMark/>
          </w:tcPr>
          <w:p>
            <w:pPr>
              <w:jc w:val="center"/>
              <w:rPr>
                <w:rFonts w:ascii="Times New Roman" w:eastAsia="Calibri" w:hAnsi="Times New Roman"/>
                <w:lang w:eastAsia="en-US"/>
              </w:rPr>
            </w:pPr>
            <w:r>
              <w:rPr>
                <w:rFonts w:ascii="Times New Roman" w:eastAsia="Calibri" w:hAnsi="Times New Roman"/>
                <w:lang w:eastAsia="en-US"/>
              </w:rPr>
              <w:t>1,7</w:t>
            </w:r>
          </w:p>
        </w:tc>
      </w:tr>
      <w:tr>
        <w:trPr>
          <w:trHeight w:val="312"/>
        </w:trPr>
        <w:tc>
          <w:tcPr>
            <w:tcW w:w="4962" w:type="dxa"/>
            <w:shd w:val="clear" w:color="auto" w:fill="FFFFFF"/>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Доля МКД, в которых собственники помещений выбрали и реализуют один из способов управления многоквартирными домами, в общем числе мнгоквартирных домов, в которых собственники помещений должны выбрать спрособ управления указанными домами, %</w:t>
            </w:r>
          </w:p>
        </w:tc>
        <w:tc>
          <w:tcPr>
            <w:tcW w:w="1134" w:type="dxa"/>
            <w:shd w:val="clear" w:color="auto" w:fill="FFFFFF"/>
            <w:noWrap/>
            <w:vAlign w:val="center"/>
            <w:hideMark/>
          </w:tcPr>
          <w:p>
            <w:pPr>
              <w:jc w:val="center"/>
              <w:rPr>
                <w:rFonts w:ascii="Times New Roman" w:hAnsi="Times New Roman"/>
              </w:rPr>
            </w:pPr>
            <w:r>
              <w:rPr>
                <w:rFonts w:ascii="Times New Roman" w:hAnsi="Times New Roman"/>
              </w:rPr>
              <w:t>100</w:t>
            </w:r>
          </w:p>
        </w:tc>
        <w:tc>
          <w:tcPr>
            <w:tcW w:w="1134" w:type="dxa"/>
            <w:shd w:val="clear" w:color="auto" w:fill="FFFFFF"/>
            <w:vAlign w:val="center"/>
            <w:hideMark/>
          </w:tcPr>
          <w:p>
            <w:pPr>
              <w:jc w:val="center"/>
            </w:pPr>
            <w:r>
              <w:rPr>
                <w:rFonts w:ascii="Times New Roman" w:hAnsi="Times New Roman"/>
              </w:rPr>
              <w:t>100</w:t>
            </w:r>
          </w:p>
        </w:tc>
        <w:tc>
          <w:tcPr>
            <w:tcW w:w="1134" w:type="dxa"/>
            <w:shd w:val="clear" w:color="auto" w:fill="FFFFFF"/>
            <w:vAlign w:val="center"/>
            <w:hideMark/>
          </w:tcPr>
          <w:p>
            <w:pPr>
              <w:jc w:val="center"/>
            </w:pPr>
            <w:r>
              <w:rPr>
                <w:rFonts w:ascii="Times New Roman" w:hAnsi="Times New Roman"/>
              </w:rPr>
              <w:t>100</w:t>
            </w:r>
          </w:p>
        </w:tc>
        <w:tc>
          <w:tcPr>
            <w:tcW w:w="1134" w:type="dxa"/>
            <w:shd w:val="clear" w:color="auto" w:fill="FFFFFF"/>
            <w:noWrap/>
            <w:vAlign w:val="center"/>
            <w:hideMark/>
          </w:tcPr>
          <w:p>
            <w:pPr>
              <w:jc w:val="center"/>
            </w:pPr>
            <w:r>
              <w:rPr>
                <w:rFonts w:ascii="Times New Roman" w:hAnsi="Times New Roman"/>
              </w:rPr>
              <w:t>100</w:t>
            </w:r>
          </w:p>
        </w:tc>
      </w:tr>
      <w:tr>
        <w:trPr>
          <w:trHeight w:val="312"/>
        </w:trPr>
        <w:tc>
          <w:tcPr>
            <w:tcW w:w="4962" w:type="dxa"/>
            <w:shd w:val="clear" w:color="auto" w:fill="FFFFFF"/>
            <w:vAlign w:val="center"/>
            <w:hideMark/>
          </w:tcPr>
          <w:p>
            <w:pPr>
              <w:autoSpaceDE w:val="0"/>
              <w:autoSpaceDN w:val="0"/>
              <w:adjustRightInd w:val="0"/>
              <w:rPr>
                <w:rFonts w:ascii="Times New Roman" w:eastAsia="Calibri" w:hAnsi="Times New Roman"/>
                <w:lang w:eastAsia="en-US"/>
              </w:rPr>
            </w:pPr>
            <w:r>
              <w:rPr>
                <w:rFonts w:ascii="Times New Roman" w:eastAsia="Calibri" w:hAnsi="Times New Roman"/>
                <w:lang w:eastAsia="en-US"/>
              </w:rPr>
              <w:t>Доля МКД, в которых выполнен выборочный капитальный ремонт, от общего количества МКД, включенных в Региональную программу капитального ремонта,%</w:t>
            </w:r>
          </w:p>
        </w:tc>
        <w:tc>
          <w:tcPr>
            <w:tcW w:w="1134" w:type="dxa"/>
            <w:shd w:val="clear" w:color="auto" w:fill="FFFFFF"/>
            <w:noWrap/>
            <w:vAlign w:val="center"/>
            <w:hideMark/>
          </w:tcPr>
          <w:p>
            <w:pPr>
              <w:jc w:val="center"/>
              <w:rPr>
                <w:rFonts w:ascii="Times New Roman" w:hAnsi="Times New Roman"/>
              </w:rPr>
            </w:pPr>
            <w:r>
              <w:rPr>
                <w:rFonts w:ascii="Times New Roman" w:hAnsi="Times New Roman"/>
              </w:rPr>
              <w:t>4,3</w:t>
            </w:r>
          </w:p>
        </w:tc>
        <w:tc>
          <w:tcPr>
            <w:tcW w:w="1134" w:type="dxa"/>
            <w:shd w:val="clear" w:color="auto" w:fill="FFFFFF"/>
            <w:vAlign w:val="center"/>
            <w:hideMark/>
          </w:tcPr>
          <w:p>
            <w:pPr>
              <w:jc w:val="center"/>
              <w:rPr>
                <w:rFonts w:ascii="Times New Roman" w:hAnsi="Times New Roman"/>
              </w:rPr>
            </w:pPr>
            <w:r>
              <w:rPr>
                <w:rFonts w:ascii="Times New Roman" w:hAnsi="Times New Roman"/>
              </w:rPr>
              <w:t>4,9</w:t>
            </w:r>
          </w:p>
        </w:tc>
        <w:tc>
          <w:tcPr>
            <w:tcW w:w="1134" w:type="dxa"/>
            <w:shd w:val="clear" w:color="auto" w:fill="FFFFFF"/>
            <w:vAlign w:val="center"/>
            <w:hideMark/>
          </w:tcPr>
          <w:p>
            <w:pPr>
              <w:jc w:val="center"/>
            </w:pPr>
            <w:r>
              <w:t>4,1</w:t>
            </w:r>
          </w:p>
        </w:tc>
        <w:tc>
          <w:tcPr>
            <w:tcW w:w="1134" w:type="dxa"/>
            <w:shd w:val="clear" w:color="auto" w:fill="FFFFFF"/>
            <w:noWrap/>
            <w:vAlign w:val="center"/>
            <w:hideMark/>
          </w:tcPr>
          <w:p>
            <w:pPr>
              <w:jc w:val="center"/>
            </w:pPr>
            <w:r>
              <w:t>4,1</w:t>
            </w:r>
          </w:p>
        </w:tc>
      </w:tr>
    </w:tbl>
    <w:p>
      <w:pPr>
        <w:autoSpaceDE w:val="0"/>
        <w:autoSpaceDN w:val="0"/>
        <w:adjustRightInd w:val="0"/>
        <w:spacing w:before="120" w:after="12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В рамках муниципальной программы реализуется 2 подпрограммы:</w:t>
      </w:r>
    </w:p>
    <w:p>
      <w:pPr>
        <w:ind w:firstLine="709"/>
        <w:jc w:val="both"/>
        <w:rPr>
          <w:rFonts w:ascii="Times New Roman" w:hAnsi="Times New Roman"/>
          <w:sz w:val="24"/>
          <w:szCs w:val="24"/>
        </w:rPr>
      </w:pPr>
    </w:p>
    <w:p>
      <w:pPr>
        <w:ind w:firstLine="709"/>
        <w:jc w:val="both"/>
        <w:rPr>
          <w:rFonts w:ascii="Times New Roman" w:hAnsi="Times New Roman"/>
          <w:sz w:val="24"/>
          <w:szCs w:val="24"/>
        </w:rPr>
      </w:pPr>
    </w:p>
    <w:p>
      <w:pPr>
        <w:ind w:firstLine="709"/>
        <w:jc w:val="both"/>
        <w:rPr>
          <w:rFonts w:ascii="Times New Roman" w:hAnsi="Times New Roman"/>
          <w:sz w:val="24"/>
          <w:szCs w:val="24"/>
        </w:rPr>
      </w:pPr>
      <w:r>
        <w:rPr>
          <w:rFonts w:ascii="Times New Roman" w:hAnsi="Times New Roman"/>
          <w:sz w:val="24"/>
          <w:szCs w:val="24"/>
        </w:rPr>
        <w:t>Таблица 61 - Объем финансового обеспечения МП «Обеспечение доступным и комфортным жильем граждан ЗАТО Северск»</w:t>
      </w:r>
    </w:p>
    <w:p>
      <w:pPr>
        <w:ind w:firstLine="709"/>
        <w:jc w:val="both"/>
        <w:rPr>
          <w:rFonts w:ascii="Times New Roman" w:hAnsi="Times New Roman"/>
          <w:sz w:val="24"/>
          <w:szCs w:val="24"/>
        </w:rPr>
      </w:pP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6"/>
        <w:gridCol w:w="1134"/>
        <w:gridCol w:w="1133"/>
        <w:gridCol w:w="1134"/>
      </w:tblGrid>
      <w:tr>
        <w:trPr>
          <w:trHeight w:val="840"/>
        </w:trPr>
        <w:tc>
          <w:tcPr>
            <w:tcW w:w="6096"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rPr>
            </w:pPr>
            <w:r>
              <w:rPr>
                <w:rFonts w:ascii="Times New Roman" w:hAnsi="Times New Roman"/>
              </w:rPr>
              <w:t>Наименование</w:t>
            </w:r>
          </w:p>
        </w:tc>
        <w:tc>
          <w:tcPr>
            <w:tcW w:w="1134" w:type="dxa"/>
            <w:tcBorders>
              <w:top w:val="single" w:sz="4" w:space="0" w:color="auto"/>
              <w:left w:val="single" w:sz="4" w:space="0" w:color="auto"/>
              <w:right w:val="single" w:sz="4" w:space="0" w:color="auto"/>
            </w:tcBorders>
            <w:shd w:val="clear" w:color="auto" w:fill="FFFFFF"/>
            <w:vAlign w:val="center"/>
            <w:hideMark/>
          </w:tcPr>
          <w:p>
            <w:pPr>
              <w:ind w:left="-57" w:right="-57"/>
              <w:jc w:val="center"/>
              <w:rPr>
                <w:rFonts w:ascii="Times New Roman" w:hAnsi="Times New Roman"/>
                <w:b/>
              </w:rPr>
            </w:pPr>
            <w:r>
              <w:rPr>
                <w:rFonts w:ascii="Times New Roman" w:hAnsi="Times New Roman"/>
              </w:rPr>
              <w:t>Прогноз 2021 года</w:t>
            </w:r>
            <w:r>
              <w:rPr>
                <w:rFonts w:ascii="Times New Roman" w:hAnsi="Times New Roman"/>
                <w:b/>
              </w:rPr>
              <w:t>,</w:t>
            </w:r>
          </w:p>
          <w:p>
            <w:pPr>
              <w:ind w:left="-57" w:right="-57"/>
              <w:jc w:val="center"/>
              <w:rPr>
                <w:rFonts w:ascii="Times New Roman" w:hAnsi="Times New Roman"/>
                <w:b/>
              </w:rPr>
            </w:pPr>
            <w:r>
              <w:rPr>
                <w:rFonts w:ascii="Times New Roman" w:hAnsi="Times New Roman"/>
              </w:rPr>
              <w:t>тыс.руб.</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ind w:left="-57" w:right="-57"/>
              <w:jc w:val="center"/>
              <w:rPr>
                <w:rFonts w:ascii="Times New Roman" w:hAnsi="Times New Roman"/>
                <w:b/>
              </w:rPr>
            </w:pPr>
            <w:r>
              <w:rPr>
                <w:rFonts w:ascii="Times New Roman" w:hAnsi="Times New Roman"/>
              </w:rPr>
              <w:t>Прогноз 2022 года</w:t>
            </w:r>
            <w:r>
              <w:rPr>
                <w:rFonts w:ascii="Times New Roman" w:hAnsi="Times New Roman"/>
                <w:b/>
              </w:rPr>
              <w:t>,</w:t>
            </w:r>
          </w:p>
          <w:p>
            <w:pPr>
              <w:ind w:left="-57" w:right="-57"/>
              <w:jc w:val="center"/>
              <w:rPr>
                <w:rFonts w:ascii="Times New Roman" w:hAnsi="Times New Roman"/>
                <w:b/>
              </w:rPr>
            </w:pPr>
            <w:r>
              <w:rPr>
                <w:rFonts w:ascii="Times New Roman" w:hAnsi="Times New Roman"/>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ind w:left="-57" w:right="-57"/>
              <w:jc w:val="center"/>
              <w:rPr>
                <w:rFonts w:ascii="Times New Roman" w:hAnsi="Times New Roman"/>
              </w:rPr>
            </w:pPr>
            <w:r>
              <w:rPr>
                <w:rFonts w:ascii="Times New Roman" w:hAnsi="Times New Roman"/>
              </w:rPr>
              <w:t>Прогноз 2023 года,</w:t>
            </w:r>
          </w:p>
          <w:p>
            <w:pPr>
              <w:ind w:left="-57" w:right="-57"/>
              <w:jc w:val="center"/>
              <w:rPr>
                <w:rFonts w:ascii="Times New Roman" w:hAnsi="Times New Roman"/>
                <w:b/>
              </w:rPr>
            </w:pPr>
            <w:r>
              <w:rPr>
                <w:rFonts w:ascii="Times New Roman" w:hAnsi="Times New Roman"/>
              </w:rPr>
              <w:t>тыс.руб.</w:t>
            </w:r>
          </w:p>
        </w:tc>
      </w:tr>
      <w:tr>
        <w:trPr>
          <w:trHeight w:val="252"/>
        </w:trPr>
        <w:tc>
          <w:tcPr>
            <w:tcW w:w="6096" w:type="dxa"/>
            <w:tcBorders>
              <w:top w:val="single" w:sz="4" w:space="0" w:color="000000"/>
              <w:left w:val="single" w:sz="4" w:space="0" w:color="auto"/>
              <w:bottom w:val="single" w:sz="4" w:space="0" w:color="auto"/>
              <w:right w:val="single" w:sz="4" w:space="0" w:color="auto"/>
            </w:tcBorders>
            <w:shd w:val="clear" w:color="auto" w:fill="FFFFFF"/>
            <w:vAlign w:val="center"/>
            <w:hideMark/>
          </w:tcPr>
          <w:p>
            <w:pPr>
              <w:autoSpaceDE w:val="0"/>
              <w:autoSpaceDN w:val="0"/>
              <w:adjustRightInd w:val="0"/>
              <w:rPr>
                <w:rFonts w:ascii="Times New Roman" w:hAnsi="Times New Roman"/>
              </w:rPr>
            </w:pPr>
            <w:r>
              <w:rPr>
                <w:rFonts w:ascii="Times New Roman" w:hAnsi="Times New Roman"/>
              </w:rPr>
              <w:t>Всего по МП</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2"/>
                <w:szCs w:val="22"/>
              </w:rPr>
            </w:pPr>
            <w:r>
              <w:rPr>
                <w:rFonts w:ascii="Times New Roman" w:hAnsi="Times New Roman"/>
                <w:sz w:val="22"/>
                <w:szCs w:val="22"/>
              </w:rPr>
              <w:t>12 281,99</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2"/>
                <w:szCs w:val="22"/>
              </w:rPr>
            </w:pPr>
            <w:r>
              <w:rPr>
                <w:rFonts w:ascii="Times New Roman" w:hAnsi="Times New Roman"/>
                <w:sz w:val="22"/>
                <w:szCs w:val="22"/>
              </w:rPr>
              <w:t>11 374,14</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pPr>
              <w:jc w:val="center"/>
              <w:rPr>
                <w:rFonts w:ascii="Times New Roman" w:hAnsi="Times New Roman"/>
                <w:sz w:val="22"/>
                <w:szCs w:val="22"/>
              </w:rPr>
            </w:pPr>
            <w:r>
              <w:rPr>
                <w:rFonts w:ascii="Times New Roman" w:hAnsi="Times New Roman"/>
                <w:sz w:val="22"/>
                <w:szCs w:val="22"/>
              </w:rPr>
              <w:t>10 710,46</w:t>
            </w:r>
          </w:p>
        </w:tc>
      </w:tr>
      <w:tr>
        <w:trPr>
          <w:trHeight w:val="497"/>
        </w:trPr>
        <w:tc>
          <w:tcPr>
            <w:tcW w:w="6096" w:type="dxa"/>
            <w:tcBorders>
              <w:top w:val="single" w:sz="4" w:space="0" w:color="000000"/>
              <w:left w:val="single" w:sz="4" w:space="0" w:color="auto"/>
              <w:bottom w:val="single" w:sz="4" w:space="0" w:color="auto"/>
              <w:right w:val="single" w:sz="4" w:space="0" w:color="auto"/>
            </w:tcBorders>
            <w:shd w:val="clear" w:color="auto" w:fill="FFFFFF"/>
            <w:vAlign w:val="center"/>
            <w:hideMark/>
          </w:tcPr>
          <w:p>
            <w:pPr>
              <w:autoSpaceDE w:val="0"/>
              <w:autoSpaceDN w:val="0"/>
              <w:adjustRightInd w:val="0"/>
              <w:rPr>
                <w:rFonts w:ascii="Times New Roman" w:eastAsia="Calibri" w:hAnsi="Times New Roman"/>
                <w:lang w:eastAsia="en-US"/>
              </w:rPr>
            </w:pPr>
            <w:hyperlink r:id="rId15" w:history="1">
              <w:r>
                <w:rPr>
                  <w:rStyle w:val="a5"/>
                  <w:rFonts w:ascii="Times New Roman" w:eastAsia="Calibri" w:hAnsi="Times New Roman"/>
                  <w:color w:val="auto"/>
                  <w:u w:val="none"/>
                  <w:lang w:eastAsia="en-US"/>
                </w:rPr>
                <w:t>Подпрограмма 1</w:t>
              </w:r>
            </w:hyperlink>
            <w:r>
              <w:rPr>
                <w:rFonts w:ascii="Times New Roman" w:eastAsia="Calibri" w:hAnsi="Times New Roman"/>
                <w:lang w:eastAsia="en-US"/>
              </w:rPr>
              <w:t xml:space="preserve"> «Строительство (приобретение) жилья                    и ликвидация аварийного жилищного фонда в ЗАТО Северск»</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jc w:val="center"/>
              <w:rPr>
                <w:rFonts w:ascii="Times New Roman" w:hAnsi="Times New Roman"/>
                <w:sz w:val="22"/>
                <w:szCs w:val="22"/>
              </w:rPr>
            </w:pPr>
            <w:r>
              <w:rPr>
                <w:rFonts w:ascii="Times New Roman" w:hAnsi="Times New Roman"/>
                <w:sz w:val="22"/>
                <w:szCs w:val="22"/>
              </w:rPr>
              <w:t>2 406,06</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pPr>
            <w:r>
              <w:rPr>
                <w:rFonts w:ascii="Times New Roman" w:hAnsi="Times New Roman"/>
                <w:sz w:val="22"/>
                <w:szCs w:val="22"/>
              </w:rPr>
              <w:t>2 406,06</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pPr>
            <w:r>
              <w:rPr>
                <w:rFonts w:ascii="Times New Roman" w:hAnsi="Times New Roman"/>
                <w:sz w:val="22"/>
                <w:szCs w:val="22"/>
              </w:rPr>
              <w:t>2 406,06</w:t>
            </w:r>
          </w:p>
        </w:tc>
      </w:tr>
      <w:tr>
        <w:trPr>
          <w:trHeight w:val="549"/>
        </w:trPr>
        <w:tc>
          <w:tcPr>
            <w:tcW w:w="6096" w:type="dxa"/>
            <w:tcBorders>
              <w:top w:val="nil"/>
              <w:left w:val="single" w:sz="4" w:space="0" w:color="auto"/>
              <w:right w:val="single" w:sz="4" w:space="0" w:color="auto"/>
            </w:tcBorders>
            <w:shd w:val="clear" w:color="auto" w:fill="FFFFFF"/>
            <w:vAlign w:val="center"/>
            <w:hideMark/>
          </w:tcPr>
          <w:p>
            <w:pPr>
              <w:autoSpaceDE w:val="0"/>
              <w:autoSpaceDN w:val="0"/>
              <w:adjustRightInd w:val="0"/>
              <w:rPr>
                <w:rFonts w:ascii="Times New Roman" w:eastAsia="Calibri" w:hAnsi="Times New Roman"/>
                <w:lang w:eastAsia="en-US"/>
              </w:rPr>
            </w:pPr>
            <w:hyperlink r:id="rId16" w:history="1">
              <w:r>
                <w:rPr>
                  <w:rStyle w:val="a5"/>
                  <w:rFonts w:ascii="Times New Roman" w:eastAsia="Calibri" w:hAnsi="Times New Roman"/>
                  <w:color w:val="auto"/>
                  <w:u w:val="none"/>
                  <w:lang w:eastAsia="en-US"/>
                </w:rPr>
                <w:t>Подпрограмма 2</w:t>
              </w:r>
            </w:hyperlink>
            <w:r>
              <w:rPr>
                <w:rFonts w:ascii="Times New Roman" w:eastAsia="Calibri" w:hAnsi="Times New Roman"/>
                <w:lang w:eastAsia="en-US"/>
              </w:rPr>
              <w:t xml:space="preserve"> «Содержание и управление многоквартирными домами в ЗАТО Северск»</w:t>
            </w:r>
          </w:p>
        </w:tc>
        <w:tc>
          <w:tcPr>
            <w:tcW w:w="1134" w:type="dxa"/>
            <w:tcBorders>
              <w:top w:val="single" w:sz="4" w:space="0" w:color="auto"/>
              <w:left w:val="single" w:sz="4" w:space="0" w:color="auto"/>
              <w:right w:val="single" w:sz="4" w:space="0" w:color="auto"/>
            </w:tcBorders>
            <w:shd w:val="clear" w:color="auto" w:fill="FFFFFF"/>
            <w:vAlign w:val="center"/>
            <w:hideMark/>
          </w:tcPr>
          <w:p>
            <w:pPr>
              <w:jc w:val="center"/>
              <w:rPr>
                <w:rFonts w:ascii="Times New Roman" w:hAnsi="Times New Roman"/>
                <w:sz w:val="22"/>
                <w:szCs w:val="22"/>
              </w:rPr>
            </w:pPr>
            <w:r>
              <w:rPr>
                <w:rFonts w:ascii="Times New Roman" w:hAnsi="Times New Roman"/>
                <w:sz w:val="22"/>
                <w:szCs w:val="22"/>
              </w:rPr>
              <w:t>9 875,93</w:t>
            </w:r>
          </w:p>
        </w:tc>
        <w:tc>
          <w:tcPr>
            <w:tcW w:w="1133" w:type="dxa"/>
            <w:tcBorders>
              <w:top w:val="single" w:sz="4" w:space="0" w:color="auto"/>
              <w:left w:val="single" w:sz="4" w:space="0" w:color="auto"/>
              <w:right w:val="single" w:sz="4" w:space="0" w:color="auto"/>
            </w:tcBorders>
            <w:shd w:val="clear" w:color="auto" w:fill="FFFFFF"/>
            <w:vAlign w:val="center"/>
            <w:hideMark/>
          </w:tcPr>
          <w:p>
            <w:pPr>
              <w:jc w:val="center"/>
              <w:rPr>
                <w:rFonts w:ascii="Times New Roman" w:hAnsi="Times New Roman"/>
                <w:sz w:val="22"/>
                <w:szCs w:val="22"/>
              </w:rPr>
            </w:pPr>
            <w:r>
              <w:rPr>
                <w:rFonts w:ascii="Times New Roman" w:hAnsi="Times New Roman"/>
                <w:sz w:val="22"/>
                <w:szCs w:val="22"/>
              </w:rPr>
              <w:t>8 968,08</w:t>
            </w:r>
          </w:p>
        </w:tc>
        <w:tc>
          <w:tcPr>
            <w:tcW w:w="1134" w:type="dxa"/>
            <w:tcBorders>
              <w:top w:val="single" w:sz="4" w:space="0" w:color="auto"/>
              <w:left w:val="single" w:sz="4" w:space="0" w:color="auto"/>
              <w:right w:val="single" w:sz="4" w:space="0" w:color="auto"/>
            </w:tcBorders>
            <w:shd w:val="clear" w:color="auto" w:fill="FFFFFF"/>
            <w:noWrap/>
            <w:vAlign w:val="center"/>
            <w:hideMark/>
          </w:tcPr>
          <w:p>
            <w:pPr>
              <w:jc w:val="center"/>
              <w:rPr>
                <w:rFonts w:ascii="Times New Roman" w:hAnsi="Times New Roman"/>
                <w:sz w:val="22"/>
                <w:szCs w:val="22"/>
              </w:rPr>
            </w:pPr>
            <w:r>
              <w:rPr>
                <w:rFonts w:ascii="Times New Roman" w:hAnsi="Times New Roman"/>
                <w:sz w:val="22"/>
                <w:szCs w:val="22"/>
              </w:rPr>
              <w:t>8 304,40</w:t>
            </w:r>
          </w:p>
        </w:tc>
      </w:tr>
    </w:tbl>
    <w:p>
      <w:pPr>
        <w:ind w:firstLine="709"/>
        <w:jc w:val="both"/>
        <w:rPr>
          <w:rFonts w:ascii="Times New Roman" w:hAnsi="Times New Roman"/>
          <w:sz w:val="16"/>
          <w:szCs w:val="16"/>
        </w:rPr>
      </w:pPr>
    </w:p>
    <w:p>
      <w:pPr>
        <w:ind w:firstLine="709"/>
        <w:jc w:val="both"/>
        <w:rPr>
          <w:rFonts w:ascii="Times New Roman" w:hAnsi="Times New Roman"/>
          <w:sz w:val="24"/>
          <w:szCs w:val="24"/>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w:t>
      </w:r>
      <w:r>
        <w:rPr>
          <w:rFonts w:ascii="Times New Roman" w:hAnsi="Times New Roman"/>
          <w:sz w:val="24"/>
          <w:szCs w:val="24"/>
        </w:rPr>
        <w:t>МП «Обеспечение доступным и комфортным жильем граждан ЗАТО Северск» составит 12 281,99 тыс.руб., в том числе:</w:t>
      </w:r>
    </w:p>
    <w:p>
      <w:pPr>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По подпрограмме 1 «Строительство (приобретение) жилья и ликвидация аварийного жилищного фонда в ЗАТО Северск» предусмотрены расходы в общей сумме 2 406,06 тыс. руб., в том числе:</w:t>
      </w:r>
    </w:p>
    <w:p>
      <w:pPr>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оплату расходов по договорам пожизненной ренты в сумме 1 907,81 тыс. руб.;</w:t>
      </w:r>
    </w:p>
    <w:p>
      <w:pPr>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реализацию проекта «Губернаторская ипотека» на территории Томской области» в сумме 448,25 тыс. руб.;</w:t>
      </w:r>
    </w:p>
    <w:p>
      <w:pPr>
        <w:ind w:firstLine="709"/>
        <w:jc w:val="both"/>
        <w:rPr>
          <w:rFonts w:ascii="Times New Roman" w:hAnsi="Times New Roman"/>
          <w:sz w:val="24"/>
          <w:szCs w:val="24"/>
        </w:rPr>
      </w:pPr>
      <w:r>
        <w:rPr>
          <w:rFonts w:ascii="Times New Roman" w:eastAsia="Calibri" w:hAnsi="Times New Roman"/>
          <w:sz w:val="24"/>
          <w:szCs w:val="24"/>
          <w:lang w:eastAsia="en-US"/>
        </w:rPr>
        <w:t>- на обследование технического состояния многоквартирных домов в сумме 50,00 тыс.руб.</w:t>
      </w:r>
    </w:p>
    <w:p>
      <w:pPr>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По подпрограмме 2 «Содержание и управление многоквартирными домами в ЗАТО Северск» предусмотрены расходы в общей сумме 9 875,93 тыс. руб., в том числе:</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на проведение текущего и капитального ремонта муниципального жилищного фонда в сумме 1 467,51 тыс.руб., в том числе: 1 057,82 тыс. руб. - на капитальный ремонт квартир,  409,69 тыс. руб. - текущий ремонт квартир; </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внесение платы за текущее содержание, текущий ремонт и коммунальные услуги пустующего муниципального жилищного фонда в сумме 400,97 тыс.руб., в том числе: 250,00 тыс. руб. на возмещение расходов РСО (отопление) за пустующее жилье, 150,97 тыс.руб. – возмещение расходов УК (содержание и ремонт) за пустующее жилье;</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на уплату взносов за капитальный ремонт  общего имущества в многоквартирных домах ЗАТО Северск в части муниципального жилищного фонда в сумме                             7 137,08 тыс.руб.; </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на организацию мероприятий по развитию и поддержке деятельности ТСЖ                    (изготовление буклетов (брошюр) по жилищной политике) в сумме 113,38 тыс.руб., из них </w:t>
      </w:r>
      <w:r>
        <w:rPr>
          <w:rFonts w:ascii="Times New Roman" w:hAnsi="Times New Roman"/>
          <w:sz w:val="24"/>
          <w:szCs w:val="24"/>
        </w:rPr>
        <w:t xml:space="preserve">за счет средств </w:t>
      </w:r>
      <w:r>
        <w:rPr>
          <w:sz w:val="24"/>
          <w:szCs w:val="24"/>
        </w:rPr>
        <w:t>областного бюджета – 111,50 тыс. руб.</w:t>
      </w:r>
      <w:r>
        <w:rPr>
          <w:rFonts w:ascii="Times New Roman" w:eastAsia="Calibri" w:hAnsi="Times New Roman"/>
          <w:sz w:val="24"/>
          <w:szCs w:val="24"/>
          <w:lang w:eastAsia="en-US"/>
        </w:rPr>
        <w:t>;</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организацию и обеспечение деятельности ТОС в сумме  637,70 тыс.руб.;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организацию оценки недвижимости и регистрации права собственности на жилые помещения жилищного фонда ЗАТО Северск в сумме 67,33 тыс. руб.;</w:t>
      </w: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на изготовление и установку пандусов и поручней  в жилых домах в сумме 51,96 тыс.руб.</w:t>
      </w:r>
    </w:p>
    <w:p>
      <w:pPr>
        <w:ind w:firstLine="709"/>
        <w:jc w:val="center"/>
        <w:rPr>
          <w:rFonts w:ascii="Times New Roman" w:hAnsi="Times New Roman"/>
          <w:b/>
          <w:sz w:val="16"/>
          <w:szCs w:val="16"/>
        </w:rPr>
      </w:pPr>
    </w:p>
    <w:p>
      <w:pPr>
        <w:ind w:firstLine="709"/>
        <w:jc w:val="center"/>
        <w:rPr>
          <w:rFonts w:ascii="Times New Roman" w:hAnsi="Times New Roman"/>
          <w:b/>
          <w:sz w:val="24"/>
          <w:szCs w:val="24"/>
        </w:rPr>
      </w:pPr>
      <w:r>
        <w:rPr>
          <w:rFonts w:ascii="Times New Roman" w:hAnsi="Times New Roman"/>
          <w:b/>
          <w:sz w:val="24"/>
          <w:szCs w:val="24"/>
        </w:rPr>
        <w:t>2.7.2.5. МП «Улучшение жизнедеятельности</w:t>
      </w:r>
    </w:p>
    <w:p>
      <w:pPr>
        <w:spacing w:after="120"/>
        <w:ind w:firstLine="709"/>
        <w:jc w:val="center"/>
        <w:rPr>
          <w:rFonts w:ascii="Times New Roman" w:hAnsi="Times New Roman"/>
          <w:b/>
          <w:sz w:val="24"/>
          <w:szCs w:val="24"/>
        </w:rPr>
      </w:pPr>
      <w:r>
        <w:rPr>
          <w:rFonts w:ascii="Times New Roman" w:hAnsi="Times New Roman"/>
          <w:b/>
          <w:sz w:val="24"/>
          <w:szCs w:val="24"/>
        </w:rPr>
        <w:t>внегородских территорий ЗАТО Северск»</w:t>
      </w:r>
    </w:p>
    <w:p>
      <w:pPr>
        <w:tabs>
          <w:tab w:val="left" w:pos="709"/>
        </w:tabs>
        <w:spacing w:after="120"/>
        <w:ind w:firstLine="709"/>
        <w:jc w:val="both"/>
        <w:rPr>
          <w:rFonts w:ascii="Times New Roman" w:hAnsi="Times New Roman"/>
          <w:sz w:val="24"/>
          <w:szCs w:val="24"/>
        </w:rPr>
      </w:pPr>
      <w:r>
        <w:rPr>
          <w:rFonts w:ascii="Times New Roman" w:hAnsi="Times New Roman"/>
          <w:sz w:val="24"/>
          <w:szCs w:val="24"/>
        </w:rPr>
        <w:t>Финансовое обеспечение по МП «Улучшение жизнедеятельности внегородских территорий ЗАТО Северск» предусмотрено на 2021 год в объеме 44 791,43 тыс.руб., на 2022 год – 35 407,34 тыс.руб., на 2023 год – 34 811,09 тыс.руб.</w:t>
      </w:r>
    </w:p>
    <w:p>
      <w:pPr>
        <w:spacing w:after="120"/>
        <w:ind w:firstLine="709"/>
        <w:jc w:val="both"/>
        <w:rPr>
          <w:rFonts w:ascii="Times New Roman" w:hAnsi="Times New Roman"/>
          <w:sz w:val="24"/>
          <w:szCs w:val="24"/>
        </w:rPr>
      </w:pPr>
      <w:r>
        <w:rPr>
          <w:rFonts w:ascii="Times New Roman" w:hAnsi="Times New Roman"/>
          <w:sz w:val="24"/>
          <w:szCs w:val="24"/>
        </w:rPr>
        <w:t>Цель МП: Формирование комфортной среды проживания на внегородских территориях.</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Управление по внегородским территориям Администрации ЗАТО Северск.</w:t>
      </w:r>
    </w:p>
    <w:p>
      <w:pPr>
        <w:autoSpaceDE w:val="0"/>
        <w:autoSpaceDN w:val="0"/>
        <w:adjustRightInd w:val="0"/>
        <w:ind w:firstLine="709"/>
        <w:jc w:val="both"/>
        <w:rPr>
          <w:rFonts w:ascii="Times New Roman" w:eastAsia="Calibri" w:hAnsi="Times New Roman"/>
          <w:bCs/>
          <w:sz w:val="24"/>
          <w:szCs w:val="24"/>
          <w:lang w:eastAsia="en-US"/>
        </w:rPr>
      </w:pPr>
      <w:r>
        <w:rPr>
          <w:rFonts w:ascii="Times New Roman" w:hAnsi="Times New Roman"/>
          <w:sz w:val="24"/>
          <w:szCs w:val="24"/>
        </w:rPr>
        <w:t>Соисполнители и (или) участники: Управление по внегородским территориям Администрации ЗАТО Северск</w:t>
      </w:r>
      <w:r>
        <w:rPr>
          <w:rFonts w:ascii="Times New Roman" w:eastAsia="Calibri" w:hAnsi="Times New Roman"/>
          <w:bCs/>
          <w:sz w:val="24"/>
          <w:szCs w:val="24"/>
          <w:lang w:eastAsia="en-US"/>
        </w:rPr>
        <w:t>.</w:t>
      </w:r>
    </w:p>
    <w:p>
      <w:pPr>
        <w:spacing w:after="120"/>
        <w:ind w:firstLine="709"/>
        <w:jc w:val="both"/>
        <w:rPr>
          <w:rFonts w:ascii="Times New Roman" w:hAnsi="Times New Roman"/>
          <w:sz w:val="24"/>
          <w:szCs w:val="24"/>
        </w:rPr>
      </w:pPr>
      <w:r>
        <w:rPr>
          <w:rFonts w:ascii="Times New Roman" w:hAnsi="Times New Roman"/>
          <w:sz w:val="24"/>
          <w:szCs w:val="24"/>
        </w:rPr>
        <w:t>Таблица 62 - Целевые индикаторы МП «Улучшение жизнедеятельности внегородских территорий ЗАТО Северск»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5"/>
        <w:gridCol w:w="949"/>
        <w:gridCol w:w="1103"/>
        <w:gridCol w:w="1109"/>
        <w:gridCol w:w="1107"/>
      </w:tblGrid>
      <w:tr>
        <w:trPr>
          <w:trHeight w:val="666"/>
        </w:trPr>
        <w:tc>
          <w:tcPr>
            <w:tcW w:w="519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Наименование целевых индикаторов результативности программы</w:t>
            </w:r>
          </w:p>
        </w:tc>
        <w:tc>
          <w:tcPr>
            <w:tcW w:w="949" w:type="dxa"/>
            <w:tcBorders>
              <w:top w:val="single" w:sz="4" w:space="0" w:color="auto"/>
              <w:left w:val="single" w:sz="4" w:space="0" w:color="auto"/>
              <w:bottom w:val="single" w:sz="4" w:space="0" w:color="auto"/>
              <w:right w:val="single" w:sz="4" w:space="0" w:color="auto"/>
            </w:tcBorders>
            <w:vAlign w:val="center"/>
          </w:tcPr>
          <w:p>
            <w:pPr>
              <w:jc w:val="center"/>
            </w:pPr>
            <w:r>
              <w:t>Оценка</w:t>
            </w:r>
          </w:p>
          <w:p>
            <w:pPr>
              <w:jc w:val="center"/>
            </w:pPr>
            <w:r>
              <w:t>2020 года</w:t>
            </w:r>
          </w:p>
        </w:tc>
        <w:tc>
          <w:tcPr>
            <w:tcW w:w="110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 2021 года</w:t>
            </w:r>
          </w:p>
        </w:tc>
        <w:tc>
          <w:tcPr>
            <w:tcW w:w="1109"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w:t>
            </w:r>
          </w:p>
        </w:tc>
        <w:tc>
          <w:tcPr>
            <w:tcW w:w="1107"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w:t>
            </w:r>
          </w:p>
        </w:tc>
      </w:tr>
      <w:tr>
        <w:trPr>
          <w:trHeight w:val="481"/>
        </w:trPr>
        <w:tc>
          <w:tcPr>
            <w:tcW w:w="5195"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Доля отремонтированных дорог, не соответствовавших нормативам от общей площади дорог, %</w:t>
            </w:r>
          </w:p>
        </w:tc>
        <w:tc>
          <w:tcPr>
            <w:tcW w:w="949"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0,76</w:t>
            </w:r>
          </w:p>
        </w:tc>
        <w:tc>
          <w:tcPr>
            <w:tcW w:w="110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0,81</w:t>
            </w:r>
          </w:p>
        </w:tc>
        <w:tc>
          <w:tcPr>
            <w:tcW w:w="1109" w:type="dxa"/>
            <w:tcBorders>
              <w:top w:val="single" w:sz="4" w:space="0" w:color="auto"/>
              <w:left w:val="single" w:sz="4" w:space="0" w:color="auto"/>
              <w:bottom w:val="single" w:sz="4" w:space="0" w:color="auto"/>
              <w:right w:val="single" w:sz="4" w:space="0" w:color="auto"/>
            </w:tcBorders>
            <w:vAlign w:val="center"/>
            <w:hideMark/>
          </w:tcPr>
          <w:p>
            <w:pPr>
              <w:jc w:val="center"/>
              <w:rPr>
                <w:sz w:val="22"/>
                <w:szCs w:val="22"/>
              </w:rPr>
            </w:pPr>
            <w:r>
              <w:rPr>
                <w:rFonts w:ascii="Times New Roman" w:hAnsi="Times New Roman"/>
                <w:sz w:val="22"/>
                <w:szCs w:val="22"/>
              </w:rPr>
              <w:t>0,81</w:t>
            </w:r>
          </w:p>
        </w:tc>
        <w:tc>
          <w:tcPr>
            <w:tcW w:w="1107" w:type="dxa"/>
            <w:tcBorders>
              <w:top w:val="single" w:sz="4" w:space="0" w:color="auto"/>
              <w:left w:val="single" w:sz="4" w:space="0" w:color="auto"/>
              <w:bottom w:val="single" w:sz="4" w:space="0" w:color="auto"/>
              <w:right w:val="single" w:sz="4" w:space="0" w:color="auto"/>
            </w:tcBorders>
            <w:vAlign w:val="center"/>
            <w:hideMark/>
          </w:tcPr>
          <w:p>
            <w:pPr>
              <w:jc w:val="center"/>
              <w:rPr>
                <w:sz w:val="22"/>
                <w:szCs w:val="22"/>
                <w:highlight w:val="yellow"/>
              </w:rPr>
            </w:pPr>
            <w:r>
              <w:rPr>
                <w:rFonts w:ascii="Times New Roman" w:hAnsi="Times New Roman"/>
                <w:sz w:val="22"/>
                <w:szCs w:val="22"/>
              </w:rPr>
              <w:t>0,81</w:t>
            </w:r>
          </w:p>
        </w:tc>
      </w:tr>
      <w:tr>
        <w:trPr>
          <w:trHeight w:val="692"/>
        </w:trPr>
        <w:tc>
          <w:tcPr>
            <w:tcW w:w="5195" w:type="dxa"/>
            <w:tcBorders>
              <w:top w:val="single" w:sz="4" w:space="0" w:color="auto"/>
              <w:left w:val="single" w:sz="4" w:space="0" w:color="auto"/>
              <w:bottom w:val="nil"/>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Численность жителей, обеспеченных питьевой водой       (при отсутствии в населенном пункте центрального водоснабжения), чел.</w:t>
            </w:r>
          </w:p>
        </w:tc>
        <w:tc>
          <w:tcPr>
            <w:tcW w:w="949" w:type="dxa"/>
            <w:tcBorders>
              <w:top w:val="single" w:sz="4" w:space="0" w:color="auto"/>
              <w:left w:val="single" w:sz="4" w:space="0" w:color="auto"/>
              <w:bottom w:val="nil"/>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8</w:t>
            </w:r>
          </w:p>
        </w:tc>
        <w:tc>
          <w:tcPr>
            <w:tcW w:w="1103" w:type="dxa"/>
            <w:tcBorders>
              <w:top w:val="single" w:sz="4" w:space="0" w:color="auto"/>
              <w:left w:val="single" w:sz="4" w:space="0" w:color="auto"/>
              <w:bottom w:val="nil"/>
              <w:right w:val="single" w:sz="4" w:space="0" w:color="auto"/>
            </w:tcBorders>
            <w:vAlign w:val="center"/>
            <w:hideMark/>
          </w:tcPr>
          <w:p>
            <w:pPr>
              <w:jc w:val="center"/>
            </w:pPr>
            <w:r>
              <w:rPr>
                <w:rFonts w:ascii="Times New Roman" w:hAnsi="Times New Roman"/>
                <w:sz w:val="22"/>
                <w:szCs w:val="22"/>
              </w:rPr>
              <w:t>8</w:t>
            </w:r>
          </w:p>
        </w:tc>
        <w:tc>
          <w:tcPr>
            <w:tcW w:w="1109" w:type="dxa"/>
            <w:tcBorders>
              <w:top w:val="single" w:sz="4" w:space="0" w:color="auto"/>
              <w:left w:val="single" w:sz="4" w:space="0" w:color="auto"/>
              <w:bottom w:val="nil"/>
              <w:right w:val="single" w:sz="4" w:space="0" w:color="auto"/>
            </w:tcBorders>
            <w:vAlign w:val="center"/>
            <w:hideMark/>
          </w:tcPr>
          <w:p>
            <w:pPr>
              <w:jc w:val="center"/>
            </w:pPr>
            <w:r>
              <w:rPr>
                <w:rFonts w:ascii="Times New Roman" w:hAnsi="Times New Roman"/>
                <w:sz w:val="22"/>
                <w:szCs w:val="22"/>
              </w:rPr>
              <w:t>8</w:t>
            </w:r>
          </w:p>
        </w:tc>
        <w:tc>
          <w:tcPr>
            <w:tcW w:w="1107" w:type="dxa"/>
            <w:tcBorders>
              <w:top w:val="single" w:sz="4" w:space="0" w:color="auto"/>
              <w:left w:val="single" w:sz="4" w:space="0" w:color="auto"/>
              <w:bottom w:val="nil"/>
              <w:right w:val="single" w:sz="4" w:space="0" w:color="auto"/>
            </w:tcBorders>
            <w:vAlign w:val="center"/>
            <w:hideMark/>
          </w:tcPr>
          <w:p>
            <w:pPr>
              <w:jc w:val="center"/>
            </w:pPr>
            <w:r>
              <w:rPr>
                <w:rFonts w:ascii="Times New Roman" w:hAnsi="Times New Roman"/>
                <w:sz w:val="22"/>
                <w:szCs w:val="22"/>
              </w:rPr>
              <w:t>8</w:t>
            </w:r>
          </w:p>
        </w:tc>
      </w:tr>
      <w:tr>
        <w:tc>
          <w:tcPr>
            <w:tcW w:w="5195"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Количество оказаний государственной поддержки субъектам малых форм хозяйствования (с учетом голов скота), ед.</w:t>
            </w:r>
          </w:p>
        </w:tc>
        <w:tc>
          <w:tcPr>
            <w:tcW w:w="949" w:type="dxa"/>
            <w:tcBorders>
              <w:top w:val="single" w:sz="4" w:space="0" w:color="auto"/>
              <w:left w:val="single" w:sz="4" w:space="0" w:color="auto"/>
              <w:bottom w:val="single" w:sz="4" w:space="0" w:color="auto"/>
              <w:right w:val="single" w:sz="4" w:space="0" w:color="auto"/>
            </w:tcBorders>
            <w:vAlign w:val="center"/>
          </w:tcPr>
          <w:p>
            <w:pPr>
              <w:jc w:val="center"/>
              <w:rPr>
                <w:sz w:val="22"/>
                <w:szCs w:val="22"/>
              </w:rPr>
            </w:pPr>
            <w:r>
              <w:rPr>
                <w:sz w:val="22"/>
                <w:szCs w:val="22"/>
              </w:rPr>
              <w:t>95</w:t>
            </w:r>
          </w:p>
        </w:tc>
        <w:tc>
          <w:tcPr>
            <w:tcW w:w="1103" w:type="dxa"/>
            <w:tcBorders>
              <w:top w:val="single" w:sz="4" w:space="0" w:color="auto"/>
              <w:left w:val="single" w:sz="4" w:space="0" w:color="auto"/>
              <w:bottom w:val="single" w:sz="4" w:space="0" w:color="auto"/>
              <w:right w:val="single" w:sz="4" w:space="0" w:color="auto"/>
            </w:tcBorders>
            <w:vAlign w:val="center"/>
            <w:hideMark/>
          </w:tcPr>
          <w:p>
            <w:pPr>
              <w:jc w:val="center"/>
              <w:rPr>
                <w:sz w:val="22"/>
                <w:szCs w:val="22"/>
              </w:rPr>
            </w:pPr>
            <w:r>
              <w:rPr>
                <w:sz w:val="22"/>
                <w:szCs w:val="22"/>
              </w:rPr>
              <w:t>139</w:t>
            </w:r>
          </w:p>
        </w:tc>
        <w:tc>
          <w:tcPr>
            <w:tcW w:w="1109" w:type="dxa"/>
            <w:tcBorders>
              <w:top w:val="single" w:sz="4" w:space="0" w:color="auto"/>
              <w:left w:val="single" w:sz="4" w:space="0" w:color="auto"/>
              <w:bottom w:val="single" w:sz="4" w:space="0" w:color="auto"/>
              <w:right w:val="single" w:sz="4" w:space="0" w:color="auto"/>
            </w:tcBorders>
            <w:vAlign w:val="center"/>
            <w:hideMark/>
          </w:tcPr>
          <w:p>
            <w:pPr>
              <w:jc w:val="center"/>
              <w:rPr>
                <w:sz w:val="22"/>
                <w:szCs w:val="22"/>
              </w:rPr>
            </w:pPr>
            <w:r>
              <w:rPr>
                <w:sz w:val="22"/>
                <w:szCs w:val="22"/>
              </w:rPr>
              <w:t>139</w:t>
            </w:r>
          </w:p>
        </w:tc>
        <w:tc>
          <w:tcPr>
            <w:tcW w:w="1107"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sz w:val="22"/>
                <w:szCs w:val="22"/>
              </w:rPr>
              <w:t>139</w:t>
            </w:r>
          </w:p>
        </w:tc>
      </w:tr>
      <w:tr>
        <w:tc>
          <w:tcPr>
            <w:tcW w:w="5195"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sz w:val="22"/>
                <w:szCs w:val="22"/>
              </w:rPr>
              <w:t>Доля обеспеченных теплоснабжением жилых многоквартирных домов, не имеющих приборов учета тепла, от общего количества многоквартирных домов, %</w:t>
            </w:r>
          </w:p>
        </w:tc>
        <w:tc>
          <w:tcPr>
            <w:tcW w:w="949"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100</w:t>
            </w:r>
          </w:p>
        </w:tc>
        <w:tc>
          <w:tcPr>
            <w:tcW w:w="1103"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100</w:t>
            </w:r>
          </w:p>
        </w:tc>
        <w:tc>
          <w:tcPr>
            <w:tcW w:w="1109"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100</w:t>
            </w:r>
          </w:p>
        </w:tc>
        <w:tc>
          <w:tcPr>
            <w:tcW w:w="1107"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100</w:t>
            </w:r>
          </w:p>
        </w:tc>
      </w:tr>
    </w:tbl>
    <w:p>
      <w:pPr>
        <w:autoSpaceDE w:val="0"/>
        <w:autoSpaceDN w:val="0"/>
        <w:adjustRightInd w:val="0"/>
        <w:ind w:firstLine="709"/>
        <w:jc w:val="both"/>
        <w:rPr>
          <w:rFonts w:ascii="Times New Roman" w:eastAsia="Calibri" w:hAnsi="Times New Roman"/>
          <w:sz w:val="16"/>
          <w:szCs w:val="16"/>
          <w:lang w:eastAsia="en-US"/>
        </w:rPr>
      </w:pP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В рамках муниципальной программы в 2021 году будут реализованы  три подпрограммы:</w:t>
      </w:r>
    </w:p>
    <w:p>
      <w:pPr>
        <w:spacing w:before="120" w:after="120"/>
        <w:ind w:firstLine="709"/>
        <w:jc w:val="both"/>
        <w:rPr>
          <w:rFonts w:ascii="Times New Roman" w:hAnsi="Times New Roman"/>
          <w:sz w:val="24"/>
          <w:szCs w:val="24"/>
        </w:rPr>
      </w:pPr>
      <w:r>
        <w:rPr>
          <w:rFonts w:ascii="Times New Roman" w:hAnsi="Times New Roman"/>
          <w:sz w:val="24"/>
          <w:szCs w:val="24"/>
        </w:rPr>
        <w:t>Таблица 63 - Объем финансового обеспечения МП «Улучшение жизнедеятельности внегородских территорий ЗАТО Северск»</w:t>
      </w:r>
    </w:p>
    <w:tbl>
      <w:tblPr>
        <w:tblW w:w="9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4"/>
        <w:gridCol w:w="1134"/>
        <w:gridCol w:w="1118"/>
        <w:gridCol w:w="1142"/>
      </w:tblGrid>
      <w:tr>
        <w:trPr>
          <w:trHeight w:val="1022"/>
        </w:trPr>
        <w:tc>
          <w:tcPr>
            <w:tcW w:w="595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Наименование</w:t>
            </w:r>
          </w:p>
        </w:tc>
        <w:tc>
          <w:tcPr>
            <w:tcW w:w="1134" w:type="dxa"/>
            <w:tcBorders>
              <w:top w:val="single" w:sz="4" w:space="0" w:color="auto"/>
              <w:left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 2021 года, тыс.руб.</w:t>
            </w:r>
          </w:p>
        </w:tc>
        <w:tc>
          <w:tcPr>
            <w:tcW w:w="1118" w:type="dxa"/>
            <w:tcBorders>
              <w:top w:val="single" w:sz="4" w:space="0" w:color="auto"/>
              <w:left w:val="single" w:sz="4" w:space="0" w:color="auto"/>
              <w:bottom w:val="single" w:sz="4" w:space="0" w:color="auto"/>
              <w:right w:val="single" w:sz="4" w:space="0" w:color="auto"/>
            </w:tcBorders>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 тыс.руб.</w:t>
            </w:r>
          </w:p>
        </w:tc>
        <w:tc>
          <w:tcPr>
            <w:tcW w:w="1142" w:type="dxa"/>
            <w:tcBorders>
              <w:top w:val="single" w:sz="4" w:space="0" w:color="auto"/>
              <w:left w:val="single" w:sz="4" w:space="0" w:color="auto"/>
              <w:bottom w:val="single" w:sz="4" w:space="0" w:color="auto"/>
              <w:right w:val="single" w:sz="4" w:space="0" w:color="auto"/>
            </w:tcBorders>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 тыс.руб.</w:t>
            </w:r>
          </w:p>
        </w:tc>
      </w:tr>
      <w:tr>
        <w:tc>
          <w:tcPr>
            <w:tcW w:w="5954" w:type="dxa"/>
            <w:tcBorders>
              <w:top w:val="single" w:sz="4" w:space="0" w:color="auto"/>
              <w:left w:val="single" w:sz="4" w:space="0" w:color="auto"/>
              <w:bottom w:val="single" w:sz="4" w:space="0" w:color="auto"/>
              <w:right w:val="single" w:sz="4" w:space="0" w:color="auto"/>
            </w:tcBorders>
            <w:shd w:val="clear" w:color="auto" w:fill="auto"/>
            <w:hideMark/>
          </w:tcPr>
          <w:p>
            <w:pPr>
              <w:jc w:val="both"/>
              <w:rPr>
                <w:sz w:val="24"/>
                <w:szCs w:val="24"/>
              </w:rPr>
            </w:pPr>
            <w:r>
              <w:rPr>
                <w:sz w:val="24"/>
                <w:szCs w:val="24"/>
              </w:rPr>
              <w:t>ВСЕГО по МП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44 791,43</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35 407,34</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34 811,09</w:t>
            </w:r>
          </w:p>
        </w:tc>
      </w:tr>
      <w:tr>
        <w:trPr>
          <w:trHeight w:val="832"/>
        </w:trPr>
        <w:tc>
          <w:tcPr>
            <w:tcW w:w="5954" w:type="dxa"/>
            <w:tcBorders>
              <w:top w:val="single" w:sz="4" w:space="0" w:color="auto"/>
              <w:left w:val="single" w:sz="4" w:space="0" w:color="auto"/>
              <w:bottom w:val="single" w:sz="4" w:space="0" w:color="auto"/>
              <w:right w:val="single" w:sz="4" w:space="0" w:color="auto"/>
            </w:tcBorders>
            <w:shd w:val="clear" w:color="auto" w:fill="auto"/>
            <w:hideMark/>
          </w:tcPr>
          <w:p>
            <w:pPr>
              <w:rPr>
                <w:rFonts w:ascii="Times New Roman" w:hAnsi="Times New Roman"/>
                <w:sz w:val="22"/>
                <w:szCs w:val="22"/>
              </w:rPr>
            </w:pPr>
            <w:r>
              <w:rPr>
                <w:rFonts w:ascii="Times New Roman" w:hAnsi="Times New Roman"/>
                <w:sz w:val="22"/>
                <w:szCs w:val="22"/>
              </w:rPr>
              <w:t xml:space="preserve">Подпрограмма 1 «Содержание и ремонт </w:t>
            </w:r>
          </w:p>
          <w:p>
            <w:pPr>
              <w:ind w:right="-249"/>
              <w:rPr>
                <w:rFonts w:ascii="Times New Roman" w:hAnsi="Times New Roman"/>
                <w:sz w:val="22"/>
                <w:szCs w:val="22"/>
              </w:rPr>
            </w:pPr>
            <w:r>
              <w:rPr>
                <w:rFonts w:ascii="Times New Roman" w:hAnsi="Times New Roman"/>
                <w:sz w:val="22"/>
                <w:szCs w:val="22"/>
              </w:rPr>
              <w:t>улично-дорожной сети и благоустройство внегородских территорий    ЗАТО Северск»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13 822,90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13 772,30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13 772,30</w:t>
            </w:r>
          </w:p>
        </w:tc>
      </w:tr>
      <w:tr>
        <w:trPr>
          <w:trHeight w:val="844"/>
        </w:trPr>
        <w:tc>
          <w:tcPr>
            <w:tcW w:w="5954" w:type="dxa"/>
            <w:tcBorders>
              <w:top w:val="single" w:sz="4" w:space="0" w:color="auto"/>
              <w:left w:val="single" w:sz="4" w:space="0" w:color="auto"/>
              <w:bottom w:val="single" w:sz="4" w:space="0" w:color="auto"/>
              <w:right w:val="single" w:sz="4" w:space="0" w:color="auto"/>
            </w:tcBorders>
            <w:shd w:val="clear" w:color="auto" w:fill="auto"/>
            <w:hideMark/>
          </w:tcPr>
          <w:p>
            <w:pPr>
              <w:rPr>
                <w:rFonts w:ascii="Times New Roman" w:hAnsi="Times New Roman"/>
                <w:color w:val="000000" w:themeColor="text1"/>
                <w:sz w:val="22"/>
                <w:szCs w:val="22"/>
              </w:rPr>
            </w:pPr>
            <w:r>
              <w:rPr>
                <w:rFonts w:ascii="Times New Roman" w:hAnsi="Times New Roman"/>
                <w:color w:val="000000" w:themeColor="text1"/>
                <w:sz w:val="22"/>
                <w:szCs w:val="22"/>
              </w:rPr>
              <w:t>Подпрограмма 2 «Создание условий для развития субъектов малых форм хозяйствования и обеспечения граждан внегородских территорий услугами теплоснабжения»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17 992,44</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sz w:val="22"/>
                <w:szCs w:val="22"/>
              </w:rPr>
            </w:pPr>
            <w:r>
              <w:rPr>
                <w:sz w:val="22"/>
                <w:szCs w:val="22"/>
              </w:rPr>
              <w:t>8  592,47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sz w:val="22"/>
                <w:szCs w:val="22"/>
              </w:rPr>
            </w:pPr>
            <w:r>
              <w:rPr>
                <w:sz w:val="22"/>
                <w:szCs w:val="22"/>
              </w:rPr>
              <w:t>7 926,99</w:t>
            </w:r>
          </w:p>
        </w:tc>
      </w:tr>
      <w:tr>
        <w:trPr>
          <w:trHeight w:val="252"/>
        </w:trPr>
        <w:tc>
          <w:tcPr>
            <w:tcW w:w="5954" w:type="dxa"/>
            <w:tcBorders>
              <w:top w:val="single" w:sz="4" w:space="0" w:color="auto"/>
              <w:left w:val="single" w:sz="4" w:space="0" w:color="auto"/>
              <w:bottom w:val="single" w:sz="4" w:space="0" w:color="auto"/>
              <w:right w:val="single" w:sz="4" w:space="0" w:color="auto"/>
            </w:tcBorders>
            <w:shd w:val="clear" w:color="auto" w:fill="auto"/>
            <w:hideMark/>
          </w:tcPr>
          <w:p>
            <w:pPr>
              <w:rPr>
                <w:rFonts w:ascii="Times New Roman" w:hAnsi="Times New Roman"/>
                <w:sz w:val="22"/>
                <w:szCs w:val="22"/>
              </w:rPr>
            </w:pPr>
            <w:r>
              <w:rPr>
                <w:rFonts w:ascii="Times New Roman" w:hAnsi="Times New Roman"/>
                <w:sz w:val="22"/>
                <w:szCs w:val="22"/>
              </w:rPr>
              <w:t xml:space="preserve">Подпрограмма 3 «Обеспечивающая подпрограмма»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12 976,09</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2"/>
                <w:szCs w:val="22"/>
              </w:rPr>
            </w:pPr>
            <w:r>
              <w:rPr>
                <w:rFonts w:ascii="Times New Roman" w:hAnsi="Times New Roman"/>
                <w:sz w:val="22"/>
                <w:szCs w:val="22"/>
              </w:rPr>
              <w:t>13 042,57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13 111,80</w:t>
            </w:r>
          </w:p>
        </w:tc>
      </w:tr>
    </w:tbl>
    <w:p>
      <w:pPr>
        <w:ind w:firstLine="708"/>
        <w:jc w:val="both"/>
        <w:rPr>
          <w:rFonts w:ascii="Times New Roman" w:hAnsi="Times New Roman"/>
          <w:sz w:val="24"/>
          <w:szCs w:val="24"/>
        </w:rPr>
      </w:pPr>
    </w:p>
    <w:p>
      <w:pPr>
        <w:ind w:firstLine="708"/>
        <w:jc w:val="both"/>
        <w:rPr>
          <w:rFonts w:ascii="Times New Roman" w:hAnsi="Times New Roman"/>
          <w:sz w:val="24"/>
          <w:szCs w:val="24"/>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w:t>
      </w:r>
      <w:r>
        <w:rPr>
          <w:rFonts w:ascii="Times New Roman" w:hAnsi="Times New Roman"/>
          <w:sz w:val="24"/>
          <w:szCs w:val="24"/>
        </w:rPr>
        <w:t>МП «Улучшение жизнедеятельности внегородских территорий ЗАТО Северск» составит 44 791,43 тыс.руб., в том числе по подпрограммам:</w:t>
      </w:r>
    </w:p>
    <w:p>
      <w:pPr>
        <w:ind w:right="-249"/>
        <w:rPr>
          <w:rFonts w:ascii="Times New Roman" w:hAnsi="Times New Roman"/>
          <w:sz w:val="24"/>
          <w:szCs w:val="24"/>
        </w:rPr>
      </w:pPr>
      <w:r>
        <w:rPr>
          <w:rFonts w:ascii="Times New Roman" w:hAnsi="Times New Roman"/>
          <w:sz w:val="24"/>
          <w:szCs w:val="24"/>
        </w:rPr>
        <w:t xml:space="preserve">            По подпрограмме 1 «Содержание и ремонт лично-дорожной сети и благоустройство внегородских территорий    ЗАТО Северск» предусмотрены расходы в сумме 13 822,90 тыс. руб., в том числе:</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текущее содержание автомобильных дорог, улиц и тротуаров в сумме 5 594,14 тыс.руб.;</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на текущий ремонт дорожного покрытия автомобильных дорог общего пользования, дорог, тротуаров и улично-дорожной сети  – 3 576,32 тыс.руб.;</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xml:space="preserve">- на техническое обслуживание и содержание технических средств организации дорожного движения  -706,44 тыс.руб. </w:t>
      </w:r>
    </w:p>
    <w:p>
      <w:pPr>
        <w:pStyle w:val="aff3"/>
        <w:spacing w:before="0" w:beforeAutospacing="0" w:after="0" w:afterAutospacing="0"/>
        <w:ind w:firstLine="709"/>
        <w:jc w:val="both"/>
      </w:pPr>
      <w:r>
        <w:t xml:space="preserve">- благоустройство внутриквартальных территорий в сумме 2 395,60 тыс. руб.;    </w:t>
      </w:r>
    </w:p>
    <w:p>
      <w:pPr>
        <w:pStyle w:val="aff3"/>
        <w:spacing w:before="0" w:beforeAutospacing="0" w:after="0" w:afterAutospacing="0"/>
        <w:ind w:firstLine="709"/>
        <w:jc w:val="both"/>
      </w:pPr>
      <w:r>
        <w:t>- ликвидацию несанкционированных свалок в сумме 442,31 тыс.руб., из них транспортные расходы в сумме 36,50 тыс. руб.;</w:t>
      </w:r>
    </w:p>
    <w:p>
      <w:pPr>
        <w:pStyle w:val="aff3"/>
        <w:spacing w:before="0" w:beforeAutospacing="0" w:after="0" w:afterAutospacing="0"/>
        <w:ind w:firstLine="709"/>
        <w:jc w:val="both"/>
      </w:pPr>
      <w:r>
        <w:t xml:space="preserve">- праздничное оформление территории в сумме 366,24 тыс. руб., из них: работы по монтажу новогодней световой иллюминации в пос.Самусь и пос.Орловка в сумме 208,26 тыс. руб., приобретение праздничных баннеров в сумме 26,08 тыс. руб.; </w:t>
      </w:r>
    </w:p>
    <w:p>
      <w:pPr>
        <w:pStyle w:val="aff3"/>
        <w:spacing w:before="0" w:beforeAutospacing="0" w:after="0" w:afterAutospacing="0"/>
        <w:ind w:firstLine="709"/>
        <w:jc w:val="both"/>
      </w:pPr>
      <w:r>
        <w:t>- содержание мест захоронений в сумме 320,69 тыс. руб.;</w:t>
      </w:r>
    </w:p>
    <w:p>
      <w:pPr>
        <w:pStyle w:val="aff3"/>
        <w:spacing w:before="0" w:beforeAutospacing="0" w:after="0" w:afterAutospacing="0"/>
        <w:ind w:firstLine="709"/>
        <w:jc w:val="both"/>
      </w:pPr>
      <w:r>
        <w:t>- на обеспечение питьевой водой жителей дер.Семиозерки (8 человек) в сумме 254,94 тыс. руб.;</w:t>
      </w:r>
    </w:p>
    <w:p>
      <w:pPr>
        <w:pStyle w:val="aff3"/>
        <w:spacing w:before="0" w:beforeAutospacing="0" w:after="0" w:afterAutospacing="0"/>
        <w:ind w:firstLine="709"/>
        <w:jc w:val="both"/>
      </w:pPr>
      <w:r>
        <w:t>- противоклещевая обработка в сумме 150,00 тыс. руб.;</w:t>
      </w:r>
    </w:p>
    <w:p>
      <w:pPr>
        <w:pStyle w:val="aff3"/>
        <w:spacing w:before="0" w:beforeAutospacing="0" w:after="0" w:afterAutospacing="0"/>
        <w:ind w:firstLine="709"/>
        <w:jc w:val="both"/>
      </w:pPr>
      <w:r>
        <w:t>- проверка достоверности сметной документации на благоустройство дворовых территорий – 9,48 тыс. руб.;</w:t>
      </w:r>
    </w:p>
    <w:p>
      <w:pPr>
        <w:pStyle w:val="aff3"/>
        <w:spacing w:before="0" w:beforeAutospacing="0" w:after="0" w:afterAutospacing="0"/>
        <w:ind w:firstLine="709"/>
        <w:jc w:val="both"/>
      </w:pPr>
      <w:r>
        <w:t xml:space="preserve">- содержание светофорных объектов в пос.Самусь и пос.Орловка в зоне пешеходных переходов у образовательных учреждений (10 штук) в сумме 6,74 тыс. руб. </w:t>
      </w:r>
    </w:p>
    <w:p>
      <w:pPr>
        <w:widowControl w:val="0"/>
        <w:autoSpaceDE w:val="0"/>
        <w:autoSpaceDN w:val="0"/>
        <w:adjustRightInd w:val="0"/>
        <w:ind w:firstLine="708"/>
        <w:jc w:val="both"/>
        <w:rPr>
          <w:rFonts w:ascii="Times New Roman" w:hAnsi="Times New Roman"/>
          <w:sz w:val="16"/>
          <w:szCs w:val="16"/>
        </w:rPr>
      </w:pPr>
    </w:p>
    <w:p>
      <w:pPr>
        <w:pStyle w:val="aff3"/>
        <w:spacing w:before="0" w:beforeAutospacing="0" w:after="0" w:afterAutospacing="0"/>
        <w:ind w:firstLine="709"/>
        <w:jc w:val="both"/>
      </w:pPr>
      <w:r>
        <w:t>По подпрограмме 2 «</w:t>
      </w:r>
      <w:r>
        <w:rPr>
          <w:color w:val="000000" w:themeColor="text1"/>
        </w:rPr>
        <w:t>Создание условий для развития субъектов малых форм хозяйствования и обеспечения граждан внегородских территорий услугами теплоснабжения</w:t>
      </w:r>
      <w:r>
        <w:t>» предусмотрены расходы в сумме 17 992,44 тыс. руб., в том числе:</w:t>
      </w:r>
    </w:p>
    <w:p>
      <w:pPr>
        <w:ind w:firstLine="709"/>
        <w:jc w:val="both"/>
        <w:rPr>
          <w:rFonts w:ascii="Times New Roman" w:hAnsi="Times New Roman"/>
          <w:sz w:val="24"/>
          <w:szCs w:val="24"/>
        </w:rPr>
      </w:pPr>
      <w:r>
        <w:rPr>
          <w:rFonts w:ascii="Times New Roman" w:hAnsi="Times New Roman"/>
          <w:sz w:val="24"/>
          <w:szCs w:val="24"/>
        </w:rPr>
        <w:t xml:space="preserve">- на возмещение теплоснабжающим организациям затрат в связи с оказанием услуг в сфере теплоснабжения гражданам на внегородских территориях в сумме 17 429,94 тыс. руб., в том числе: субсидии на возмещение затрат в связи с оказанием гражданам коммунальной услуги по отоплению многоквартирных домов в сумме 16 517,54 тыс. руб., субсидии на компенсацию расходов по организации теплоснабжения теплоснабжающими организациями, использующими в качестве топлива дизель (газойль) в сумме 912,40 тыс. руб., из них 912,10 тыс. руб. </w:t>
      </w:r>
      <w:r>
        <w:rPr>
          <w:sz w:val="24"/>
          <w:szCs w:val="24"/>
        </w:rPr>
        <w:t>за счет средств областного бюджета.</w:t>
      </w:r>
    </w:p>
    <w:p>
      <w:pPr>
        <w:pStyle w:val="aff3"/>
        <w:spacing w:before="0" w:beforeAutospacing="0" w:after="0" w:afterAutospacing="0"/>
        <w:ind w:firstLine="709"/>
        <w:jc w:val="both"/>
      </w:pPr>
      <w:r>
        <w:t>- на предоставление субсидий на развитие личных и подсобных хозяйств (содержание коров и молодняка скота, искусственное осеменение коров) в сумме 562,50 тыс.руб. за счет средств областного бюджета;</w:t>
      </w:r>
    </w:p>
    <w:p>
      <w:pPr>
        <w:autoSpaceDE w:val="0"/>
        <w:autoSpaceDN w:val="0"/>
        <w:adjustRightInd w:val="0"/>
        <w:jc w:val="both"/>
        <w:rPr>
          <w:rFonts w:ascii="Times New Roman" w:eastAsia="Calibri" w:hAnsi="Times New Roman"/>
          <w:sz w:val="16"/>
          <w:szCs w:val="16"/>
          <w:lang w:eastAsia="en-US"/>
        </w:rPr>
      </w:pPr>
    </w:p>
    <w:p>
      <w:pPr>
        <w:autoSpaceDE w:val="0"/>
        <w:autoSpaceDN w:val="0"/>
        <w:adjustRightInd w:val="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В обеспечивающую подпрограмму включены расходы на содержание УВГТ Администрации ЗАТО Северск в общей сумме 12 976,09 тыс. руб.</w:t>
      </w:r>
    </w:p>
    <w:p>
      <w:pPr>
        <w:ind w:firstLine="709"/>
        <w:jc w:val="center"/>
        <w:rPr>
          <w:rFonts w:ascii="Times New Roman" w:hAnsi="Times New Roman"/>
          <w:b/>
          <w:color w:val="000000"/>
          <w:sz w:val="24"/>
          <w:szCs w:val="24"/>
        </w:rPr>
      </w:pPr>
    </w:p>
    <w:p>
      <w:pPr>
        <w:ind w:firstLine="709"/>
        <w:jc w:val="center"/>
        <w:rPr>
          <w:rFonts w:ascii="Times New Roman" w:hAnsi="Times New Roman"/>
          <w:b/>
          <w:color w:val="000000"/>
          <w:sz w:val="24"/>
          <w:szCs w:val="24"/>
        </w:rPr>
      </w:pPr>
      <w:r>
        <w:rPr>
          <w:rFonts w:ascii="Times New Roman" w:hAnsi="Times New Roman"/>
          <w:b/>
          <w:color w:val="000000"/>
          <w:sz w:val="24"/>
          <w:szCs w:val="24"/>
        </w:rPr>
        <w:t>2.7.2.6. МП «Обеспечение безопасности населения</w:t>
      </w:r>
    </w:p>
    <w:p>
      <w:pPr>
        <w:spacing w:after="120"/>
        <w:ind w:firstLine="709"/>
        <w:jc w:val="center"/>
        <w:rPr>
          <w:rFonts w:ascii="Times New Roman" w:hAnsi="Times New Roman"/>
          <w:b/>
          <w:color w:val="000000"/>
          <w:sz w:val="24"/>
          <w:szCs w:val="24"/>
        </w:rPr>
      </w:pPr>
      <w:r>
        <w:rPr>
          <w:rFonts w:ascii="Times New Roman" w:hAnsi="Times New Roman"/>
          <w:b/>
          <w:color w:val="000000"/>
          <w:sz w:val="24"/>
          <w:szCs w:val="24"/>
        </w:rPr>
        <w:t>на территории ЗАТО Северск»</w:t>
      </w:r>
    </w:p>
    <w:p>
      <w:pPr>
        <w:tabs>
          <w:tab w:val="left" w:pos="709"/>
        </w:tabs>
        <w:ind w:firstLine="709"/>
        <w:jc w:val="both"/>
        <w:rPr>
          <w:rFonts w:ascii="Times New Roman" w:hAnsi="Times New Roman"/>
          <w:sz w:val="24"/>
          <w:szCs w:val="24"/>
        </w:rPr>
      </w:pPr>
      <w:r>
        <w:rPr>
          <w:rFonts w:ascii="Times New Roman" w:hAnsi="Times New Roman"/>
          <w:sz w:val="24"/>
          <w:szCs w:val="24"/>
        </w:rPr>
        <w:t xml:space="preserve">Финансовое обеспечение по МП «Обеспечение безопасности населения </w:t>
      </w:r>
      <w:r>
        <w:rPr>
          <w:rFonts w:ascii="Times New Roman" w:hAnsi="Times New Roman"/>
          <w:sz w:val="24"/>
          <w:szCs w:val="24"/>
        </w:rPr>
        <w:br/>
        <w:t xml:space="preserve">на территории ЗАТО Северск» предусмотрено на 2021 год в объеме 60 851,64 тыс. руб., </w:t>
      </w:r>
      <w:r>
        <w:rPr>
          <w:rFonts w:ascii="Times New Roman" w:hAnsi="Times New Roman"/>
          <w:sz w:val="24"/>
          <w:szCs w:val="24"/>
        </w:rPr>
        <w:br/>
        <w:t>на 2022 год – 41 071,57 тыс. руб., на 2023 год – 42 804,47 тыс. руб.</w:t>
      </w:r>
    </w:p>
    <w:p>
      <w:pPr>
        <w:ind w:firstLine="709"/>
        <w:jc w:val="both"/>
        <w:rPr>
          <w:rFonts w:ascii="Times New Roman" w:hAnsi="Times New Roman"/>
          <w:b/>
          <w:sz w:val="6"/>
          <w:szCs w:val="6"/>
        </w:rPr>
      </w:pPr>
    </w:p>
    <w:p>
      <w:pPr>
        <w:ind w:firstLine="709"/>
        <w:jc w:val="both"/>
        <w:rPr>
          <w:rFonts w:ascii="Times New Roman" w:hAnsi="Times New Roman"/>
          <w:sz w:val="24"/>
          <w:szCs w:val="24"/>
        </w:rPr>
      </w:pPr>
      <w:r>
        <w:rPr>
          <w:rFonts w:ascii="Times New Roman" w:hAnsi="Times New Roman"/>
          <w:sz w:val="24"/>
          <w:szCs w:val="24"/>
        </w:rPr>
        <w:t>Цель МП: повышение уровня безопасности населения на территории ЗАТО Северск.</w:t>
      </w:r>
    </w:p>
    <w:p>
      <w:pPr>
        <w:ind w:firstLine="709"/>
        <w:jc w:val="both"/>
        <w:rPr>
          <w:rFonts w:ascii="Times New Roman" w:hAnsi="Times New Roman"/>
          <w:sz w:val="24"/>
          <w:szCs w:val="24"/>
        </w:rPr>
      </w:pPr>
      <w:r>
        <w:rPr>
          <w:rFonts w:ascii="Times New Roman" w:hAnsi="Times New Roman"/>
          <w:sz w:val="24"/>
          <w:szCs w:val="24"/>
        </w:rPr>
        <w:t xml:space="preserve">Ответственный исполнитель: Управление по делам защиты населения и территорий от чрезвычайных ситуаций Администрации ЗАТО Северск. </w:t>
      </w:r>
    </w:p>
    <w:p>
      <w:pPr>
        <w:ind w:firstLine="709"/>
        <w:jc w:val="both"/>
        <w:rPr>
          <w:rFonts w:ascii="Times New Roman" w:hAnsi="Times New Roman"/>
          <w:sz w:val="24"/>
          <w:szCs w:val="24"/>
        </w:rPr>
      </w:pPr>
      <w:r>
        <w:rPr>
          <w:rFonts w:ascii="Times New Roman" w:hAnsi="Times New Roman"/>
          <w:sz w:val="24"/>
          <w:szCs w:val="24"/>
        </w:rPr>
        <w:t xml:space="preserve">Соисполнители и (или) участники: УЖКХ ТиС </w:t>
      </w:r>
      <w:r>
        <w:rPr>
          <w:rFonts w:ascii="Times New Roman" w:hAnsi="Times New Roman"/>
          <w:snapToGrid w:val="0"/>
          <w:sz w:val="24"/>
          <w:szCs w:val="24"/>
        </w:rPr>
        <w:t xml:space="preserve">Администрации ЗАТО Северск, </w:t>
      </w:r>
      <w:r>
        <w:rPr>
          <w:rFonts w:ascii="Times New Roman" w:hAnsi="Times New Roman"/>
          <w:sz w:val="24"/>
          <w:szCs w:val="24"/>
        </w:rPr>
        <w:t>Управление капитального строительства Администрации ЗАТО Северск, Управление культуры Администрации ЗАТО Северск, Управление молодежной и семейной политики, физической культуры и спорта Администрации ЗАТО Северск, Управление образования Администрации ЗАТО Северск, Управление имущественных отношений Администрации ЗАТО Северск, Управление по внегородским территориям Администрации ЗАТО Северск, Управление по делам защиты населения и территорий от чрезвычайных ситуаций Администрации ЗАТО Северск.</w:t>
      </w:r>
    </w:p>
    <w:p>
      <w:pPr>
        <w:spacing w:after="120"/>
        <w:ind w:firstLine="709"/>
        <w:jc w:val="both"/>
        <w:rPr>
          <w:rFonts w:ascii="Times New Roman" w:hAnsi="Times New Roman"/>
          <w:sz w:val="24"/>
          <w:szCs w:val="24"/>
        </w:rPr>
      </w:pPr>
      <w:r>
        <w:rPr>
          <w:rFonts w:ascii="Times New Roman" w:hAnsi="Times New Roman"/>
          <w:sz w:val="24"/>
          <w:szCs w:val="24"/>
        </w:rPr>
        <w:t>В 2021 году и плановом периоде 2022-2023 годов планируется достижение следующих целевых индикаторов результативности МП.</w:t>
      </w:r>
    </w:p>
    <w:p>
      <w:pPr>
        <w:spacing w:after="120"/>
        <w:ind w:firstLine="709"/>
        <w:jc w:val="both"/>
        <w:rPr>
          <w:rFonts w:ascii="Times New Roman" w:hAnsi="Times New Roman"/>
          <w:sz w:val="24"/>
          <w:szCs w:val="24"/>
        </w:rPr>
      </w:pPr>
      <w:r>
        <w:rPr>
          <w:rFonts w:ascii="Times New Roman" w:hAnsi="Times New Roman"/>
          <w:sz w:val="24"/>
          <w:szCs w:val="24"/>
        </w:rPr>
        <w:t>Таблица 64 - Целевые индикаторы МП «</w:t>
      </w:r>
      <w:r>
        <w:rPr>
          <w:rFonts w:ascii="Times New Roman" w:hAnsi="Times New Roman"/>
          <w:color w:val="000000"/>
          <w:sz w:val="24"/>
          <w:szCs w:val="24"/>
        </w:rPr>
        <w:t xml:space="preserve">Обеспечение безопасности населения </w:t>
      </w:r>
      <w:r>
        <w:rPr>
          <w:rFonts w:ascii="Times New Roman" w:hAnsi="Times New Roman"/>
          <w:color w:val="000000"/>
          <w:sz w:val="24"/>
          <w:szCs w:val="24"/>
        </w:rPr>
        <w:br/>
        <w:t>на территории ЗАТО Северск</w:t>
      </w:r>
      <w:r>
        <w:rPr>
          <w:rFonts w:ascii="Times New Roman" w:hAnsi="Times New Roman"/>
          <w:sz w:val="24"/>
          <w:szCs w:val="24"/>
        </w:rPr>
        <w:t>»</w:t>
      </w:r>
    </w:p>
    <w:tbl>
      <w:tblPr>
        <w:tblW w:w="95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1134"/>
        <w:gridCol w:w="1134"/>
        <w:gridCol w:w="1289"/>
        <w:gridCol w:w="1152"/>
      </w:tblGrid>
      <w:tr>
        <w:trPr>
          <w:trHeight w:val="597"/>
        </w:trPr>
        <w:tc>
          <w:tcPr>
            <w:tcW w:w="4820"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Наименование целевых индикаторов результативности программы</w:t>
            </w:r>
          </w:p>
        </w:tc>
        <w:tc>
          <w:tcPr>
            <w:tcW w:w="1134" w:type="dxa"/>
            <w:tcBorders>
              <w:top w:val="single" w:sz="4" w:space="0" w:color="auto"/>
              <w:left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Оценка</w:t>
            </w:r>
          </w:p>
          <w:p>
            <w:pPr>
              <w:jc w:val="center"/>
              <w:rPr>
                <w:rFonts w:ascii="Times New Roman" w:hAnsi="Times New Roman"/>
                <w:sz w:val="22"/>
                <w:szCs w:val="22"/>
              </w:rPr>
            </w:pPr>
            <w:r>
              <w:rPr>
                <w:rFonts w:ascii="Times New Roman" w:hAnsi="Times New Roman"/>
                <w:sz w:val="22"/>
                <w:szCs w:val="22"/>
              </w:rPr>
              <w:t>2020 года</w:t>
            </w:r>
          </w:p>
        </w:tc>
        <w:tc>
          <w:tcPr>
            <w:tcW w:w="1134"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 2021 года</w:t>
            </w:r>
          </w:p>
        </w:tc>
        <w:tc>
          <w:tcPr>
            <w:tcW w:w="1289"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w:t>
            </w:r>
          </w:p>
        </w:tc>
        <w:tc>
          <w:tcPr>
            <w:tcW w:w="1152"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w:t>
            </w:r>
          </w:p>
        </w:tc>
      </w:tr>
      <w:tr>
        <w:trPr>
          <w:trHeight w:val="189"/>
        </w:trPr>
        <w:tc>
          <w:tcPr>
            <w:tcW w:w="4820"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3</w:t>
            </w:r>
          </w:p>
        </w:tc>
        <w:tc>
          <w:tcPr>
            <w:tcW w:w="1289"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4</w:t>
            </w:r>
          </w:p>
        </w:tc>
        <w:tc>
          <w:tcPr>
            <w:tcW w:w="1152"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5</w:t>
            </w:r>
          </w:p>
        </w:tc>
      </w:tr>
      <w:tr>
        <w:trPr>
          <w:trHeight w:val="49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pPr>
              <w:rPr>
                <w:rFonts w:ascii="Times New Roman" w:hAnsi="Times New Roman"/>
                <w:sz w:val="22"/>
                <w:szCs w:val="22"/>
              </w:rPr>
            </w:pPr>
            <w:r>
              <w:rPr>
                <w:rFonts w:ascii="Times New Roman" w:hAnsi="Times New Roman"/>
                <w:sz w:val="22"/>
                <w:szCs w:val="22"/>
              </w:rPr>
              <w:t>1. Уровень преступности, преступлений на 100 тысяч населения, ед.</w:t>
            </w:r>
          </w:p>
        </w:tc>
        <w:tc>
          <w:tcPr>
            <w:tcW w:w="1134"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1240</w:t>
            </w:r>
          </w:p>
        </w:tc>
        <w:tc>
          <w:tcPr>
            <w:tcW w:w="1134"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1270</w:t>
            </w:r>
          </w:p>
        </w:tc>
        <w:tc>
          <w:tcPr>
            <w:tcW w:w="1289"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1270</w:t>
            </w:r>
          </w:p>
        </w:tc>
        <w:tc>
          <w:tcPr>
            <w:tcW w:w="1152"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sz w:val="22"/>
                <w:szCs w:val="22"/>
              </w:rPr>
            </w:pPr>
            <w:r>
              <w:rPr>
                <w:rFonts w:ascii="Times New Roman" w:hAnsi="Times New Roman"/>
                <w:sz w:val="22"/>
                <w:szCs w:val="22"/>
              </w:rPr>
              <w:t>1270</w:t>
            </w:r>
          </w:p>
        </w:tc>
      </w:tr>
      <w:tr>
        <w:trPr>
          <w:trHeight w:val="645"/>
        </w:trPr>
        <w:tc>
          <w:tcPr>
            <w:tcW w:w="4820"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sz w:val="22"/>
                <w:szCs w:val="22"/>
              </w:rPr>
            </w:pPr>
            <w:r>
              <w:rPr>
                <w:rFonts w:ascii="Times New Roman" w:hAnsi="Times New Roman"/>
                <w:sz w:val="22"/>
                <w:szCs w:val="22"/>
              </w:rPr>
              <w:t>2. Доля муниципальных учреждений социальной сферы, в которых повысился уровень пожарной безопасности, проц.</w:t>
            </w:r>
          </w:p>
        </w:tc>
        <w:tc>
          <w:tcPr>
            <w:tcW w:w="1134"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39</w:t>
            </w:r>
          </w:p>
        </w:tc>
        <w:tc>
          <w:tcPr>
            <w:tcW w:w="1134"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28</w:t>
            </w:r>
          </w:p>
        </w:tc>
        <w:tc>
          <w:tcPr>
            <w:tcW w:w="1289"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25</w:t>
            </w:r>
          </w:p>
        </w:tc>
        <w:tc>
          <w:tcPr>
            <w:tcW w:w="1152"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28</w:t>
            </w:r>
          </w:p>
        </w:tc>
      </w:tr>
      <w:tr>
        <w:trPr>
          <w:trHeight w:val="280"/>
        </w:trPr>
        <w:tc>
          <w:tcPr>
            <w:tcW w:w="4820"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3</w:t>
            </w:r>
          </w:p>
        </w:tc>
        <w:tc>
          <w:tcPr>
            <w:tcW w:w="1289"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4</w:t>
            </w:r>
          </w:p>
        </w:tc>
        <w:tc>
          <w:tcPr>
            <w:tcW w:w="1152"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5</w:t>
            </w:r>
          </w:p>
        </w:tc>
      </w:tr>
      <w:tr>
        <w:trPr>
          <w:trHeight w:val="625"/>
        </w:trPr>
        <w:tc>
          <w:tcPr>
            <w:tcW w:w="4820"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i/>
                <w:sz w:val="22"/>
                <w:szCs w:val="22"/>
                <w:u w:val="single"/>
              </w:rPr>
            </w:pPr>
            <w:r>
              <w:rPr>
                <w:rFonts w:ascii="Times New Roman" w:hAnsi="Times New Roman"/>
                <w:sz w:val="22"/>
                <w:szCs w:val="22"/>
              </w:rPr>
              <w:t>3. Выполнено мероприятий, направленных на обеспечение безопасности в период весеннего половодья, проц.</w:t>
            </w:r>
          </w:p>
        </w:tc>
        <w:tc>
          <w:tcPr>
            <w:tcW w:w="1134"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100</w:t>
            </w:r>
          </w:p>
        </w:tc>
        <w:tc>
          <w:tcPr>
            <w:tcW w:w="1289"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100</w:t>
            </w:r>
          </w:p>
        </w:tc>
        <w:tc>
          <w:tcPr>
            <w:tcW w:w="1152"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2"/>
                <w:szCs w:val="22"/>
              </w:rPr>
            </w:pPr>
            <w:r>
              <w:rPr>
                <w:rFonts w:ascii="Times New Roman" w:hAnsi="Times New Roman"/>
                <w:sz w:val="22"/>
                <w:szCs w:val="22"/>
              </w:rPr>
              <w:t>100</w:t>
            </w:r>
          </w:p>
        </w:tc>
      </w:tr>
    </w:tbl>
    <w:p>
      <w:pPr>
        <w:autoSpaceDE w:val="0"/>
        <w:autoSpaceDN w:val="0"/>
        <w:adjustRightInd w:val="0"/>
        <w:ind w:firstLine="709"/>
        <w:jc w:val="both"/>
        <w:rPr>
          <w:rFonts w:ascii="Times New Roman" w:eastAsia="Calibri" w:hAnsi="Times New Roman"/>
          <w:sz w:val="10"/>
          <w:szCs w:val="10"/>
          <w:lang w:eastAsia="en-US"/>
        </w:rPr>
      </w:pPr>
    </w:p>
    <w:p>
      <w:pPr>
        <w:autoSpaceDE w:val="0"/>
        <w:autoSpaceDN w:val="0"/>
        <w:adjustRightInd w:val="0"/>
        <w:spacing w:after="120"/>
        <w:ind w:firstLine="709"/>
        <w:jc w:val="both"/>
        <w:rPr>
          <w:rFonts w:ascii="Times New Roman" w:hAnsi="Times New Roman"/>
          <w:sz w:val="24"/>
          <w:szCs w:val="24"/>
        </w:rPr>
      </w:pPr>
      <w:r>
        <w:rPr>
          <w:rFonts w:ascii="Times New Roman" w:eastAsia="Calibri" w:hAnsi="Times New Roman"/>
          <w:sz w:val="24"/>
          <w:szCs w:val="24"/>
          <w:lang w:eastAsia="en-US"/>
        </w:rPr>
        <w:t>В рамках муниципальной программы реализуются 4 подпрограммы:</w:t>
      </w:r>
    </w:p>
    <w:p>
      <w:pPr>
        <w:spacing w:after="120"/>
        <w:ind w:firstLine="709"/>
        <w:jc w:val="both"/>
        <w:rPr>
          <w:rFonts w:ascii="Times New Roman" w:hAnsi="Times New Roman"/>
          <w:sz w:val="24"/>
          <w:szCs w:val="24"/>
        </w:rPr>
      </w:pPr>
      <w:r>
        <w:rPr>
          <w:rFonts w:ascii="Times New Roman" w:hAnsi="Times New Roman"/>
          <w:sz w:val="24"/>
          <w:szCs w:val="24"/>
        </w:rPr>
        <w:t>Таблица 65 - Объем финансового обеспечения МП «</w:t>
      </w:r>
      <w:r>
        <w:rPr>
          <w:rFonts w:ascii="Times New Roman" w:hAnsi="Times New Roman"/>
          <w:color w:val="000000"/>
          <w:sz w:val="24"/>
          <w:szCs w:val="24"/>
        </w:rPr>
        <w:t>Обеспечение безопасности населения на территории ЗАТО Северск</w:t>
      </w:r>
      <w:r>
        <w:rPr>
          <w:rFonts w:ascii="Times New Roman" w:hAnsi="Times New Roman"/>
          <w:sz w:val="24"/>
          <w:szCs w:val="24"/>
        </w:rPr>
        <w:t>»</w:t>
      </w:r>
    </w:p>
    <w:tbl>
      <w:tblPr>
        <w:tblW w:w="94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1255"/>
        <w:gridCol w:w="1110"/>
        <w:gridCol w:w="1097"/>
      </w:tblGrid>
      <w:tr>
        <w:trPr>
          <w:trHeight w:val="1012"/>
        </w:trPr>
        <w:tc>
          <w:tcPr>
            <w:tcW w:w="595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Наименование</w:t>
            </w:r>
          </w:p>
        </w:tc>
        <w:tc>
          <w:tcPr>
            <w:tcW w:w="1255" w:type="dxa"/>
            <w:tcBorders>
              <w:top w:val="single" w:sz="4" w:space="0" w:color="auto"/>
              <w:left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 xml:space="preserve">Прогноз 2021 </w:t>
            </w:r>
          </w:p>
          <w:p>
            <w:pPr>
              <w:jc w:val="center"/>
              <w:rPr>
                <w:rFonts w:ascii="Times New Roman" w:hAnsi="Times New Roman"/>
                <w:sz w:val="22"/>
                <w:szCs w:val="22"/>
              </w:rPr>
            </w:pPr>
            <w:r>
              <w:rPr>
                <w:rFonts w:ascii="Times New Roman" w:hAnsi="Times New Roman"/>
                <w:sz w:val="22"/>
                <w:szCs w:val="22"/>
              </w:rPr>
              <w:t>года,</w:t>
            </w:r>
          </w:p>
          <w:p>
            <w:pPr>
              <w:jc w:val="center"/>
              <w:rPr>
                <w:rFonts w:ascii="Times New Roman" w:hAnsi="Times New Roman"/>
                <w:sz w:val="22"/>
                <w:szCs w:val="22"/>
              </w:rPr>
            </w:pPr>
            <w:r>
              <w:rPr>
                <w:rFonts w:ascii="Times New Roman" w:hAnsi="Times New Roman"/>
                <w:sz w:val="22"/>
                <w:szCs w:val="22"/>
              </w:rPr>
              <w:t>тыс.руб.</w:t>
            </w:r>
          </w:p>
        </w:tc>
        <w:tc>
          <w:tcPr>
            <w:tcW w:w="1110"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 тыс.руб.</w:t>
            </w:r>
          </w:p>
        </w:tc>
        <w:tc>
          <w:tcPr>
            <w:tcW w:w="1097"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 тыс.руб.</w:t>
            </w:r>
          </w:p>
        </w:tc>
      </w:tr>
      <w:tr>
        <w:tc>
          <w:tcPr>
            <w:tcW w:w="5954" w:type="dxa"/>
            <w:tcBorders>
              <w:top w:val="single" w:sz="4" w:space="0" w:color="auto"/>
              <w:left w:val="single" w:sz="4" w:space="0" w:color="auto"/>
              <w:bottom w:val="single" w:sz="4" w:space="0" w:color="auto"/>
              <w:right w:val="single" w:sz="4" w:space="0" w:color="auto"/>
            </w:tcBorders>
            <w:hideMark/>
          </w:tcPr>
          <w:p>
            <w:pPr>
              <w:jc w:val="both"/>
              <w:rPr>
                <w:sz w:val="22"/>
                <w:szCs w:val="22"/>
              </w:rPr>
            </w:pPr>
            <w:r>
              <w:rPr>
                <w:sz w:val="22"/>
                <w:szCs w:val="22"/>
              </w:rPr>
              <w:t>ВСЕГО по МП</w:t>
            </w:r>
          </w:p>
        </w:tc>
        <w:tc>
          <w:tcPr>
            <w:tcW w:w="125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60 851,64</w:t>
            </w:r>
          </w:p>
        </w:tc>
        <w:tc>
          <w:tcPr>
            <w:tcW w:w="111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41 071,57</w:t>
            </w:r>
          </w:p>
        </w:tc>
        <w:tc>
          <w:tcPr>
            <w:tcW w:w="109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42 804,47</w:t>
            </w:r>
          </w:p>
        </w:tc>
      </w:tr>
      <w:tr>
        <w:trPr>
          <w:trHeight w:val="721"/>
        </w:trPr>
        <w:tc>
          <w:tcPr>
            <w:tcW w:w="5954"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sz w:val="22"/>
                <w:szCs w:val="22"/>
              </w:rPr>
            </w:pPr>
            <w:r>
              <w:rPr>
                <w:rFonts w:ascii="Times New Roman" w:hAnsi="Times New Roman"/>
                <w:sz w:val="22"/>
                <w:szCs w:val="22"/>
              </w:rPr>
              <w:t xml:space="preserve">Подпрограмма 1 </w:t>
            </w:r>
          </w:p>
          <w:p>
            <w:pPr>
              <w:pStyle w:val="21"/>
              <w:jc w:val="left"/>
              <w:rPr>
                <w:sz w:val="22"/>
                <w:szCs w:val="22"/>
              </w:rPr>
            </w:pPr>
            <w:r>
              <w:rPr>
                <w:sz w:val="22"/>
                <w:szCs w:val="22"/>
              </w:rPr>
              <w:t>«Профилактика преступлений и иных правонарушений на территории ЗАТО Северск»</w:t>
            </w:r>
          </w:p>
        </w:tc>
        <w:tc>
          <w:tcPr>
            <w:tcW w:w="125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306,6</w:t>
            </w:r>
          </w:p>
        </w:tc>
        <w:tc>
          <w:tcPr>
            <w:tcW w:w="1110"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2"/>
                <w:szCs w:val="22"/>
              </w:rPr>
            </w:pPr>
          </w:p>
        </w:tc>
        <w:tc>
          <w:tcPr>
            <w:tcW w:w="1097"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2"/>
                <w:szCs w:val="22"/>
              </w:rPr>
            </w:pPr>
          </w:p>
        </w:tc>
      </w:tr>
      <w:tr>
        <w:trPr>
          <w:trHeight w:val="803"/>
        </w:trPr>
        <w:tc>
          <w:tcPr>
            <w:tcW w:w="5954" w:type="dxa"/>
            <w:tcBorders>
              <w:top w:val="single" w:sz="4" w:space="0" w:color="auto"/>
              <w:left w:val="single" w:sz="4" w:space="0" w:color="auto"/>
              <w:bottom w:val="single" w:sz="4" w:space="0" w:color="auto"/>
              <w:right w:val="single" w:sz="4" w:space="0" w:color="auto"/>
            </w:tcBorders>
            <w:shd w:val="clear" w:color="auto" w:fill="auto"/>
            <w:hideMark/>
          </w:tcPr>
          <w:p>
            <w:pPr>
              <w:rPr>
                <w:rFonts w:ascii="Times New Roman" w:hAnsi="Times New Roman"/>
                <w:sz w:val="22"/>
                <w:szCs w:val="22"/>
              </w:rPr>
            </w:pPr>
            <w:r>
              <w:rPr>
                <w:rFonts w:ascii="Times New Roman" w:hAnsi="Times New Roman"/>
                <w:sz w:val="22"/>
                <w:szCs w:val="22"/>
              </w:rPr>
              <w:t xml:space="preserve">Подпрограмма 2 </w:t>
            </w:r>
          </w:p>
          <w:p>
            <w:pPr>
              <w:rPr>
                <w:sz w:val="22"/>
                <w:szCs w:val="22"/>
              </w:rPr>
            </w:pPr>
            <w:r>
              <w:rPr>
                <w:sz w:val="22"/>
                <w:szCs w:val="22"/>
              </w:rPr>
              <w:t xml:space="preserve">«Обеспечение первичных мер пожарной безопасности </w:t>
            </w:r>
            <w:r>
              <w:rPr>
                <w:sz w:val="22"/>
                <w:szCs w:val="22"/>
              </w:rPr>
              <w:br/>
              <w:t>на территории ЗАТО Северск»</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34 934,21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20 573,11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22 644,85</w:t>
            </w:r>
          </w:p>
        </w:tc>
      </w:tr>
      <w:tr>
        <w:trPr>
          <w:trHeight w:val="268"/>
        </w:trPr>
        <w:tc>
          <w:tcPr>
            <w:tcW w:w="5954" w:type="dxa"/>
            <w:tcBorders>
              <w:top w:val="single" w:sz="4" w:space="0" w:color="auto"/>
              <w:left w:val="single" w:sz="4" w:space="0" w:color="auto"/>
              <w:right w:val="single" w:sz="4" w:space="0" w:color="auto"/>
            </w:tcBorders>
            <w:vAlign w:val="center"/>
            <w:hideMark/>
          </w:tcPr>
          <w:p>
            <w:pPr>
              <w:rPr>
                <w:rFonts w:ascii="Times New Roman" w:hAnsi="Times New Roman"/>
                <w:sz w:val="22"/>
                <w:szCs w:val="22"/>
              </w:rPr>
            </w:pPr>
            <w:r>
              <w:rPr>
                <w:rFonts w:ascii="Times New Roman" w:hAnsi="Times New Roman"/>
                <w:sz w:val="22"/>
                <w:szCs w:val="22"/>
              </w:rPr>
              <w:t xml:space="preserve">Подпрограмма 3 </w:t>
            </w:r>
          </w:p>
          <w:p>
            <w:pPr>
              <w:rPr>
                <w:rFonts w:ascii="Times New Roman" w:hAnsi="Times New Roman"/>
                <w:sz w:val="22"/>
                <w:szCs w:val="22"/>
              </w:rPr>
            </w:pPr>
            <w:r>
              <w:rPr>
                <w:sz w:val="22"/>
                <w:szCs w:val="22"/>
              </w:rPr>
              <w:t>«Повышение уровня защиты населения и территории ЗАТО Северск от чрезвычайных ситуаций</w:t>
            </w:r>
            <w:r>
              <w:rPr>
                <w:sz w:val="22"/>
                <w:szCs w:val="22"/>
              </w:rPr>
              <w:br/>
              <w:t>мирного и военного времени»</w:t>
            </w:r>
          </w:p>
        </w:tc>
        <w:tc>
          <w:tcPr>
            <w:tcW w:w="1255"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14 357,03</w:t>
            </w:r>
          </w:p>
        </w:tc>
        <w:tc>
          <w:tcPr>
            <w:tcW w:w="1110"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10 460,0</w:t>
            </w:r>
          </w:p>
        </w:tc>
        <w:tc>
          <w:tcPr>
            <w:tcW w:w="1097"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10 797,0</w:t>
            </w:r>
          </w:p>
        </w:tc>
      </w:tr>
      <w:tr>
        <w:tc>
          <w:tcPr>
            <w:tcW w:w="5954"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sz w:val="22"/>
                <w:szCs w:val="22"/>
              </w:rPr>
            </w:pPr>
            <w:r>
              <w:rPr>
                <w:rFonts w:ascii="Times New Roman" w:hAnsi="Times New Roman"/>
                <w:sz w:val="22"/>
                <w:szCs w:val="22"/>
              </w:rPr>
              <w:t>Подпрограмма 4</w:t>
            </w:r>
          </w:p>
          <w:p>
            <w:pPr>
              <w:rPr>
                <w:sz w:val="22"/>
                <w:szCs w:val="22"/>
              </w:rPr>
            </w:pPr>
            <w:r>
              <w:rPr>
                <w:rFonts w:ascii="Times New Roman" w:hAnsi="Times New Roman"/>
                <w:sz w:val="22"/>
                <w:szCs w:val="22"/>
              </w:rPr>
              <w:t>«Обеспечивающая подпрограмма»</w:t>
            </w:r>
          </w:p>
        </w:tc>
        <w:tc>
          <w:tcPr>
            <w:tcW w:w="1255"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11 253,80</w:t>
            </w:r>
          </w:p>
        </w:tc>
        <w:tc>
          <w:tcPr>
            <w:tcW w:w="111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10 038,46</w:t>
            </w:r>
          </w:p>
        </w:tc>
        <w:tc>
          <w:tcPr>
            <w:tcW w:w="1097"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9 362,62</w:t>
            </w:r>
          </w:p>
        </w:tc>
      </w:tr>
    </w:tbl>
    <w:p>
      <w:pPr>
        <w:autoSpaceDE w:val="0"/>
        <w:autoSpaceDN w:val="0"/>
        <w:adjustRightInd w:val="0"/>
        <w:ind w:firstLine="709"/>
        <w:jc w:val="both"/>
        <w:rPr>
          <w:rFonts w:ascii="Times New Roman" w:eastAsia="Calibri" w:hAnsi="Times New Roman"/>
          <w:sz w:val="16"/>
          <w:szCs w:val="16"/>
          <w:lang w:eastAsia="en-US"/>
        </w:rPr>
      </w:pPr>
    </w:p>
    <w:p>
      <w:pPr>
        <w:ind w:firstLine="709"/>
        <w:jc w:val="both"/>
        <w:rPr>
          <w:rFonts w:ascii="Times New Roman" w:hAnsi="Times New Roman"/>
          <w:sz w:val="24"/>
          <w:szCs w:val="24"/>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w:t>
      </w:r>
      <w:r>
        <w:rPr>
          <w:rFonts w:ascii="Times New Roman" w:hAnsi="Times New Roman"/>
          <w:sz w:val="24"/>
          <w:szCs w:val="24"/>
        </w:rPr>
        <w:t xml:space="preserve">МП «Обеспечение безопасности населения на территории ЗАТО Северск» составит </w:t>
      </w:r>
      <w:r>
        <w:rPr>
          <w:rFonts w:ascii="Times New Roman" w:hAnsi="Times New Roman"/>
          <w:sz w:val="22"/>
          <w:szCs w:val="22"/>
        </w:rPr>
        <w:t xml:space="preserve">60 851,64 </w:t>
      </w:r>
      <w:r>
        <w:rPr>
          <w:rFonts w:ascii="Times New Roman" w:hAnsi="Times New Roman"/>
          <w:sz w:val="24"/>
          <w:szCs w:val="24"/>
        </w:rPr>
        <w:t>тыс. руб., в том числе по подпрограммам:</w:t>
      </w:r>
    </w:p>
    <w:p>
      <w:pPr>
        <w:widowControl w:val="0"/>
        <w:autoSpaceDE w:val="0"/>
        <w:autoSpaceDN w:val="0"/>
        <w:adjustRightInd w:val="0"/>
        <w:ind w:firstLine="708"/>
        <w:jc w:val="both"/>
        <w:rPr>
          <w:rFonts w:ascii="Times New Roman" w:hAnsi="Times New Roman"/>
          <w:sz w:val="16"/>
          <w:szCs w:val="16"/>
        </w:rPr>
      </w:pP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xml:space="preserve">По подпрограмме 1 </w:t>
      </w:r>
      <w:r>
        <w:rPr>
          <w:sz w:val="24"/>
          <w:szCs w:val="24"/>
        </w:rPr>
        <w:t xml:space="preserve">«Профилактика преступлений и иных правонарушений </w:t>
      </w:r>
      <w:r>
        <w:rPr>
          <w:sz w:val="24"/>
          <w:szCs w:val="24"/>
        </w:rPr>
        <w:br/>
        <w:t>на территории ЗАТО Северск»</w:t>
      </w:r>
      <w:r>
        <w:rPr>
          <w:rFonts w:ascii="Times New Roman" w:hAnsi="Times New Roman"/>
          <w:sz w:val="24"/>
          <w:szCs w:val="24"/>
        </w:rPr>
        <w:t xml:space="preserve"> предусмотрены расходы на материальное стимулирование членов общественной организации правоохранительной направленности </w:t>
      </w:r>
      <w:r>
        <w:rPr>
          <w:rFonts w:ascii="Times New Roman" w:hAnsi="Times New Roman"/>
          <w:sz w:val="24"/>
          <w:szCs w:val="24"/>
        </w:rPr>
        <w:br/>
        <w:t xml:space="preserve">«Народная дружина» на сумму 306,60 тыс. руб. </w:t>
      </w:r>
    </w:p>
    <w:p>
      <w:pPr>
        <w:widowControl w:val="0"/>
        <w:autoSpaceDE w:val="0"/>
        <w:autoSpaceDN w:val="0"/>
        <w:adjustRightInd w:val="0"/>
        <w:ind w:firstLine="708"/>
        <w:jc w:val="both"/>
        <w:rPr>
          <w:rFonts w:ascii="Times New Roman" w:hAnsi="Times New Roman"/>
          <w:sz w:val="16"/>
          <w:szCs w:val="16"/>
        </w:rPr>
      </w:pP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По подпрограмме 2 </w:t>
      </w:r>
      <w:r>
        <w:rPr>
          <w:sz w:val="24"/>
          <w:szCs w:val="24"/>
        </w:rPr>
        <w:t xml:space="preserve">«Обеспечение первичных мер пожарной безопасности </w:t>
      </w:r>
      <w:r>
        <w:rPr>
          <w:sz w:val="24"/>
          <w:szCs w:val="24"/>
        </w:rPr>
        <w:br/>
        <w:t>на территории ЗАТО Северск»</w:t>
      </w:r>
      <w:r>
        <w:rPr>
          <w:rFonts w:ascii="Times New Roman" w:hAnsi="Times New Roman"/>
          <w:sz w:val="24"/>
          <w:szCs w:val="24"/>
        </w:rPr>
        <w:t xml:space="preserve"> предусмотрены расходы</w:t>
      </w:r>
      <w:r>
        <w:rPr>
          <w:rFonts w:ascii="Times New Roman" w:hAnsi="Times New Roman"/>
          <w:color w:val="000000" w:themeColor="text1"/>
          <w:sz w:val="24"/>
          <w:szCs w:val="24"/>
        </w:rPr>
        <w:t>:</w:t>
      </w:r>
    </w:p>
    <w:p>
      <w:pPr>
        <w:autoSpaceDE w:val="0"/>
        <w:autoSpaceDN w:val="0"/>
        <w:adjustRightInd w:val="0"/>
        <w:ind w:firstLine="709"/>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 xml:space="preserve">- на мероприятия по пожарной безопасности учреждений культуры, дополнительного образования, лагерей и образовательных учреждений </w:t>
      </w:r>
      <w:r>
        <w:rPr>
          <w:rFonts w:ascii="Times New Roman" w:eastAsia="Calibri" w:hAnsi="Times New Roman"/>
          <w:color w:val="000000"/>
          <w:sz w:val="24"/>
          <w:szCs w:val="24"/>
          <w:lang w:eastAsia="en-US"/>
        </w:rPr>
        <w:br/>
        <w:t>в сумме 20 447,16 тыс.руб.;</w:t>
      </w:r>
    </w:p>
    <w:p>
      <w:pPr>
        <w:autoSpaceDE w:val="0"/>
        <w:autoSpaceDN w:val="0"/>
        <w:adjustRightInd w:val="0"/>
        <w:ind w:firstLine="709"/>
        <w:jc w:val="both"/>
        <w:rPr>
          <w:rFonts w:ascii="Times New Roman" w:hAnsi="Times New Roman"/>
          <w:color w:val="FF0000"/>
          <w:sz w:val="24"/>
          <w:szCs w:val="24"/>
        </w:rPr>
      </w:pPr>
      <w:r>
        <w:rPr>
          <w:rFonts w:ascii="Times New Roman" w:hAnsi="Times New Roman"/>
          <w:sz w:val="24"/>
          <w:szCs w:val="24"/>
        </w:rPr>
        <w:t>- на капитальный ремонт установки пожарной автоматики в МБУ «Северский музыкальный театр» (установка пожаротушения) в сумме 13 865, 68 тыс.руб.</w:t>
      </w:r>
    </w:p>
    <w:p>
      <w:pPr>
        <w:ind w:firstLine="709"/>
        <w:jc w:val="both"/>
        <w:rPr>
          <w:rFonts w:ascii="Times New Roman" w:eastAsia="Calibri" w:hAnsi="Times New Roman"/>
          <w:sz w:val="24"/>
          <w:szCs w:val="24"/>
          <w:lang w:eastAsia="en-US"/>
        </w:rPr>
      </w:pPr>
      <w:r>
        <w:rPr>
          <w:rFonts w:ascii="Times New Roman" w:hAnsi="Times New Roman"/>
          <w:sz w:val="24"/>
          <w:szCs w:val="24"/>
        </w:rPr>
        <w:t>- на обеспечение первичных мер пожарной безопасности на территории ЗАТО Северск: распространение материалов о мерах пожарной безопасности в лесах, устройство и содержание противопожарных барьеров, приобретение техники и оборудования для работ по предупреждению лесных пожаров, обеспечение пожарной безопасности на лесной территории (ликвидация засорений)</w:t>
      </w:r>
      <w:r>
        <w:rPr>
          <w:rFonts w:ascii="Times New Roman" w:eastAsia="Calibri" w:hAnsi="Times New Roman"/>
          <w:sz w:val="24"/>
          <w:szCs w:val="24"/>
          <w:lang w:eastAsia="en-US"/>
        </w:rPr>
        <w:t xml:space="preserve"> в сумме 507,57 тыс. 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наблюдения за пожароопасной обстановкой в целях своевременного оповещения о выявленных возгораниях в сумме 86,80 тыс. руб.;</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обеспечение эвакуации населения при пожарах, листовки по пожарной безопасности в сумме 27,0 тыс.руб.</w:t>
      </w:r>
    </w:p>
    <w:p>
      <w:pPr>
        <w:autoSpaceDE w:val="0"/>
        <w:autoSpaceDN w:val="0"/>
        <w:adjustRightInd w:val="0"/>
        <w:ind w:firstLine="709"/>
        <w:jc w:val="both"/>
        <w:rPr>
          <w:rFonts w:ascii="Times New Roman" w:hAnsi="Times New Roman"/>
          <w:sz w:val="16"/>
          <w:szCs w:val="16"/>
        </w:rPr>
      </w:pP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По подпрограмме 3 «Повышение уровня защиты населения и территории ЗАТО Северск от чрезвычайных ситуаций мирного и военного времени» предусмотрены расходы:</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обеспечение деятельности МКУ «Единая дежурно-диспетчерская служба ЗАТО Северск» в сумме 13 263,69 тыс. руб.;</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организацию постов в местах отдыха на реке Томь в сумме 1 000,4 тыс.руб.;</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услуги по эксплуатационно-техническому обслуживанию фидеров уличной звукофикации в сумме 46,94 тыс.руб.;</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на обеспечение безопасного пребывания людей на водных объектах, расположенных на территории ЗАТО Северск в сумме 34,0 тыс.руб.;</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выполнение работ по перевозке пострадавшего населения пос.Орловка в период затопления в сумме 12,00 тыс. руб.</w:t>
      </w:r>
    </w:p>
    <w:p>
      <w:pPr>
        <w:widowControl w:val="0"/>
        <w:autoSpaceDE w:val="0"/>
        <w:autoSpaceDN w:val="0"/>
        <w:adjustRightInd w:val="0"/>
        <w:ind w:firstLine="709"/>
        <w:jc w:val="both"/>
        <w:rPr>
          <w:rFonts w:ascii="Times New Roman" w:hAnsi="Times New Roman"/>
          <w:sz w:val="16"/>
          <w:szCs w:val="16"/>
        </w:rPr>
      </w:pPr>
    </w:p>
    <w:p>
      <w:pPr>
        <w:spacing w:after="120"/>
        <w:ind w:firstLine="709"/>
        <w:jc w:val="both"/>
        <w:rPr>
          <w:rFonts w:ascii="Times New Roman" w:hAnsi="Times New Roman"/>
          <w:sz w:val="24"/>
          <w:szCs w:val="24"/>
        </w:rPr>
      </w:pPr>
      <w:r>
        <w:rPr>
          <w:rFonts w:ascii="Times New Roman" w:hAnsi="Times New Roman"/>
          <w:sz w:val="24"/>
          <w:szCs w:val="24"/>
        </w:rPr>
        <w:t xml:space="preserve">В обеспечивающую программу включены расходы на содержание Управления </w:t>
      </w:r>
      <w:r>
        <w:rPr>
          <w:rFonts w:ascii="Times New Roman" w:hAnsi="Times New Roman"/>
          <w:sz w:val="24"/>
          <w:szCs w:val="24"/>
        </w:rPr>
        <w:br/>
        <w:t xml:space="preserve">по делам защиты населения и территорий от чрезвычайных ситуаций Администрации ЗАТО Северск. </w:t>
      </w:r>
    </w:p>
    <w:p>
      <w:pPr>
        <w:jc w:val="center"/>
        <w:rPr>
          <w:b/>
          <w:sz w:val="24"/>
          <w:szCs w:val="24"/>
        </w:rPr>
      </w:pPr>
      <w:r>
        <w:rPr>
          <w:b/>
          <w:sz w:val="24"/>
          <w:szCs w:val="24"/>
        </w:rPr>
        <w:t xml:space="preserve">2.7.2.7. МП «Охрана окружающей среды на территории ЗАТО Северск»  </w:t>
      </w:r>
    </w:p>
    <w:p>
      <w:pPr>
        <w:jc w:val="center"/>
        <w:rPr>
          <w:b/>
          <w:sz w:val="16"/>
          <w:szCs w:val="16"/>
        </w:rPr>
      </w:pPr>
      <w:r>
        <w:rPr>
          <w:b/>
          <w:sz w:val="24"/>
          <w:szCs w:val="24"/>
        </w:rPr>
        <w:t xml:space="preserve">                            </w:t>
      </w:r>
    </w:p>
    <w:p>
      <w:pPr>
        <w:ind w:firstLine="709"/>
        <w:jc w:val="both"/>
        <w:rPr>
          <w:rFonts w:ascii="Times New Roman" w:hAnsi="Times New Roman"/>
          <w:bCs/>
          <w:sz w:val="24"/>
          <w:szCs w:val="24"/>
        </w:rPr>
      </w:pPr>
      <w:r>
        <w:rPr>
          <w:rFonts w:ascii="Times New Roman" w:hAnsi="Times New Roman"/>
          <w:sz w:val="24"/>
          <w:szCs w:val="24"/>
        </w:rPr>
        <w:t xml:space="preserve">Финансовое обеспечение по МП «Охрана окружающей среды на территории ЗАТО Северск» предусмотрено на 2021 год в объеме 1 324,15 тыс.руб., </w:t>
      </w:r>
      <w:r>
        <w:rPr>
          <w:rFonts w:ascii="Times New Roman" w:hAnsi="Times New Roman"/>
          <w:sz w:val="24"/>
          <w:szCs w:val="24"/>
        </w:rPr>
        <w:br/>
        <w:t>на 2022 год – 1</w:t>
      </w:r>
      <w:r>
        <w:rPr>
          <w:rFonts w:ascii="Times New Roman" w:hAnsi="Times New Roman"/>
          <w:bCs/>
          <w:sz w:val="24"/>
          <w:szCs w:val="24"/>
        </w:rPr>
        <w:t xml:space="preserve"> 230,15 </w:t>
      </w:r>
      <w:r>
        <w:rPr>
          <w:rFonts w:ascii="Times New Roman" w:hAnsi="Times New Roman"/>
          <w:sz w:val="24"/>
          <w:szCs w:val="24"/>
        </w:rPr>
        <w:t>тыс.руб., на 2023 год  - 1</w:t>
      </w:r>
      <w:r>
        <w:rPr>
          <w:rFonts w:ascii="Times New Roman" w:hAnsi="Times New Roman"/>
          <w:bCs/>
          <w:sz w:val="24"/>
          <w:szCs w:val="24"/>
        </w:rPr>
        <w:t xml:space="preserve"> 230,15 </w:t>
      </w:r>
      <w:r>
        <w:rPr>
          <w:rFonts w:ascii="Times New Roman" w:hAnsi="Times New Roman"/>
          <w:sz w:val="24"/>
          <w:szCs w:val="24"/>
        </w:rPr>
        <w:t>тыс.руб.</w:t>
      </w:r>
    </w:p>
    <w:p>
      <w:pPr>
        <w:ind w:firstLine="709"/>
        <w:jc w:val="both"/>
        <w:rPr>
          <w:rFonts w:ascii="Times New Roman" w:hAnsi="Times New Roman"/>
          <w:sz w:val="24"/>
          <w:szCs w:val="24"/>
        </w:rPr>
      </w:pPr>
      <w:r>
        <w:rPr>
          <w:rFonts w:ascii="Times New Roman" w:hAnsi="Times New Roman"/>
          <w:sz w:val="24"/>
          <w:szCs w:val="24"/>
        </w:rPr>
        <w:t>Цель МП: повышение уровня экологической безопасности и экологической культуры населения ЗАТО Северск, сохранение особо охраняемых природных территорий местного значения.</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Отдел охраны окружающей среды и природных ресурсов Администрации ЗАТО Северск.</w:t>
      </w:r>
    </w:p>
    <w:p>
      <w:pPr>
        <w:ind w:firstLine="709"/>
        <w:jc w:val="both"/>
        <w:rPr>
          <w:rFonts w:ascii="Times New Roman" w:hAnsi="Times New Roman"/>
          <w:sz w:val="24"/>
          <w:szCs w:val="24"/>
        </w:rPr>
      </w:pPr>
      <w:r>
        <w:rPr>
          <w:rFonts w:ascii="Times New Roman" w:hAnsi="Times New Roman"/>
          <w:sz w:val="24"/>
          <w:szCs w:val="24"/>
        </w:rPr>
        <w:t>Соисполнители и (или) участники: Администрация ЗАТО Северск, Управление имущественных отношений Администрации ЗАТО Северск, Управление капитального строительства Администрации ЗАТО Северск, Управление культуры Администрации ЗАТО Северск Управление образования Администрации ЗАТО Северск, Управление по внегородским территориям Администрации ЗАТО Северск.</w:t>
      </w:r>
    </w:p>
    <w:p>
      <w:pPr>
        <w:ind w:firstLine="709"/>
        <w:jc w:val="both"/>
        <w:rPr>
          <w:rFonts w:ascii="Times New Roman" w:hAnsi="Times New Roman"/>
          <w:sz w:val="24"/>
          <w:szCs w:val="24"/>
        </w:rPr>
      </w:pPr>
    </w:p>
    <w:p>
      <w:pPr>
        <w:ind w:firstLine="709"/>
        <w:jc w:val="both"/>
        <w:rPr>
          <w:rFonts w:ascii="Times New Roman" w:hAnsi="Times New Roman"/>
          <w:color w:val="000000"/>
          <w:sz w:val="24"/>
          <w:szCs w:val="24"/>
        </w:rPr>
      </w:pPr>
      <w:r>
        <w:rPr>
          <w:rFonts w:ascii="Times New Roman" w:hAnsi="Times New Roman"/>
          <w:sz w:val="24"/>
          <w:szCs w:val="24"/>
        </w:rPr>
        <w:t xml:space="preserve">Таблица 66 - Целевые индикаторы МП </w:t>
      </w:r>
      <w:r>
        <w:rPr>
          <w:rFonts w:ascii="Times New Roman" w:hAnsi="Times New Roman"/>
          <w:color w:val="000000"/>
          <w:sz w:val="24"/>
          <w:szCs w:val="24"/>
        </w:rPr>
        <w:t>«Охрана окружающей среды на территории ЗАТО Северск»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1134"/>
        <w:gridCol w:w="1275"/>
        <w:gridCol w:w="1276"/>
        <w:gridCol w:w="1276"/>
      </w:tblGrid>
      <w:tr>
        <w:trPr>
          <w:trHeight w:val="752"/>
        </w:trPr>
        <w:tc>
          <w:tcPr>
            <w:tcW w:w="4395" w:type="dxa"/>
            <w:tcBorders>
              <w:top w:val="single" w:sz="4" w:space="0" w:color="auto"/>
              <w:left w:val="single" w:sz="4" w:space="0" w:color="auto"/>
              <w:right w:val="single" w:sz="4" w:space="0" w:color="auto"/>
            </w:tcBorders>
            <w:hideMark/>
          </w:tcPr>
          <w:p>
            <w:pPr>
              <w:jc w:val="center"/>
              <w:rPr>
                <w:rFonts w:ascii="Times New Roman" w:hAnsi="Times New Roman"/>
                <w:sz w:val="22"/>
                <w:szCs w:val="22"/>
              </w:rPr>
            </w:pPr>
            <w:r>
              <w:rPr>
                <w:rFonts w:ascii="Times New Roman" w:hAnsi="Times New Roman"/>
                <w:sz w:val="22"/>
                <w:szCs w:val="22"/>
              </w:rPr>
              <w:t>Наименование целевых индикаторов результативности программы</w:t>
            </w:r>
          </w:p>
        </w:tc>
        <w:tc>
          <w:tcPr>
            <w:tcW w:w="1134" w:type="dxa"/>
            <w:tcBorders>
              <w:top w:val="single" w:sz="4" w:space="0" w:color="auto"/>
              <w:left w:val="single" w:sz="4" w:space="0" w:color="auto"/>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Оценка</w:t>
            </w:r>
          </w:p>
          <w:p>
            <w:pPr>
              <w:jc w:val="center"/>
              <w:rPr>
                <w:rFonts w:ascii="Times New Roman" w:hAnsi="Times New Roman"/>
                <w:sz w:val="22"/>
                <w:szCs w:val="22"/>
              </w:rPr>
            </w:pPr>
            <w:r>
              <w:rPr>
                <w:rFonts w:ascii="Times New Roman" w:hAnsi="Times New Roman"/>
                <w:sz w:val="22"/>
                <w:szCs w:val="22"/>
              </w:rPr>
              <w:t>2020 года</w:t>
            </w:r>
          </w:p>
        </w:tc>
        <w:tc>
          <w:tcPr>
            <w:tcW w:w="1275" w:type="dxa"/>
            <w:tcBorders>
              <w:top w:val="single" w:sz="4" w:space="0" w:color="auto"/>
              <w:left w:val="single" w:sz="4" w:space="0" w:color="auto"/>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Прогноз 2021 года</w:t>
            </w:r>
          </w:p>
        </w:tc>
        <w:tc>
          <w:tcPr>
            <w:tcW w:w="1276" w:type="dxa"/>
            <w:tcBorders>
              <w:top w:val="single" w:sz="4" w:space="0" w:color="auto"/>
              <w:left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 2022 года</w:t>
            </w:r>
          </w:p>
        </w:tc>
        <w:tc>
          <w:tcPr>
            <w:tcW w:w="1276" w:type="dxa"/>
            <w:tcBorders>
              <w:top w:val="single" w:sz="4" w:space="0" w:color="auto"/>
              <w:left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 2023 года</w:t>
            </w:r>
          </w:p>
        </w:tc>
      </w:tr>
      <w:tr>
        <w:trPr>
          <w:trHeight w:val="555"/>
        </w:trPr>
        <w:tc>
          <w:tcPr>
            <w:tcW w:w="4395" w:type="dxa"/>
            <w:tcBorders>
              <w:top w:val="single" w:sz="4" w:space="0" w:color="auto"/>
              <w:left w:val="single" w:sz="4" w:space="0" w:color="auto"/>
              <w:right w:val="single" w:sz="4" w:space="0" w:color="auto"/>
            </w:tcBorders>
          </w:tcPr>
          <w:p>
            <w:pPr>
              <w:rPr>
                <w:rFonts w:ascii="Times New Roman" w:hAnsi="Times New Roman"/>
                <w:sz w:val="22"/>
                <w:szCs w:val="22"/>
              </w:rPr>
            </w:pPr>
            <w:r>
              <w:rPr>
                <w:rFonts w:ascii="Times New Roman" w:hAnsi="Times New Roman"/>
                <w:sz w:val="22"/>
                <w:szCs w:val="22"/>
              </w:rPr>
              <w:t xml:space="preserve">Доля детей в возрасте от 5 до 18 лет, принимающих участие в экологических мероприятиях, от численности детей этой же возрастной группы, обучающихся </w:t>
            </w:r>
            <w:r>
              <w:rPr>
                <w:rFonts w:ascii="Times New Roman" w:hAnsi="Times New Roman"/>
                <w:sz w:val="22"/>
                <w:szCs w:val="22"/>
              </w:rPr>
              <w:br/>
              <w:t>в образовательных учреждениях, %</w:t>
            </w:r>
          </w:p>
        </w:tc>
        <w:tc>
          <w:tcPr>
            <w:tcW w:w="1134" w:type="dxa"/>
            <w:tcBorders>
              <w:top w:val="single" w:sz="4" w:space="0" w:color="auto"/>
              <w:left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p>
        </w:tc>
        <w:tc>
          <w:tcPr>
            <w:tcW w:w="1275" w:type="dxa"/>
            <w:tcBorders>
              <w:top w:val="single" w:sz="4" w:space="0" w:color="auto"/>
              <w:left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5,6</w:t>
            </w:r>
          </w:p>
        </w:tc>
        <w:tc>
          <w:tcPr>
            <w:tcW w:w="1276" w:type="dxa"/>
            <w:tcBorders>
              <w:top w:val="single" w:sz="4" w:space="0" w:color="auto"/>
              <w:left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5,6</w:t>
            </w:r>
          </w:p>
        </w:tc>
        <w:tc>
          <w:tcPr>
            <w:tcW w:w="1276" w:type="dxa"/>
            <w:tcBorders>
              <w:top w:val="single" w:sz="4" w:space="0" w:color="auto"/>
              <w:left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p>
        </w:tc>
      </w:tr>
      <w:tr>
        <w:tc>
          <w:tcPr>
            <w:tcW w:w="4395"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color w:val="000000"/>
                <w:sz w:val="22"/>
                <w:szCs w:val="22"/>
              </w:rPr>
            </w:pPr>
            <w:r>
              <w:rPr>
                <w:rFonts w:ascii="Times New Roman" w:hAnsi="Times New Roman"/>
                <w:sz w:val="22"/>
                <w:szCs w:val="22"/>
              </w:rPr>
              <w:t>Доля площади рекреационной зоны ООПТ, охваченной регулярной санитарной очисткой и уборкой от отходов, %</w:t>
            </w:r>
          </w:p>
        </w:tc>
        <w:tc>
          <w:tcPr>
            <w:tcW w:w="1134"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32</w:t>
            </w:r>
          </w:p>
        </w:tc>
        <w:tc>
          <w:tcPr>
            <w:tcW w:w="1275"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32</w:t>
            </w:r>
          </w:p>
        </w:tc>
        <w:tc>
          <w:tcPr>
            <w:tcW w:w="127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32</w:t>
            </w:r>
          </w:p>
        </w:tc>
        <w:tc>
          <w:tcPr>
            <w:tcW w:w="127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p>
        </w:tc>
      </w:tr>
    </w:tbl>
    <w:p>
      <w:pPr>
        <w:pStyle w:val="aff3"/>
        <w:spacing w:before="0" w:beforeAutospacing="0" w:after="0" w:afterAutospacing="0"/>
        <w:ind w:firstLine="709"/>
        <w:jc w:val="both"/>
      </w:pPr>
    </w:p>
    <w:p>
      <w:pPr>
        <w:ind w:firstLine="709"/>
        <w:jc w:val="both"/>
        <w:rPr>
          <w:rFonts w:ascii="Times New Roman" w:hAnsi="Times New Roman"/>
          <w:sz w:val="24"/>
          <w:szCs w:val="24"/>
        </w:rPr>
      </w:pPr>
      <w:r>
        <w:rPr>
          <w:sz w:val="24"/>
          <w:szCs w:val="24"/>
        </w:rPr>
        <w:t xml:space="preserve">В рамках </w:t>
      </w:r>
      <w:r>
        <w:rPr>
          <w:color w:val="000000"/>
          <w:sz w:val="24"/>
          <w:szCs w:val="24"/>
        </w:rPr>
        <w:t xml:space="preserve">МП «Охрана окружающей среды на территории ЗАТО Северск» </w:t>
      </w:r>
      <w:r>
        <w:rPr>
          <w:sz w:val="24"/>
          <w:szCs w:val="24"/>
        </w:rPr>
        <w:t>реализуется 2 подпрограммы.</w:t>
      </w:r>
      <w:r>
        <w:rPr>
          <w:rFonts w:ascii="Times New Roman" w:hAnsi="Times New Roman"/>
          <w:sz w:val="24"/>
          <w:szCs w:val="24"/>
        </w:rPr>
        <w:t xml:space="preserve"> </w:t>
      </w:r>
    </w:p>
    <w:p>
      <w:pPr>
        <w:spacing w:before="120" w:after="60"/>
        <w:ind w:firstLine="709"/>
        <w:jc w:val="both"/>
        <w:rPr>
          <w:rFonts w:ascii="Times New Roman" w:hAnsi="Times New Roman"/>
          <w:color w:val="FF0000"/>
          <w:sz w:val="24"/>
          <w:szCs w:val="24"/>
        </w:rPr>
      </w:pPr>
      <w:r>
        <w:rPr>
          <w:rFonts w:ascii="Times New Roman" w:hAnsi="Times New Roman"/>
          <w:sz w:val="24"/>
          <w:szCs w:val="24"/>
        </w:rPr>
        <w:t xml:space="preserve">Таблица 67 - Объем финансового обеспечения МП </w:t>
      </w:r>
      <w:r>
        <w:rPr>
          <w:rFonts w:ascii="Times New Roman" w:hAnsi="Times New Roman"/>
          <w:color w:val="000000"/>
          <w:sz w:val="24"/>
          <w:szCs w:val="24"/>
        </w:rPr>
        <w:t xml:space="preserve">«Охрана окружающей среды </w:t>
      </w:r>
      <w:r>
        <w:rPr>
          <w:rFonts w:ascii="Times New Roman" w:hAnsi="Times New Roman"/>
          <w:color w:val="000000"/>
          <w:sz w:val="24"/>
          <w:szCs w:val="24"/>
        </w:rPr>
        <w:br/>
        <w:t>на территории ЗАТО Северск»</w:t>
      </w:r>
      <w:r>
        <w:rPr>
          <w:rFonts w:ascii="Times New Roman" w:hAnsi="Times New Roman"/>
          <w:color w:val="FF0000"/>
          <w:sz w:val="24"/>
          <w:szCs w:val="24"/>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1276"/>
        <w:gridCol w:w="1417"/>
        <w:gridCol w:w="1418"/>
      </w:tblGrid>
      <w:tr>
        <w:trPr>
          <w:trHeight w:val="840"/>
        </w:trPr>
        <w:tc>
          <w:tcPr>
            <w:tcW w:w="5245"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2021 года, тыс.руб.</w:t>
            </w:r>
          </w:p>
        </w:tc>
        <w:tc>
          <w:tcPr>
            <w:tcW w:w="1417" w:type="dxa"/>
            <w:tcBorders>
              <w:top w:val="single" w:sz="4" w:space="0" w:color="auto"/>
              <w:left w:val="single" w:sz="4" w:space="0" w:color="auto"/>
              <w:right w:val="single" w:sz="4" w:space="0" w:color="auto"/>
            </w:tcBorders>
            <w:vAlign w:val="center"/>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rPr>
            </w:pPr>
            <w:r>
              <w:rPr>
                <w:rFonts w:ascii="Times New Roman" w:hAnsi="Times New Roman"/>
                <w:sz w:val="22"/>
                <w:szCs w:val="22"/>
              </w:rPr>
              <w:t>2022 года, тыс.руб.</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 тыс.руб.</w:t>
            </w:r>
          </w:p>
        </w:tc>
      </w:tr>
      <w:tr>
        <w:tc>
          <w:tcPr>
            <w:tcW w:w="5245" w:type="dxa"/>
            <w:tcBorders>
              <w:top w:val="single" w:sz="4" w:space="0" w:color="auto"/>
              <w:left w:val="single" w:sz="4" w:space="0" w:color="auto"/>
              <w:bottom w:val="single" w:sz="4" w:space="0" w:color="auto"/>
              <w:right w:val="single" w:sz="4" w:space="0" w:color="auto"/>
            </w:tcBorders>
            <w:hideMark/>
          </w:tcPr>
          <w:p>
            <w:pPr>
              <w:jc w:val="both"/>
              <w:rPr>
                <w:sz w:val="21"/>
                <w:szCs w:val="21"/>
              </w:rPr>
            </w:pPr>
            <w:r>
              <w:rPr>
                <w:sz w:val="21"/>
                <w:szCs w:val="21"/>
              </w:rPr>
              <w:t>ВСЕГО по МП</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1 324,15</w:t>
            </w:r>
          </w:p>
        </w:tc>
        <w:tc>
          <w:tcPr>
            <w:tcW w:w="1417" w:type="dxa"/>
            <w:tcBorders>
              <w:top w:val="single" w:sz="4" w:space="0" w:color="auto"/>
              <w:left w:val="single" w:sz="4" w:space="0" w:color="auto"/>
              <w:bottom w:val="single" w:sz="4" w:space="0" w:color="auto"/>
              <w:right w:val="single" w:sz="4" w:space="0" w:color="auto"/>
            </w:tcBorders>
          </w:tcPr>
          <w:p>
            <w:pPr>
              <w:jc w:val="right"/>
              <w:rPr>
                <w:rFonts w:ascii="Times New Roman" w:hAnsi="Times New Roman"/>
                <w:sz w:val="22"/>
                <w:szCs w:val="22"/>
              </w:rPr>
            </w:pPr>
            <w:r>
              <w:rPr>
                <w:rFonts w:ascii="Times New Roman" w:hAnsi="Times New Roman"/>
                <w:sz w:val="22"/>
                <w:szCs w:val="22"/>
              </w:rPr>
              <w:t>1 230,15</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1 230,15</w:t>
            </w:r>
          </w:p>
        </w:tc>
      </w:tr>
      <w:tr>
        <w:trPr>
          <w:trHeight w:val="567"/>
        </w:trPr>
        <w:tc>
          <w:tcPr>
            <w:tcW w:w="5245" w:type="dxa"/>
            <w:tcBorders>
              <w:top w:val="single" w:sz="4" w:space="0" w:color="auto"/>
              <w:left w:val="single" w:sz="4" w:space="0" w:color="auto"/>
              <w:bottom w:val="single" w:sz="4" w:space="0" w:color="auto"/>
              <w:right w:val="single" w:sz="4" w:space="0" w:color="auto"/>
            </w:tcBorders>
            <w:hideMark/>
          </w:tcPr>
          <w:p>
            <w:pPr>
              <w:outlineLvl w:val="0"/>
              <w:rPr>
                <w:sz w:val="22"/>
                <w:szCs w:val="22"/>
              </w:rPr>
            </w:pPr>
            <w:r>
              <w:rPr>
                <w:sz w:val="22"/>
                <w:szCs w:val="22"/>
              </w:rPr>
              <w:t>Подпрограмма 1</w:t>
            </w:r>
          </w:p>
          <w:p>
            <w:pPr>
              <w:outlineLvl w:val="0"/>
              <w:rPr>
                <w:sz w:val="22"/>
                <w:szCs w:val="22"/>
              </w:rPr>
            </w:pPr>
            <w:r>
              <w:rPr>
                <w:sz w:val="22"/>
                <w:szCs w:val="22"/>
              </w:rPr>
              <w:t>«</w:t>
            </w:r>
            <w:r>
              <w:rPr>
                <w:rFonts w:ascii="Times New Roman" w:hAnsi="Times New Roman"/>
                <w:sz w:val="22"/>
                <w:szCs w:val="22"/>
              </w:rPr>
              <w:t>Экологическое развитие ЗАТО Северск»</w:t>
            </w:r>
          </w:p>
        </w:tc>
        <w:tc>
          <w:tcPr>
            <w:tcW w:w="1276"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161,34</w:t>
            </w:r>
          </w:p>
        </w:tc>
        <w:tc>
          <w:tcPr>
            <w:tcW w:w="1417"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130,44</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130,44</w:t>
            </w:r>
          </w:p>
        </w:tc>
      </w:tr>
      <w:tr>
        <w:trPr>
          <w:trHeight w:val="221"/>
        </w:trPr>
        <w:tc>
          <w:tcPr>
            <w:tcW w:w="5245" w:type="dxa"/>
            <w:tcBorders>
              <w:top w:val="single" w:sz="4" w:space="0" w:color="auto"/>
              <w:left w:val="single" w:sz="4" w:space="0" w:color="auto"/>
              <w:bottom w:val="single" w:sz="4" w:space="0" w:color="auto"/>
              <w:right w:val="single" w:sz="4" w:space="0" w:color="auto"/>
            </w:tcBorders>
            <w:hideMark/>
          </w:tcPr>
          <w:p>
            <w:pPr>
              <w:jc w:val="both"/>
              <w:outlineLvl w:val="0"/>
              <w:rPr>
                <w:bCs/>
                <w:sz w:val="22"/>
                <w:szCs w:val="22"/>
              </w:rPr>
            </w:pPr>
            <w:r>
              <w:rPr>
                <w:sz w:val="22"/>
                <w:szCs w:val="22"/>
              </w:rPr>
              <w:t>Подпрограмма</w:t>
            </w:r>
            <w:r>
              <w:rPr>
                <w:bCs/>
                <w:sz w:val="22"/>
                <w:szCs w:val="22"/>
              </w:rPr>
              <w:t xml:space="preserve"> 2 </w:t>
            </w:r>
          </w:p>
          <w:p>
            <w:pPr>
              <w:jc w:val="both"/>
              <w:outlineLvl w:val="0"/>
              <w:rPr>
                <w:sz w:val="22"/>
                <w:szCs w:val="22"/>
              </w:rPr>
            </w:pPr>
            <w:r>
              <w:rPr>
                <w:sz w:val="22"/>
                <w:szCs w:val="22"/>
              </w:rPr>
              <w:t>«</w:t>
            </w:r>
            <w:r>
              <w:rPr>
                <w:rFonts w:ascii="Times New Roman" w:hAnsi="Times New Roman"/>
                <w:sz w:val="22"/>
                <w:szCs w:val="22"/>
              </w:rPr>
              <w:t>Содержание особо охраняемой природной территории местного значения «Озерный комплекс пос.Самусь ЗАТО Северск»</w:t>
            </w:r>
          </w:p>
        </w:tc>
        <w:tc>
          <w:tcPr>
            <w:tcW w:w="1276" w:type="dxa"/>
            <w:tcBorders>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1 162,81</w:t>
            </w:r>
          </w:p>
        </w:tc>
        <w:tc>
          <w:tcPr>
            <w:tcW w:w="1417" w:type="dxa"/>
            <w:tcBorders>
              <w:left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1 099,71</w:t>
            </w:r>
          </w:p>
        </w:tc>
        <w:tc>
          <w:tcPr>
            <w:tcW w:w="1418" w:type="dxa"/>
            <w:tcBorders>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1 099,71</w:t>
            </w:r>
          </w:p>
        </w:tc>
      </w:tr>
    </w:tbl>
    <w:p>
      <w:pPr>
        <w:spacing w:before="120" w:after="60"/>
        <w:ind w:right="-1" w:firstLine="709"/>
        <w:jc w:val="both"/>
        <w:rPr>
          <w:rFonts w:ascii="Times New Roman" w:hAnsi="Times New Roman"/>
          <w:sz w:val="24"/>
          <w:szCs w:val="24"/>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w:t>
      </w:r>
      <w:r>
        <w:rPr>
          <w:rFonts w:ascii="Times New Roman" w:hAnsi="Times New Roman"/>
          <w:sz w:val="24"/>
          <w:szCs w:val="24"/>
        </w:rPr>
        <w:t xml:space="preserve">МП </w:t>
      </w:r>
      <w:r>
        <w:rPr>
          <w:rFonts w:ascii="Times New Roman" w:hAnsi="Times New Roman"/>
          <w:color w:val="000000"/>
          <w:sz w:val="24"/>
          <w:szCs w:val="24"/>
        </w:rPr>
        <w:t>«Охрана окружающей среды на территории ЗАТО Северск»</w:t>
      </w:r>
      <w:r>
        <w:rPr>
          <w:rFonts w:ascii="Times New Roman" w:hAnsi="Times New Roman"/>
          <w:sz w:val="24"/>
          <w:szCs w:val="24"/>
        </w:rPr>
        <w:t xml:space="preserve"> составит 1</w:t>
      </w:r>
      <w:r>
        <w:rPr>
          <w:rFonts w:ascii="Times New Roman" w:hAnsi="Times New Roman"/>
          <w:sz w:val="22"/>
          <w:szCs w:val="22"/>
        </w:rPr>
        <w:t> 324,15</w:t>
      </w:r>
      <w:r>
        <w:rPr>
          <w:rFonts w:ascii="Times New Roman" w:hAnsi="Times New Roman"/>
          <w:sz w:val="24"/>
          <w:szCs w:val="24"/>
        </w:rPr>
        <w:t> тыс.руб., в том числе по подпрограммам:</w:t>
      </w:r>
    </w:p>
    <w:p>
      <w:pPr>
        <w:spacing w:before="120" w:after="60"/>
        <w:ind w:right="-1" w:firstLine="709"/>
        <w:jc w:val="both"/>
        <w:rPr>
          <w:rFonts w:ascii="Times New Roman" w:hAnsi="Times New Roman"/>
          <w:sz w:val="24"/>
          <w:szCs w:val="24"/>
        </w:rPr>
      </w:pPr>
      <w:r>
        <w:rPr>
          <w:rFonts w:ascii="Times New Roman" w:hAnsi="Times New Roman"/>
          <w:sz w:val="24"/>
          <w:szCs w:val="24"/>
        </w:rPr>
        <w:t>По подпрограмме 1 «Экологическое развитие ЗАТО Северск» предусмотрены расходы по  Управлению образования Администрации ЗАТО Северск на приобретение призов и подарков для участников мероприятий по экологическому воспитанию школьников и дошкольников в сумме 89,17 тыс.руб.; по Администрации ЗАТО Северск: на издание обзора «Состояние окружающей природной среды на территории ЗАТО Северск» в сумме 49,40 тыс.руб., на пропагандистскую и информационную деятельность по охране окружающей среды в сумме 22,77 тыс.руб.</w:t>
      </w:r>
    </w:p>
    <w:p>
      <w:pPr>
        <w:widowControl w:val="0"/>
        <w:autoSpaceDE w:val="0"/>
        <w:autoSpaceDN w:val="0"/>
        <w:adjustRightInd w:val="0"/>
        <w:ind w:right="-1" w:firstLine="708"/>
        <w:jc w:val="both"/>
        <w:rPr>
          <w:rFonts w:ascii="Times New Roman" w:hAnsi="Times New Roman"/>
          <w:sz w:val="24"/>
          <w:szCs w:val="24"/>
        </w:rPr>
      </w:pPr>
      <w:r>
        <w:rPr>
          <w:rFonts w:ascii="Times New Roman" w:hAnsi="Times New Roman"/>
          <w:sz w:val="24"/>
          <w:szCs w:val="24"/>
          <w:shd w:val="clear" w:color="auto" w:fill="FFFFFF" w:themeFill="background1"/>
        </w:rPr>
        <w:t xml:space="preserve">По подпрограмме 2 «Содержание особо охраняемой природной территории местного значения «Озерный комплекс пос.Самусь ЗАТО Северск» предусмотрены расходы по УВГТ в общей сумме 941,78 тыс. руб., в том числе: на текущее содержание </w:t>
      </w:r>
      <w:r>
        <w:rPr>
          <w:sz w:val="24"/>
          <w:szCs w:val="24"/>
          <w:shd w:val="clear" w:color="auto" w:fill="FFFFFF" w:themeFill="background1"/>
        </w:rPr>
        <w:t xml:space="preserve">и подготовку к летнему сезону мест отдыха на ООПТ «Озерный комплекс пос. Самусь ЗАТО Северск» </w:t>
      </w:r>
      <w:r>
        <w:rPr>
          <w:rFonts w:ascii="Times New Roman" w:hAnsi="Times New Roman"/>
          <w:sz w:val="24"/>
          <w:szCs w:val="24"/>
          <w:shd w:val="clear" w:color="auto" w:fill="FFFFFF" w:themeFill="background1"/>
        </w:rPr>
        <w:t xml:space="preserve">в сумме 701,12 тыс. руб., ремонт существующего пляжного оборудования в сумме 31,53 тыс. руб., ликвидацию несанкционированных мест хранения отходов на ООПТ «Озерный комплекс пос.Самусь ЗАТО Северск» в сумме 194,39 тыс. руб., ремонт и восстановление информационных аншлагов по периметру ООПТ в сумме 14,74 тыс. руб.; </w:t>
      </w:r>
      <w:r>
        <w:rPr>
          <w:rFonts w:ascii="Times New Roman" w:hAnsi="Times New Roman"/>
          <w:sz w:val="24"/>
          <w:szCs w:val="24"/>
        </w:rPr>
        <w:t>по Администрации ЗАТО Северск на проведение гидрологических исследований водной экосистемы особо охраняемой природной территории в сумме 151,03 тыс.руб., на пропагандистскую и информационную деятельность в сумме 70,0 тыс.руб.</w:t>
      </w:r>
    </w:p>
    <w:p>
      <w:pPr>
        <w:pStyle w:val="aff1"/>
        <w:spacing w:after="120"/>
        <w:ind w:left="0" w:firstLine="709"/>
        <w:jc w:val="center"/>
        <w:rPr>
          <w:rFonts w:ascii="Times New Roman" w:hAnsi="Times New Roman"/>
          <w:b/>
          <w:sz w:val="24"/>
          <w:szCs w:val="24"/>
        </w:rPr>
      </w:pPr>
    </w:p>
    <w:p>
      <w:pPr>
        <w:pStyle w:val="aff1"/>
        <w:spacing w:after="120"/>
        <w:ind w:left="0" w:firstLine="709"/>
        <w:jc w:val="center"/>
        <w:rPr>
          <w:rFonts w:ascii="Times New Roman" w:hAnsi="Times New Roman"/>
          <w:b/>
          <w:sz w:val="24"/>
          <w:szCs w:val="24"/>
        </w:rPr>
      </w:pPr>
      <w:r>
        <w:rPr>
          <w:rFonts w:ascii="Times New Roman" w:hAnsi="Times New Roman"/>
          <w:b/>
          <w:sz w:val="24"/>
          <w:szCs w:val="24"/>
        </w:rPr>
        <w:t>2.7.2.8. МП «Формирование современной городской среды ЗАТО Северск»</w:t>
      </w:r>
    </w:p>
    <w:p>
      <w:pPr>
        <w:tabs>
          <w:tab w:val="left" w:pos="709"/>
        </w:tabs>
        <w:ind w:firstLine="709"/>
        <w:jc w:val="both"/>
        <w:rPr>
          <w:rFonts w:ascii="Times New Roman" w:hAnsi="Times New Roman"/>
          <w:sz w:val="24"/>
          <w:szCs w:val="24"/>
        </w:rPr>
      </w:pPr>
      <w:r>
        <w:rPr>
          <w:rFonts w:ascii="Times New Roman" w:hAnsi="Times New Roman"/>
          <w:sz w:val="24"/>
          <w:szCs w:val="24"/>
        </w:rPr>
        <w:t>Финансовое обеспечение по МП «Формирование современной городской среды ЗАТО Северск» предусмотрено на 2021 год в объеме 9 022,23 тыс.руб., на 2022 год – 4 522,23 тыс.руб., на 2022 год – 4 522,23 тыс.руб.</w:t>
      </w:r>
    </w:p>
    <w:p>
      <w:pPr>
        <w:ind w:firstLine="709"/>
        <w:jc w:val="both"/>
        <w:rPr>
          <w:rFonts w:ascii="Times New Roman" w:hAnsi="Times New Roman"/>
          <w:sz w:val="24"/>
          <w:szCs w:val="24"/>
        </w:rPr>
      </w:pPr>
      <w:r>
        <w:rPr>
          <w:rFonts w:ascii="Times New Roman" w:hAnsi="Times New Roman"/>
          <w:sz w:val="24"/>
          <w:szCs w:val="24"/>
        </w:rPr>
        <w:t xml:space="preserve">Цель МП: </w:t>
      </w:r>
      <w:r>
        <w:rPr>
          <w:rFonts w:ascii="Times New Roman" w:eastAsia="Calibri" w:hAnsi="Times New Roman"/>
          <w:bCs/>
          <w:sz w:val="24"/>
          <w:szCs w:val="24"/>
          <w:lang w:eastAsia="en-US"/>
        </w:rPr>
        <w:t>Повышение уровня благоустройства территории ЗАТО Северск</w:t>
      </w:r>
      <w:r>
        <w:rPr>
          <w:rFonts w:ascii="Times New Roman" w:hAnsi="Times New Roman"/>
          <w:sz w:val="24"/>
          <w:szCs w:val="24"/>
        </w:rPr>
        <w:t>.</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Управление жилищно-коммунального хозяйства, транспорта и связи.</w:t>
      </w:r>
    </w:p>
    <w:p>
      <w:pPr>
        <w:autoSpaceDE w:val="0"/>
        <w:autoSpaceDN w:val="0"/>
        <w:adjustRightInd w:val="0"/>
        <w:ind w:firstLine="709"/>
        <w:jc w:val="both"/>
        <w:rPr>
          <w:rFonts w:ascii="Times New Roman" w:eastAsia="Calibri" w:hAnsi="Times New Roman"/>
          <w:sz w:val="24"/>
          <w:szCs w:val="24"/>
          <w:lang w:eastAsia="en-US"/>
        </w:rPr>
      </w:pPr>
      <w:r>
        <w:rPr>
          <w:rFonts w:ascii="Times New Roman" w:hAnsi="Times New Roman"/>
          <w:sz w:val="24"/>
          <w:szCs w:val="24"/>
        </w:rPr>
        <w:t>Соисполнители и (или) участники: УКС Администрации ЗАТО Северск,  Управление образования Администрации ЗАТО Северск, Администрация ЗАТО Северск, Управление молодежной и семейной политики, физической культуры и спорта Администрации ЗАТО Северск, Управление имущественных отношений Администрации ЗАТО Северск.</w:t>
      </w:r>
      <w:r>
        <w:rPr>
          <w:rFonts w:ascii="Times New Roman" w:eastAsia="Calibri" w:hAnsi="Times New Roman"/>
          <w:sz w:val="24"/>
          <w:szCs w:val="24"/>
          <w:lang w:eastAsia="en-US"/>
        </w:rPr>
        <w:t xml:space="preserve"> </w:t>
      </w:r>
    </w:p>
    <w:p>
      <w:pPr>
        <w:autoSpaceDE w:val="0"/>
        <w:autoSpaceDN w:val="0"/>
        <w:adjustRightInd w:val="0"/>
        <w:spacing w:before="120" w:after="12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Таблица 68 – Целевые индикаторы МП </w:t>
      </w:r>
      <w:r>
        <w:rPr>
          <w:rFonts w:ascii="Times New Roman" w:hAnsi="Times New Roman"/>
          <w:sz w:val="24"/>
          <w:szCs w:val="24"/>
        </w:rPr>
        <w:t>«Формирование современной городской среды ЗАТО Северск»</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992"/>
        <w:gridCol w:w="992"/>
        <w:gridCol w:w="992"/>
        <w:gridCol w:w="1134"/>
      </w:tblGrid>
      <w:tr>
        <w:trPr>
          <w:trHeight w:val="276"/>
        </w:trPr>
        <w:tc>
          <w:tcPr>
            <w:tcW w:w="5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Наименование целевых индикаторов</w:t>
            </w:r>
          </w:p>
          <w:p>
            <w:pPr>
              <w:jc w:val="center"/>
            </w:pPr>
            <w:r>
              <w:t>результативности программы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Оценка</w:t>
            </w:r>
          </w:p>
          <w:p>
            <w:pPr>
              <w:jc w:val="center"/>
            </w:pPr>
            <w:r>
              <w:t>2020 года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Прогноз 2021 года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Прогноз 2022 года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Прогноз 2023 года</w:t>
            </w:r>
          </w:p>
        </w:tc>
      </w:tr>
      <w:tr>
        <w:trPr>
          <w:trHeight w:val="564"/>
        </w:trPr>
        <w:tc>
          <w:tcPr>
            <w:tcW w:w="55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tc>
      </w:tr>
      <w:tr>
        <w:trPr>
          <w:trHeight w:val="252"/>
        </w:trPr>
        <w:tc>
          <w:tcPr>
            <w:tcW w:w="5529" w:type="dxa"/>
            <w:tcBorders>
              <w:top w:val="single" w:sz="4" w:space="0" w:color="000000"/>
              <w:left w:val="single" w:sz="4" w:space="0" w:color="auto"/>
              <w:bottom w:val="single" w:sz="4" w:space="0" w:color="auto"/>
              <w:right w:val="single" w:sz="4" w:space="0" w:color="auto"/>
            </w:tcBorders>
            <w:shd w:val="clear" w:color="auto" w:fill="auto"/>
            <w:vAlign w:val="center"/>
            <w:hideMark/>
          </w:tcPr>
          <w:p>
            <w:pPr>
              <w:rPr>
                <w:rFonts w:eastAsia="Calibri"/>
              </w:rPr>
            </w:pPr>
            <w:r>
              <w:rPr>
                <w:rFonts w:eastAsia="Calibri"/>
              </w:rPr>
              <w:t>1. </w:t>
            </w:r>
            <w:r>
              <w:t>Доля благоустроенных дворовых территорий от общего количества дворовых территорий, нарастающим итогом,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eastAsia="Calibri"/>
              </w:rPr>
            </w:pPr>
            <w:r>
              <w:rPr>
                <w:rFonts w:eastAsia="Calibri"/>
              </w:rPr>
              <w:t>37,9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rPr>
                <w:rFonts w:eastAsia="Calibri"/>
              </w:rPr>
              <w:t>37,9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rPr>
                <w:rFonts w:eastAsia="Calibri"/>
              </w:rPr>
              <w:t>37,9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center"/>
            </w:pPr>
            <w:r>
              <w:rPr>
                <w:rFonts w:eastAsia="Calibri"/>
              </w:rPr>
              <w:t>37,9</w:t>
            </w:r>
          </w:p>
        </w:tc>
      </w:tr>
      <w:tr>
        <w:trPr>
          <w:trHeight w:val="312"/>
        </w:trPr>
        <w:tc>
          <w:tcPr>
            <w:tcW w:w="5529" w:type="dxa"/>
            <w:tcBorders>
              <w:top w:val="nil"/>
              <w:left w:val="single" w:sz="4" w:space="0" w:color="auto"/>
              <w:bottom w:val="single" w:sz="4" w:space="0" w:color="auto"/>
              <w:right w:val="single" w:sz="4" w:space="0" w:color="auto"/>
            </w:tcBorders>
            <w:shd w:val="clear" w:color="auto" w:fill="auto"/>
            <w:hideMark/>
          </w:tcPr>
          <w:p>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pPr>
              <w:jc w:val="center"/>
            </w:pPr>
            <w:r>
              <w:t>54,59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54,59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pPr>
            <w:r>
              <w:t>54,59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center"/>
            </w:pPr>
            <w:r>
              <w:t>54,9</w:t>
            </w:r>
          </w:p>
        </w:tc>
      </w:tr>
      <w:tr>
        <w:trPr>
          <w:trHeight w:val="312"/>
        </w:trPr>
        <w:tc>
          <w:tcPr>
            <w:tcW w:w="5529" w:type="dxa"/>
            <w:tcBorders>
              <w:top w:val="single" w:sz="4" w:space="0" w:color="auto"/>
              <w:left w:val="single" w:sz="4" w:space="0" w:color="auto"/>
              <w:bottom w:val="single" w:sz="4" w:space="0" w:color="auto"/>
              <w:right w:val="single" w:sz="4" w:space="0" w:color="auto"/>
            </w:tcBorders>
            <w:shd w:val="clear" w:color="auto" w:fill="auto"/>
            <w:hideMark/>
          </w:tcPr>
          <w:p>
            <w:r>
              <w:t>3. Доля финансового участия заинтересованных лиц в выполнении дополнительного перечня работ по благоустройству дворовых территорий,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pPr>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p>
        </w:tc>
      </w:tr>
    </w:tbl>
    <w:p>
      <w:pPr>
        <w:autoSpaceDE w:val="0"/>
        <w:autoSpaceDN w:val="0"/>
        <w:adjustRightInd w:val="0"/>
        <w:spacing w:before="120" w:after="120"/>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МП </w:t>
      </w:r>
      <w:r>
        <w:rPr>
          <w:rFonts w:ascii="Times New Roman" w:hAnsi="Times New Roman"/>
          <w:sz w:val="24"/>
          <w:szCs w:val="24"/>
        </w:rPr>
        <w:t xml:space="preserve">«Формирование современной городской среды ЗАТО Северск» </w:t>
      </w:r>
      <w:r>
        <w:rPr>
          <w:rFonts w:ascii="Times New Roman" w:eastAsia="Calibri" w:hAnsi="Times New Roman"/>
          <w:sz w:val="24"/>
          <w:szCs w:val="24"/>
          <w:lang w:eastAsia="en-US"/>
        </w:rPr>
        <w:t>реализуется в рамках 2 подпрограмм:</w:t>
      </w:r>
    </w:p>
    <w:p>
      <w:pPr>
        <w:spacing w:after="120"/>
        <w:ind w:firstLine="709"/>
        <w:jc w:val="both"/>
        <w:rPr>
          <w:rFonts w:ascii="Times New Roman" w:hAnsi="Times New Roman"/>
          <w:sz w:val="24"/>
          <w:szCs w:val="24"/>
        </w:rPr>
      </w:pPr>
    </w:p>
    <w:p>
      <w:pPr>
        <w:spacing w:after="120"/>
        <w:ind w:firstLine="709"/>
        <w:jc w:val="both"/>
        <w:rPr>
          <w:rFonts w:ascii="Times New Roman" w:hAnsi="Times New Roman"/>
          <w:sz w:val="24"/>
          <w:szCs w:val="24"/>
        </w:rPr>
      </w:pPr>
    </w:p>
    <w:p>
      <w:pPr>
        <w:spacing w:after="120"/>
        <w:ind w:firstLine="709"/>
        <w:jc w:val="both"/>
        <w:rPr>
          <w:rFonts w:ascii="Times New Roman" w:hAnsi="Times New Roman"/>
          <w:sz w:val="24"/>
          <w:szCs w:val="24"/>
        </w:rPr>
      </w:pPr>
    </w:p>
    <w:p>
      <w:pPr>
        <w:spacing w:after="120"/>
        <w:ind w:firstLine="709"/>
        <w:jc w:val="both"/>
        <w:rPr>
          <w:rFonts w:ascii="Times New Roman" w:hAnsi="Times New Roman"/>
          <w:sz w:val="24"/>
          <w:szCs w:val="24"/>
        </w:rPr>
      </w:pPr>
      <w:r>
        <w:rPr>
          <w:rFonts w:ascii="Times New Roman" w:hAnsi="Times New Roman"/>
          <w:sz w:val="24"/>
          <w:szCs w:val="24"/>
        </w:rPr>
        <w:t>Таблица 69 – Объем финансового обеспечения МП «Формирование современной городской среды ЗАТО Северск»</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3261"/>
        <w:gridCol w:w="1275"/>
        <w:gridCol w:w="1276"/>
        <w:gridCol w:w="992"/>
        <w:gridCol w:w="851"/>
        <w:gridCol w:w="992"/>
        <w:gridCol w:w="1134"/>
      </w:tblGrid>
      <w:tr>
        <w:trPr>
          <w:trHeight w:val="266"/>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Наименование</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pPr>
              <w:ind w:left="-57" w:right="-57"/>
              <w:jc w:val="center"/>
              <w:rPr>
                <w:rFonts w:ascii="Times New Roman" w:hAnsi="Times New Roman"/>
                <w:b/>
              </w:rPr>
            </w:pPr>
            <w:r>
              <w:rPr>
                <w:rFonts w:ascii="Times New Roman" w:hAnsi="Times New Roman"/>
              </w:rPr>
              <w:t>2020 год</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b/>
              </w:rPr>
            </w:pPr>
            <w:r>
              <w:rPr>
                <w:rFonts w:ascii="Times New Roman" w:hAnsi="Times New Roman"/>
              </w:rPr>
              <w:t>Прогноз 2021 года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 xml:space="preserve">Прогноз </w:t>
            </w:r>
          </w:p>
          <w:p>
            <w:pPr>
              <w:ind w:left="-57" w:right="-57"/>
              <w:jc w:val="center"/>
              <w:rPr>
                <w:rFonts w:ascii="Times New Roman" w:hAnsi="Times New Roman"/>
                <w:b/>
              </w:rPr>
            </w:pPr>
            <w:r>
              <w:rPr>
                <w:rFonts w:ascii="Times New Roman" w:hAnsi="Times New Roman"/>
              </w:rPr>
              <w:t>2022 года</w:t>
            </w:r>
            <w:r>
              <w:rPr>
                <w:rFonts w:ascii="Times New Roman" w:hAnsi="Times New Roman"/>
                <w:b/>
              </w:rPr>
              <w:t>,</w:t>
            </w:r>
          </w:p>
          <w:p>
            <w:pPr>
              <w:ind w:left="-57" w:right="-57"/>
              <w:jc w:val="center"/>
              <w:rPr>
                <w:rFonts w:ascii="Times New Roman" w:hAnsi="Times New Roman"/>
                <w:b/>
              </w:rPr>
            </w:pPr>
            <w:r>
              <w:rPr>
                <w:rFonts w:ascii="Times New Roman" w:hAnsi="Times New Roman"/>
              </w:rPr>
              <w:t>тыс.руб.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Прогноз 2023 года,</w:t>
            </w:r>
          </w:p>
          <w:p>
            <w:pPr>
              <w:ind w:left="-57" w:right="-57"/>
              <w:jc w:val="center"/>
              <w:rPr>
                <w:rFonts w:ascii="Times New Roman" w:hAnsi="Times New Roman"/>
                <w:b/>
              </w:rPr>
            </w:pPr>
            <w:r>
              <w:rPr>
                <w:rFonts w:ascii="Times New Roman" w:hAnsi="Times New Roman"/>
              </w:rPr>
              <w:t>тыс.руб.</w:t>
            </w:r>
          </w:p>
        </w:tc>
      </w:tr>
      <w:tr>
        <w:trPr>
          <w:trHeight w:val="852"/>
        </w:trPr>
        <w:tc>
          <w:tcPr>
            <w:tcW w:w="326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pPr>
              <w:jc w:val="center"/>
              <w:rPr>
                <w:rFonts w:ascii="Times New Roman" w:hAnsi="Times New Roman"/>
                <w:b/>
              </w:rPr>
            </w:pPr>
          </w:p>
          <w:p>
            <w:pPr>
              <w:jc w:val="center"/>
              <w:rPr>
                <w:rFonts w:ascii="Times New Roman" w:hAnsi="Times New Roman"/>
              </w:rPr>
            </w:pPr>
            <w:r>
              <w:rPr>
                <w:rFonts w:ascii="Times New Roman" w:hAnsi="Times New Roman"/>
              </w:rPr>
              <w:t>Первона-чально утвеждено, тыс.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left="-57" w:right="-57"/>
              <w:jc w:val="center"/>
              <w:rPr>
                <w:rFonts w:ascii="Times New Roman" w:hAnsi="Times New Roman"/>
              </w:rPr>
            </w:pPr>
            <w:r>
              <w:rPr>
                <w:rFonts w:ascii="Times New Roman" w:hAnsi="Times New Roman"/>
              </w:rPr>
              <w:t>Оценка, тыс.руб.</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Сумма, тыс.руб.</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w:t>
            </w: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b/>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b/>
              </w:rPr>
            </w:pPr>
          </w:p>
        </w:tc>
      </w:tr>
      <w:tr>
        <w:trPr>
          <w:trHeight w:val="401"/>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rFonts w:ascii="Times New Roman" w:hAnsi="Times New Roman"/>
              </w:rPr>
            </w:pPr>
            <w:r>
              <w:rPr>
                <w:rFonts w:ascii="Times New Roman" w:hAnsi="Times New Roman"/>
              </w:rPr>
              <w:t>Всего по МП</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2 177,38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114 461,19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9 022,23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7,9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4 522,23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4 522,23</w:t>
            </w:r>
          </w:p>
        </w:tc>
      </w:tr>
      <w:tr>
        <w:trPr>
          <w:trHeight w:val="563"/>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rFonts w:ascii="Times New Roman" w:hAnsi="Times New Roman"/>
              </w:rPr>
            </w:pPr>
            <w:hyperlink r:id="rId17" w:history="1">
              <w:r>
                <w:rPr>
                  <w:rStyle w:val="a5"/>
                  <w:rFonts w:ascii="Times New Roman" w:eastAsia="Calibri" w:hAnsi="Times New Roman"/>
                  <w:color w:val="auto"/>
                  <w:u w:val="none"/>
                  <w:lang w:eastAsia="en-US"/>
                </w:rPr>
                <w:t>Подпрограмма 1</w:t>
              </w:r>
            </w:hyperlink>
            <w:r>
              <w:rPr>
                <w:rFonts w:ascii="Times New Roman" w:eastAsia="Calibri" w:hAnsi="Times New Roman"/>
                <w:lang w:eastAsia="en-US"/>
              </w:rPr>
              <w:t xml:space="preserve"> «Благоустройство дворовых территорий»</w:t>
            </w:r>
          </w:p>
        </w:tc>
        <w:tc>
          <w:tcPr>
            <w:tcW w:w="1275" w:type="dxa"/>
            <w:tcBorders>
              <w:top w:val="single" w:sz="4" w:space="0" w:color="auto"/>
              <w:left w:val="single" w:sz="4" w:space="0" w:color="auto"/>
              <w:right w:val="single" w:sz="4" w:space="0" w:color="auto"/>
            </w:tcBorders>
            <w:shd w:val="clear" w:color="auto" w:fill="auto"/>
            <w:vAlign w:val="center"/>
          </w:tcPr>
          <w:p>
            <w:pPr>
              <w:jc w:val="right"/>
              <w:rPr>
                <w:rFonts w:ascii="Times New Roman" w:hAnsi="Times New Roman"/>
              </w:rPr>
            </w:pPr>
          </w:p>
        </w:tc>
        <w:tc>
          <w:tcPr>
            <w:tcW w:w="1276" w:type="dxa"/>
            <w:tcBorders>
              <w:top w:val="single" w:sz="4" w:space="0" w:color="auto"/>
              <w:left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22 349,76</w:t>
            </w:r>
          </w:p>
        </w:tc>
        <w:tc>
          <w:tcPr>
            <w:tcW w:w="992"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22,23</w:t>
            </w:r>
          </w:p>
        </w:tc>
        <w:tc>
          <w:tcPr>
            <w:tcW w:w="851"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rPr>
            </w:pPr>
          </w:p>
        </w:tc>
        <w:tc>
          <w:tcPr>
            <w:tcW w:w="992"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22,23</w:t>
            </w:r>
          </w:p>
        </w:tc>
        <w:tc>
          <w:tcPr>
            <w:tcW w:w="1134" w:type="dxa"/>
            <w:tcBorders>
              <w:top w:val="single" w:sz="4" w:space="0" w:color="auto"/>
              <w:left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22,23</w:t>
            </w:r>
          </w:p>
        </w:tc>
      </w:tr>
      <w:tr>
        <w:trPr>
          <w:trHeight w:val="429"/>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rPr>
                <w:rFonts w:ascii="Times New Roman" w:eastAsia="Calibri" w:hAnsi="Times New Roman"/>
                <w:lang w:eastAsia="en-US"/>
              </w:rPr>
            </w:pPr>
            <w:hyperlink r:id="rId18" w:history="1">
              <w:r>
                <w:rPr>
                  <w:rStyle w:val="a5"/>
                  <w:rFonts w:ascii="Times New Roman" w:eastAsia="Calibri" w:hAnsi="Times New Roman"/>
                  <w:color w:val="auto"/>
                  <w:u w:val="none"/>
                  <w:lang w:eastAsia="en-US"/>
                </w:rPr>
                <w:t>Подпрограмма 2</w:t>
              </w:r>
            </w:hyperlink>
            <w:r>
              <w:rPr>
                <w:rFonts w:ascii="Times New Roman" w:eastAsia="Calibri" w:hAnsi="Times New Roman"/>
                <w:lang w:eastAsia="en-US"/>
              </w:rPr>
              <w:t xml:space="preserve"> «Благоустройство общественных пространств»</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rPr>
                <w:rFonts w:ascii="Times New Roman" w:hAnsi="Times New Roman"/>
              </w:rPr>
            </w:pPr>
            <w:r>
              <w:rPr>
                <w:rFonts w:ascii="Times New Roman" w:hAnsi="Times New Roman"/>
              </w:rPr>
              <w:t>2 177,38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92 111,43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rPr>
            </w:pPr>
            <w:r>
              <w:rPr>
                <w:rFonts w:ascii="Times New Roman" w:hAnsi="Times New Roman"/>
              </w:rPr>
              <w:t>9 000,00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rPr>
            </w:pPr>
            <w:r>
              <w:rPr>
                <w:rFonts w:ascii="Times New Roman" w:hAnsi="Times New Roman"/>
              </w:rPr>
              <w:t>9,8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rPr>
            </w:pPr>
            <w:r>
              <w:rPr>
                <w:rFonts w:ascii="Times New Roman" w:hAnsi="Times New Roman"/>
              </w:rPr>
              <w:t>4 500,00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right"/>
              <w:rPr>
                <w:rFonts w:ascii="Times New Roman" w:hAnsi="Times New Roman"/>
              </w:rPr>
            </w:pPr>
            <w:r>
              <w:rPr>
                <w:rFonts w:ascii="Times New Roman" w:hAnsi="Times New Roman"/>
              </w:rPr>
              <w:t>4 500,00</w:t>
            </w:r>
          </w:p>
        </w:tc>
      </w:tr>
      <w:tr>
        <w:trPr>
          <w:trHeight w:val="711"/>
        </w:trPr>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autoSpaceDE w:val="0"/>
              <w:autoSpaceDN w:val="0"/>
              <w:adjustRightInd w:val="0"/>
              <w:rPr>
                <w:rFonts w:ascii="Times New Roman" w:hAnsi="Times New Roman"/>
              </w:rPr>
            </w:pPr>
            <w:r>
              <w:rPr>
                <w:rFonts w:ascii="Times New Roman" w:hAnsi="Times New Roman"/>
              </w:rPr>
              <w:t xml:space="preserve">из них расходы интегрированные </w:t>
            </w:r>
          </w:p>
          <w:p>
            <w:pPr>
              <w:autoSpaceDE w:val="0"/>
              <w:autoSpaceDN w:val="0"/>
              <w:adjustRightInd w:val="0"/>
            </w:pPr>
            <w:r>
              <w:rPr>
                <w:rFonts w:ascii="Times New Roman" w:hAnsi="Times New Roman"/>
              </w:rPr>
              <w:t>в региональный проект «Формирование комфортной городской среды»</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jc w:val="right"/>
              <w:rPr>
                <w:rFonts w:ascii="Times New Roman" w:hAnsi="Times New Roman"/>
              </w:rPr>
            </w:pPr>
            <w:r>
              <w:rPr>
                <w:rFonts w:ascii="Times New Roman" w:hAnsi="Times New Roman"/>
              </w:rPr>
              <w:t>490,00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pPr>
              <w:jc w:val="right"/>
              <w:rPr>
                <w:rFonts w:ascii="Times New Roman" w:hAnsi="Times New Roman"/>
              </w:rPr>
            </w:pPr>
            <w:r>
              <w:rPr>
                <w:rFonts w:ascii="Times New Roman" w:hAnsi="Times New Roman"/>
              </w:rPr>
              <w:t>89 229,1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right"/>
              <w:rPr>
                <w:rFonts w:ascii="Times New Roman" w:hAnsi="Times New Roman"/>
              </w:rPr>
            </w:pPr>
            <w:r>
              <w:rPr>
                <w:rFonts w:ascii="Times New Roman" w:hAnsi="Times New Roman"/>
              </w:rPr>
              <w:t>9 000,00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jc w:val="center"/>
              <w:rPr>
                <w:rFonts w:ascii="Times New Roman" w:hAnsi="Times New Roman"/>
              </w:rPr>
            </w:pPr>
            <w:r>
              <w:rPr>
                <w:rFonts w:ascii="Times New Roman" w:hAnsi="Times New Roman"/>
              </w:rPr>
              <w:t>10,1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rPr>
                <w:rFonts w:ascii="Times New Roman" w:hAnsi="Times New Roman"/>
              </w:rPr>
            </w:pPr>
            <w:r>
              <w:rPr>
                <w:rFonts w:ascii="Times New Roman" w:hAnsi="Times New Roman"/>
              </w:rPr>
              <w:t>4 500,00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pPr>
              <w:jc w:val="right"/>
              <w:rPr>
                <w:rFonts w:ascii="Times New Roman" w:hAnsi="Times New Roman"/>
              </w:rPr>
            </w:pPr>
            <w:r>
              <w:rPr>
                <w:rFonts w:ascii="Times New Roman" w:hAnsi="Times New Roman"/>
              </w:rPr>
              <w:t>4 500,00</w:t>
            </w:r>
          </w:p>
        </w:tc>
      </w:tr>
    </w:tbl>
    <w:p>
      <w:pPr>
        <w:ind w:firstLine="709"/>
        <w:jc w:val="both"/>
        <w:rPr>
          <w:rFonts w:ascii="Times New Roman" w:hAnsi="Times New Roman"/>
          <w:sz w:val="16"/>
          <w:szCs w:val="16"/>
        </w:rPr>
      </w:pPr>
    </w:p>
    <w:p>
      <w:pPr>
        <w:autoSpaceDE w:val="0"/>
        <w:autoSpaceDN w:val="0"/>
        <w:adjustRightInd w:val="0"/>
        <w:ind w:firstLine="540"/>
        <w:jc w:val="both"/>
        <w:rPr>
          <w:rFonts w:ascii="Times New Roman" w:eastAsia="Calibri" w:hAnsi="Times New Roman"/>
          <w:sz w:val="24"/>
          <w:szCs w:val="24"/>
          <w:lang w:eastAsia="en-US"/>
        </w:rPr>
      </w:pPr>
      <w:r>
        <w:rPr>
          <w:rFonts w:ascii="Times New Roman" w:eastAsia="Calibri" w:hAnsi="Times New Roman"/>
          <w:sz w:val="24"/>
          <w:szCs w:val="24"/>
          <w:lang w:eastAsia="en-US"/>
        </w:rPr>
        <w:t>Особенностью данной муниципальной программы является то, что средства областного и федерального бюджетов на реализацию мероприятий программы и перечень объектов для проведения благоустроительных работ определяются позже, при исполнении очередного финансового года.</w:t>
      </w:r>
    </w:p>
    <w:p>
      <w:pPr>
        <w:ind w:firstLine="709"/>
        <w:jc w:val="both"/>
        <w:rPr>
          <w:rFonts w:ascii="Times New Roman" w:hAnsi="Times New Roman"/>
          <w:sz w:val="16"/>
          <w:szCs w:val="16"/>
        </w:rPr>
      </w:pPr>
    </w:p>
    <w:p>
      <w:pPr>
        <w:ind w:firstLine="709"/>
        <w:jc w:val="both"/>
        <w:rPr>
          <w:rFonts w:ascii="Times New Roman" w:hAnsi="Times New Roman"/>
          <w:sz w:val="24"/>
          <w:szCs w:val="24"/>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w:t>
      </w:r>
      <w:r>
        <w:rPr>
          <w:rFonts w:ascii="Times New Roman" w:hAnsi="Times New Roman"/>
          <w:sz w:val="24"/>
          <w:szCs w:val="24"/>
        </w:rPr>
        <w:t>МП «Формирование современной городской среды ЗАТО Северск» составит 9 022,23 тыс. руб. и будет направлен на обеспечение условий софинансирования мероприятий программы, в том числе по подпрограммам:</w:t>
      </w:r>
    </w:p>
    <w:p>
      <w:pPr>
        <w:pStyle w:val="aff3"/>
        <w:spacing w:before="0" w:beforeAutospacing="0" w:after="0" w:afterAutospacing="0"/>
        <w:ind w:firstLine="709"/>
        <w:jc w:val="both"/>
      </w:pPr>
      <w:r>
        <w:t xml:space="preserve">По подпрограмме 1 </w:t>
      </w:r>
      <w:r>
        <w:rPr>
          <w:rFonts w:eastAsia="Calibri"/>
          <w:lang w:eastAsia="en-US"/>
        </w:rPr>
        <w:t>«Благоустройство дворовых территорий»</w:t>
      </w:r>
      <w:r>
        <w:t xml:space="preserve"> в сумме 22,23 тыс.руб. </w:t>
      </w:r>
    </w:p>
    <w:p>
      <w:pPr>
        <w:pStyle w:val="aff3"/>
        <w:spacing w:before="0" w:beforeAutospacing="0" w:after="0" w:afterAutospacing="0"/>
        <w:ind w:firstLine="709"/>
        <w:jc w:val="both"/>
      </w:pPr>
      <w:r>
        <w:rPr>
          <w:rFonts w:eastAsia="Calibri"/>
          <w:lang w:eastAsia="en-US"/>
        </w:rPr>
        <w:t xml:space="preserve">По подпрограмме  2 «Благоустройство общественных пространств» предусмотрены бюджетные средства для софинансирования регионального проекта </w:t>
      </w:r>
      <w:r>
        <w:t>«Формирование комфортной городской среды»</w:t>
      </w:r>
      <w:r>
        <w:rPr>
          <w:rFonts w:eastAsia="Calibri"/>
          <w:lang w:eastAsia="en-US"/>
        </w:rPr>
        <w:t xml:space="preserve"> в сумме </w:t>
      </w:r>
      <w:r>
        <w:t>9 000,00 </w:t>
      </w:r>
      <w:r>
        <w:rPr>
          <w:rFonts w:eastAsia="Calibri"/>
          <w:lang w:eastAsia="en-US"/>
        </w:rPr>
        <w:t>тыс.руб. для реализации следующих мероприятий:</w:t>
      </w:r>
    </w:p>
    <w:p>
      <w:pPr>
        <w:pStyle w:val="aff1"/>
        <w:tabs>
          <w:tab w:val="left" w:pos="993"/>
        </w:tabs>
        <w:ind w:left="0" w:firstLine="709"/>
        <w:jc w:val="both"/>
        <w:rPr>
          <w:rFonts w:ascii="Times New Roman" w:hAnsi="Times New Roman"/>
          <w:sz w:val="24"/>
          <w:szCs w:val="24"/>
        </w:rPr>
      </w:pPr>
      <w:r>
        <w:rPr>
          <w:rFonts w:ascii="Times New Roman" w:hAnsi="Times New Roman"/>
          <w:sz w:val="24"/>
          <w:szCs w:val="24"/>
        </w:rPr>
        <w:t>- благоустройство  территории,  прилегающей  к  административному  зданию  по просп. Коммунистическому,  25  в  г.Северске;</w:t>
      </w:r>
    </w:p>
    <w:p>
      <w:pPr>
        <w:pStyle w:val="aff1"/>
        <w:tabs>
          <w:tab w:val="left" w:pos="993"/>
        </w:tabs>
        <w:ind w:left="0" w:firstLine="709"/>
        <w:jc w:val="both"/>
        <w:rPr>
          <w:rFonts w:ascii="Times New Roman" w:hAnsi="Times New Roman"/>
          <w:sz w:val="24"/>
          <w:szCs w:val="24"/>
        </w:rPr>
      </w:pPr>
      <w:r>
        <w:rPr>
          <w:rFonts w:ascii="Times New Roman" w:hAnsi="Times New Roman"/>
          <w:sz w:val="24"/>
          <w:szCs w:val="24"/>
        </w:rPr>
        <w:t>- благоустройство  сквера  перед  зданием  Детской  городской  больницы  по просп.Коммунистическому, 62 в г.Северске;</w:t>
      </w:r>
    </w:p>
    <w:p>
      <w:pPr>
        <w:pStyle w:val="aff1"/>
        <w:tabs>
          <w:tab w:val="left" w:pos="567"/>
          <w:tab w:val="left" w:pos="993"/>
        </w:tabs>
        <w:ind w:left="0" w:firstLine="709"/>
        <w:jc w:val="both"/>
        <w:rPr>
          <w:rFonts w:ascii="Times New Roman" w:hAnsi="Times New Roman"/>
          <w:sz w:val="24"/>
          <w:szCs w:val="24"/>
        </w:rPr>
      </w:pPr>
      <w:r>
        <w:rPr>
          <w:rFonts w:ascii="Times New Roman" w:hAnsi="Times New Roman"/>
          <w:sz w:val="24"/>
          <w:szCs w:val="24"/>
        </w:rPr>
        <w:t>- благоустройство пешеходной зоны по просп.Коммунистическому (участок от пл.Ленина до ул.Строителей) в г.Северске;</w:t>
      </w:r>
    </w:p>
    <w:p>
      <w:pPr>
        <w:tabs>
          <w:tab w:val="left" w:pos="709"/>
        </w:tabs>
        <w:ind w:firstLine="709"/>
        <w:jc w:val="both"/>
        <w:rPr>
          <w:rFonts w:ascii="Times New Roman" w:hAnsi="Times New Roman"/>
          <w:sz w:val="24"/>
          <w:szCs w:val="24"/>
        </w:rPr>
      </w:pPr>
      <w:r>
        <w:rPr>
          <w:rFonts w:ascii="Times New Roman" w:hAnsi="Times New Roman"/>
          <w:sz w:val="24"/>
          <w:szCs w:val="24"/>
        </w:rPr>
        <w:t>- благоустройство сквера на территории, прилегающей к жилым домам по ул.Победы № 16 и № 20 в г.Северске;</w:t>
      </w:r>
    </w:p>
    <w:p>
      <w:pPr>
        <w:pStyle w:val="aff1"/>
        <w:tabs>
          <w:tab w:val="left" w:pos="993"/>
        </w:tabs>
        <w:ind w:left="0" w:firstLine="709"/>
        <w:jc w:val="both"/>
        <w:rPr>
          <w:rFonts w:ascii="Times New Roman" w:hAnsi="Times New Roman"/>
          <w:sz w:val="24"/>
          <w:szCs w:val="24"/>
        </w:rPr>
      </w:pPr>
      <w:r>
        <w:rPr>
          <w:rFonts w:ascii="Times New Roman" w:hAnsi="Times New Roman"/>
          <w:sz w:val="24"/>
          <w:szCs w:val="24"/>
        </w:rPr>
        <w:t>- благоустройство  сквера  с  озером  в  районе  мемориала  «Курган  Славы»  в микрорайоне  «Ясный»  в  г.Северске.</w:t>
      </w:r>
    </w:p>
    <w:p>
      <w:pPr>
        <w:autoSpaceDE w:val="0"/>
        <w:autoSpaceDN w:val="0"/>
        <w:adjustRightInd w:val="0"/>
        <w:ind w:firstLine="540"/>
        <w:jc w:val="center"/>
        <w:rPr>
          <w:rFonts w:ascii="Times New Roman" w:eastAsia="Calibri" w:hAnsi="Times New Roman"/>
          <w:b/>
          <w:sz w:val="16"/>
          <w:szCs w:val="16"/>
          <w:lang w:eastAsia="en-US"/>
        </w:rPr>
      </w:pPr>
    </w:p>
    <w:p>
      <w:pPr>
        <w:autoSpaceDE w:val="0"/>
        <w:autoSpaceDN w:val="0"/>
        <w:adjustRightInd w:val="0"/>
        <w:ind w:firstLine="540"/>
        <w:jc w:val="center"/>
        <w:rPr>
          <w:rFonts w:ascii="Times New Roman" w:eastAsia="Calibri" w:hAnsi="Times New Roman"/>
          <w:b/>
          <w:sz w:val="24"/>
          <w:szCs w:val="24"/>
          <w:lang w:eastAsia="en-US"/>
        </w:rPr>
      </w:pPr>
      <w:r>
        <w:rPr>
          <w:rFonts w:ascii="Times New Roman" w:eastAsia="Calibri" w:hAnsi="Times New Roman"/>
          <w:b/>
          <w:sz w:val="24"/>
          <w:szCs w:val="24"/>
          <w:lang w:eastAsia="en-US"/>
        </w:rPr>
        <w:t>2.7.2.9. П</w:t>
      </w:r>
      <w:hyperlink r:id="rId19" w:history="1">
        <w:r>
          <w:rPr>
            <w:rStyle w:val="a5"/>
            <w:rFonts w:ascii="Times New Roman" w:eastAsia="Calibri" w:hAnsi="Times New Roman"/>
            <w:b/>
            <w:color w:val="auto"/>
            <w:sz w:val="24"/>
            <w:szCs w:val="24"/>
            <w:u w:val="none"/>
            <w:lang w:eastAsia="en-US"/>
          </w:rPr>
          <w:t>рограмма</w:t>
        </w:r>
      </w:hyperlink>
      <w:r>
        <w:rPr>
          <w:rFonts w:ascii="Times New Roman" w:eastAsia="Calibri" w:hAnsi="Times New Roman"/>
          <w:b/>
          <w:sz w:val="24"/>
          <w:szCs w:val="24"/>
          <w:lang w:eastAsia="en-US"/>
        </w:rPr>
        <w:t xml:space="preserve"> «Комплексное развитие систем коммунальной и инженерной инфраструктуры ЗАТО Северск» на 2013 год и на перспективу до 2035 года</w:t>
      </w:r>
    </w:p>
    <w:p>
      <w:pPr>
        <w:rPr>
          <w:rFonts w:ascii="Times New Roman" w:hAnsi="Times New Roman"/>
          <w:b/>
          <w:sz w:val="10"/>
          <w:szCs w:val="10"/>
        </w:rPr>
      </w:pPr>
    </w:p>
    <w:p>
      <w:pPr>
        <w:autoSpaceDE w:val="0"/>
        <w:autoSpaceDN w:val="0"/>
        <w:adjustRightInd w:val="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Общий объем расходов на реализацию Программы составит в 2021 году 4 341,78 тыс.руб., в 2022 году –  71 316,24 тыс.руб.</w:t>
      </w:r>
    </w:p>
    <w:p>
      <w:pPr>
        <w:autoSpaceDE w:val="0"/>
        <w:autoSpaceDN w:val="0"/>
        <w:adjustRightInd w:val="0"/>
        <w:spacing w:after="12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Цель Программы: Обеспечение надежности, качества и эффективности работы коммунального комплекса в соответствии с планируемыми потребностями развития муниципального образования.</w:t>
      </w:r>
    </w:p>
    <w:p>
      <w:pPr>
        <w:autoSpaceDE w:val="0"/>
        <w:autoSpaceDN w:val="0"/>
        <w:adjustRightInd w:val="0"/>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Ответственные исполнители Программы - УЖКХ ТиС и УКС Администрации ЗАТО Северск.</w:t>
      </w:r>
    </w:p>
    <w:p>
      <w:pPr>
        <w:spacing w:before="120" w:after="120"/>
        <w:ind w:firstLine="709"/>
        <w:jc w:val="both"/>
        <w:rPr>
          <w:rFonts w:ascii="Times New Roman" w:hAnsi="Times New Roman"/>
          <w:sz w:val="24"/>
          <w:szCs w:val="24"/>
        </w:rPr>
      </w:pPr>
    </w:p>
    <w:p>
      <w:pPr>
        <w:spacing w:before="120" w:after="120"/>
        <w:ind w:firstLine="709"/>
        <w:jc w:val="both"/>
        <w:rPr>
          <w:rFonts w:ascii="Times New Roman" w:hAnsi="Times New Roman"/>
          <w:sz w:val="24"/>
          <w:szCs w:val="24"/>
        </w:rPr>
      </w:pPr>
    </w:p>
    <w:p>
      <w:pPr>
        <w:spacing w:before="120" w:after="120"/>
        <w:ind w:firstLine="709"/>
        <w:jc w:val="both"/>
        <w:rPr>
          <w:rFonts w:ascii="Times New Roman" w:hAnsi="Times New Roman"/>
          <w:sz w:val="24"/>
          <w:szCs w:val="24"/>
        </w:rPr>
      </w:pPr>
      <w:r>
        <w:rPr>
          <w:rFonts w:ascii="Times New Roman" w:hAnsi="Times New Roman"/>
          <w:sz w:val="24"/>
          <w:szCs w:val="24"/>
        </w:rPr>
        <w:t xml:space="preserve">Таблица 70 -  Объем финансового обеспечения Программы </w:t>
      </w: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938"/>
        <w:gridCol w:w="1173"/>
        <w:gridCol w:w="1206"/>
        <w:gridCol w:w="1196"/>
        <w:gridCol w:w="872"/>
        <w:gridCol w:w="1076"/>
        <w:gridCol w:w="1145"/>
      </w:tblGrid>
      <w:tr>
        <w:tc>
          <w:tcPr>
            <w:tcW w:w="293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Наименование</w:t>
            </w:r>
          </w:p>
        </w:tc>
        <w:tc>
          <w:tcPr>
            <w:tcW w:w="237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pPr>
              <w:shd w:val="clear" w:color="auto" w:fill="FFFFFF" w:themeFill="background1"/>
              <w:ind w:left="-57" w:right="-57"/>
              <w:jc w:val="center"/>
              <w:rPr>
                <w:rFonts w:ascii="Times New Roman" w:hAnsi="Times New Roman"/>
                <w:b/>
              </w:rPr>
            </w:pPr>
            <w:r>
              <w:rPr>
                <w:rFonts w:ascii="Times New Roman" w:hAnsi="Times New Roman"/>
              </w:rPr>
              <w:t>2020 год</w:t>
            </w:r>
          </w:p>
        </w:tc>
        <w:tc>
          <w:tcPr>
            <w:tcW w:w="206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Прогноз 2021 года</w:t>
            </w:r>
          </w:p>
        </w:tc>
        <w:tc>
          <w:tcPr>
            <w:tcW w:w="107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pPr>
              <w:shd w:val="clear" w:color="auto" w:fill="FFFFFF" w:themeFill="background1"/>
              <w:jc w:val="center"/>
              <w:rPr>
                <w:rFonts w:ascii="Times New Roman" w:hAnsi="Times New Roman"/>
              </w:rPr>
            </w:pPr>
            <w:r>
              <w:rPr>
                <w:rFonts w:ascii="Times New Roman" w:hAnsi="Times New Roman"/>
              </w:rPr>
              <w:t>Прогноз</w:t>
            </w:r>
          </w:p>
          <w:p>
            <w:pPr>
              <w:shd w:val="clear" w:color="auto" w:fill="FFFFFF" w:themeFill="background1"/>
              <w:jc w:val="center"/>
              <w:rPr>
                <w:rFonts w:ascii="Times New Roman" w:hAnsi="Times New Roman"/>
              </w:rPr>
            </w:pPr>
            <w:r>
              <w:rPr>
                <w:rFonts w:ascii="Times New Roman" w:hAnsi="Times New Roman"/>
              </w:rPr>
              <w:t>2022 года, тыс.руб.</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pPr>
              <w:shd w:val="clear" w:color="auto" w:fill="FFFFFF" w:themeFill="background1"/>
              <w:jc w:val="center"/>
              <w:rPr>
                <w:rFonts w:ascii="Times New Roman" w:hAnsi="Times New Roman"/>
              </w:rPr>
            </w:pPr>
            <w:r>
              <w:rPr>
                <w:rFonts w:ascii="Times New Roman" w:hAnsi="Times New Roman"/>
              </w:rPr>
              <w:t>Прогноз</w:t>
            </w:r>
          </w:p>
          <w:p>
            <w:pPr>
              <w:shd w:val="clear" w:color="auto" w:fill="FFFFFF" w:themeFill="background1"/>
              <w:jc w:val="center"/>
              <w:rPr>
                <w:rFonts w:ascii="Times New Roman" w:hAnsi="Times New Roman"/>
              </w:rPr>
            </w:pPr>
            <w:r>
              <w:rPr>
                <w:rFonts w:ascii="Times New Roman" w:hAnsi="Times New Roman"/>
              </w:rPr>
              <w:t>2023 года, тыс.руб.</w:t>
            </w:r>
          </w:p>
        </w:tc>
      </w:tr>
      <w:tr>
        <w:trPr>
          <w:trHeight w:val="845"/>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p>
        </w:tc>
        <w:tc>
          <w:tcPr>
            <w:tcW w:w="1173" w:type="dxa"/>
            <w:tcBorders>
              <w:top w:val="single" w:sz="4" w:space="0" w:color="auto"/>
              <w:left w:val="single" w:sz="4" w:space="0" w:color="auto"/>
              <w:bottom w:val="single" w:sz="4" w:space="0" w:color="auto"/>
              <w:right w:val="single" w:sz="4" w:space="0" w:color="auto"/>
            </w:tcBorders>
            <w:shd w:val="clear" w:color="auto" w:fill="FFFFFF" w:themeFill="background1"/>
          </w:tcPr>
          <w:p>
            <w:pPr>
              <w:shd w:val="clear" w:color="auto" w:fill="FFFFFF" w:themeFill="background1"/>
              <w:jc w:val="center"/>
              <w:rPr>
                <w:rFonts w:ascii="Times New Roman" w:hAnsi="Times New Roman"/>
              </w:rPr>
            </w:pPr>
            <w:r>
              <w:rPr>
                <w:rFonts w:ascii="Times New Roman" w:hAnsi="Times New Roman"/>
              </w:rPr>
              <w:t>Первона-чально утвеждено, тыс. руб.</w:t>
            </w:r>
          </w:p>
        </w:tc>
        <w:tc>
          <w:tcPr>
            <w:tcW w:w="12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Оценка, тыс.руб.</w:t>
            </w: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Сумма,</w:t>
            </w:r>
          </w:p>
          <w:p>
            <w:pPr>
              <w:shd w:val="clear" w:color="auto" w:fill="FFFFFF" w:themeFill="background1"/>
              <w:jc w:val="center"/>
              <w:rPr>
                <w:rFonts w:ascii="Times New Roman" w:hAnsi="Times New Roman"/>
              </w:rPr>
            </w:pPr>
            <w:r>
              <w:rPr>
                <w:rFonts w:ascii="Times New Roman" w:hAnsi="Times New Roman"/>
              </w:rPr>
              <w:t>тыс.руб.</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center"/>
              <w:rPr>
                <w:rFonts w:ascii="Times New Roman" w:hAnsi="Times New Roman"/>
              </w:rPr>
            </w:pPr>
            <w:r>
              <w:rPr>
                <w:rFonts w:ascii="Times New Roman" w:hAnsi="Times New Roman"/>
              </w:rPr>
              <w:t>%</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rFonts w:ascii="Times New Roman" w:hAnsi="Times New Roman"/>
              </w:rPr>
            </w:pPr>
          </w:p>
        </w:tc>
      </w:tr>
      <w:tr>
        <w:trPr>
          <w:trHeight w:val="105"/>
        </w:trPr>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rPr>
                <w:bCs/>
              </w:rPr>
            </w:pPr>
            <w:r>
              <w:rPr>
                <w:bCs/>
              </w:rPr>
              <w:t>ВСЕГО:</w:t>
            </w:r>
          </w:p>
        </w:tc>
        <w:tc>
          <w:tcPr>
            <w:tcW w:w="1173" w:type="dxa"/>
            <w:tcBorders>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13 154,14</w:t>
            </w:r>
          </w:p>
        </w:tc>
        <w:tc>
          <w:tcPr>
            <w:tcW w:w="1206" w:type="dxa"/>
            <w:tcBorders>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12 884,55</w:t>
            </w:r>
          </w:p>
        </w:tc>
        <w:tc>
          <w:tcPr>
            <w:tcW w:w="1196" w:type="dxa"/>
            <w:tcBorders>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4 341,78</w:t>
            </w:r>
          </w:p>
        </w:tc>
        <w:tc>
          <w:tcPr>
            <w:tcW w:w="872" w:type="dxa"/>
            <w:tcBorders>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33,7</w:t>
            </w:r>
          </w:p>
        </w:tc>
        <w:tc>
          <w:tcPr>
            <w:tcW w:w="1076" w:type="dxa"/>
            <w:tcBorders>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71 316,24</w:t>
            </w:r>
          </w:p>
        </w:tc>
        <w:tc>
          <w:tcPr>
            <w:tcW w:w="1145" w:type="dxa"/>
            <w:tcBorders>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r>
      <w:tr>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pPr>
            <w:r>
              <w:t>Инвестиционные проекты по развитию системы теплоснабжения на территории ЗАТО Северск</w:t>
            </w:r>
          </w:p>
        </w:tc>
        <w:tc>
          <w:tcPr>
            <w:tcW w:w="11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1 600,00</w:t>
            </w:r>
          </w:p>
        </w:tc>
        <w:tc>
          <w:tcPr>
            <w:tcW w:w="12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1 732,35</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r>
      <w:tr>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pPr>
            <w:r>
              <w:t>Инвестиционные проекты по развитию системы водоснабжения на территории ЗАТО Северск</w:t>
            </w:r>
          </w:p>
        </w:tc>
        <w:tc>
          <w:tcPr>
            <w:tcW w:w="11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p>
        </w:tc>
        <w:tc>
          <w:tcPr>
            <w:tcW w:w="12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1 792,60</w:t>
            </w: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r>
      <w:tr>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pPr>
            <w:r>
              <w:t>Инвестиционные проекты по развитию системы водоотведения на территории ЗАТО Северск (очистные)</w:t>
            </w:r>
          </w:p>
        </w:tc>
        <w:tc>
          <w:tcPr>
            <w:tcW w:w="11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p>
        </w:tc>
        <w:tc>
          <w:tcPr>
            <w:tcW w:w="12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71 316,24</w:t>
            </w: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r>
      <w:tr>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pPr>
            <w:r>
              <w:t>Инвестиционные проекты по развитию системы утилизации (захоронения) твердых бытовых отходов на территории ЗАТО Северск</w:t>
            </w:r>
          </w:p>
        </w:tc>
        <w:tc>
          <w:tcPr>
            <w:tcW w:w="11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r>
              <w:t>11 554,14</w:t>
            </w:r>
          </w:p>
        </w:tc>
        <w:tc>
          <w:tcPr>
            <w:tcW w:w="12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11 091,95</w:t>
            </w: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r>
      <w:tr>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pPr>
            <w:r>
              <w:t>Инвестиционные проекты по развитию инженерной инфраструктуры и городского освещения на территории ЗАТО Северск</w:t>
            </w:r>
          </w:p>
        </w:tc>
        <w:tc>
          <w:tcPr>
            <w:tcW w:w="11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pPr>
              <w:shd w:val="clear" w:color="auto" w:fill="FFFFFF" w:themeFill="background1"/>
              <w:jc w:val="right"/>
            </w:pPr>
          </w:p>
        </w:tc>
        <w:tc>
          <w:tcPr>
            <w:tcW w:w="12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r>
              <w:t>2 609,43</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hd w:val="clear" w:color="auto" w:fill="FFFFFF" w:themeFill="background1"/>
              <w:jc w:val="right"/>
            </w:pPr>
          </w:p>
        </w:tc>
      </w:tr>
    </w:tbl>
    <w:p>
      <w:pPr>
        <w:widowControl w:val="0"/>
        <w:autoSpaceDE w:val="0"/>
        <w:autoSpaceDN w:val="0"/>
        <w:adjustRightInd w:val="0"/>
        <w:ind w:firstLine="709"/>
        <w:jc w:val="both"/>
        <w:rPr>
          <w:rFonts w:ascii="Times New Roman" w:hAnsi="Times New Roman"/>
          <w:sz w:val="16"/>
          <w:szCs w:val="16"/>
        </w:rPr>
      </w:pPr>
    </w:p>
    <w:p>
      <w:pPr>
        <w:autoSpaceDE w:val="0"/>
        <w:autoSpaceDN w:val="0"/>
        <w:adjustRightInd w:val="0"/>
        <w:ind w:firstLine="709"/>
        <w:jc w:val="both"/>
        <w:rPr>
          <w:rFonts w:ascii="Times New Roman" w:eastAsia="Calibri" w:hAnsi="Times New Roman"/>
          <w:bCs/>
          <w:sz w:val="24"/>
          <w:szCs w:val="24"/>
          <w:lang w:eastAsia="en-US"/>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Программы </w:t>
      </w:r>
      <w:r>
        <w:rPr>
          <w:rFonts w:ascii="Times New Roman" w:hAnsi="Times New Roman"/>
          <w:sz w:val="24"/>
          <w:szCs w:val="24"/>
        </w:rPr>
        <w:t>составит 4 341,78 тыс. руб. и будет направлен на реализацию следующих мероприятий</w:t>
      </w:r>
      <w:r>
        <w:rPr>
          <w:rFonts w:ascii="Times New Roman" w:eastAsia="Calibri" w:hAnsi="Times New Roman"/>
          <w:bCs/>
          <w:sz w:val="24"/>
          <w:szCs w:val="24"/>
          <w:lang w:eastAsia="en-US"/>
        </w:rPr>
        <w:t>:</w:t>
      </w:r>
    </w:p>
    <w:p>
      <w:pPr>
        <w:autoSpaceDE w:val="0"/>
        <w:autoSpaceDN w:val="0"/>
        <w:adjustRightInd w:val="0"/>
        <w:ind w:firstLine="709"/>
        <w:jc w:val="both"/>
        <w:rPr>
          <w:rFonts w:ascii="Times New Roman" w:hAnsi="Times New Roman"/>
          <w:sz w:val="24"/>
          <w:szCs w:val="24"/>
        </w:rPr>
      </w:pPr>
      <w:r>
        <w:rPr>
          <w:rFonts w:ascii="Times New Roman" w:eastAsia="Calibri" w:hAnsi="Times New Roman"/>
          <w:bCs/>
          <w:sz w:val="24"/>
          <w:szCs w:val="24"/>
          <w:lang w:eastAsia="en-US"/>
        </w:rPr>
        <w:t>- замена котла центральной отопительной котельной пос.Самусь (ПИР) в сумме  1 732,35</w:t>
      </w:r>
      <w:r>
        <w:rPr>
          <w:rFonts w:ascii="Times New Roman" w:hAnsi="Times New Roman"/>
          <w:sz w:val="24"/>
          <w:szCs w:val="24"/>
        </w:rPr>
        <w:t> тыс.руб.;</w:t>
      </w:r>
    </w:p>
    <w:p>
      <w:pPr>
        <w:autoSpaceDE w:val="0"/>
        <w:autoSpaceDN w:val="0"/>
        <w:adjustRightInd w:val="0"/>
        <w:ind w:firstLine="709"/>
        <w:jc w:val="both"/>
        <w:rPr>
          <w:rFonts w:ascii="Times New Roman" w:eastAsia="Calibri" w:hAnsi="Times New Roman"/>
          <w:bCs/>
          <w:sz w:val="24"/>
          <w:szCs w:val="24"/>
          <w:lang w:eastAsia="en-US"/>
        </w:rPr>
      </w:pPr>
      <w:r>
        <w:rPr>
          <w:rFonts w:ascii="Times New Roman" w:hAnsi="Times New Roman"/>
          <w:sz w:val="24"/>
          <w:szCs w:val="24"/>
        </w:rPr>
        <w:t xml:space="preserve">- </w:t>
      </w:r>
      <w:r>
        <w:rPr>
          <w:rFonts w:ascii="Times New Roman" w:eastAsia="Calibri" w:hAnsi="Times New Roman"/>
          <w:bCs/>
          <w:sz w:val="24"/>
          <w:szCs w:val="24"/>
          <w:lang w:eastAsia="en-US"/>
        </w:rPr>
        <w:t xml:space="preserve">строительство инженерной инфраструктуры на территории для размещения индивидуального жилищного строительства в пос.Самусь (ПИР) в сумме 2 609,43 тыс.руб., из них 2 110,5 тыс.руб. за счет средств областного бюджета. </w:t>
      </w:r>
    </w:p>
    <w:p>
      <w:pPr>
        <w:autoSpaceDE w:val="0"/>
        <w:autoSpaceDN w:val="0"/>
        <w:adjustRightInd w:val="0"/>
        <w:ind w:firstLine="709"/>
        <w:jc w:val="both"/>
        <w:rPr>
          <w:rFonts w:ascii="Times New Roman" w:eastAsia="Calibri" w:hAnsi="Times New Roman"/>
          <w:sz w:val="16"/>
          <w:szCs w:val="16"/>
          <w:lang w:eastAsia="en-US"/>
        </w:rPr>
      </w:pPr>
      <w:r>
        <w:rPr>
          <w:rFonts w:ascii="Times New Roman" w:eastAsia="Calibri" w:hAnsi="Times New Roman"/>
          <w:bCs/>
          <w:sz w:val="24"/>
          <w:szCs w:val="24"/>
          <w:lang w:eastAsia="en-US"/>
        </w:rPr>
        <w:t xml:space="preserve"> </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b/>
          <w:color w:val="000000"/>
          <w:sz w:val="24"/>
          <w:szCs w:val="24"/>
        </w:rPr>
        <w:t>2.7.3. По направлению «</w:t>
      </w:r>
      <w:r>
        <w:rPr>
          <w:rFonts w:ascii="Times New Roman" w:hAnsi="Times New Roman"/>
          <w:b/>
          <w:bCs/>
          <w:color w:val="000000"/>
          <w:sz w:val="24"/>
          <w:szCs w:val="24"/>
        </w:rPr>
        <w:t xml:space="preserve">Совершенствование действующей системы муниципального управления» </w:t>
      </w:r>
      <w:r>
        <w:rPr>
          <w:rFonts w:ascii="Times New Roman" w:hAnsi="Times New Roman"/>
          <w:color w:val="000000"/>
          <w:sz w:val="24"/>
          <w:szCs w:val="24"/>
        </w:rPr>
        <w:t>планируются к реализации 3 муниципальные программы.</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sz w:val="24"/>
          <w:szCs w:val="24"/>
        </w:rPr>
        <w:t>Таблица 71 – Программное р</w:t>
      </w:r>
      <w:r>
        <w:rPr>
          <w:rFonts w:ascii="Times New Roman" w:hAnsi="Times New Roman"/>
          <w:color w:val="000000"/>
          <w:sz w:val="24"/>
          <w:szCs w:val="24"/>
        </w:rPr>
        <w:t>аспределение бюджетных ассигнований по направлению «</w:t>
      </w:r>
      <w:r>
        <w:rPr>
          <w:rFonts w:ascii="Times New Roman" w:hAnsi="Times New Roman"/>
          <w:bCs/>
          <w:color w:val="000000"/>
          <w:sz w:val="24"/>
          <w:szCs w:val="24"/>
        </w:rPr>
        <w:t>Совершенствование действующей системы муниципального управления</w:t>
      </w:r>
      <w:r>
        <w:rPr>
          <w:rFonts w:ascii="Times New Roman" w:hAnsi="Times New Roman"/>
          <w:color w:val="000000"/>
          <w:sz w:val="24"/>
          <w:szCs w:val="24"/>
        </w:rPr>
        <w:t>»</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276"/>
        <w:gridCol w:w="1276"/>
        <w:gridCol w:w="1275"/>
        <w:gridCol w:w="709"/>
        <w:gridCol w:w="1198"/>
        <w:gridCol w:w="1211"/>
      </w:tblGrid>
      <w:tr>
        <w:trPr>
          <w:trHeight w:val="146"/>
        </w:trPr>
        <w:tc>
          <w:tcPr>
            <w:tcW w:w="2835" w:type="dxa"/>
            <w:vMerge w:val="restart"/>
            <w:shd w:val="clear" w:color="auto" w:fill="auto"/>
            <w:vAlign w:val="center"/>
            <w:hideMark/>
          </w:tcPr>
          <w:p>
            <w:pPr>
              <w:jc w:val="center"/>
              <w:rPr>
                <w:rFonts w:ascii="Times New Roman" w:hAnsi="Times New Roman"/>
                <w:color w:val="000000"/>
              </w:rPr>
            </w:pPr>
            <w:r>
              <w:rPr>
                <w:rFonts w:ascii="Times New Roman" w:hAnsi="Times New Roman"/>
                <w:color w:val="000000"/>
              </w:rPr>
              <w:t>Наименование</w:t>
            </w:r>
          </w:p>
        </w:tc>
        <w:tc>
          <w:tcPr>
            <w:tcW w:w="2552" w:type="dxa"/>
            <w:gridSpan w:val="2"/>
            <w:shd w:val="clear" w:color="auto" w:fill="auto"/>
            <w:vAlign w:val="center"/>
            <w:hideMark/>
          </w:tcPr>
          <w:p>
            <w:pPr>
              <w:jc w:val="center"/>
              <w:rPr>
                <w:rFonts w:ascii="Times New Roman" w:hAnsi="Times New Roman"/>
                <w:color w:val="000000"/>
              </w:rPr>
            </w:pPr>
            <w:r>
              <w:rPr>
                <w:rFonts w:ascii="Times New Roman" w:hAnsi="Times New Roman"/>
                <w:bCs/>
                <w:color w:val="000000"/>
              </w:rPr>
              <w:t>2020 год</w:t>
            </w:r>
          </w:p>
        </w:tc>
        <w:tc>
          <w:tcPr>
            <w:tcW w:w="1984" w:type="dxa"/>
            <w:gridSpan w:val="2"/>
            <w:shd w:val="clear" w:color="auto" w:fill="auto"/>
            <w:vAlign w:val="center"/>
            <w:hideMark/>
          </w:tcPr>
          <w:p>
            <w:pPr>
              <w:jc w:val="center"/>
              <w:rPr>
                <w:rFonts w:ascii="Times New Roman" w:hAnsi="Times New Roman"/>
                <w:color w:val="000000"/>
              </w:rPr>
            </w:pPr>
            <w:r>
              <w:rPr>
                <w:rFonts w:ascii="Times New Roman" w:hAnsi="Times New Roman"/>
                <w:color w:val="000000"/>
              </w:rPr>
              <w:t>Прогноз 2021 года</w:t>
            </w:r>
          </w:p>
        </w:tc>
        <w:tc>
          <w:tcPr>
            <w:tcW w:w="1198" w:type="dxa"/>
            <w:vMerge w:val="restart"/>
            <w:shd w:val="clear" w:color="auto" w:fill="auto"/>
            <w:vAlign w:val="center"/>
            <w:hideMark/>
          </w:tcPr>
          <w:p>
            <w:pPr>
              <w:jc w:val="center"/>
              <w:rPr>
                <w:rFonts w:ascii="Times New Roman" w:hAnsi="Times New Roman"/>
                <w:color w:val="000000"/>
              </w:rPr>
            </w:pPr>
            <w:r>
              <w:rPr>
                <w:rFonts w:ascii="Times New Roman" w:hAnsi="Times New Roman"/>
                <w:color w:val="000000"/>
              </w:rPr>
              <w:t xml:space="preserve">Прогноз </w:t>
            </w:r>
          </w:p>
          <w:p>
            <w:pPr>
              <w:jc w:val="center"/>
              <w:rPr>
                <w:rFonts w:ascii="Times New Roman" w:hAnsi="Times New Roman"/>
                <w:color w:val="000000"/>
              </w:rPr>
            </w:pPr>
            <w:r>
              <w:rPr>
                <w:rFonts w:ascii="Times New Roman" w:hAnsi="Times New Roman"/>
                <w:color w:val="000000"/>
              </w:rPr>
              <w:t xml:space="preserve">2022 года, </w:t>
            </w:r>
            <w:r>
              <w:rPr>
                <w:rFonts w:ascii="Times New Roman" w:hAnsi="Times New Roman"/>
                <w:color w:val="000000"/>
              </w:rPr>
              <w:br/>
              <w:t>тыс.руб.</w:t>
            </w:r>
          </w:p>
        </w:tc>
        <w:tc>
          <w:tcPr>
            <w:tcW w:w="1211" w:type="dxa"/>
            <w:vMerge w:val="restart"/>
            <w:shd w:val="clear" w:color="auto" w:fill="auto"/>
            <w:vAlign w:val="center"/>
            <w:hideMark/>
          </w:tcPr>
          <w:p>
            <w:pPr>
              <w:jc w:val="center"/>
              <w:rPr>
                <w:rFonts w:ascii="Times New Roman" w:hAnsi="Times New Roman"/>
                <w:color w:val="000000"/>
              </w:rPr>
            </w:pPr>
            <w:r>
              <w:rPr>
                <w:rFonts w:ascii="Times New Roman" w:hAnsi="Times New Roman"/>
                <w:color w:val="000000"/>
              </w:rPr>
              <w:t>Прогноз</w:t>
            </w:r>
          </w:p>
          <w:p>
            <w:pPr>
              <w:jc w:val="center"/>
              <w:rPr>
                <w:rFonts w:ascii="Times New Roman" w:hAnsi="Times New Roman"/>
                <w:color w:val="000000"/>
              </w:rPr>
            </w:pPr>
            <w:r>
              <w:rPr>
                <w:rFonts w:ascii="Times New Roman" w:hAnsi="Times New Roman"/>
                <w:color w:val="000000"/>
              </w:rPr>
              <w:t xml:space="preserve">2023 года, </w:t>
            </w:r>
            <w:r>
              <w:rPr>
                <w:rFonts w:ascii="Times New Roman" w:hAnsi="Times New Roman"/>
                <w:color w:val="000000"/>
              </w:rPr>
              <w:br/>
              <w:t>тыс.руб.</w:t>
            </w:r>
          </w:p>
        </w:tc>
      </w:tr>
      <w:tr>
        <w:trPr>
          <w:trHeight w:val="375"/>
        </w:trPr>
        <w:tc>
          <w:tcPr>
            <w:tcW w:w="2835" w:type="dxa"/>
            <w:vMerge/>
            <w:shd w:val="clear" w:color="auto" w:fill="auto"/>
            <w:vAlign w:val="center"/>
            <w:hideMark/>
          </w:tcPr>
          <w:p>
            <w:pPr>
              <w:rPr>
                <w:rFonts w:ascii="Times New Roman" w:hAnsi="Times New Roman"/>
                <w:color w:val="000000"/>
              </w:rPr>
            </w:pPr>
          </w:p>
        </w:tc>
        <w:tc>
          <w:tcPr>
            <w:tcW w:w="1276" w:type="dxa"/>
            <w:shd w:val="clear" w:color="auto" w:fill="auto"/>
            <w:vAlign w:val="center"/>
            <w:hideMark/>
          </w:tcPr>
          <w:p>
            <w:pPr>
              <w:jc w:val="center"/>
              <w:rPr>
                <w:rFonts w:ascii="Times New Roman" w:hAnsi="Times New Roman"/>
                <w:color w:val="000000"/>
              </w:rPr>
            </w:pPr>
            <w:r>
              <w:rPr>
                <w:rFonts w:ascii="Times New Roman" w:hAnsi="Times New Roman"/>
                <w:bCs/>
                <w:color w:val="000000"/>
              </w:rPr>
              <w:t>Первона-чально утверждено,</w:t>
            </w:r>
            <w:r>
              <w:rPr>
                <w:rFonts w:ascii="Times New Roman" w:hAnsi="Times New Roman"/>
                <w:bCs/>
                <w:color w:val="000000"/>
              </w:rPr>
              <w:br/>
              <w:t>тыс.руб.</w:t>
            </w:r>
          </w:p>
        </w:tc>
        <w:tc>
          <w:tcPr>
            <w:tcW w:w="1276" w:type="dxa"/>
            <w:shd w:val="clear" w:color="auto" w:fill="auto"/>
            <w:vAlign w:val="center"/>
            <w:hideMark/>
          </w:tcPr>
          <w:p>
            <w:pPr>
              <w:jc w:val="center"/>
              <w:rPr>
                <w:rFonts w:ascii="Times New Roman" w:hAnsi="Times New Roman"/>
                <w:color w:val="000000"/>
              </w:rPr>
            </w:pPr>
            <w:r>
              <w:rPr>
                <w:rFonts w:ascii="Times New Roman" w:hAnsi="Times New Roman"/>
                <w:bCs/>
                <w:color w:val="000000"/>
              </w:rPr>
              <w:t>Оценка на тыс.руб.</w:t>
            </w:r>
          </w:p>
        </w:tc>
        <w:tc>
          <w:tcPr>
            <w:tcW w:w="1275" w:type="dxa"/>
            <w:shd w:val="clear" w:color="auto" w:fill="auto"/>
            <w:vAlign w:val="center"/>
            <w:hideMark/>
          </w:tcPr>
          <w:p>
            <w:pPr>
              <w:jc w:val="center"/>
              <w:rPr>
                <w:rFonts w:ascii="Times New Roman" w:hAnsi="Times New Roman"/>
                <w:color w:val="000000"/>
              </w:rPr>
            </w:pPr>
            <w:r>
              <w:rPr>
                <w:rFonts w:ascii="Times New Roman" w:hAnsi="Times New Roman"/>
                <w:color w:val="000000"/>
              </w:rPr>
              <w:t>Сумма</w:t>
            </w:r>
          </w:p>
        </w:tc>
        <w:tc>
          <w:tcPr>
            <w:tcW w:w="709" w:type="dxa"/>
            <w:shd w:val="clear" w:color="auto" w:fill="auto"/>
            <w:vAlign w:val="center"/>
            <w:hideMark/>
          </w:tcPr>
          <w:p>
            <w:pPr>
              <w:jc w:val="center"/>
              <w:rPr>
                <w:rFonts w:ascii="Times New Roman" w:hAnsi="Times New Roman"/>
                <w:color w:val="000000"/>
              </w:rPr>
            </w:pPr>
            <w:r>
              <w:rPr>
                <w:rFonts w:ascii="Times New Roman" w:hAnsi="Times New Roman"/>
                <w:color w:val="000000"/>
              </w:rPr>
              <w:t>%</w:t>
            </w:r>
          </w:p>
        </w:tc>
        <w:tc>
          <w:tcPr>
            <w:tcW w:w="1198" w:type="dxa"/>
            <w:vMerge/>
            <w:shd w:val="clear" w:color="auto" w:fill="auto"/>
            <w:vAlign w:val="center"/>
            <w:hideMark/>
          </w:tcPr>
          <w:p>
            <w:pPr>
              <w:jc w:val="center"/>
              <w:rPr>
                <w:rFonts w:ascii="Times New Roman" w:hAnsi="Times New Roman"/>
                <w:color w:val="000000"/>
              </w:rPr>
            </w:pPr>
          </w:p>
        </w:tc>
        <w:tc>
          <w:tcPr>
            <w:tcW w:w="1211" w:type="dxa"/>
            <w:vMerge/>
            <w:shd w:val="clear" w:color="auto" w:fill="auto"/>
            <w:vAlign w:val="center"/>
            <w:hideMark/>
          </w:tcPr>
          <w:p>
            <w:pPr>
              <w:jc w:val="center"/>
              <w:rPr>
                <w:rFonts w:ascii="Times New Roman" w:hAnsi="Times New Roman"/>
                <w:color w:val="000000"/>
              </w:rPr>
            </w:pPr>
          </w:p>
        </w:tc>
      </w:tr>
      <w:tr>
        <w:trPr>
          <w:trHeight w:val="624"/>
        </w:trPr>
        <w:tc>
          <w:tcPr>
            <w:tcW w:w="2835" w:type="dxa"/>
            <w:shd w:val="clear" w:color="auto" w:fill="auto"/>
            <w:vAlign w:val="center"/>
            <w:hideMark/>
          </w:tcPr>
          <w:p>
            <w:pPr>
              <w:rPr>
                <w:rFonts w:ascii="Times New Roman" w:hAnsi="Times New Roman"/>
                <w:b/>
                <w:bCs/>
                <w:color w:val="000000"/>
              </w:rPr>
            </w:pPr>
            <w:r>
              <w:rPr>
                <w:rFonts w:ascii="Times New Roman" w:hAnsi="Times New Roman"/>
                <w:b/>
                <w:bCs/>
                <w:color w:val="000000"/>
              </w:rPr>
              <w:t xml:space="preserve">Совершенствование действующей системы муниципального управления </w:t>
            </w:r>
          </w:p>
        </w:tc>
        <w:tc>
          <w:tcPr>
            <w:tcW w:w="1276" w:type="dxa"/>
            <w:shd w:val="clear" w:color="auto" w:fill="auto"/>
            <w:vAlign w:val="center"/>
            <w:hideMark/>
          </w:tcPr>
          <w:p>
            <w:pPr>
              <w:jc w:val="right"/>
              <w:rPr>
                <w:rFonts w:ascii="Times New Roman" w:hAnsi="Times New Roman"/>
                <w:b/>
                <w:bCs/>
                <w:color w:val="000000"/>
              </w:rPr>
            </w:pPr>
            <w:r>
              <w:rPr>
                <w:rFonts w:ascii="Times New Roman" w:hAnsi="Times New Roman"/>
                <w:b/>
                <w:bCs/>
                <w:color w:val="000000"/>
              </w:rPr>
              <w:t>129 840,91</w:t>
            </w:r>
          </w:p>
        </w:tc>
        <w:tc>
          <w:tcPr>
            <w:tcW w:w="1276" w:type="dxa"/>
            <w:shd w:val="clear" w:color="auto" w:fill="auto"/>
            <w:vAlign w:val="center"/>
            <w:hideMark/>
          </w:tcPr>
          <w:p>
            <w:pPr>
              <w:jc w:val="right"/>
              <w:rPr>
                <w:rFonts w:ascii="Times New Roman" w:hAnsi="Times New Roman"/>
                <w:b/>
                <w:bCs/>
                <w:color w:val="000000"/>
              </w:rPr>
            </w:pPr>
            <w:r>
              <w:rPr>
                <w:rFonts w:ascii="Times New Roman" w:hAnsi="Times New Roman"/>
                <w:b/>
                <w:bCs/>
                <w:color w:val="000000"/>
              </w:rPr>
              <w:t>130 013,99</w:t>
            </w:r>
          </w:p>
        </w:tc>
        <w:tc>
          <w:tcPr>
            <w:tcW w:w="1275" w:type="dxa"/>
            <w:shd w:val="clear" w:color="auto" w:fill="auto"/>
            <w:vAlign w:val="center"/>
            <w:hideMark/>
          </w:tcPr>
          <w:p>
            <w:pPr>
              <w:jc w:val="right"/>
              <w:rPr>
                <w:rFonts w:ascii="Times New Roman" w:hAnsi="Times New Roman"/>
                <w:b/>
                <w:bCs/>
                <w:color w:val="000000"/>
              </w:rPr>
            </w:pPr>
            <w:r>
              <w:rPr>
                <w:rFonts w:ascii="Times New Roman" w:hAnsi="Times New Roman"/>
                <w:b/>
                <w:bCs/>
                <w:color w:val="000000"/>
              </w:rPr>
              <w:t>143 737,82</w:t>
            </w:r>
          </w:p>
        </w:tc>
        <w:tc>
          <w:tcPr>
            <w:tcW w:w="709" w:type="dxa"/>
            <w:shd w:val="clear" w:color="auto" w:fill="auto"/>
            <w:vAlign w:val="center"/>
            <w:hideMark/>
          </w:tcPr>
          <w:p>
            <w:pPr>
              <w:jc w:val="right"/>
              <w:rPr>
                <w:b/>
                <w:bCs/>
                <w:color w:val="000000"/>
              </w:rPr>
            </w:pPr>
            <w:r>
              <w:rPr>
                <w:b/>
                <w:bCs/>
                <w:color w:val="000000"/>
              </w:rPr>
              <w:t>110,6</w:t>
            </w:r>
          </w:p>
        </w:tc>
        <w:tc>
          <w:tcPr>
            <w:tcW w:w="1198" w:type="dxa"/>
            <w:shd w:val="clear" w:color="auto" w:fill="auto"/>
            <w:vAlign w:val="center"/>
            <w:hideMark/>
          </w:tcPr>
          <w:p>
            <w:pPr>
              <w:jc w:val="right"/>
              <w:rPr>
                <w:rFonts w:ascii="Times New Roman" w:hAnsi="Times New Roman"/>
                <w:b/>
                <w:bCs/>
                <w:color w:val="000000"/>
              </w:rPr>
            </w:pPr>
            <w:r>
              <w:rPr>
                <w:rFonts w:ascii="Times New Roman" w:hAnsi="Times New Roman"/>
                <w:b/>
                <w:bCs/>
                <w:color w:val="000000"/>
              </w:rPr>
              <w:t>122 174,37</w:t>
            </w:r>
          </w:p>
        </w:tc>
        <w:tc>
          <w:tcPr>
            <w:tcW w:w="1211" w:type="dxa"/>
            <w:shd w:val="clear" w:color="auto" w:fill="auto"/>
            <w:vAlign w:val="center"/>
            <w:hideMark/>
          </w:tcPr>
          <w:p>
            <w:pPr>
              <w:jc w:val="right"/>
              <w:rPr>
                <w:rFonts w:ascii="Times New Roman" w:hAnsi="Times New Roman"/>
                <w:b/>
                <w:bCs/>
                <w:color w:val="000000"/>
              </w:rPr>
            </w:pPr>
            <w:r>
              <w:rPr>
                <w:rFonts w:ascii="Times New Roman" w:hAnsi="Times New Roman"/>
                <w:b/>
                <w:bCs/>
                <w:color w:val="000000"/>
              </w:rPr>
              <w:t>119 606,53</w:t>
            </w:r>
          </w:p>
        </w:tc>
      </w:tr>
      <w:tr>
        <w:trPr>
          <w:trHeight w:val="564"/>
        </w:trPr>
        <w:tc>
          <w:tcPr>
            <w:tcW w:w="2835" w:type="dxa"/>
            <w:shd w:val="clear" w:color="auto" w:fill="auto"/>
            <w:vAlign w:val="center"/>
            <w:hideMark/>
          </w:tcPr>
          <w:p>
            <w:pPr>
              <w:rPr>
                <w:rFonts w:ascii="Times New Roman" w:hAnsi="Times New Roman"/>
                <w:color w:val="000000"/>
              </w:rPr>
            </w:pPr>
            <w:r>
              <w:rPr>
                <w:rFonts w:ascii="Times New Roman" w:hAnsi="Times New Roman"/>
                <w:color w:val="000000"/>
              </w:rPr>
              <w:t>МП «Эффективное управление муниципальными финансами ЗАТО Северск»</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44 325,73  </w:t>
            </w:r>
          </w:p>
        </w:tc>
        <w:tc>
          <w:tcPr>
            <w:tcW w:w="1276" w:type="dxa"/>
            <w:shd w:val="clear" w:color="auto" w:fill="auto"/>
            <w:vAlign w:val="center"/>
            <w:hideMark/>
          </w:tcPr>
          <w:p>
            <w:pPr>
              <w:jc w:val="right"/>
              <w:rPr>
                <w:rFonts w:ascii="Times New Roman" w:hAnsi="Times New Roman"/>
              </w:rPr>
            </w:pPr>
            <w:r>
              <w:rPr>
                <w:rFonts w:ascii="Times New Roman" w:hAnsi="Times New Roman"/>
              </w:rPr>
              <w:t>44 240,73</w:t>
            </w:r>
          </w:p>
        </w:tc>
        <w:tc>
          <w:tcPr>
            <w:tcW w:w="1275" w:type="dxa"/>
            <w:shd w:val="clear" w:color="auto" w:fill="auto"/>
            <w:noWrap/>
            <w:vAlign w:val="center"/>
            <w:hideMark/>
          </w:tcPr>
          <w:p>
            <w:pPr>
              <w:jc w:val="right"/>
              <w:rPr>
                <w:rFonts w:ascii="Times New Roman" w:hAnsi="Times New Roman"/>
              </w:rPr>
            </w:pPr>
            <w:r>
              <w:rPr>
                <w:rFonts w:ascii="Times New Roman" w:hAnsi="Times New Roman"/>
              </w:rPr>
              <w:t>55 152,08</w:t>
            </w:r>
          </w:p>
        </w:tc>
        <w:tc>
          <w:tcPr>
            <w:tcW w:w="709" w:type="dxa"/>
            <w:shd w:val="clear" w:color="auto" w:fill="auto"/>
            <w:vAlign w:val="center"/>
            <w:hideMark/>
          </w:tcPr>
          <w:p>
            <w:pPr>
              <w:jc w:val="right"/>
              <w:rPr>
                <w:color w:val="000000"/>
              </w:rPr>
            </w:pPr>
            <w:r>
              <w:rPr>
                <w:color w:val="000000"/>
              </w:rPr>
              <w:t>124,7</w:t>
            </w:r>
          </w:p>
        </w:tc>
        <w:tc>
          <w:tcPr>
            <w:tcW w:w="1198" w:type="dxa"/>
            <w:shd w:val="clear" w:color="auto" w:fill="auto"/>
            <w:noWrap/>
            <w:vAlign w:val="center"/>
            <w:hideMark/>
          </w:tcPr>
          <w:p>
            <w:pPr>
              <w:jc w:val="right"/>
              <w:rPr>
                <w:rFonts w:ascii="Times New Roman" w:hAnsi="Times New Roman"/>
              </w:rPr>
            </w:pPr>
            <w:r>
              <w:rPr>
                <w:rFonts w:ascii="Times New Roman" w:hAnsi="Times New Roman"/>
              </w:rPr>
              <w:t>54 906,04</w:t>
            </w:r>
          </w:p>
        </w:tc>
        <w:tc>
          <w:tcPr>
            <w:tcW w:w="1211" w:type="dxa"/>
            <w:shd w:val="clear" w:color="auto" w:fill="auto"/>
            <w:noWrap/>
            <w:vAlign w:val="center"/>
            <w:hideMark/>
          </w:tcPr>
          <w:p>
            <w:pPr>
              <w:jc w:val="right"/>
              <w:rPr>
                <w:rFonts w:ascii="Times New Roman" w:hAnsi="Times New Roman"/>
              </w:rPr>
            </w:pPr>
            <w:r>
              <w:rPr>
                <w:rFonts w:ascii="Times New Roman" w:hAnsi="Times New Roman"/>
              </w:rPr>
              <w:t>53 422,49</w:t>
            </w:r>
          </w:p>
        </w:tc>
      </w:tr>
      <w:tr>
        <w:trPr>
          <w:trHeight w:val="557"/>
        </w:trPr>
        <w:tc>
          <w:tcPr>
            <w:tcW w:w="2835" w:type="dxa"/>
            <w:shd w:val="clear" w:color="auto" w:fill="auto"/>
            <w:vAlign w:val="center"/>
            <w:hideMark/>
          </w:tcPr>
          <w:p>
            <w:pPr>
              <w:rPr>
                <w:rFonts w:ascii="Times New Roman" w:hAnsi="Times New Roman"/>
                <w:color w:val="000000"/>
              </w:rPr>
            </w:pPr>
            <w:r>
              <w:rPr>
                <w:rFonts w:ascii="Times New Roman" w:hAnsi="Times New Roman"/>
                <w:color w:val="000000"/>
              </w:rPr>
              <w:t>МП «Эффективное управление муниципальным имуществом ЗАТО Северск»</w:t>
            </w:r>
          </w:p>
        </w:tc>
        <w:tc>
          <w:tcPr>
            <w:tcW w:w="1276" w:type="dxa"/>
            <w:shd w:val="clear" w:color="auto" w:fill="auto"/>
            <w:vAlign w:val="center"/>
            <w:hideMark/>
          </w:tcPr>
          <w:p>
            <w:pPr>
              <w:jc w:val="right"/>
              <w:rPr>
                <w:rFonts w:ascii="Times New Roman" w:hAnsi="Times New Roman"/>
              </w:rPr>
            </w:pPr>
            <w:r>
              <w:rPr>
                <w:rFonts w:ascii="Times New Roman" w:hAnsi="Times New Roman"/>
              </w:rPr>
              <w:t xml:space="preserve">80 910,60  </w:t>
            </w:r>
          </w:p>
        </w:tc>
        <w:tc>
          <w:tcPr>
            <w:tcW w:w="1276" w:type="dxa"/>
            <w:shd w:val="clear" w:color="auto" w:fill="auto"/>
            <w:vAlign w:val="center"/>
            <w:hideMark/>
          </w:tcPr>
          <w:p>
            <w:pPr>
              <w:jc w:val="right"/>
              <w:rPr>
                <w:rFonts w:ascii="Times New Roman" w:hAnsi="Times New Roman"/>
              </w:rPr>
            </w:pPr>
            <w:r>
              <w:rPr>
                <w:rFonts w:ascii="Times New Roman" w:hAnsi="Times New Roman"/>
              </w:rPr>
              <w:t>80 680,76</w:t>
            </w:r>
          </w:p>
        </w:tc>
        <w:tc>
          <w:tcPr>
            <w:tcW w:w="1275" w:type="dxa"/>
            <w:shd w:val="clear" w:color="auto" w:fill="auto"/>
            <w:noWrap/>
            <w:vAlign w:val="center"/>
            <w:hideMark/>
          </w:tcPr>
          <w:p>
            <w:pPr>
              <w:jc w:val="right"/>
              <w:rPr>
                <w:rFonts w:ascii="Times New Roman" w:hAnsi="Times New Roman"/>
              </w:rPr>
            </w:pPr>
            <w:r>
              <w:rPr>
                <w:rFonts w:ascii="Times New Roman" w:hAnsi="Times New Roman"/>
              </w:rPr>
              <w:t>82 377,65</w:t>
            </w:r>
          </w:p>
        </w:tc>
        <w:tc>
          <w:tcPr>
            <w:tcW w:w="709" w:type="dxa"/>
            <w:shd w:val="clear" w:color="auto" w:fill="auto"/>
            <w:vAlign w:val="center"/>
            <w:hideMark/>
          </w:tcPr>
          <w:p>
            <w:pPr>
              <w:jc w:val="right"/>
              <w:rPr>
                <w:color w:val="000000"/>
              </w:rPr>
            </w:pPr>
            <w:r>
              <w:rPr>
                <w:color w:val="000000"/>
              </w:rPr>
              <w:t>102,1</w:t>
            </w:r>
          </w:p>
        </w:tc>
        <w:tc>
          <w:tcPr>
            <w:tcW w:w="1198" w:type="dxa"/>
            <w:shd w:val="clear" w:color="auto" w:fill="auto"/>
            <w:noWrap/>
            <w:vAlign w:val="center"/>
            <w:hideMark/>
          </w:tcPr>
          <w:p>
            <w:pPr>
              <w:jc w:val="right"/>
              <w:rPr>
                <w:rFonts w:ascii="Times New Roman" w:hAnsi="Times New Roman"/>
              </w:rPr>
            </w:pPr>
            <w:r>
              <w:rPr>
                <w:rFonts w:ascii="Times New Roman" w:hAnsi="Times New Roman"/>
              </w:rPr>
              <w:t>65 050,24</w:t>
            </w:r>
          </w:p>
        </w:tc>
        <w:tc>
          <w:tcPr>
            <w:tcW w:w="1211" w:type="dxa"/>
            <w:shd w:val="clear" w:color="auto" w:fill="auto"/>
            <w:noWrap/>
            <w:vAlign w:val="center"/>
            <w:hideMark/>
          </w:tcPr>
          <w:p>
            <w:pPr>
              <w:jc w:val="right"/>
              <w:rPr>
                <w:rFonts w:ascii="Times New Roman" w:hAnsi="Times New Roman"/>
              </w:rPr>
            </w:pPr>
            <w:r>
              <w:rPr>
                <w:rFonts w:ascii="Times New Roman" w:hAnsi="Times New Roman"/>
              </w:rPr>
              <w:t>63 965,95</w:t>
            </w:r>
          </w:p>
        </w:tc>
      </w:tr>
      <w:tr>
        <w:trPr>
          <w:trHeight w:val="496"/>
        </w:trPr>
        <w:tc>
          <w:tcPr>
            <w:tcW w:w="2835" w:type="dxa"/>
            <w:shd w:val="clear" w:color="auto" w:fill="auto"/>
            <w:vAlign w:val="center"/>
            <w:hideMark/>
          </w:tcPr>
          <w:p>
            <w:pPr>
              <w:rPr>
                <w:rFonts w:ascii="Times New Roman" w:hAnsi="Times New Roman"/>
                <w:color w:val="000000"/>
              </w:rPr>
            </w:pPr>
            <w:r>
              <w:rPr>
                <w:rFonts w:ascii="Times New Roman" w:hAnsi="Times New Roman"/>
                <w:color w:val="000000"/>
              </w:rPr>
              <w:t>МП «Развитие информационного общества ЗАТО Северск»</w:t>
            </w:r>
            <w:r>
              <w:rPr>
                <w:rFonts w:ascii="Times New Roman" w:hAnsi="Times New Roman"/>
                <w:color w:val="000000"/>
              </w:rPr>
              <w:br/>
            </w:r>
            <w:r>
              <w:rPr>
                <w:rFonts w:ascii="Times New Roman" w:hAnsi="Times New Roman"/>
                <w:b/>
                <w:bCs/>
                <w:color w:val="000000"/>
              </w:rPr>
              <w:t>(продолжена реализация)</w:t>
            </w:r>
          </w:p>
        </w:tc>
        <w:tc>
          <w:tcPr>
            <w:tcW w:w="1276" w:type="dxa"/>
            <w:shd w:val="clear" w:color="auto" w:fill="auto"/>
            <w:noWrap/>
            <w:vAlign w:val="center"/>
            <w:hideMark/>
          </w:tcPr>
          <w:p>
            <w:pPr>
              <w:jc w:val="right"/>
              <w:rPr>
                <w:rFonts w:ascii="Times New Roman" w:hAnsi="Times New Roman"/>
              </w:rPr>
            </w:pPr>
            <w:r>
              <w:rPr>
                <w:rFonts w:ascii="Times New Roman" w:hAnsi="Times New Roman"/>
              </w:rPr>
              <w:t xml:space="preserve">4 604,58  </w:t>
            </w:r>
          </w:p>
        </w:tc>
        <w:tc>
          <w:tcPr>
            <w:tcW w:w="1276" w:type="dxa"/>
            <w:shd w:val="clear" w:color="auto" w:fill="auto"/>
            <w:noWrap/>
            <w:vAlign w:val="center"/>
            <w:hideMark/>
          </w:tcPr>
          <w:p>
            <w:pPr>
              <w:jc w:val="right"/>
              <w:rPr>
                <w:rFonts w:ascii="Times New Roman" w:hAnsi="Times New Roman"/>
              </w:rPr>
            </w:pPr>
            <w:r>
              <w:rPr>
                <w:rFonts w:ascii="Times New Roman" w:hAnsi="Times New Roman"/>
              </w:rPr>
              <w:t>5 092,50</w:t>
            </w:r>
          </w:p>
        </w:tc>
        <w:tc>
          <w:tcPr>
            <w:tcW w:w="1275" w:type="dxa"/>
            <w:shd w:val="clear" w:color="auto" w:fill="auto"/>
            <w:noWrap/>
            <w:vAlign w:val="center"/>
            <w:hideMark/>
          </w:tcPr>
          <w:p>
            <w:pPr>
              <w:jc w:val="right"/>
              <w:rPr>
                <w:rFonts w:ascii="Times New Roman" w:hAnsi="Times New Roman"/>
              </w:rPr>
            </w:pPr>
            <w:r>
              <w:rPr>
                <w:rFonts w:ascii="Times New Roman" w:hAnsi="Times New Roman"/>
              </w:rPr>
              <w:t>6 208,09</w:t>
            </w:r>
          </w:p>
        </w:tc>
        <w:tc>
          <w:tcPr>
            <w:tcW w:w="709" w:type="dxa"/>
            <w:shd w:val="clear" w:color="auto" w:fill="auto"/>
            <w:vAlign w:val="center"/>
            <w:hideMark/>
          </w:tcPr>
          <w:p>
            <w:pPr>
              <w:jc w:val="right"/>
              <w:rPr>
                <w:color w:val="000000"/>
              </w:rPr>
            </w:pPr>
            <w:r>
              <w:rPr>
                <w:color w:val="000000"/>
              </w:rPr>
              <w:t>121,9</w:t>
            </w:r>
          </w:p>
        </w:tc>
        <w:tc>
          <w:tcPr>
            <w:tcW w:w="1198" w:type="dxa"/>
            <w:shd w:val="clear" w:color="auto" w:fill="auto"/>
            <w:noWrap/>
            <w:vAlign w:val="center"/>
            <w:hideMark/>
          </w:tcPr>
          <w:p>
            <w:pPr>
              <w:jc w:val="right"/>
              <w:rPr>
                <w:rFonts w:ascii="Times New Roman" w:hAnsi="Times New Roman"/>
              </w:rPr>
            </w:pPr>
            <w:r>
              <w:rPr>
                <w:rFonts w:ascii="Times New Roman" w:hAnsi="Times New Roman"/>
              </w:rPr>
              <w:t>2 218,09</w:t>
            </w:r>
          </w:p>
        </w:tc>
        <w:tc>
          <w:tcPr>
            <w:tcW w:w="1211" w:type="dxa"/>
            <w:shd w:val="clear" w:color="auto" w:fill="auto"/>
            <w:noWrap/>
            <w:vAlign w:val="center"/>
            <w:hideMark/>
          </w:tcPr>
          <w:p>
            <w:pPr>
              <w:jc w:val="right"/>
              <w:rPr>
                <w:rFonts w:ascii="Times New Roman" w:hAnsi="Times New Roman"/>
              </w:rPr>
            </w:pPr>
            <w:r>
              <w:rPr>
                <w:rFonts w:ascii="Times New Roman" w:hAnsi="Times New Roman"/>
              </w:rPr>
              <w:t>2 218,09</w:t>
            </w:r>
          </w:p>
        </w:tc>
      </w:tr>
    </w:tbl>
    <w:p>
      <w:pPr>
        <w:ind w:firstLine="567"/>
        <w:jc w:val="center"/>
        <w:rPr>
          <w:b/>
          <w:sz w:val="24"/>
          <w:szCs w:val="24"/>
        </w:rPr>
      </w:pPr>
    </w:p>
    <w:p>
      <w:pPr>
        <w:ind w:firstLine="567"/>
        <w:jc w:val="center"/>
        <w:rPr>
          <w:rFonts w:ascii="Times New Roman" w:hAnsi="Times New Roman"/>
          <w:b/>
          <w:sz w:val="24"/>
          <w:szCs w:val="24"/>
        </w:rPr>
      </w:pPr>
      <w:r>
        <w:rPr>
          <w:b/>
          <w:sz w:val="24"/>
          <w:szCs w:val="24"/>
        </w:rPr>
        <w:t>2.7.3.1.</w:t>
      </w:r>
      <w:r>
        <w:rPr>
          <w:rFonts w:ascii="Times New Roman" w:hAnsi="Times New Roman"/>
          <w:b/>
          <w:color w:val="FF0000"/>
          <w:sz w:val="24"/>
          <w:szCs w:val="24"/>
        </w:rPr>
        <w:t> </w:t>
      </w:r>
      <w:r>
        <w:rPr>
          <w:rFonts w:ascii="Times New Roman" w:hAnsi="Times New Roman"/>
          <w:b/>
          <w:sz w:val="24"/>
          <w:szCs w:val="24"/>
        </w:rPr>
        <w:t>МП «Эффективное управление</w:t>
      </w:r>
    </w:p>
    <w:p>
      <w:pPr>
        <w:spacing w:after="120"/>
        <w:ind w:firstLine="567"/>
        <w:jc w:val="center"/>
        <w:rPr>
          <w:rFonts w:ascii="Times New Roman" w:hAnsi="Times New Roman"/>
          <w:b/>
          <w:color w:val="FF0000"/>
          <w:sz w:val="24"/>
          <w:szCs w:val="24"/>
        </w:rPr>
      </w:pPr>
      <w:r>
        <w:rPr>
          <w:rFonts w:ascii="Times New Roman" w:hAnsi="Times New Roman"/>
          <w:b/>
          <w:sz w:val="24"/>
          <w:szCs w:val="24"/>
        </w:rPr>
        <w:t>муниципальными финансами ЗАТО Северск»</w:t>
      </w:r>
    </w:p>
    <w:p>
      <w:pPr>
        <w:ind w:firstLine="709"/>
        <w:jc w:val="both"/>
        <w:rPr>
          <w:rFonts w:ascii="Times New Roman" w:hAnsi="Times New Roman"/>
          <w:sz w:val="24"/>
          <w:szCs w:val="24"/>
        </w:rPr>
      </w:pPr>
      <w:r>
        <w:rPr>
          <w:rFonts w:ascii="Times New Roman" w:hAnsi="Times New Roman"/>
          <w:sz w:val="24"/>
          <w:szCs w:val="24"/>
        </w:rPr>
        <w:t>Финансовое обеспечение по МП «Эффективное управление муниципальными финансами ЗАТО Северск» предусмотрено на 2021 год в объеме 55 152,08 тыс.руб., на 2022 год – 54 906,04 тыс.руб., на 2023 год – 53 422,49 тыс.руб.</w:t>
      </w:r>
    </w:p>
    <w:p>
      <w:pPr>
        <w:ind w:firstLine="709"/>
        <w:jc w:val="both"/>
        <w:rPr>
          <w:rFonts w:ascii="Times New Roman" w:hAnsi="Times New Roman"/>
          <w:sz w:val="24"/>
          <w:szCs w:val="24"/>
        </w:rPr>
      </w:pPr>
      <w:r>
        <w:rPr>
          <w:rFonts w:ascii="Times New Roman" w:hAnsi="Times New Roman"/>
          <w:sz w:val="24"/>
          <w:szCs w:val="24"/>
        </w:rPr>
        <w:t>Цель МП: обеспечение сбалансированности и устойчивости бюджета ЗАТО Северск, повышение качества управления муниципальными финансами.</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Финансовое управление Администрации ЗАТО Северск.</w:t>
      </w:r>
    </w:p>
    <w:p>
      <w:pPr>
        <w:spacing w:after="120"/>
        <w:ind w:firstLine="709"/>
        <w:jc w:val="both"/>
        <w:rPr>
          <w:rFonts w:ascii="Times New Roman" w:hAnsi="Times New Roman"/>
          <w:sz w:val="24"/>
          <w:szCs w:val="24"/>
        </w:rPr>
      </w:pPr>
      <w:r>
        <w:rPr>
          <w:rFonts w:ascii="Times New Roman" w:hAnsi="Times New Roman"/>
          <w:sz w:val="24"/>
          <w:szCs w:val="24"/>
        </w:rPr>
        <w:t>В 2021 году и плановом периоде 2022-2023 годов планируется достижение следующих целевых индикаторов результативности МП.</w:t>
      </w:r>
    </w:p>
    <w:p>
      <w:pPr>
        <w:ind w:firstLine="709"/>
        <w:jc w:val="both"/>
        <w:rPr>
          <w:sz w:val="24"/>
          <w:szCs w:val="24"/>
        </w:rPr>
      </w:pPr>
      <w:r>
        <w:rPr>
          <w:rFonts w:ascii="Times New Roman" w:hAnsi="Times New Roman"/>
          <w:sz w:val="24"/>
          <w:szCs w:val="24"/>
        </w:rPr>
        <w:t xml:space="preserve">Таблица 72 - Целевые индикаторы МП </w:t>
      </w:r>
      <w:r>
        <w:rPr>
          <w:sz w:val="24"/>
          <w:szCs w:val="24"/>
        </w:rPr>
        <w:t>«Эффективное управление муниципальными финансами ЗАТО Северск»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021"/>
        <w:gridCol w:w="1098"/>
        <w:gridCol w:w="1104"/>
        <w:gridCol w:w="1170"/>
      </w:tblGrid>
      <w:tr>
        <w:trPr>
          <w:trHeight w:val="1095"/>
        </w:trPr>
        <w:tc>
          <w:tcPr>
            <w:tcW w:w="5070"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Наименование целевых индикаторов результативности программы</w:t>
            </w:r>
          </w:p>
        </w:tc>
        <w:tc>
          <w:tcPr>
            <w:tcW w:w="1021" w:type="dxa"/>
            <w:tcBorders>
              <w:top w:val="single" w:sz="4" w:space="0" w:color="auto"/>
              <w:left w:val="single" w:sz="4" w:space="0" w:color="auto"/>
              <w:right w:val="single" w:sz="4" w:space="0" w:color="auto"/>
            </w:tcBorders>
            <w:shd w:val="clear" w:color="auto" w:fill="auto"/>
            <w:vAlign w:val="center"/>
          </w:tcPr>
          <w:p>
            <w:pPr>
              <w:jc w:val="center"/>
              <w:rPr>
                <w:rFonts w:ascii="Times New Roman" w:hAnsi="Times New Roman"/>
                <w:sz w:val="22"/>
                <w:szCs w:val="22"/>
              </w:rPr>
            </w:pPr>
            <w:r>
              <w:rPr>
                <w:rFonts w:ascii="Times New Roman" w:hAnsi="Times New Roman"/>
                <w:sz w:val="22"/>
                <w:szCs w:val="22"/>
              </w:rPr>
              <w:t>Оценка</w:t>
            </w:r>
          </w:p>
          <w:p>
            <w:pPr>
              <w:jc w:val="center"/>
              <w:rPr>
                <w:rFonts w:ascii="Times New Roman" w:hAnsi="Times New Roman"/>
                <w:sz w:val="22"/>
                <w:szCs w:val="22"/>
              </w:rPr>
            </w:pPr>
            <w:r>
              <w:rPr>
                <w:rFonts w:ascii="Times New Roman" w:hAnsi="Times New Roman"/>
                <w:sz w:val="22"/>
                <w:szCs w:val="22"/>
              </w:rPr>
              <w:t>2020 года</w:t>
            </w:r>
          </w:p>
        </w:tc>
        <w:tc>
          <w:tcPr>
            <w:tcW w:w="1098"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 2021 года</w:t>
            </w:r>
          </w:p>
        </w:tc>
        <w:tc>
          <w:tcPr>
            <w:tcW w:w="1104"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w:t>
            </w:r>
          </w:p>
        </w:tc>
        <w:tc>
          <w:tcPr>
            <w:tcW w:w="1170" w:type="dxa"/>
            <w:tcBorders>
              <w:top w:val="single" w:sz="4" w:space="0" w:color="auto"/>
              <w:left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w:t>
            </w:r>
          </w:p>
        </w:tc>
      </w:tr>
      <w:tr>
        <w:tc>
          <w:tcPr>
            <w:tcW w:w="5070" w:type="dxa"/>
            <w:tcBorders>
              <w:top w:val="single" w:sz="4" w:space="0" w:color="auto"/>
              <w:left w:val="single" w:sz="4" w:space="0" w:color="auto"/>
              <w:bottom w:val="single" w:sz="4" w:space="0" w:color="auto"/>
              <w:right w:val="single" w:sz="4" w:space="0" w:color="auto"/>
            </w:tcBorders>
            <w:shd w:val="clear" w:color="auto" w:fill="auto"/>
            <w:hideMark/>
          </w:tcPr>
          <w:p>
            <w:pPr>
              <w:jc w:val="both"/>
              <w:rPr>
                <w:rFonts w:ascii="Times New Roman" w:hAnsi="Times New Roman"/>
                <w:sz w:val="22"/>
                <w:szCs w:val="22"/>
              </w:rPr>
            </w:pPr>
            <w:r>
              <w:rPr>
                <w:rFonts w:ascii="Times New Roman" w:hAnsi="Times New Roman"/>
                <w:sz w:val="22"/>
                <w:szCs w:val="22"/>
              </w:rPr>
              <w:t>Доля расходов бюджета, сформированных в рамках муниципальных программ,</w:t>
            </w:r>
            <w:r>
              <w:rPr>
                <w:rFonts w:ascii="Times New Roman" w:hAnsi="Times New Roman"/>
                <w:sz w:val="22"/>
                <w:szCs w:val="22"/>
              </w:rPr>
              <w:br/>
              <w:t>не менее, %</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p>
          <w:p>
            <w:pPr>
              <w:jc w:val="center"/>
              <w:rPr>
                <w:rFonts w:ascii="Times New Roman" w:hAnsi="Times New Roman"/>
                <w:sz w:val="22"/>
                <w:szCs w:val="22"/>
              </w:rPr>
            </w:pPr>
            <w:r>
              <w:rPr>
                <w:rFonts w:ascii="Times New Roman" w:hAnsi="Times New Roman"/>
                <w:sz w:val="22"/>
                <w:szCs w:val="22"/>
              </w:rPr>
              <w:t>93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p>
          <w:p>
            <w:pPr>
              <w:jc w:val="center"/>
              <w:rPr>
                <w:rFonts w:ascii="Times New Roman" w:hAnsi="Times New Roman"/>
                <w:sz w:val="22"/>
                <w:szCs w:val="22"/>
              </w:rPr>
            </w:pPr>
            <w:r>
              <w:rPr>
                <w:rFonts w:ascii="Times New Roman" w:hAnsi="Times New Roman"/>
                <w:sz w:val="22"/>
                <w:szCs w:val="22"/>
              </w:rPr>
              <w:t>93</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p>
          <w:p>
            <w:pPr>
              <w:jc w:val="center"/>
              <w:rPr>
                <w:rFonts w:ascii="Times New Roman" w:hAnsi="Times New Roman"/>
                <w:sz w:val="22"/>
                <w:szCs w:val="22"/>
              </w:rPr>
            </w:pPr>
            <w:r>
              <w:rPr>
                <w:rFonts w:ascii="Times New Roman" w:hAnsi="Times New Roman"/>
                <w:sz w:val="22"/>
                <w:szCs w:val="22"/>
              </w:rPr>
              <w:t>93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p>
          <w:p>
            <w:pPr>
              <w:jc w:val="center"/>
              <w:rPr>
                <w:rFonts w:ascii="Times New Roman" w:hAnsi="Times New Roman"/>
                <w:sz w:val="22"/>
                <w:szCs w:val="22"/>
              </w:rPr>
            </w:pPr>
            <w:r>
              <w:rPr>
                <w:rFonts w:ascii="Times New Roman" w:hAnsi="Times New Roman"/>
                <w:sz w:val="22"/>
                <w:szCs w:val="22"/>
              </w:rPr>
              <w:t>94</w:t>
            </w:r>
          </w:p>
        </w:tc>
      </w:tr>
      <w:tr>
        <w:tc>
          <w:tcPr>
            <w:tcW w:w="5070" w:type="dxa"/>
            <w:tcBorders>
              <w:top w:val="single" w:sz="4" w:space="0" w:color="auto"/>
              <w:left w:val="single" w:sz="4" w:space="0" w:color="auto"/>
              <w:bottom w:val="single" w:sz="4" w:space="0" w:color="auto"/>
              <w:right w:val="single" w:sz="4" w:space="0" w:color="auto"/>
            </w:tcBorders>
            <w:shd w:val="clear" w:color="auto" w:fill="auto"/>
            <w:hideMark/>
          </w:tcPr>
          <w:p>
            <w:pPr>
              <w:jc w:val="both"/>
              <w:rPr>
                <w:rFonts w:ascii="Times New Roman" w:hAnsi="Times New Roman"/>
                <w:sz w:val="22"/>
                <w:szCs w:val="22"/>
              </w:rPr>
            </w:pPr>
            <w:r>
              <w:rPr>
                <w:rFonts w:ascii="Times New Roman" w:hAnsi="Times New Roman"/>
                <w:sz w:val="22"/>
                <w:szCs w:val="22"/>
              </w:rPr>
              <w:t>Доля налоговых и неналоговых доходов консолидированного бюджета ЗАТО Северск (за исключением поступления налоговых доходов по дополнительным нормативам отчислений) в общем объеме собственных доходов (без учета субвенций), %</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27,5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28</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28,5</w:t>
            </w:r>
          </w:p>
        </w:tc>
      </w:tr>
      <w:tr>
        <w:trPr>
          <w:trHeight w:val="587"/>
        </w:trPr>
        <w:tc>
          <w:tcPr>
            <w:tcW w:w="5070" w:type="dxa"/>
            <w:tcBorders>
              <w:top w:val="single" w:sz="4" w:space="0" w:color="auto"/>
              <w:left w:val="single" w:sz="4" w:space="0" w:color="auto"/>
              <w:bottom w:val="single" w:sz="4" w:space="0" w:color="auto"/>
              <w:right w:val="single" w:sz="4" w:space="0" w:color="auto"/>
            </w:tcBorders>
            <w:shd w:val="clear" w:color="auto" w:fill="auto"/>
            <w:hideMark/>
          </w:tcPr>
          <w:p>
            <w:pPr>
              <w:jc w:val="both"/>
              <w:rPr>
                <w:rFonts w:ascii="Times New Roman" w:hAnsi="Times New Roman"/>
                <w:sz w:val="22"/>
                <w:szCs w:val="22"/>
              </w:rPr>
            </w:pPr>
            <w:r>
              <w:rPr>
                <w:rFonts w:ascii="Times New Roman" w:hAnsi="Times New Roman"/>
                <w:sz w:val="22"/>
                <w:szCs w:val="22"/>
              </w:rPr>
              <w:t>Средняя балльная оценка финансового менеджмента ГРБС, балл</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71,5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72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73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74</w:t>
            </w:r>
          </w:p>
        </w:tc>
      </w:tr>
      <w:tr>
        <w:tc>
          <w:tcPr>
            <w:tcW w:w="5070" w:type="dxa"/>
            <w:tcBorders>
              <w:top w:val="single" w:sz="4" w:space="0" w:color="auto"/>
              <w:left w:val="single" w:sz="4" w:space="0" w:color="auto"/>
              <w:bottom w:val="single" w:sz="4" w:space="0" w:color="auto"/>
              <w:right w:val="single" w:sz="4" w:space="0" w:color="auto"/>
            </w:tcBorders>
            <w:shd w:val="clear" w:color="auto" w:fill="auto"/>
            <w:hideMark/>
          </w:tcPr>
          <w:p>
            <w:pPr>
              <w:jc w:val="both"/>
              <w:rPr>
                <w:rFonts w:ascii="Times New Roman" w:hAnsi="Times New Roman"/>
                <w:sz w:val="22"/>
                <w:szCs w:val="22"/>
              </w:rPr>
            </w:pPr>
            <w:r>
              <w:rPr>
                <w:rFonts w:ascii="Times New Roman" w:hAnsi="Times New Roman"/>
                <w:sz w:val="22"/>
                <w:szCs w:val="22"/>
              </w:rPr>
              <w:t>Расходы бюджета на содержание работников местного самоуправления из расчета на одного жителя муниципального образования, руб.</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2090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2170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2250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2330</w:t>
            </w:r>
          </w:p>
        </w:tc>
      </w:tr>
    </w:tbl>
    <w:p>
      <w:pPr>
        <w:pStyle w:val="aff3"/>
        <w:spacing w:before="0" w:beforeAutospacing="0" w:after="0" w:afterAutospacing="0"/>
        <w:ind w:firstLine="709"/>
        <w:jc w:val="both"/>
        <w:rPr>
          <w:sz w:val="16"/>
          <w:szCs w:val="16"/>
        </w:rPr>
      </w:pPr>
    </w:p>
    <w:p>
      <w:pPr>
        <w:pStyle w:val="aff3"/>
        <w:spacing w:before="0" w:beforeAutospacing="0" w:after="0" w:afterAutospacing="0"/>
        <w:ind w:firstLine="709"/>
        <w:jc w:val="both"/>
      </w:pPr>
      <w:r>
        <w:t>В рамках МП «Эффективное управление муниципальными финансами ЗАТО Северск» реализуются 3 подпрограммы.</w:t>
      </w:r>
    </w:p>
    <w:p>
      <w:pPr>
        <w:spacing w:before="120" w:after="60"/>
        <w:ind w:firstLine="709"/>
        <w:jc w:val="both"/>
        <w:rPr>
          <w:sz w:val="24"/>
          <w:szCs w:val="24"/>
        </w:rPr>
      </w:pPr>
      <w:r>
        <w:rPr>
          <w:rFonts w:ascii="Times New Roman" w:hAnsi="Times New Roman"/>
          <w:sz w:val="24"/>
          <w:szCs w:val="24"/>
        </w:rPr>
        <w:t xml:space="preserve">Таблица 73 - Объем финансового обеспечения МП </w:t>
      </w:r>
      <w:r>
        <w:t>«</w:t>
      </w:r>
      <w:r>
        <w:rPr>
          <w:sz w:val="24"/>
          <w:szCs w:val="24"/>
        </w:rPr>
        <w:t>Эффективное управление муниципальными финансами ЗАТО Северск»</w:t>
      </w:r>
    </w:p>
    <w:tbl>
      <w:tblPr>
        <w:tblW w:w="94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1701"/>
        <w:gridCol w:w="1560"/>
        <w:gridCol w:w="1276"/>
      </w:tblGrid>
      <w:tr>
        <w:trPr>
          <w:trHeight w:val="347"/>
        </w:trPr>
        <w:tc>
          <w:tcPr>
            <w:tcW w:w="496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 xml:space="preserve">Прогноз </w:t>
            </w:r>
          </w:p>
          <w:p>
            <w:pPr>
              <w:ind w:left="176" w:hanging="176"/>
              <w:jc w:val="center"/>
              <w:rPr>
                <w:rFonts w:ascii="Times New Roman" w:hAnsi="Times New Roman"/>
                <w:sz w:val="22"/>
                <w:szCs w:val="22"/>
              </w:rPr>
            </w:pPr>
            <w:r>
              <w:rPr>
                <w:rFonts w:ascii="Times New Roman" w:hAnsi="Times New Roman"/>
                <w:sz w:val="22"/>
                <w:szCs w:val="22"/>
              </w:rPr>
              <w:t>2021 года,</w:t>
            </w:r>
          </w:p>
          <w:p>
            <w:pPr>
              <w:jc w:val="center"/>
              <w:rPr>
                <w:rFonts w:ascii="Times New Roman" w:hAnsi="Times New Roman"/>
                <w:sz w:val="22"/>
                <w:szCs w:val="22"/>
              </w:rPr>
            </w:pPr>
            <w:r>
              <w:rPr>
                <w:rFonts w:ascii="Times New Roman" w:hAnsi="Times New Roman"/>
                <w:sz w:val="22"/>
                <w:szCs w:val="22"/>
              </w:rPr>
              <w:t>тыс.руб.</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 тыс.руб.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 тыс.руб.</w:t>
            </w:r>
          </w:p>
        </w:tc>
      </w:tr>
      <w:tr>
        <w:trPr>
          <w:trHeight w:val="459"/>
        </w:trPr>
        <w:tc>
          <w:tcPr>
            <w:tcW w:w="4962"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both"/>
              <w:rPr>
                <w:rFonts w:ascii="Times New Roman" w:hAnsi="Times New Roman"/>
                <w:sz w:val="22"/>
                <w:szCs w:val="22"/>
              </w:rPr>
            </w:pPr>
            <w:r>
              <w:rPr>
                <w:rFonts w:ascii="Times New Roman" w:hAnsi="Times New Roman"/>
                <w:sz w:val="22"/>
                <w:szCs w:val="22"/>
              </w:rPr>
              <w:t>ВСЕГО по МП</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55 152,08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54 906,04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53 422,49</w:t>
            </w:r>
          </w:p>
        </w:tc>
      </w:tr>
      <w:tr>
        <w:trPr>
          <w:trHeight w:val="724"/>
        </w:trPr>
        <w:tc>
          <w:tcPr>
            <w:tcW w:w="4962"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2"/>
                <w:szCs w:val="22"/>
              </w:rPr>
            </w:pPr>
            <w:r>
              <w:rPr>
                <w:rFonts w:ascii="Times New Roman" w:hAnsi="Times New Roman"/>
                <w:sz w:val="22"/>
                <w:szCs w:val="22"/>
              </w:rPr>
              <w:t xml:space="preserve">Подпрограмма 1 </w:t>
            </w:r>
          </w:p>
          <w:p>
            <w:pPr>
              <w:rPr>
                <w:rFonts w:ascii="Times New Roman" w:hAnsi="Times New Roman"/>
                <w:sz w:val="22"/>
                <w:szCs w:val="22"/>
              </w:rPr>
            </w:pPr>
            <w:r>
              <w:rPr>
                <w:rFonts w:ascii="Times New Roman" w:hAnsi="Times New Roman"/>
                <w:sz w:val="22"/>
                <w:szCs w:val="22"/>
              </w:rPr>
              <w:t>«Повышение эффективности управления муниципальными финансами»</w:t>
            </w:r>
          </w:p>
        </w:tc>
        <w:tc>
          <w:tcPr>
            <w:tcW w:w="1701"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1 154,90</w:t>
            </w:r>
          </w:p>
        </w:tc>
        <w:tc>
          <w:tcPr>
            <w:tcW w:w="1560"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1 154,9</w:t>
            </w:r>
          </w:p>
        </w:tc>
        <w:tc>
          <w:tcPr>
            <w:tcW w:w="1276"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1 154,9</w:t>
            </w:r>
          </w:p>
        </w:tc>
      </w:tr>
      <w:tr>
        <w:trPr>
          <w:trHeight w:val="807"/>
        </w:trPr>
        <w:tc>
          <w:tcPr>
            <w:tcW w:w="4962" w:type="dxa"/>
            <w:tcBorders>
              <w:top w:val="single" w:sz="4" w:space="0" w:color="auto"/>
              <w:left w:val="single" w:sz="4" w:space="0" w:color="auto"/>
              <w:bottom w:val="single" w:sz="4" w:space="0" w:color="auto"/>
              <w:right w:val="single" w:sz="4" w:space="0" w:color="auto"/>
            </w:tcBorders>
            <w:shd w:val="clear" w:color="auto" w:fill="auto"/>
            <w:vAlign w:val="center"/>
            <w:hideMark/>
          </w:tcPr>
          <w:p>
            <w:pPr>
              <w:rPr>
                <w:rFonts w:ascii="Times New Roman" w:hAnsi="Times New Roman"/>
                <w:sz w:val="22"/>
                <w:szCs w:val="22"/>
              </w:rPr>
            </w:pPr>
            <w:r>
              <w:rPr>
                <w:rFonts w:ascii="Times New Roman" w:hAnsi="Times New Roman"/>
                <w:sz w:val="22"/>
                <w:szCs w:val="22"/>
              </w:rPr>
              <w:t xml:space="preserve">Подпрограмма 2 </w:t>
            </w:r>
          </w:p>
          <w:p>
            <w:pPr>
              <w:rPr>
                <w:rFonts w:ascii="Times New Roman" w:hAnsi="Times New Roman"/>
                <w:sz w:val="22"/>
                <w:szCs w:val="22"/>
              </w:rPr>
            </w:pPr>
            <w:r>
              <w:rPr>
                <w:rFonts w:ascii="Times New Roman" w:hAnsi="Times New Roman"/>
                <w:sz w:val="22"/>
                <w:szCs w:val="22"/>
              </w:rPr>
              <w:t>«Обеспечение долговой устойчивости бюджета ЗАТО Северск»</w:t>
            </w:r>
          </w:p>
        </w:tc>
        <w:tc>
          <w:tcPr>
            <w:tcW w:w="1701"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27 881,74</w:t>
            </w:r>
          </w:p>
        </w:tc>
        <w:tc>
          <w:tcPr>
            <w:tcW w:w="1560"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27 636,63</w:t>
            </w:r>
          </w:p>
        </w:tc>
        <w:tc>
          <w:tcPr>
            <w:tcW w:w="1276" w:type="dxa"/>
            <w:tcBorders>
              <w:top w:val="single" w:sz="4" w:space="0" w:color="auto"/>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26 153,08</w:t>
            </w:r>
          </w:p>
        </w:tc>
      </w:tr>
      <w:tr>
        <w:trPr>
          <w:trHeight w:val="265"/>
        </w:trPr>
        <w:tc>
          <w:tcPr>
            <w:tcW w:w="4962" w:type="dxa"/>
            <w:tcBorders>
              <w:top w:val="single" w:sz="4" w:space="0" w:color="auto"/>
              <w:left w:val="single" w:sz="4" w:space="0" w:color="auto"/>
              <w:bottom w:val="single" w:sz="4" w:space="0" w:color="auto"/>
              <w:right w:val="single" w:sz="4" w:space="0" w:color="auto"/>
            </w:tcBorders>
            <w:shd w:val="clear" w:color="auto" w:fill="auto"/>
            <w:vAlign w:val="center"/>
            <w:hideMark/>
          </w:tcPr>
          <w:p>
            <w:pPr>
              <w:ind w:right="-108"/>
              <w:rPr>
                <w:rFonts w:ascii="Times New Roman" w:hAnsi="Times New Roman"/>
                <w:sz w:val="22"/>
                <w:szCs w:val="22"/>
              </w:rPr>
            </w:pPr>
            <w:r>
              <w:rPr>
                <w:rFonts w:ascii="Times New Roman" w:hAnsi="Times New Roman"/>
                <w:sz w:val="22"/>
                <w:szCs w:val="22"/>
              </w:rPr>
              <w:t xml:space="preserve">Подпрограмма 3 </w:t>
            </w:r>
          </w:p>
          <w:p>
            <w:pPr>
              <w:ind w:right="-108"/>
              <w:rPr>
                <w:rFonts w:ascii="Times New Roman" w:hAnsi="Times New Roman"/>
                <w:sz w:val="22"/>
                <w:szCs w:val="22"/>
              </w:rPr>
            </w:pPr>
            <w:r>
              <w:rPr>
                <w:rFonts w:ascii="Times New Roman" w:hAnsi="Times New Roman"/>
                <w:sz w:val="22"/>
                <w:szCs w:val="22"/>
              </w:rPr>
              <w:t>Обеспечивающая подпрограмма</w:t>
            </w:r>
          </w:p>
        </w:tc>
        <w:tc>
          <w:tcPr>
            <w:tcW w:w="1701" w:type="dxa"/>
            <w:tcBorders>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26 115,44</w:t>
            </w:r>
          </w:p>
        </w:tc>
        <w:tc>
          <w:tcPr>
            <w:tcW w:w="1560" w:type="dxa"/>
            <w:tcBorders>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26 114,51</w:t>
            </w:r>
          </w:p>
        </w:tc>
        <w:tc>
          <w:tcPr>
            <w:tcW w:w="1276" w:type="dxa"/>
            <w:tcBorders>
              <w:left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26 114,51</w:t>
            </w:r>
          </w:p>
        </w:tc>
      </w:tr>
    </w:tbl>
    <w:p>
      <w:pPr>
        <w:spacing w:before="120" w:after="60"/>
        <w:ind w:firstLine="709"/>
        <w:jc w:val="both"/>
        <w:rPr>
          <w:rFonts w:ascii="Times New Roman" w:hAnsi="Times New Roman"/>
          <w:sz w:val="24"/>
          <w:szCs w:val="24"/>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w:t>
      </w:r>
      <w:r>
        <w:rPr>
          <w:rFonts w:ascii="Times New Roman" w:hAnsi="Times New Roman"/>
          <w:sz w:val="24"/>
          <w:szCs w:val="24"/>
        </w:rPr>
        <w:t xml:space="preserve">МП  </w:t>
      </w:r>
      <w:r>
        <w:t>«</w:t>
      </w:r>
      <w:r>
        <w:rPr>
          <w:sz w:val="24"/>
          <w:szCs w:val="24"/>
        </w:rPr>
        <w:t>Эффективное управление муниципальными финансами ЗАТО Северск»</w:t>
      </w:r>
      <w:r>
        <w:rPr>
          <w:rFonts w:ascii="Times New Roman" w:hAnsi="Times New Roman"/>
          <w:sz w:val="24"/>
          <w:szCs w:val="24"/>
        </w:rPr>
        <w:t xml:space="preserve"> составит </w:t>
      </w:r>
      <w:r>
        <w:rPr>
          <w:rFonts w:ascii="Times New Roman" w:hAnsi="Times New Roman"/>
          <w:sz w:val="22"/>
          <w:szCs w:val="22"/>
        </w:rPr>
        <w:t xml:space="preserve">55 152,08 </w:t>
      </w:r>
      <w:r>
        <w:rPr>
          <w:rFonts w:ascii="Times New Roman" w:hAnsi="Times New Roman"/>
          <w:sz w:val="24"/>
          <w:szCs w:val="24"/>
        </w:rPr>
        <w:t>тыс.руб., в том числе по подпрограммам:</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xml:space="preserve">По подпрограмме 1 «Повышение эффективности управления муниципальными финансами» предусмотрены расходы на оплату услуг по сопровождению программных продуктов, связанных с планированием и исполнением бюджета ЗАТО Северск, ведением бухгалтерского учета, формированием бухгалтерской и бюджетной отчетности. </w:t>
      </w:r>
    </w:p>
    <w:p>
      <w:pPr>
        <w:widowControl w:val="0"/>
        <w:autoSpaceDE w:val="0"/>
        <w:autoSpaceDN w:val="0"/>
        <w:adjustRightInd w:val="0"/>
        <w:ind w:firstLine="708"/>
        <w:jc w:val="both"/>
        <w:rPr>
          <w:rFonts w:ascii="Times New Roman" w:hAnsi="Times New Roman"/>
          <w:sz w:val="10"/>
          <w:szCs w:val="10"/>
        </w:rPr>
      </w:pP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По подпрограмме 2 «Обеспечение устойчивости бюджета ЗАТО Северск» предусмотрены средства на обслуживание муниципального долга ЗАТО Северск. </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На 01.01.2021 с учетом выпадающих доходов в условиях пандемии  объем муниципального долга составит 278 220,28 тыс.руб., что на 47,6 % или на 89 778,35 тыс.руб. больше по сравнению с 01.01.2020.</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 С учетом принятия бюджета ЗАТО Северск на 2021 год с дефицитом в сумме 87 488,68 тыс.руб. прогнозный объем муниципального долга на 01.01.2022 составит 365 708,96 тыс.руб.</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При прогнозировании  бюджета ЗАТО Северск на 2022 и 2023 годы бездефицитным объем муниципального долга на 01.01.2023 и на 01.01.2024 сохранится неизменным в сумме 365 708,96 тыс.руб.</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Расходы на обслуживание муниципального долга возрастут. С учетом прогнозируемых ставок по коммерческим кредитам расходы на обслуживание муниципального долга в 2021 году составят 27 881,74 тыс.руб.; в условиях бездефицитного бюджета в плановом периоде расходы составят: в 2022 году – 27 636,63 тыс.руб.; в 2023 году -  26 153,08 тыс.руб.</w:t>
      </w:r>
    </w:p>
    <w:p>
      <w:pPr>
        <w:widowControl w:val="0"/>
        <w:autoSpaceDE w:val="0"/>
        <w:autoSpaceDN w:val="0"/>
        <w:adjustRightInd w:val="0"/>
        <w:ind w:firstLine="709"/>
        <w:jc w:val="both"/>
        <w:rPr>
          <w:rFonts w:ascii="Times New Roman" w:eastAsia="Calibri" w:hAnsi="Times New Roman"/>
          <w:sz w:val="10"/>
          <w:szCs w:val="10"/>
        </w:rPr>
      </w:pPr>
    </w:p>
    <w:p>
      <w:pPr>
        <w:ind w:firstLine="709"/>
        <w:jc w:val="both"/>
        <w:rPr>
          <w:rFonts w:ascii="Times New Roman" w:hAnsi="Times New Roman"/>
          <w:sz w:val="24"/>
          <w:szCs w:val="24"/>
        </w:rPr>
      </w:pPr>
      <w:r>
        <w:rPr>
          <w:rFonts w:ascii="Times New Roman" w:hAnsi="Times New Roman"/>
          <w:sz w:val="24"/>
          <w:szCs w:val="24"/>
        </w:rPr>
        <w:t xml:space="preserve">В обеспечивающую (подпрограмму 3)  включены расходы на содержание Финансового управления Администрации ЗАТО Северск. </w:t>
      </w:r>
    </w:p>
    <w:p>
      <w:pPr>
        <w:ind w:firstLine="567"/>
        <w:jc w:val="center"/>
        <w:rPr>
          <w:rFonts w:ascii="Times New Roman" w:hAnsi="Times New Roman"/>
          <w:b/>
          <w:color w:val="000000"/>
          <w:sz w:val="16"/>
          <w:szCs w:val="16"/>
        </w:rPr>
      </w:pPr>
    </w:p>
    <w:p>
      <w:pPr>
        <w:ind w:firstLine="567"/>
        <w:jc w:val="center"/>
        <w:rPr>
          <w:rFonts w:ascii="Times New Roman" w:hAnsi="Times New Roman"/>
          <w:b/>
          <w:color w:val="000000"/>
          <w:sz w:val="24"/>
          <w:szCs w:val="24"/>
        </w:rPr>
      </w:pPr>
      <w:r>
        <w:rPr>
          <w:rFonts w:ascii="Times New Roman" w:hAnsi="Times New Roman"/>
          <w:b/>
          <w:color w:val="000000"/>
          <w:sz w:val="24"/>
          <w:szCs w:val="24"/>
        </w:rPr>
        <w:t>2.7.3.2. МП «Эффективное управление</w:t>
      </w:r>
    </w:p>
    <w:p>
      <w:pPr>
        <w:spacing w:after="120"/>
        <w:ind w:firstLine="567"/>
        <w:jc w:val="center"/>
        <w:rPr>
          <w:rFonts w:ascii="Times New Roman" w:hAnsi="Times New Roman"/>
          <w:b/>
          <w:color w:val="000000"/>
          <w:sz w:val="24"/>
          <w:szCs w:val="24"/>
        </w:rPr>
      </w:pPr>
      <w:r>
        <w:rPr>
          <w:rFonts w:ascii="Times New Roman" w:hAnsi="Times New Roman"/>
          <w:b/>
          <w:color w:val="000000"/>
          <w:sz w:val="24"/>
          <w:szCs w:val="24"/>
        </w:rPr>
        <w:t>муниципальным имуществом ЗАТО Северск»</w:t>
      </w:r>
    </w:p>
    <w:p>
      <w:pPr>
        <w:tabs>
          <w:tab w:val="left" w:pos="709"/>
        </w:tabs>
        <w:ind w:firstLine="709"/>
        <w:jc w:val="both"/>
        <w:rPr>
          <w:rFonts w:ascii="Times New Roman" w:hAnsi="Times New Roman"/>
          <w:sz w:val="24"/>
          <w:szCs w:val="24"/>
        </w:rPr>
      </w:pPr>
      <w:r>
        <w:rPr>
          <w:rFonts w:ascii="Times New Roman" w:hAnsi="Times New Roman"/>
          <w:sz w:val="24"/>
          <w:szCs w:val="24"/>
        </w:rPr>
        <w:t xml:space="preserve">Финансовое обеспечение по </w:t>
      </w:r>
      <w:r>
        <w:rPr>
          <w:rFonts w:ascii="Times New Roman" w:hAnsi="Times New Roman"/>
          <w:color w:val="000000"/>
          <w:sz w:val="24"/>
          <w:szCs w:val="24"/>
        </w:rPr>
        <w:t>МП «Эффективное управление муниципальным имуществом ЗАТО Северск»  п</w:t>
      </w:r>
      <w:r>
        <w:rPr>
          <w:rFonts w:ascii="Times New Roman" w:hAnsi="Times New Roman"/>
          <w:sz w:val="24"/>
          <w:szCs w:val="24"/>
        </w:rPr>
        <w:t>редусмотрено на 2021 год в объеме 82 377,65 тыс.руб., на 2022 год – 65 050,24</w:t>
      </w:r>
      <w:r>
        <w:rPr>
          <w:rFonts w:ascii="Times New Roman" w:hAnsi="Times New Roman"/>
          <w:b/>
          <w:sz w:val="24"/>
          <w:szCs w:val="24"/>
        </w:rPr>
        <w:t xml:space="preserve"> </w:t>
      </w:r>
      <w:r>
        <w:rPr>
          <w:rFonts w:ascii="Times New Roman" w:hAnsi="Times New Roman"/>
          <w:sz w:val="24"/>
          <w:szCs w:val="24"/>
        </w:rPr>
        <w:t>тыс.руб., на 2023 год – 63 965,95 тыс.руб.</w:t>
      </w:r>
    </w:p>
    <w:p>
      <w:pPr>
        <w:ind w:firstLine="709"/>
        <w:jc w:val="both"/>
        <w:rPr>
          <w:rFonts w:ascii="Times New Roman" w:hAnsi="Times New Roman"/>
          <w:sz w:val="24"/>
          <w:szCs w:val="24"/>
        </w:rPr>
      </w:pPr>
      <w:r>
        <w:rPr>
          <w:rFonts w:ascii="Times New Roman" w:hAnsi="Times New Roman"/>
          <w:sz w:val="24"/>
          <w:szCs w:val="24"/>
        </w:rPr>
        <w:t>Цель МП: повышение эффективности управления муниципальной собственностью ЗАТО Северск</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Управление имущественных отношений Администрации ЗАТО Северск.</w:t>
      </w:r>
    </w:p>
    <w:p>
      <w:pPr>
        <w:pStyle w:val="aff1"/>
        <w:ind w:left="0" w:firstLine="709"/>
        <w:jc w:val="both"/>
        <w:rPr>
          <w:rFonts w:ascii="Times New Roman" w:hAnsi="Times New Roman"/>
          <w:sz w:val="24"/>
          <w:szCs w:val="24"/>
        </w:rPr>
      </w:pPr>
      <w:r>
        <w:rPr>
          <w:rFonts w:ascii="Times New Roman" w:hAnsi="Times New Roman"/>
          <w:sz w:val="24"/>
          <w:szCs w:val="24"/>
        </w:rPr>
        <w:t>Соисполнители и (или) участники: Управление капитального строительства Администрации ЗАТО Северск.</w:t>
      </w:r>
    </w:p>
    <w:p>
      <w:pPr>
        <w:ind w:firstLine="709"/>
        <w:jc w:val="both"/>
        <w:rPr>
          <w:rFonts w:ascii="Times New Roman" w:hAnsi="Times New Roman"/>
          <w:sz w:val="10"/>
          <w:szCs w:val="10"/>
        </w:rPr>
      </w:pPr>
    </w:p>
    <w:p>
      <w:pPr>
        <w:ind w:firstLine="709"/>
        <w:jc w:val="both"/>
        <w:rPr>
          <w:rFonts w:ascii="Times New Roman" w:hAnsi="Times New Roman"/>
          <w:sz w:val="24"/>
          <w:szCs w:val="24"/>
        </w:rPr>
      </w:pPr>
      <w:r>
        <w:rPr>
          <w:rFonts w:ascii="Times New Roman" w:hAnsi="Times New Roman"/>
          <w:sz w:val="24"/>
          <w:szCs w:val="24"/>
        </w:rPr>
        <w:t>В 2021 году и плановом периоде 2022-2023 годов планируется достижение следующих целевых индикаторов результативности МП.</w:t>
      </w:r>
    </w:p>
    <w:p>
      <w:pPr>
        <w:ind w:firstLine="709"/>
        <w:jc w:val="both"/>
        <w:rPr>
          <w:rFonts w:ascii="Times New Roman" w:hAnsi="Times New Roman"/>
          <w:sz w:val="24"/>
          <w:szCs w:val="24"/>
        </w:rPr>
      </w:pPr>
    </w:p>
    <w:p>
      <w:pPr>
        <w:ind w:firstLine="709"/>
        <w:jc w:val="both"/>
        <w:rPr>
          <w:rFonts w:ascii="Times New Roman" w:hAnsi="Times New Roman"/>
          <w:color w:val="000000"/>
          <w:sz w:val="24"/>
          <w:szCs w:val="24"/>
        </w:rPr>
      </w:pPr>
      <w:r>
        <w:rPr>
          <w:rFonts w:ascii="Times New Roman" w:hAnsi="Times New Roman"/>
          <w:sz w:val="24"/>
          <w:szCs w:val="24"/>
        </w:rPr>
        <w:t xml:space="preserve">Таблица 74 - Целевые индикаторы МП </w:t>
      </w:r>
      <w:r>
        <w:rPr>
          <w:rFonts w:ascii="Times New Roman" w:hAnsi="Times New Roman"/>
          <w:color w:val="000000"/>
          <w:sz w:val="24"/>
          <w:szCs w:val="24"/>
        </w:rPr>
        <w:t>«Эффективное управление муниципальным имуществом ЗАТО Северск»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1134"/>
        <w:gridCol w:w="1134"/>
        <w:gridCol w:w="1134"/>
        <w:gridCol w:w="1134"/>
      </w:tblGrid>
      <w:tr>
        <w:trPr>
          <w:trHeight w:val="759"/>
        </w:trPr>
        <w:tc>
          <w:tcPr>
            <w:tcW w:w="4820" w:type="dxa"/>
            <w:shd w:val="clear" w:color="auto" w:fill="auto"/>
            <w:vAlign w:val="center"/>
          </w:tcPr>
          <w:p>
            <w:pPr>
              <w:jc w:val="center"/>
              <w:rPr>
                <w:rFonts w:ascii="Times New Roman" w:hAnsi="Times New Roman"/>
              </w:rPr>
            </w:pPr>
            <w:r>
              <w:rPr>
                <w:rFonts w:ascii="Times New Roman" w:hAnsi="Times New Roman"/>
              </w:rPr>
              <w:t>Наименование целевых индикаторов результативности программы</w:t>
            </w:r>
          </w:p>
        </w:tc>
        <w:tc>
          <w:tcPr>
            <w:tcW w:w="1134" w:type="dxa"/>
            <w:shd w:val="clear" w:color="auto" w:fill="auto"/>
            <w:vAlign w:val="center"/>
          </w:tcPr>
          <w:p>
            <w:pPr>
              <w:jc w:val="center"/>
              <w:rPr>
                <w:rFonts w:ascii="Times New Roman" w:hAnsi="Times New Roman"/>
              </w:rPr>
            </w:pPr>
            <w:r>
              <w:rPr>
                <w:rFonts w:ascii="Times New Roman" w:hAnsi="Times New Roman"/>
              </w:rPr>
              <w:t>Оценка 2020 года</w:t>
            </w:r>
          </w:p>
        </w:tc>
        <w:tc>
          <w:tcPr>
            <w:tcW w:w="1134" w:type="dxa"/>
            <w:shd w:val="clear" w:color="auto" w:fill="auto"/>
            <w:vAlign w:val="center"/>
          </w:tcPr>
          <w:p>
            <w:pPr>
              <w:jc w:val="center"/>
              <w:rPr>
                <w:rFonts w:ascii="Times New Roman" w:hAnsi="Times New Roman"/>
              </w:rPr>
            </w:pPr>
            <w:r>
              <w:rPr>
                <w:rFonts w:ascii="Times New Roman" w:hAnsi="Times New Roman"/>
              </w:rPr>
              <w:t xml:space="preserve">Прогноз </w:t>
            </w:r>
          </w:p>
          <w:p>
            <w:pPr>
              <w:jc w:val="center"/>
              <w:rPr>
                <w:rFonts w:ascii="Times New Roman" w:hAnsi="Times New Roman"/>
              </w:rPr>
            </w:pPr>
            <w:r>
              <w:rPr>
                <w:rFonts w:ascii="Times New Roman" w:hAnsi="Times New Roman"/>
              </w:rPr>
              <w:t>2021 года</w:t>
            </w:r>
          </w:p>
        </w:tc>
        <w:tc>
          <w:tcPr>
            <w:tcW w:w="1134" w:type="dxa"/>
            <w:shd w:val="clear" w:color="auto" w:fill="auto"/>
            <w:vAlign w:val="center"/>
          </w:tcPr>
          <w:p>
            <w:pPr>
              <w:jc w:val="center"/>
              <w:rPr>
                <w:rFonts w:ascii="Times New Roman" w:hAnsi="Times New Roman"/>
              </w:rPr>
            </w:pPr>
            <w:r>
              <w:rPr>
                <w:rFonts w:ascii="Times New Roman" w:hAnsi="Times New Roman"/>
              </w:rPr>
              <w:t>Прогноз</w:t>
            </w:r>
          </w:p>
          <w:p>
            <w:pPr>
              <w:ind w:right="-100"/>
              <w:jc w:val="center"/>
              <w:rPr>
                <w:rFonts w:ascii="Times New Roman" w:hAnsi="Times New Roman"/>
              </w:rPr>
            </w:pPr>
            <w:r>
              <w:rPr>
                <w:rFonts w:ascii="Times New Roman" w:hAnsi="Times New Roman"/>
              </w:rPr>
              <w:t>2022 года</w:t>
            </w:r>
          </w:p>
        </w:tc>
        <w:tc>
          <w:tcPr>
            <w:tcW w:w="1134" w:type="dxa"/>
            <w:shd w:val="clear" w:color="auto" w:fill="auto"/>
            <w:vAlign w:val="center"/>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2023 года</w:t>
            </w:r>
          </w:p>
        </w:tc>
      </w:tr>
      <w:tr>
        <w:trPr>
          <w:trHeight w:val="1559"/>
        </w:trPr>
        <w:tc>
          <w:tcPr>
            <w:tcW w:w="4820" w:type="dxa"/>
            <w:shd w:val="clear" w:color="auto" w:fill="auto"/>
            <w:vAlign w:val="center"/>
          </w:tcPr>
          <w:p>
            <w:pPr>
              <w:rPr>
                <w:rFonts w:ascii="Times New Roman" w:hAnsi="Times New Roman"/>
                <w:b/>
              </w:rPr>
            </w:pPr>
            <w:r>
              <w:rPr>
                <w:rFonts w:ascii="Times New Roman" w:hAnsi="Times New Roman"/>
              </w:rPr>
              <w:t xml:space="preserve">1.Доля объектов недвижимости, прошедших государственную регистрацию права собственности, от </w:t>
            </w:r>
            <w:r>
              <w:rPr>
                <w:rFonts w:ascii="Times New Roman" w:hAnsi="Times New Roman"/>
                <w:bCs/>
              </w:rPr>
              <w:t>общего количества объектов недвижимости, числящихся в Реестре муниципального имущества ЗАТО Северск на конец года, %</w:t>
            </w:r>
          </w:p>
        </w:tc>
        <w:tc>
          <w:tcPr>
            <w:tcW w:w="1134" w:type="dxa"/>
            <w:shd w:val="clear" w:color="auto" w:fill="auto"/>
            <w:vAlign w:val="center"/>
          </w:tcPr>
          <w:p>
            <w:pPr>
              <w:pStyle w:val="ConsPlusTitle"/>
              <w:spacing w:after="160" w:line="259" w:lineRule="auto"/>
              <w:jc w:val="right"/>
              <w:rPr>
                <w:rFonts w:ascii="Times New Roman" w:hAnsi="Times New Roman" w:cs="Times New Roman"/>
                <w:b w:val="0"/>
                <w:sz w:val="20"/>
                <w:szCs w:val="20"/>
              </w:rPr>
            </w:pPr>
            <w:r>
              <w:rPr>
                <w:rFonts w:ascii="Times New Roman" w:hAnsi="Times New Roman" w:cs="Times New Roman"/>
                <w:b w:val="0"/>
                <w:sz w:val="20"/>
                <w:szCs w:val="20"/>
              </w:rPr>
              <w:t>87,7</w:t>
            </w:r>
          </w:p>
        </w:tc>
        <w:tc>
          <w:tcPr>
            <w:tcW w:w="1134" w:type="dxa"/>
            <w:shd w:val="clear" w:color="auto" w:fill="auto"/>
            <w:vAlign w:val="center"/>
          </w:tcPr>
          <w:p>
            <w:pPr>
              <w:pStyle w:val="ConsPlusTitle"/>
              <w:spacing w:after="160" w:line="259" w:lineRule="auto"/>
              <w:jc w:val="right"/>
              <w:rPr>
                <w:rFonts w:ascii="Times New Roman" w:hAnsi="Times New Roman" w:cs="Times New Roman"/>
                <w:b w:val="0"/>
                <w:sz w:val="20"/>
                <w:szCs w:val="20"/>
              </w:rPr>
            </w:pPr>
            <w:r>
              <w:rPr>
                <w:rFonts w:ascii="Times New Roman" w:hAnsi="Times New Roman" w:cs="Times New Roman"/>
                <w:b w:val="0"/>
                <w:sz w:val="20"/>
                <w:szCs w:val="20"/>
              </w:rPr>
              <w:t>86,1</w:t>
            </w:r>
          </w:p>
        </w:tc>
        <w:tc>
          <w:tcPr>
            <w:tcW w:w="1134" w:type="dxa"/>
            <w:shd w:val="clear" w:color="auto" w:fill="auto"/>
            <w:vAlign w:val="center"/>
          </w:tcPr>
          <w:p>
            <w:pPr>
              <w:pStyle w:val="ConsPlusTitle"/>
              <w:spacing w:after="160" w:line="259" w:lineRule="auto"/>
              <w:ind w:right="-100"/>
              <w:jc w:val="right"/>
              <w:rPr>
                <w:rFonts w:ascii="Times New Roman" w:hAnsi="Times New Roman" w:cs="Times New Roman"/>
                <w:b w:val="0"/>
                <w:sz w:val="20"/>
                <w:szCs w:val="20"/>
              </w:rPr>
            </w:pPr>
            <w:r>
              <w:rPr>
                <w:rFonts w:ascii="Times New Roman" w:hAnsi="Times New Roman" w:cs="Times New Roman"/>
                <w:b w:val="0"/>
                <w:sz w:val="20"/>
                <w:szCs w:val="20"/>
              </w:rPr>
              <w:t>86,8</w:t>
            </w:r>
          </w:p>
        </w:tc>
        <w:tc>
          <w:tcPr>
            <w:tcW w:w="1134" w:type="dxa"/>
            <w:shd w:val="clear" w:color="auto" w:fill="auto"/>
            <w:vAlign w:val="center"/>
          </w:tcPr>
          <w:p>
            <w:pPr>
              <w:pStyle w:val="ConsPlusTitle"/>
              <w:spacing w:after="160" w:line="259" w:lineRule="auto"/>
              <w:ind w:right="-100"/>
              <w:jc w:val="right"/>
              <w:rPr>
                <w:rFonts w:ascii="Times New Roman" w:hAnsi="Times New Roman" w:cs="Times New Roman"/>
                <w:b w:val="0"/>
                <w:sz w:val="20"/>
                <w:szCs w:val="20"/>
              </w:rPr>
            </w:pPr>
            <w:r>
              <w:rPr>
                <w:rFonts w:ascii="Times New Roman" w:hAnsi="Times New Roman" w:cs="Times New Roman"/>
                <w:b w:val="0"/>
                <w:sz w:val="20"/>
                <w:szCs w:val="20"/>
              </w:rPr>
              <w:t>86,8</w:t>
            </w:r>
          </w:p>
        </w:tc>
      </w:tr>
      <w:tr>
        <w:tc>
          <w:tcPr>
            <w:tcW w:w="4820" w:type="dxa"/>
            <w:vAlign w:val="center"/>
          </w:tcPr>
          <w:p>
            <w:pPr>
              <w:rPr>
                <w:rFonts w:ascii="Times New Roman" w:hAnsi="Times New Roman"/>
                <w:b/>
                <w:highlight w:val="yellow"/>
              </w:rPr>
            </w:pPr>
            <w:r>
              <w:rPr>
                <w:rFonts w:ascii="Times New Roman" w:hAnsi="Times New Roman"/>
              </w:rPr>
              <w:t>2. Доля площади земельных участков, являющихся объектами налогообложения земельным налогом, в общей площади территории городского округа, проц.</w:t>
            </w:r>
          </w:p>
        </w:tc>
        <w:tc>
          <w:tcPr>
            <w:tcW w:w="1134" w:type="dxa"/>
            <w:vAlign w:val="center"/>
          </w:tcPr>
          <w:p>
            <w:pPr>
              <w:pStyle w:val="ConsPlusTitle"/>
              <w:jc w:val="right"/>
              <w:rPr>
                <w:rFonts w:ascii="Times New Roman" w:hAnsi="Times New Roman" w:cs="Times New Roman"/>
                <w:b w:val="0"/>
                <w:bCs w:val="0"/>
                <w:sz w:val="20"/>
                <w:szCs w:val="20"/>
              </w:rPr>
            </w:pPr>
            <w:r>
              <w:rPr>
                <w:rFonts w:ascii="Times New Roman" w:hAnsi="Times New Roman" w:cs="Times New Roman"/>
                <w:b w:val="0"/>
                <w:bCs w:val="0"/>
                <w:sz w:val="20"/>
                <w:szCs w:val="20"/>
              </w:rPr>
              <w:t>61,11</w:t>
            </w:r>
          </w:p>
        </w:tc>
        <w:tc>
          <w:tcPr>
            <w:tcW w:w="1134" w:type="dxa"/>
            <w:vAlign w:val="center"/>
          </w:tcPr>
          <w:p>
            <w:pPr>
              <w:pStyle w:val="ConsPlusTitle"/>
              <w:jc w:val="right"/>
              <w:rPr>
                <w:rFonts w:ascii="Times New Roman" w:hAnsi="Times New Roman" w:cs="Times New Roman"/>
                <w:b w:val="0"/>
                <w:bCs w:val="0"/>
                <w:sz w:val="20"/>
                <w:szCs w:val="20"/>
              </w:rPr>
            </w:pPr>
            <w:r>
              <w:rPr>
                <w:rFonts w:ascii="Times New Roman" w:hAnsi="Times New Roman" w:cs="Times New Roman"/>
                <w:b w:val="0"/>
                <w:bCs w:val="0"/>
                <w:sz w:val="20"/>
                <w:szCs w:val="20"/>
              </w:rPr>
              <w:t>61,18</w:t>
            </w:r>
          </w:p>
        </w:tc>
        <w:tc>
          <w:tcPr>
            <w:tcW w:w="1134" w:type="dxa"/>
            <w:vAlign w:val="center"/>
          </w:tcPr>
          <w:p>
            <w:pPr>
              <w:pStyle w:val="ConsPlusTitle"/>
              <w:jc w:val="right"/>
              <w:rPr>
                <w:rFonts w:ascii="Times New Roman" w:hAnsi="Times New Roman" w:cs="Times New Roman"/>
                <w:b w:val="0"/>
                <w:bCs w:val="0"/>
                <w:sz w:val="20"/>
                <w:szCs w:val="20"/>
              </w:rPr>
            </w:pPr>
            <w:r>
              <w:rPr>
                <w:rFonts w:ascii="Times New Roman" w:hAnsi="Times New Roman" w:cs="Times New Roman"/>
                <w:b w:val="0"/>
                <w:bCs w:val="0"/>
                <w:sz w:val="20"/>
                <w:szCs w:val="20"/>
              </w:rPr>
              <w:t>61,27</w:t>
            </w:r>
          </w:p>
        </w:tc>
        <w:tc>
          <w:tcPr>
            <w:tcW w:w="1134" w:type="dxa"/>
            <w:vAlign w:val="center"/>
          </w:tcPr>
          <w:p>
            <w:pPr>
              <w:pStyle w:val="ConsPlusTitle"/>
              <w:jc w:val="right"/>
              <w:rPr>
                <w:rFonts w:ascii="Times New Roman" w:hAnsi="Times New Roman" w:cs="Times New Roman"/>
                <w:b w:val="0"/>
                <w:bCs w:val="0"/>
                <w:sz w:val="20"/>
                <w:szCs w:val="20"/>
              </w:rPr>
            </w:pPr>
            <w:r>
              <w:rPr>
                <w:rFonts w:ascii="Times New Roman" w:hAnsi="Times New Roman" w:cs="Times New Roman"/>
                <w:b w:val="0"/>
                <w:bCs w:val="0"/>
                <w:sz w:val="20"/>
                <w:szCs w:val="20"/>
              </w:rPr>
              <w:t>61,27</w:t>
            </w:r>
          </w:p>
        </w:tc>
      </w:tr>
      <w:tr>
        <w:tc>
          <w:tcPr>
            <w:tcW w:w="4820" w:type="dxa"/>
            <w:vAlign w:val="center"/>
          </w:tcPr>
          <w:p>
            <w:pPr>
              <w:rPr>
                <w:rFonts w:ascii="Times New Roman" w:hAnsi="Times New Roman"/>
                <w:b/>
                <w:highlight w:val="yellow"/>
              </w:rPr>
            </w:pPr>
            <w:r>
              <w:rPr>
                <w:rFonts w:ascii="Times New Roman" w:hAnsi="Times New Roman"/>
              </w:rPr>
              <w:t>3. Снижение задолженности по арендной плате за пользование земельными участками и муниципальным имуществом по сравнению с базовым значением, проц.</w:t>
            </w:r>
          </w:p>
        </w:tc>
        <w:tc>
          <w:tcPr>
            <w:tcW w:w="1134" w:type="dxa"/>
            <w:vAlign w:val="center"/>
          </w:tcPr>
          <w:p>
            <w:pPr>
              <w:jc w:val="right"/>
              <w:rPr>
                <w:rFonts w:ascii="Times New Roman" w:hAnsi="Times New Roman"/>
              </w:rPr>
            </w:pPr>
            <w:r>
              <w:rPr>
                <w:rFonts w:ascii="Times New Roman" w:hAnsi="Times New Roman"/>
              </w:rPr>
              <w:t>100</w:t>
            </w:r>
          </w:p>
        </w:tc>
        <w:tc>
          <w:tcPr>
            <w:tcW w:w="1134" w:type="dxa"/>
            <w:vAlign w:val="center"/>
          </w:tcPr>
          <w:p>
            <w:pPr>
              <w:jc w:val="right"/>
              <w:rPr>
                <w:rFonts w:ascii="Times New Roman" w:hAnsi="Times New Roman"/>
              </w:rPr>
            </w:pPr>
            <w:r>
              <w:rPr>
                <w:rFonts w:ascii="Times New Roman" w:hAnsi="Times New Roman"/>
              </w:rPr>
              <w:t>66</w:t>
            </w:r>
          </w:p>
        </w:tc>
        <w:tc>
          <w:tcPr>
            <w:tcW w:w="1134" w:type="dxa"/>
            <w:vAlign w:val="center"/>
          </w:tcPr>
          <w:p>
            <w:pPr>
              <w:jc w:val="right"/>
              <w:rPr>
                <w:rFonts w:ascii="Times New Roman" w:hAnsi="Times New Roman"/>
              </w:rPr>
            </w:pPr>
            <w:r>
              <w:rPr>
                <w:rFonts w:ascii="Times New Roman" w:hAnsi="Times New Roman"/>
              </w:rPr>
              <w:t>46,9</w:t>
            </w:r>
          </w:p>
        </w:tc>
        <w:tc>
          <w:tcPr>
            <w:tcW w:w="1134" w:type="dxa"/>
            <w:vAlign w:val="center"/>
          </w:tcPr>
          <w:p>
            <w:pPr>
              <w:jc w:val="right"/>
              <w:rPr>
                <w:rFonts w:ascii="Times New Roman" w:hAnsi="Times New Roman"/>
              </w:rPr>
            </w:pPr>
            <w:r>
              <w:rPr>
                <w:rFonts w:ascii="Times New Roman" w:hAnsi="Times New Roman"/>
              </w:rPr>
              <w:t>43</w:t>
            </w:r>
          </w:p>
        </w:tc>
      </w:tr>
      <w:tr>
        <w:tc>
          <w:tcPr>
            <w:tcW w:w="4820" w:type="dxa"/>
            <w:vAlign w:val="center"/>
          </w:tcPr>
          <w:p>
            <w:pPr>
              <w:pStyle w:val="ConsPlusTitle"/>
              <w:rPr>
                <w:rFonts w:ascii="Times New Roman" w:hAnsi="Times New Roman" w:cs="Times New Roman"/>
                <w:b w:val="0"/>
                <w:bCs w:val="0"/>
                <w:sz w:val="20"/>
                <w:szCs w:val="20"/>
              </w:rPr>
            </w:pPr>
            <w:r>
              <w:rPr>
                <w:rFonts w:ascii="Times New Roman" w:hAnsi="Times New Roman" w:cs="Times New Roman"/>
                <w:b w:val="0"/>
                <w:sz w:val="20"/>
                <w:szCs w:val="20"/>
              </w:rPr>
              <w:t>4. Объем рубок лесных насаждений, тыс.м3</w:t>
            </w:r>
          </w:p>
        </w:tc>
        <w:tc>
          <w:tcPr>
            <w:tcW w:w="1134" w:type="dxa"/>
            <w:vAlign w:val="center"/>
          </w:tcPr>
          <w:p>
            <w:pPr>
              <w:pStyle w:val="ConsPlusTitle"/>
              <w:jc w:val="right"/>
              <w:rPr>
                <w:rFonts w:ascii="Times New Roman" w:hAnsi="Times New Roman" w:cs="Times New Roman"/>
                <w:b w:val="0"/>
                <w:bCs w:val="0"/>
                <w:sz w:val="20"/>
                <w:szCs w:val="20"/>
              </w:rPr>
            </w:pPr>
            <w:r>
              <w:rPr>
                <w:rFonts w:ascii="Times New Roman" w:hAnsi="Times New Roman" w:cs="Times New Roman"/>
                <w:b w:val="0"/>
                <w:bCs w:val="0"/>
                <w:sz w:val="20"/>
                <w:szCs w:val="20"/>
              </w:rPr>
              <w:t>6,16</w:t>
            </w:r>
          </w:p>
        </w:tc>
        <w:tc>
          <w:tcPr>
            <w:tcW w:w="1134" w:type="dxa"/>
            <w:vAlign w:val="center"/>
          </w:tcPr>
          <w:p>
            <w:pPr>
              <w:pStyle w:val="ConsPlusTitle"/>
              <w:jc w:val="right"/>
              <w:rPr>
                <w:rFonts w:ascii="Times New Roman" w:hAnsi="Times New Roman" w:cs="Times New Roman"/>
                <w:b w:val="0"/>
                <w:bCs w:val="0"/>
                <w:sz w:val="20"/>
                <w:szCs w:val="20"/>
              </w:rPr>
            </w:pPr>
            <w:r>
              <w:rPr>
                <w:rFonts w:ascii="Times New Roman" w:hAnsi="Times New Roman" w:cs="Times New Roman"/>
                <w:b w:val="0"/>
                <w:bCs w:val="0"/>
                <w:sz w:val="20"/>
                <w:szCs w:val="20"/>
              </w:rPr>
              <w:t>9,99</w:t>
            </w:r>
          </w:p>
        </w:tc>
        <w:tc>
          <w:tcPr>
            <w:tcW w:w="1134" w:type="dxa"/>
            <w:vAlign w:val="center"/>
          </w:tcPr>
          <w:p>
            <w:pPr>
              <w:pStyle w:val="ConsPlusTitle"/>
              <w:jc w:val="right"/>
              <w:rPr>
                <w:rFonts w:ascii="Times New Roman" w:hAnsi="Times New Roman" w:cs="Times New Roman"/>
                <w:b w:val="0"/>
                <w:bCs w:val="0"/>
                <w:sz w:val="20"/>
                <w:szCs w:val="20"/>
              </w:rPr>
            </w:pPr>
            <w:r>
              <w:rPr>
                <w:rFonts w:ascii="Times New Roman" w:hAnsi="Times New Roman" w:cs="Times New Roman"/>
                <w:b w:val="0"/>
                <w:bCs w:val="0"/>
                <w:sz w:val="20"/>
                <w:szCs w:val="20"/>
              </w:rPr>
              <w:t>9,5</w:t>
            </w:r>
          </w:p>
        </w:tc>
        <w:tc>
          <w:tcPr>
            <w:tcW w:w="1134" w:type="dxa"/>
            <w:vAlign w:val="center"/>
          </w:tcPr>
          <w:p>
            <w:pPr>
              <w:pStyle w:val="ConsPlusTitle"/>
              <w:jc w:val="right"/>
              <w:rPr>
                <w:rFonts w:ascii="Times New Roman" w:hAnsi="Times New Roman" w:cs="Times New Roman"/>
                <w:b w:val="0"/>
                <w:bCs w:val="0"/>
                <w:sz w:val="20"/>
                <w:szCs w:val="20"/>
              </w:rPr>
            </w:pPr>
            <w:r>
              <w:rPr>
                <w:rFonts w:ascii="Times New Roman" w:hAnsi="Times New Roman" w:cs="Times New Roman"/>
                <w:b w:val="0"/>
                <w:bCs w:val="0"/>
                <w:sz w:val="20"/>
                <w:szCs w:val="20"/>
              </w:rPr>
              <w:t>0</w:t>
            </w:r>
          </w:p>
        </w:tc>
      </w:tr>
    </w:tbl>
    <w:p>
      <w:pPr>
        <w:autoSpaceDE w:val="0"/>
        <w:autoSpaceDN w:val="0"/>
        <w:adjustRightInd w:val="0"/>
        <w:ind w:firstLine="709"/>
        <w:jc w:val="both"/>
        <w:rPr>
          <w:rFonts w:ascii="Times New Roman" w:hAnsi="Times New Roman"/>
          <w:sz w:val="16"/>
          <w:szCs w:val="16"/>
          <w:highlight w:val="yellow"/>
        </w:rPr>
      </w:pPr>
    </w:p>
    <w:p>
      <w:pPr>
        <w:autoSpaceDE w:val="0"/>
        <w:autoSpaceDN w:val="0"/>
        <w:adjustRightInd w:val="0"/>
        <w:ind w:firstLine="709"/>
        <w:jc w:val="both"/>
        <w:rPr>
          <w:rFonts w:ascii="Times New Roman" w:hAnsi="Times New Roman"/>
          <w:color w:val="000000"/>
          <w:sz w:val="24"/>
          <w:szCs w:val="24"/>
        </w:rPr>
      </w:pPr>
      <w:r>
        <w:rPr>
          <w:rFonts w:ascii="Times New Roman" w:hAnsi="Times New Roman"/>
          <w:sz w:val="24"/>
          <w:szCs w:val="24"/>
        </w:rPr>
        <w:t xml:space="preserve">По  </w:t>
      </w:r>
      <w:r>
        <w:rPr>
          <w:rFonts w:ascii="Times New Roman" w:hAnsi="Times New Roman"/>
          <w:color w:val="000000"/>
          <w:sz w:val="24"/>
          <w:szCs w:val="24"/>
        </w:rPr>
        <w:t>МП «Эффективное управление муниципальным имуществом ЗАТО Северск» в 2021 году будут реализовываться 4 подпрограммы:</w:t>
      </w:r>
    </w:p>
    <w:p>
      <w:pPr>
        <w:spacing w:before="120" w:after="60"/>
        <w:ind w:firstLine="709"/>
        <w:jc w:val="both"/>
        <w:rPr>
          <w:rFonts w:ascii="Times New Roman" w:hAnsi="Times New Roman"/>
          <w:sz w:val="24"/>
          <w:szCs w:val="24"/>
        </w:rPr>
      </w:pPr>
      <w:r>
        <w:rPr>
          <w:rFonts w:ascii="Times New Roman" w:hAnsi="Times New Roman"/>
          <w:sz w:val="24"/>
          <w:szCs w:val="24"/>
        </w:rPr>
        <w:t xml:space="preserve">Таблица 75 - Объем финансового обеспечения МП </w:t>
      </w:r>
      <w:r>
        <w:rPr>
          <w:rFonts w:ascii="Times New Roman" w:hAnsi="Times New Roman"/>
          <w:color w:val="000000"/>
          <w:sz w:val="24"/>
          <w:szCs w:val="24"/>
        </w:rPr>
        <w:t>«Эффективное управление муниципальным имуществом ЗАТО Северск»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1560"/>
        <w:gridCol w:w="1417"/>
        <w:gridCol w:w="1276"/>
      </w:tblGrid>
      <w:tr>
        <w:trPr>
          <w:trHeight w:val="953"/>
        </w:trPr>
        <w:tc>
          <w:tcPr>
            <w:tcW w:w="5103" w:type="dxa"/>
            <w:vAlign w:val="center"/>
          </w:tcPr>
          <w:p>
            <w:pPr>
              <w:jc w:val="center"/>
              <w:rPr>
                <w:rFonts w:ascii="Times New Roman" w:hAnsi="Times New Roman"/>
                <w:sz w:val="22"/>
                <w:szCs w:val="22"/>
              </w:rPr>
            </w:pPr>
            <w:r>
              <w:rPr>
                <w:rFonts w:ascii="Times New Roman" w:hAnsi="Times New Roman"/>
                <w:sz w:val="22"/>
                <w:szCs w:val="22"/>
              </w:rPr>
              <w:t>Наименование</w:t>
            </w:r>
          </w:p>
        </w:tc>
        <w:tc>
          <w:tcPr>
            <w:tcW w:w="1560" w:type="dxa"/>
            <w:shd w:val="clear" w:color="auto" w:fill="auto"/>
            <w:vAlign w:val="center"/>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2021 года, тыс.руб.</w:t>
            </w:r>
          </w:p>
        </w:tc>
        <w:tc>
          <w:tcPr>
            <w:tcW w:w="1417" w:type="dxa"/>
            <w:shd w:val="clear" w:color="auto" w:fill="auto"/>
            <w:vAlign w:val="center"/>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2022 года, тыс.руб.</w:t>
            </w:r>
          </w:p>
        </w:tc>
        <w:tc>
          <w:tcPr>
            <w:tcW w:w="1276" w:type="dxa"/>
            <w:shd w:val="clear" w:color="auto" w:fill="auto"/>
            <w:vAlign w:val="center"/>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2023 года, тыс.руб.</w:t>
            </w:r>
          </w:p>
        </w:tc>
      </w:tr>
      <w:tr>
        <w:tc>
          <w:tcPr>
            <w:tcW w:w="5103" w:type="dxa"/>
            <w:vAlign w:val="center"/>
          </w:tcPr>
          <w:p>
            <w:pPr>
              <w:jc w:val="both"/>
              <w:rPr>
                <w:rFonts w:ascii="Times New Roman" w:hAnsi="Times New Roman"/>
                <w:sz w:val="22"/>
                <w:szCs w:val="22"/>
              </w:rPr>
            </w:pPr>
            <w:r>
              <w:rPr>
                <w:rFonts w:ascii="Times New Roman" w:hAnsi="Times New Roman"/>
                <w:sz w:val="22"/>
                <w:szCs w:val="22"/>
              </w:rPr>
              <w:t>ВСЕГО по МП</w:t>
            </w:r>
          </w:p>
        </w:tc>
        <w:tc>
          <w:tcPr>
            <w:tcW w:w="1560" w:type="dxa"/>
            <w:shd w:val="clear" w:color="auto" w:fill="auto"/>
            <w:vAlign w:val="center"/>
          </w:tcPr>
          <w:p>
            <w:pPr>
              <w:jc w:val="right"/>
              <w:rPr>
                <w:rFonts w:ascii="Times New Roman" w:hAnsi="Times New Roman"/>
                <w:sz w:val="22"/>
                <w:szCs w:val="22"/>
              </w:rPr>
            </w:pPr>
            <w:r>
              <w:rPr>
                <w:rFonts w:ascii="Times New Roman" w:hAnsi="Times New Roman"/>
                <w:sz w:val="22"/>
                <w:szCs w:val="22"/>
              </w:rPr>
              <w:t>82 377,65</w:t>
            </w:r>
          </w:p>
        </w:tc>
        <w:tc>
          <w:tcPr>
            <w:tcW w:w="1417" w:type="dxa"/>
            <w:vAlign w:val="center"/>
          </w:tcPr>
          <w:p>
            <w:pPr>
              <w:jc w:val="right"/>
              <w:rPr>
                <w:rFonts w:ascii="Times New Roman" w:hAnsi="Times New Roman"/>
                <w:sz w:val="22"/>
                <w:szCs w:val="22"/>
              </w:rPr>
            </w:pPr>
            <w:r>
              <w:rPr>
                <w:rFonts w:ascii="Times New Roman" w:hAnsi="Times New Roman"/>
                <w:sz w:val="22"/>
                <w:szCs w:val="22"/>
              </w:rPr>
              <w:t>65 050,24</w:t>
            </w:r>
          </w:p>
        </w:tc>
        <w:tc>
          <w:tcPr>
            <w:tcW w:w="1276" w:type="dxa"/>
            <w:vAlign w:val="center"/>
          </w:tcPr>
          <w:p>
            <w:pPr>
              <w:jc w:val="right"/>
              <w:rPr>
                <w:rFonts w:ascii="Times New Roman" w:hAnsi="Times New Roman"/>
                <w:sz w:val="22"/>
                <w:szCs w:val="22"/>
              </w:rPr>
            </w:pPr>
            <w:r>
              <w:rPr>
                <w:rFonts w:ascii="Times New Roman" w:hAnsi="Times New Roman"/>
                <w:sz w:val="22"/>
                <w:szCs w:val="22"/>
              </w:rPr>
              <w:t>63 965,95</w:t>
            </w:r>
          </w:p>
        </w:tc>
      </w:tr>
      <w:tr>
        <w:tc>
          <w:tcPr>
            <w:tcW w:w="5103" w:type="dxa"/>
            <w:shd w:val="clear" w:color="auto" w:fill="auto"/>
            <w:vAlign w:val="center"/>
          </w:tcPr>
          <w:p>
            <w:pPr>
              <w:rPr>
                <w:rFonts w:ascii="Times New Roman" w:hAnsi="Times New Roman"/>
                <w:sz w:val="22"/>
                <w:szCs w:val="22"/>
              </w:rPr>
            </w:pPr>
            <w:r>
              <w:rPr>
                <w:rFonts w:ascii="Times New Roman" w:hAnsi="Times New Roman"/>
                <w:sz w:val="22"/>
                <w:szCs w:val="22"/>
              </w:rPr>
              <w:t>Подпрограмма1</w:t>
            </w:r>
          </w:p>
          <w:p>
            <w:pPr>
              <w:rPr>
                <w:rFonts w:ascii="Times New Roman" w:hAnsi="Times New Roman"/>
                <w:sz w:val="22"/>
                <w:szCs w:val="22"/>
              </w:rPr>
            </w:pPr>
            <w:r>
              <w:rPr>
                <w:rFonts w:ascii="Times New Roman" w:hAnsi="Times New Roman"/>
                <w:sz w:val="22"/>
                <w:szCs w:val="22"/>
              </w:rPr>
              <w:t>«Признание прав и регулирование отношений по муниципальной собственности ЗАТО Северск»</w:t>
            </w:r>
          </w:p>
        </w:tc>
        <w:tc>
          <w:tcPr>
            <w:tcW w:w="1560" w:type="dxa"/>
            <w:shd w:val="clear" w:color="auto" w:fill="auto"/>
            <w:vAlign w:val="center"/>
          </w:tcPr>
          <w:p>
            <w:pPr>
              <w:jc w:val="right"/>
              <w:rPr>
                <w:rFonts w:ascii="Times New Roman" w:hAnsi="Times New Roman"/>
                <w:sz w:val="22"/>
                <w:szCs w:val="22"/>
              </w:rPr>
            </w:pPr>
            <w:r>
              <w:rPr>
                <w:rFonts w:ascii="Times New Roman" w:hAnsi="Times New Roman"/>
                <w:sz w:val="22"/>
                <w:szCs w:val="22"/>
              </w:rPr>
              <w:t>1 334,50</w:t>
            </w:r>
          </w:p>
        </w:tc>
        <w:tc>
          <w:tcPr>
            <w:tcW w:w="1417" w:type="dxa"/>
            <w:shd w:val="clear" w:color="auto" w:fill="auto"/>
            <w:vAlign w:val="center"/>
          </w:tcPr>
          <w:p>
            <w:pPr>
              <w:jc w:val="right"/>
              <w:rPr>
                <w:rFonts w:ascii="Times New Roman" w:hAnsi="Times New Roman"/>
                <w:sz w:val="22"/>
                <w:szCs w:val="22"/>
              </w:rPr>
            </w:pPr>
            <w:r>
              <w:rPr>
                <w:rFonts w:ascii="Times New Roman" w:hAnsi="Times New Roman"/>
                <w:sz w:val="22"/>
                <w:szCs w:val="22"/>
              </w:rPr>
              <w:t>1 334,50</w:t>
            </w:r>
          </w:p>
        </w:tc>
        <w:tc>
          <w:tcPr>
            <w:tcW w:w="1276" w:type="dxa"/>
            <w:shd w:val="clear" w:color="auto" w:fill="auto"/>
            <w:vAlign w:val="center"/>
          </w:tcPr>
          <w:p>
            <w:pPr>
              <w:jc w:val="right"/>
              <w:rPr>
                <w:rFonts w:ascii="Times New Roman" w:hAnsi="Times New Roman"/>
                <w:sz w:val="22"/>
                <w:szCs w:val="22"/>
              </w:rPr>
            </w:pPr>
            <w:r>
              <w:rPr>
                <w:rFonts w:ascii="Times New Roman" w:hAnsi="Times New Roman"/>
                <w:sz w:val="22"/>
                <w:szCs w:val="22"/>
              </w:rPr>
              <w:t>1 334,50</w:t>
            </w:r>
          </w:p>
        </w:tc>
      </w:tr>
      <w:tr>
        <w:tc>
          <w:tcPr>
            <w:tcW w:w="5103" w:type="dxa"/>
            <w:vAlign w:val="center"/>
          </w:tcPr>
          <w:p>
            <w:pPr>
              <w:rPr>
                <w:rFonts w:ascii="Times New Roman" w:hAnsi="Times New Roman"/>
                <w:sz w:val="22"/>
                <w:szCs w:val="22"/>
              </w:rPr>
            </w:pPr>
            <w:r>
              <w:rPr>
                <w:rFonts w:ascii="Times New Roman" w:hAnsi="Times New Roman"/>
                <w:sz w:val="22"/>
                <w:szCs w:val="22"/>
              </w:rPr>
              <w:t>Подпрограмма 2</w:t>
            </w:r>
          </w:p>
          <w:p>
            <w:pPr>
              <w:rPr>
                <w:rFonts w:ascii="Times New Roman" w:hAnsi="Times New Roman"/>
                <w:sz w:val="22"/>
                <w:szCs w:val="22"/>
              </w:rPr>
            </w:pPr>
            <w:r>
              <w:rPr>
                <w:rFonts w:ascii="Times New Roman" w:hAnsi="Times New Roman"/>
                <w:sz w:val="22"/>
                <w:szCs w:val="22"/>
              </w:rPr>
              <w:t xml:space="preserve"> «Содержание, обслуживание и строительство муниципального имущества ЗАТО Северск, содержание общего имущества в многоквартирных домах»</w:t>
            </w:r>
          </w:p>
        </w:tc>
        <w:tc>
          <w:tcPr>
            <w:tcW w:w="1560" w:type="dxa"/>
            <w:shd w:val="clear" w:color="auto" w:fill="auto"/>
            <w:vAlign w:val="center"/>
          </w:tcPr>
          <w:p>
            <w:pPr>
              <w:jc w:val="right"/>
              <w:rPr>
                <w:rFonts w:ascii="Times New Roman" w:hAnsi="Times New Roman"/>
                <w:sz w:val="22"/>
                <w:szCs w:val="22"/>
              </w:rPr>
            </w:pPr>
            <w:r>
              <w:rPr>
                <w:rFonts w:ascii="Times New Roman" w:hAnsi="Times New Roman"/>
                <w:sz w:val="22"/>
                <w:szCs w:val="22"/>
              </w:rPr>
              <w:t>17 904,48</w:t>
            </w:r>
          </w:p>
        </w:tc>
        <w:tc>
          <w:tcPr>
            <w:tcW w:w="1417" w:type="dxa"/>
            <w:vAlign w:val="center"/>
          </w:tcPr>
          <w:p>
            <w:pPr>
              <w:jc w:val="right"/>
              <w:rPr>
                <w:rFonts w:ascii="Times New Roman" w:hAnsi="Times New Roman"/>
                <w:sz w:val="22"/>
                <w:szCs w:val="22"/>
              </w:rPr>
            </w:pPr>
            <w:r>
              <w:rPr>
                <w:rFonts w:ascii="Times New Roman" w:hAnsi="Times New Roman"/>
                <w:sz w:val="22"/>
                <w:szCs w:val="22"/>
              </w:rPr>
              <w:t>10 962,63</w:t>
            </w:r>
          </w:p>
        </w:tc>
        <w:tc>
          <w:tcPr>
            <w:tcW w:w="1276" w:type="dxa"/>
            <w:vAlign w:val="center"/>
          </w:tcPr>
          <w:p>
            <w:pPr>
              <w:jc w:val="right"/>
              <w:rPr>
                <w:rFonts w:ascii="Times New Roman" w:hAnsi="Times New Roman"/>
                <w:sz w:val="22"/>
                <w:szCs w:val="22"/>
              </w:rPr>
            </w:pPr>
            <w:r>
              <w:rPr>
                <w:rFonts w:ascii="Times New Roman" w:hAnsi="Times New Roman"/>
                <w:sz w:val="22"/>
                <w:szCs w:val="22"/>
              </w:rPr>
              <w:t>9 946,24</w:t>
            </w:r>
          </w:p>
        </w:tc>
      </w:tr>
      <w:tr>
        <w:tc>
          <w:tcPr>
            <w:tcW w:w="5103" w:type="dxa"/>
            <w:vAlign w:val="center"/>
          </w:tcPr>
          <w:p>
            <w:pPr>
              <w:rPr>
                <w:rFonts w:ascii="Times New Roman" w:hAnsi="Times New Roman"/>
                <w:sz w:val="22"/>
                <w:szCs w:val="22"/>
              </w:rPr>
            </w:pPr>
            <w:r>
              <w:rPr>
                <w:rFonts w:ascii="Times New Roman" w:hAnsi="Times New Roman"/>
                <w:sz w:val="22"/>
                <w:szCs w:val="22"/>
              </w:rPr>
              <w:t>Подпрограмма 3</w:t>
            </w:r>
          </w:p>
          <w:p>
            <w:pPr>
              <w:rPr>
                <w:rFonts w:ascii="Times New Roman" w:hAnsi="Times New Roman"/>
                <w:sz w:val="22"/>
                <w:szCs w:val="22"/>
              </w:rPr>
            </w:pPr>
            <w:r>
              <w:rPr>
                <w:rFonts w:ascii="Times New Roman" w:hAnsi="Times New Roman"/>
                <w:sz w:val="22"/>
                <w:szCs w:val="22"/>
              </w:rPr>
              <w:t xml:space="preserve"> «Обеспечение устойчивого управления лесами ЗАТО Северск»</w:t>
            </w:r>
          </w:p>
        </w:tc>
        <w:tc>
          <w:tcPr>
            <w:tcW w:w="1560" w:type="dxa"/>
            <w:shd w:val="clear" w:color="auto" w:fill="auto"/>
            <w:vAlign w:val="center"/>
          </w:tcPr>
          <w:p>
            <w:pPr>
              <w:jc w:val="right"/>
              <w:rPr>
                <w:rFonts w:ascii="Times New Roman" w:hAnsi="Times New Roman"/>
                <w:sz w:val="22"/>
                <w:szCs w:val="22"/>
              </w:rPr>
            </w:pPr>
            <w:r>
              <w:rPr>
                <w:rFonts w:ascii="Times New Roman" w:hAnsi="Times New Roman"/>
                <w:sz w:val="22"/>
                <w:szCs w:val="22"/>
              </w:rPr>
              <w:t>15 303,60</w:t>
            </w:r>
          </w:p>
        </w:tc>
        <w:tc>
          <w:tcPr>
            <w:tcW w:w="1417" w:type="dxa"/>
            <w:vAlign w:val="center"/>
          </w:tcPr>
          <w:p>
            <w:pPr>
              <w:jc w:val="right"/>
              <w:rPr>
                <w:rFonts w:ascii="Times New Roman" w:hAnsi="Times New Roman"/>
                <w:sz w:val="22"/>
                <w:szCs w:val="22"/>
              </w:rPr>
            </w:pPr>
            <w:r>
              <w:rPr>
                <w:rFonts w:ascii="Times New Roman" w:hAnsi="Times New Roman"/>
                <w:sz w:val="22"/>
                <w:szCs w:val="22"/>
              </w:rPr>
              <w:t>14 279,22</w:t>
            </w:r>
          </w:p>
        </w:tc>
        <w:tc>
          <w:tcPr>
            <w:tcW w:w="1276" w:type="dxa"/>
            <w:vAlign w:val="center"/>
          </w:tcPr>
          <w:p>
            <w:pPr>
              <w:jc w:val="right"/>
              <w:rPr>
                <w:rFonts w:ascii="Times New Roman" w:hAnsi="Times New Roman"/>
                <w:sz w:val="22"/>
                <w:szCs w:val="22"/>
              </w:rPr>
            </w:pPr>
            <w:r>
              <w:rPr>
                <w:rFonts w:ascii="Times New Roman" w:hAnsi="Times New Roman"/>
                <w:sz w:val="22"/>
                <w:szCs w:val="22"/>
              </w:rPr>
              <w:t>14 431,34</w:t>
            </w:r>
          </w:p>
        </w:tc>
      </w:tr>
      <w:tr>
        <w:tc>
          <w:tcPr>
            <w:tcW w:w="5103" w:type="dxa"/>
            <w:shd w:val="clear" w:color="auto" w:fill="auto"/>
            <w:vAlign w:val="center"/>
          </w:tcPr>
          <w:p>
            <w:pPr>
              <w:rPr>
                <w:rFonts w:ascii="Times New Roman" w:hAnsi="Times New Roman"/>
                <w:sz w:val="22"/>
                <w:szCs w:val="22"/>
              </w:rPr>
            </w:pPr>
            <w:r>
              <w:rPr>
                <w:rFonts w:ascii="Times New Roman" w:hAnsi="Times New Roman"/>
                <w:sz w:val="22"/>
                <w:szCs w:val="22"/>
              </w:rPr>
              <w:t>Обеспечивающая подпрограмма 4</w:t>
            </w:r>
          </w:p>
        </w:tc>
        <w:tc>
          <w:tcPr>
            <w:tcW w:w="1560" w:type="dxa"/>
            <w:shd w:val="clear" w:color="auto" w:fill="auto"/>
            <w:vAlign w:val="center"/>
          </w:tcPr>
          <w:p>
            <w:pPr>
              <w:jc w:val="right"/>
              <w:rPr>
                <w:rFonts w:ascii="Times New Roman" w:hAnsi="Times New Roman"/>
                <w:sz w:val="22"/>
                <w:szCs w:val="22"/>
              </w:rPr>
            </w:pPr>
            <w:r>
              <w:rPr>
                <w:rFonts w:ascii="Times New Roman" w:hAnsi="Times New Roman"/>
                <w:sz w:val="22"/>
                <w:szCs w:val="22"/>
              </w:rPr>
              <w:t>47 835,07</w:t>
            </w:r>
          </w:p>
        </w:tc>
        <w:tc>
          <w:tcPr>
            <w:tcW w:w="1417" w:type="dxa"/>
            <w:shd w:val="clear" w:color="auto" w:fill="auto"/>
            <w:vAlign w:val="center"/>
          </w:tcPr>
          <w:p>
            <w:pPr>
              <w:jc w:val="right"/>
              <w:rPr>
                <w:rFonts w:ascii="Times New Roman" w:hAnsi="Times New Roman"/>
                <w:sz w:val="22"/>
                <w:szCs w:val="22"/>
              </w:rPr>
            </w:pPr>
            <w:r>
              <w:rPr>
                <w:rFonts w:ascii="Times New Roman" w:hAnsi="Times New Roman"/>
                <w:sz w:val="22"/>
                <w:szCs w:val="22"/>
              </w:rPr>
              <w:t>38 473,89</w:t>
            </w:r>
          </w:p>
        </w:tc>
        <w:tc>
          <w:tcPr>
            <w:tcW w:w="1276" w:type="dxa"/>
            <w:shd w:val="clear" w:color="auto" w:fill="auto"/>
            <w:vAlign w:val="center"/>
          </w:tcPr>
          <w:p>
            <w:pPr>
              <w:jc w:val="right"/>
              <w:rPr>
                <w:rFonts w:ascii="Times New Roman" w:hAnsi="Times New Roman"/>
                <w:sz w:val="22"/>
                <w:szCs w:val="22"/>
              </w:rPr>
            </w:pPr>
            <w:r>
              <w:rPr>
                <w:rFonts w:ascii="Times New Roman" w:hAnsi="Times New Roman"/>
                <w:sz w:val="22"/>
                <w:szCs w:val="22"/>
              </w:rPr>
              <w:t>38 253,87</w:t>
            </w:r>
          </w:p>
        </w:tc>
      </w:tr>
    </w:tbl>
    <w:p>
      <w:pPr>
        <w:spacing w:before="120" w:after="60"/>
        <w:ind w:firstLine="709"/>
        <w:jc w:val="both"/>
        <w:rPr>
          <w:rFonts w:ascii="Times New Roman" w:hAnsi="Times New Roman"/>
          <w:sz w:val="24"/>
          <w:szCs w:val="24"/>
        </w:rPr>
      </w:pPr>
      <w:r>
        <w:rPr>
          <w:rFonts w:ascii="Times New Roman" w:hAnsi="Times New Roman"/>
          <w:sz w:val="24"/>
          <w:szCs w:val="24"/>
        </w:rPr>
        <w:t>На 2021 год о</w:t>
      </w:r>
      <w:r>
        <w:rPr>
          <w:rFonts w:ascii="Times New Roman" w:eastAsia="Calibri" w:hAnsi="Times New Roman"/>
          <w:sz w:val="24"/>
          <w:szCs w:val="24"/>
          <w:lang w:eastAsia="en-US"/>
        </w:rPr>
        <w:t xml:space="preserve">бщий объем расходов на реализацию </w:t>
      </w:r>
      <w:r>
        <w:rPr>
          <w:rFonts w:ascii="Times New Roman" w:hAnsi="Times New Roman"/>
          <w:sz w:val="24"/>
          <w:szCs w:val="24"/>
        </w:rPr>
        <w:t xml:space="preserve">МП  </w:t>
      </w:r>
      <w:r>
        <w:rPr>
          <w:rFonts w:ascii="Times New Roman" w:hAnsi="Times New Roman"/>
          <w:color w:val="000000"/>
          <w:sz w:val="24"/>
          <w:szCs w:val="24"/>
        </w:rPr>
        <w:t>«Эффективное управление муниципальным имуществом ЗАТО Северск»</w:t>
      </w:r>
      <w:r>
        <w:rPr>
          <w:rFonts w:ascii="Times New Roman" w:hAnsi="Times New Roman"/>
          <w:sz w:val="24"/>
          <w:szCs w:val="24"/>
        </w:rPr>
        <w:t xml:space="preserve"> составит 82 377,65 тыс.руб., в том числе </w:t>
      </w:r>
      <w:r>
        <w:rPr>
          <w:rFonts w:ascii="Times New Roman" w:hAnsi="Times New Roman"/>
          <w:sz w:val="24"/>
          <w:szCs w:val="24"/>
        </w:rPr>
        <w:br/>
        <w:t>по подпрограммам:</w:t>
      </w:r>
    </w:p>
    <w:p>
      <w:pPr>
        <w:spacing w:before="120" w:after="60"/>
        <w:ind w:firstLine="709"/>
        <w:jc w:val="both"/>
        <w:rPr>
          <w:rFonts w:ascii="Times New Roman" w:hAnsi="Times New Roman"/>
          <w:sz w:val="24"/>
          <w:szCs w:val="24"/>
        </w:rPr>
      </w:pPr>
      <w:r>
        <w:rPr>
          <w:rFonts w:ascii="Times New Roman" w:hAnsi="Times New Roman"/>
          <w:sz w:val="24"/>
          <w:szCs w:val="24"/>
        </w:rPr>
        <w:t>По подпрограмме 1 «</w:t>
      </w:r>
      <w:r>
        <w:rPr>
          <w:rFonts w:ascii="Times New Roman" w:hAnsi="Times New Roman"/>
          <w:bCs/>
          <w:sz w:val="24"/>
          <w:szCs w:val="24"/>
        </w:rPr>
        <w:t xml:space="preserve">Признание прав и регулирование отношений </w:t>
      </w:r>
      <w:r>
        <w:rPr>
          <w:rFonts w:ascii="Times New Roman" w:hAnsi="Times New Roman"/>
          <w:bCs/>
          <w:sz w:val="24"/>
          <w:szCs w:val="24"/>
        </w:rPr>
        <w:br/>
        <w:t xml:space="preserve">по муниципальной собственности ЗАТО </w:t>
      </w:r>
      <w:r>
        <w:rPr>
          <w:rFonts w:ascii="Times New Roman" w:hAnsi="Times New Roman"/>
          <w:sz w:val="24"/>
          <w:szCs w:val="24"/>
        </w:rPr>
        <w:t>Северск» учтены расходы:</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lang w:val="en-US"/>
        </w:rPr>
        <w:t> </w:t>
      </w:r>
      <w:r>
        <w:rPr>
          <w:rFonts w:ascii="Times New Roman" w:hAnsi="Times New Roman"/>
          <w:sz w:val="24"/>
          <w:szCs w:val="24"/>
        </w:rPr>
        <w:t>на изготовление технической документации на внутриквартальные сооружения водоснабжения/водоотведения, объекты, находящиеся в оперативном управлении учреждений или подлежащие передаче на баланс учреждений, объекты, подлежащие приватизации, а также на бесхозяйное имущество (всего 60 объектов) и на проведение оценки рыночной стоимости муниципального имущества (всего 39 объектов) в сумме 1 112,57 тыс.руб.;</w:t>
      </w:r>
    </w:p>
    <w:p>
      <w:pPr>
        <w:ind w:firstLine="709"/>
        <w:jc w:val="both"/>
        <w:rPr>
          <w:sz w:val="24"/>
          <w:szCs w:val="24"/>
        </w:rPr>
      </w:pPr>
      <w:r>
        <w:rPr>
          <w:sz w:val="24"/>
          <w:szCs w:val="24"/>
        </w:rPr>
        <w:t>- на уплату НДС в федеральный бюджет при продаже муниципального имущества физическому лицу в сумме 10,00 тыс.руб.</w:t>
      </w:r>
    </w:p>
    <w:p>
      <w:pPr>
        <w:pStyle w:val="ConsPlusTitle"/>
        <w:ind w:firstLine="709"/>
        <w:jc w:val="both"/>
        <w:rPr>
          <w:rFonts w:ascii="Times New Roman" w:hAnsi="Times New Roman"/>
          <w:b w:val="0"/>
        </w:rPr>
      </w:pPr>
      <w:r>
        <w:rPr>
          <w:rFonts w:ascii="Times New Roman" w:hAnsi="Times New Roman"/>
        </w:rPr>
        <w:t>-</w:t>
      </w:r>
      <w:r>
        <w:rPr>
          <w:rFonts w:ascii="Times New Roman" w:hAnsi="Times New Roman"/>
          <w:sz w:val="16"/>
          <w:szCs w:val="16"/>
        </w:rPr>
        <w:t xml:space="preserve"> </w:t>
      </w:r>
      <w:r>
        <w:rPr>
          <w:rFonts w:ascii="Times New Roman" w:hAnsi="Times New Roman"/>
          <w:b w:val="0"/>
        </w:rPr>
        <w:t xml:space="preserve">на оплату услуг по подготовке землеустроительной и кадастровой документации по формированию земельных участков в сумме 211,93 тыс.руб. (всего 5 земельных участков </w:t>
      </w:r>
      <w:r>
        <w:rPr>
          <w:b w:val="0"/>
        </w:rPr>
        <w:t>с выносом границ в натуру для льготной категории граждан</w:t>
      </w:r>
      <w:r>
        <w:rPr>
          <w:rFonts w:ascii="Times New Roman" w:hAnsi="Times New Roman"/>
          <w:b w:val="0"/>
        </w:rPr>
        <w:t>).</w:t>
      </w:r>
    </w:p>
    <w:p>
      <w:pPr>
        <w:widowControl w:val="0"/>
        <w:autoSpaceDE w:val="0"/>
        <w:autoSpaceDN w:val="0"/>
        <w:adjustRightInd w:val="0"/>
        <w:spacing w:before="120"/>
        <w:ind w:firstLine="709"/>
        <w:jc w:val="both"/>
        <w:rPr>
          <w:rFonts w:ascii="Times New Roman" w:hAnsi="Times New Roman"/>
          <w:sz w:val="24"/>
          <w:szCs w:val="24"/>
        </w:rPr>
      </w:pPr>
      <w:r>
        <w:rPr>
          <w:rFonts w:ascii="Times New Roman" w:hAnsi="Times New Roman"/>
          <w:sz w:val="24"/>
          <w:szCs w:val="24"/>
        </w:rPr>
        <w:t>По подпрограмме 2 «Содержание, обслуживание и строительство муниципального имущества ЗАТО Северск, содержание общего имущества в многоквартирных домах» предусматриваются расходы в сумме 17 904,48 тыс.руб.,  из них:</w:t>
      </w:r>
    </w:p>
    <w:p>
      <w:pPr>
        <w:widowControl w:val="0"/>
        <w:autoSpaceDE w:val="0"/>
        <w:autoSpaceDN w:val="0"/>
        <w:adjustRightInd w:val="0"/>
        <w:ind w:firstLine="709"/>
        <w:jc w:val="both"/>
        <w:rPr>
          <w:sz w:val="24"/>
          <w:szCs w:val="24"/>
        </w:rPr>
      </w:pPr>
      <w:r>
        <w:rPr>
          <w:sz w:val="24"/>
          <w:szCs w:val="24"/>
        </w:rPr>
        <w:t>- на техническое обслуживание, охрану, текущий ремонт зданий и сооружений находящихся в муниципальной казне ЗАТО Северск в сумме 17 904,48</w:t>
      </w:r>
      <w:r>
        <w:rPr>
          <w:rFonts w:ascii="Times New Roman" w:hAnsi="Times New Roman"/>
          <w:sz w:val="24"/>
          <w:szCs w:val="24"/>
        </w:rPr>
        <w:t xml:space="preserve"> тыс.руб., из них: </w:t>
      </w:r>
      <w:r>
        <w:rPr>
          <w:sz w:val="24"/>
          <w:szCs w:val="24"/>
        </w:rPr>
        <w:t xml:space="preserve"> 1 153,64 тыс.руб. – взносы на капитальный ремонт, 2 826,69 тыс.руб. – текущее содержание общедомового имущества;</w:t>
      </w:r>
    </w:p>
    <w:p>
      <w:pPr>
        <w:autoSpaceDE w:val="0"/>
        <w:autoSpaceDN w:val="0"/>
        <w:adjustRightInd w:val="0"/>
        <w:ind w:firstLine="709"/>
        <w:jc w:val="both"/>
        <w:rPr>
          <w:rFonts w:ascii="Times New Roman" w:hAnsi="Times New Roman"/>
          <w:sz w:val="6"/>
          <w:szCs w:val="6"/>
          <w:highlight w:val="yellow"/>
        </w:rPr>
      </w:pP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По подпрограмме 3 «Обеспечение устойчивого управления лесами ЗАТО Северск» предусмотрено:</w:t>
      </w:r>
    </w:p>
    <w:p>
      <w:pPr>
        <w:ind w:firstLine="709"/>
        <w:jc w:val="both"/>
        <w:rPr>
          <w:sz w:val="24"/>
          <w:szCs w:val="24"/>
        </w:rPr>
      </w:pPr>
      <w:r>
        <w:rPr>
          <w:sz w:val="24"/>
          <w:szCs w:val="24"/>
        </w:rPr>
        <w:t>- обеспечение деятельности МКУ «Лесничество  ЗАТО Северск» в сумме 13 682,85</w:t>
      </w:r>
      <w:r>
        <w:rPr>
          <w:rFonts w:ascii="Times New Roman" w:hAnsi="Times New Roman"/>
          <w:sz w:val="24"/>
          <w:szCs w:val="24"/>
        </w:rPr>
        <w:t> тыс.руб.;</w:t>
      </w:r>
    </w:p>
    <w:p>
      <w:pPr>
        <w:autoSpaceDE w:val="0"/>
        <w:autoSpaceDN w:val="0"/>
        <w:adjustRightInd w:val="0"/>
        <w:ind w:firstLine="709"/>
        <w:jc w:val="both"/>
        <w:rPr>
          <w:rFonts w:ascii="Times New Roman" w:eastAsia="Calibri" w:hAnsi="Times New Roman"/>
          <w:bCs/>
          <w:sz w:val="24"/>
          <w:szCs w:val="24"/>
          <w:lang w:eastAsia="en-US"/>
        </w:rPr>
      </w:pPr>
      <w:r>
        <w:rPr>
          <w:sz w:val="24"/>
          <w:szCs w:val="24"/>
        </w:rPr>
        <w:t>- </w:t>
      </w:r>
      <w:r>
        <w:rPr>
          <w:rFonts w:ascii="Times New Roman" w:eastAsia="Calibri" w:hAnsi="Times New Roman"/>
          <w:bCs/>
          <w:sz w:val="24"/>
          <w:szCs w:val="24"/>
          <w:lang w:eastAsia="en-US"/>
        </w:rPr>
        <w:t xml:space="preserve">организацию лесохозяйственных мероприятий по охране, защите </w:t>
      </w:r>
      <w:r>
        <w:rPr>
          <w:rFonts w:ascii="Times New Roman" w:eastAsia="Calibri" w:hAnsi="Times New Roman"/>
          <w:bCs/>
          <w:sz w:val="24"/>
          <w:szCs w:val="24"/>
          <w:lang w:eastAsia="en-US"/>
        </w:rPr>
        <w:br/>
        <w:t>и воспроизводству лесов ЗАТО Северск на площади 231,15 га в сумме 1 620,75 тыс.руб.</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sz w:val="24"/>
          <w:szCs w:val="24"/>
        </w:rPr>
        <w:t>По обеспечивающей подпрограмме 4 учтены расходы на содержание Управления имущественных отношений  Администрации ЗАТО Северск</w:t>
      </w:r>
    </w:p>
    <w:p>
      <w:pPr>
        <w:spacing w:after="120"/>
        <w:ind w:firstLine="709"/>
        <w:jc w:val="center"/>
        <w:rPr>
          <w:rFonts w:ascii="Times New Roman" w:hAnsi="Times New Roman"/>
          <w:b/>
          <w:sz w:val="24"/>
          <w:szCs w:val="24"/>
        </w:rPr>
      </w:pPr>
    </w:p>
    <w:p>
      <w:pPr>
        <w:spacing w:after="120"/>
        <w:ind w:firstLine="709"/>
        <w:jc w:val="center"/>
        <w:rPr>
          <w:rFonts w:ascii="Times New Roman" w:hAnsi="Times New Roman"/>
          <w:b/>
          <w:color w:val="000000"/>
          <w:sz w:val="24"/>
          <w:szCs w:val="24"/>
        </w:rPr>
      </w:pPr>
      <w:r>
        <w:rPr>
          <w:rFonts w:ascii="Times New Roman" w:hAnsi="Times New Roman"/>
          <w:b/>
          <w:sz w:val="24"/>
          <w:szCs w:val="24"/>
        </w:rPr>
        <w:t>2.7.3.3.</w:t>
      </w:r>
      <w:r>
        <w:rPr>
          <w:rFonts w:ascii="Times New Roman" w:hAnsi="Times New Roman"/>
          <w:b/>
          <w:color w:val="000000"/>
          <w:sz w:val="24"/>
          <w:szCs w:val="24"/>
        </w:rPr>
        <w:t xml:space="preserve"> МП «Развитие информационного общества ЗАТО Северск»</w:t>
      </w:r>
    </w:p>
    <w:p>
      <w:pPr>
        <w:tabs>
          <w:tab w:val="left" w:pos="709"/>
        </w:tabs>
        <w:ind w:firstLine="709"/>
        <w:jc w:val="both"/>
        <w:rPr>
          <w:rFonts w:ascii="Times New Roman" w:hAnsi="Times New Roman"/>
          <w:sz w:val="24"/>
          <w:szCs w:val="24"/>
        </w:rPr>
      </w:pPr>
      <w:r>
        <w:rPr>
          <w:rFonts w:ascii="Times New Roman" w:hAnsi="Times New Roman"/>
          <w:sz w:val="24"/>
          <w:szCs w:val="24"/>
        </w:rPr>
        <w:t xml:space="preserve">Финансовое обеспечение по </w:t>
      </w:r>
      <w:r>
        <w:rPr>
          <w:rFonts w:ascii="Times New Roman" w:hAnsi="Times New Roman"/>
          <w:color w:val="000000"/>
          <w:sz w:val="24"/>
          <w:szCs w:val="24"/>
        </w:rPr>
        <w:t xml:space="preserve">МП «Развитие информационного общества ЗАТО Северск» </w:t>
      </w:r>
      <w:r>
        <w:rPr>
          <w:rFonts w:ascii="Times New Roman" w:hAnsi="Times New Roman"/>
          <w:sz w:val="24"/>
          <w:szCs w:val="24"/>
        </w:rPr>
        <w:t>предусмотрено на 2021 год в объеме 6 208,09 тыс.руб., на 2022 год -</w:t>
      </w:r>
      <w:r>
        <w:rPr>
          <w:rFonts w:ascii="Times New Roman" w:hAnsi="Times New Roman"/>
          <w:sz w:val="24"/>
          <w:szCs w:val="24"/>
        </w:rPr>
        <w:br/>
        <w:t>2 218,09 тыс.руб., на 2023 год – 2 218,09 тыс.руб.</w:t>
      </w:r>
    </w:p>
    <w:p>
      <w:pPr>
        <w:ind w:firstLine="709"/>
        <w:jc w:val="both"/>
        <w:rPr>
          <w:rFonts w:ascii="Times New Roman" w:hAnsi="Times New Roman"/>
          <w:color w:val="000000"/>
          <w:sz w:val="24"/>
          <w:szCs w:val="24"/>
        </w:rPr>
      </w:pPr>
      <w:r>
        <w:rPr>
          <w:rFonts w:ascii="Times New Roman" w:hAnsi="Times New Roman"/>
          <w:sz w:val="24"/>
          <w:szCs w:val="24"/>
        </w:rPr>
        <w:t>Цель МП:</w:t>
      </w:r>
      <w:r>
        <w:rPr>
          <w:bCs/>
          <w:sz w:val="24"/>
          <w:szCs w:val="24"/>
        </w:rPr>
        <w:t xml:space="preserve"> ф</w:t>
      </w:r>
      <w:r>
        <w:rPr>
          <w:rFonts w:ascii="Times New Roman" w:hAnsi="Times New Roman"/>
          <w:color w:val="000000"/>
          <w:sz w:val="24"/>
          <w:szCs w:val="24"/>
        </w:rPr>
        <w:t>ормирование принципов открытости деятельности органов местного самоуправления ЗАТО Северск на основе создания эффективной информационно-коммуникационной среды с учетом потребностей граждан и общества в получении объективной и достоверной информации.</w:t>
      </w:r>
    </w:p>
    <w:p>
      <w:pPr>
        <w:ind w:firstLine="709"/>
        <w:jc w:val="both"/>
        <w:rPr>
          <w:sz w:val="24"/>
          <w:szCs w:val="24"/>
        </w:rPr>
      </w:pPr>
      <w:r>
        <w:rPr>
          <w:rFonts w:ascii="Times New Roman" w:hAnsi="Times New Roman"/>
          <w:sz w:val="24"/>
          <w:szCs w:val="24"/>
        </w:rPr>
        <w:t xml:space="preserve">Ответственный исполнитель: </w:t>
      </w:r>
      <w:r>
        <w:rPr>
          <w:rFonts w:ascii="Times New Roman" w:hAnsi="Times New Roman"/>
          <w:color w:val="000000"/>
          <w:sz w:val="24"/>
          <w:szCs w:val="24"/>
        </w:rPr>
        <w:t>Комитет развития информационного общества Администрации ЗАТО Северск</w:t>
      </w:r>
      <w:r>
        <w:rPr>
          <w:sz w:val="24"/>
          <w:szCs w:val="24"/>
        </w:rPr>
        <w:t>.</w:t>
      </w:r>
    </w:p>
    <w:p>
      <w:pPr>
        <w:ind w:firstLine="709"/>
        <w:jc w:val="both"/>
        <w:rPr>
          <w:rFonts w:ascii="Times New Roman" w:hAnsi="Times New Roman"/>
          <w:sz w:val="24"/>
          <w:szCs w:val="24"/>
        </w:rPr>
      </w:pPr>
      <w:r>
        <w:rPr>
          <w:rFonts w:ascii="Times New Roman" w:hAnsi="Times New Roman"/>
          <w:sz w:val="24"/>
          <w:szCs w:val="24"/>
        </w:rPr>
        <w:t xml:space="preserve">Таблица 76 - Целевые индикаторы МП </w:t>
      </w:r>
      <w:r>
        <w:rPr>
          <w:rFonts w:ascii="Times New Roman" w:hAnsi="Times New Roman"/>
          <w:color w:val="000000"/>
          <w:sz w:val="24"/>
          <w:szCs w:val="24"/>
        </w:rPr>
        <w:t>«Развитие информационного общества ЗАТО Северск»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1134"/>
        <w:gridCol w:w="1134"/>
        <w:gridCol w:w="1134"/>
        <w:gridCol w:w="1134"/>
      </w:tblGrid>
      <w:tr>
        <w:trPr>
          <w:trHeight w:val="852"/>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Наименование целевых индикаторов результативности программы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Оценка</w:t>
            </w:r>
          </w:p>
          <w:p>
            <w:pPr>
              <w:jc w:val="center"/>
              <w:rPr>
                <w:rFonts w:ascii="Times New Roman" w:hAnsi="Times New Roman"/>
                <w:sz w:val="21"/>
                <w:szCs w:val="21"/>
              </w:rPr>
            </w:pPr>
            <w:r>
              <w:rPr>
                <w:rFonts w:ascii="Times New Roman" w:hAnsi="Times New Roman"/>
                <w:sz w:val="21"/>
                <w:szCs w:val="21"/>
              </w:rPr>
              <w:t>2020 года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Прогноз 2021 года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2022 года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2023 года</w:t>
            </w:r>
          </w:p>
        </w:tc>
      </w:tr>
      <w:tr>
        <w:tc>
          <w:tcPr>
            <w:tcW w:w="4820" w:type="dxa"/>
            <w:tcBorders>
              <w:top w:val="single" w:sz="4" w:space="0" w:color="auto"/>
              <w:left w:val="single" w:sz="4" w:space="0" w:color="auto"/>
              <w:bottom w:val="single" w:sz="4" w:space="0" w:color="auto"/>
              <w:right w:val="single" w:sz="4" w:space="0" w:color="auto"/>
            </w:tcBorders>
            <w:shd w:val="clear" w:color="auto" w:fill="auto"/>
            <w:hideMark/>
          </w:tcPr>
          <w:p>
            <w:r>
              <w:rPr>
                <w:spacing w:val="-4"/>
              </w:rPr>
              <w:t>1. </w:t>
            </w:r>
            <w:r>
              <w:rPr>
                <w:rFonts w:ascii="Times New Roman" w:hAnsi="Times New Roman"/>
                <w:color w:val="000000"/>
              </w:rPr>
              <w:t>Количество информационных систем муниципальнойинформационной системы ЗАТО Северск (далее – МИС) передачи, обработки и хранения данных в цифровой форме ЗАТО Северск, ед.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hAnsi="Times New Roman"/>
                <w:sz w:val="22"/>
                <w:szCs w:val="22"/>
              </w:rPr>
            </w:pPr>
            <w:r>
              <w:rPr>
                <w:rFonts w:ascii="Times New Roman" w:hAnsi="Times New Roman"/>
                <w:sz w:val="22"/>
                <w:szCs w:val="22"/>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hAnsi="Times New Roman"/>
                <w:sz w:val="22"/>
                <w:szCs w:val="22"/>
              </w:rPr>
            </w:pPr>
            <w:r>
              <w:rPr>
                <w:rFonts w:ascii="Times New Roman" w:hAnsi="Times New Roman"/>
                <w:sz w:val="22"/>
                <w:szCs w:val="22"/>
              </w:rPr>
              <w:t>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hAnsi="Times New Roman"/>
                <w:sz w:val="22"/>
                <w:szCs w:val="22"/>
              </w:rPr>
            </w:pPr>
            <w:r>
              <w:rPr>
                <w:rFonts w:ascii="Times New Roman" w:hAnsi="Times New Roman"/>
                <w:sz w:val="22"/>
                <w:szCs w:val="22"/>
              </w:rPr>
              <w:t>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autoSpaceDE w:val="0"/>
              <w:autoSpaceDN w:val="0"/>
              <w:adjustRightInd w:val="0"/>
              <w:jc w:val="center"/>
              <w:rPr>
                <w:rFonts w:ascii="Times New Roman" w:hAnsi="Times New Roman"/>
                <w:sz w:val="22"/>
                <w:szCs w:val="22"/>
              </w:rPr>
            </w:pPr>
            <w:r>
              <w:rPr>
                <w:rFonts w:ascii="Times New Roman" w:hAnsi="Times New Roman"/>
                <w:sz w:val="22"/>
                <w:szCs w:val="22"/>
              </w:rPr>
              <w:t>33</w:t>
            </w:r>
          </w:p>
        </w:tc>
      </w:tr>
      <w:tr>
        <w:tc>
          <w:tcPr>
            <w:tcW w:w="4820" w:type="dxa"/>
            <w:tcBorders>
              <w:top w:val="single" w:sz="4" w:space="0" w:color="auto"/>
              <w:left w:val="single" w:sz="4" w:space="0" w:color="auto"/>
              <w:bottom w:val="single" w:sz="4" w:space="0" w:color="auto"/>
              <w:right w:val="single" w:sz="4" w:space="0" w:color="auto"/>
            </w:tcBorders>
            <w:hideMark/>
          </w:tcPr>
          <w:p>
            <w:r>
              <w:rPr>
                <w:rFonts w:ascii="Times New Roman" w:hAnsi="Times New Roman"/>
              </w:rPr>
              <w:t>2. </w:t>
            </w:r>
            <w:r>
              <w:rPr>
                <w:rFonts w:ascii="Times New Roman" w:hAnsi="Times New Roman"/>
                <w:color w:val="000000"/>
              </w:rPr>
              <w:t>Доля граждан ЗАТО Северск из числа опрошенных, удовлетворенных проводимой политикой в сфере информатизации ЗАТО Северск, %</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pPr>
              <w:pStyle w:val="ConsPlusCell"/>
              <w:jc w:val="center"/>
              <w:rPr>
                <w:rFonts w:ascii="Times New Roman" w:hAnsi="Times New Roman" w:cs="Times New Roman"/>
              </w:rPr>
            </w:pPr>
            <w:r>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pPr>
              <w:pStyle w:val="ConsPlusCell"/>
              <w:jc w:val="center"/>
              <w:rPr>
                <w:rFonts w:ascii="Times New Roman" w:hAnsi="Times New Roman" w:cs="Times New Roman"/>
              </w:rPr>
            </w:pPr>
            <w:r>
              <w:rPr>
                <w:rFonts w:ascii="Times New Roman" w:hAnsi="Times New Roman" w:cs="Times New Roman"/>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16</w:t>
            </w:r>
          </w:p>
        </w:tc>
      </w:tr>
    </w:tbl>
    <w:p>
      <w:pPr>
        <w:ind w:firstLine="709"/>
        <w:jc w:val="both"/>
        <w:rPr>
          <w:rFonts w:ascii="Times New Roman" w:hAnsi="Times New Roman"/>
          <w:sz w:val="6"/>
          <w:szCs w:val="6"/>
          <w:highlight w:val="yellow"/>
        </w:rPr>
      </w:pPr>
    </w:p>
    <w:p>
      <w:pPr>
        <w:ind w:firstLine="709"/>
        <w:jc w:val="both"/>
        <w:outlineLvl w:val="0"/>
        <w:rPr>
          <w:sz w:val="24"/>
          <w:szCs w:val="24"/>
        </w:rPr>
      </w:pPr>
      <w:r>
        <w:rPr>
          <w:sz w:val="24"/>
          <w:szCs w:val="24"/>
        </w:rPr>
        <w:t xml:space="preserve">В рамках </w:t>
      </w:r>
      <w:r>
        <w:rPr>
          <w:color w:val="000000"/>
          <w:sz w:val="24"/>
          <w:szCs w:val="24"/>
        </w:rPr>
        <w:t>МП «</w:t>
      </w:r>
      <w:r>
        <w:rPr>
          <w:rFonts w:ascii="Times New Roman" w:hAnsi="Times New Roman"/>
          <w:color w:val="000000"/>
          <w:sz w:val="24"/>
          <w:szCs w:val="24"/>
        </w:rPr>
        <w:t>Развитие информационного общества ЗАТО Северск</w:t>
      </w:r>
      <w:r>
        <w:rPr>
          <w:color w:val="000000"/>
          <w:sz w:val="24"/>
          <w:szCs w:val="24"/>
        </w:rPr>
        <w:t>»</w:t>
      </w:r>
      <w:r>
        <w:rPr>
          <w:sz w:val="24"/>
          <w:szCs w:val="24"/>
        </w:rPr>
        <w:t xml:space="preserve"> реализуются 4 подпрограммы:</w:t>
      </w:r>
    </w:p>
    <w:p>
      <w:pPr>
        <w:spacing w:before="120" w:after="60"/>
        <w:ind w:firstLine="709"/>
        <w:jc w:val="both"/>
        <w:rPr>
          <w:rFonts w:ascii="Times New Roman" w:hAnsi="Times New Roman"/>
          <w:sz w:val="24"/>
          <w:szCs w:val="24"/>
        </w:rPr>
      </w:pPr>
      <w:r>
        <w:rPr>
          <w:rFonts w:ascii="Times New Roman" w:hAnsi="Times New Roman"/>
          <w:sz w:val="24"/>
          <w:szCs w:val="24"/>
        </w:rPr>
        <w:t xml:space="preserve">Таблица 77 - Объем финансового обеспечения МП </w:t>
      </w:r>
      <w:r>
        <w:rPr>
          <w:color w:val="000000"/>
          <w:sz w:val="24"/>
          <w:szCs w:val="24"/>
        </w:rPr>
        <w:t>«</w:t>
      </w:r>
      <w:r>
        <w:rPr>
          <w:rFonts w:ascii="Times New Roman" w:hAnsi="Times New Roman"/>
          <w:color w:val="000000"/>
          <w:sz w:val="24"/>
          <w:szCs w:val="24"/>
        </w:rPr>
        <w:t>Развитие информационного общества ЗАТО Северск</w:t>
      </w:r>
      <w:r>
        <w:rPr>
          <w:color w:val="000000"/>
          <w:sz w:val="24"/>
          <w:szCs w:val="24"/>
        </w:rPr>
        <w:t xml:space="preserve">» </w:t>
      </w:r>
      <w:r>
        <w:rPr>
          <w:sz w:val="24"/>
          <w:szCs w:val="24"/>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418"/>
        <w:gridCol w:w="1134"/>
        <w:gridCol w:w="1134"/>
        <w:gridCol w:w="850"/>
        <w:gridCol w:w="1134"/>
        <w:gridCol w:w="1276"/>
      </w:tblGrid>
      <w:tr>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Наименование</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Times New Roman" w:hAnsi="Times New Roman"/>
                <w:sz w:val="21"/>
                <w:szCs w:val="21"/>
              </w:rPr>
            </w:pPr>
            <w:r>
              <w:rPr>
                <w:rFonts w:ascii="Times New Roman" w:hAnsi="Times New Roman"/>
                <w:sz w:val="21"/>
                <w:szCs w:val="21"/>
              </w:rPr>
              <w:t>2020 год</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 xml:space="preserve">Прогноз </w:t>
            </w:r>
          </w:p>
          <w:p>
            <w:pPr>
              <w:jc w:val="center"/>
              <w:rPr>
                <w:rFonts w:ascii="Times New Roman" w:hAnsi="Times New Roman"/>
                <w:sz w:val="21"/>
                <w:szCs w:val="21"/>
              </w:rPr>
            </w:pPr>
            <w:r>
              <w:rPr>
                <w:rFonts w:ascii="Times New Roman" w:hAnsi="Times New Roman"/>
                <w:sz w:val="21"/>
                <w:szCs w:val="21"/>
              </w:rPr>
              <w:t>2021 года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2022 года, тыс.руб.</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sz w:val="21"/>
                <w:szCs w:val="21"/>
              </w:rPr>
            </w:pPr>
            <w:r>
              <w:rPr>
                <w:rFonts w:ascii="Times New Roman" w:hAnsi="Times New Roman"/>
                <w:sz w:val="21"/>
                <w:szCs w:val="21"/>
              </w:rPr>
              <w:t>Прогноз</w:t>
            </w:r>
          </w:p>
          <w:p>
            <w:pPr>
              <w:jc w:val="center"/>
              <w:rPr>
                <w:rFonts w:ascii="Times New Roman" w:hAnsi="Times New Roman"/>
                <w:sz w:val="21"/>
                <w:szCs w:val="21"/>
              </w:rPr>
            </w:pPr>
            <w:r>
              <w:rPr>
                <w:rFonts w:ascii="Times New Roman" w:hAnsi="Times New Roman"/>
                <w:sz w:val="21"/>
                <w:szCs w:val="21"/>
              </w:rPr>
              <w:t>2023 года, тыс.руб.</w:t>
            </w:r>
          </w:p>
        </w:tc>
      </w:tr>
      <w:tr>
        <w:tc>
          <w:tcPr>
            <w:tcW w:w="2410"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sz w:val="21"/>
                <w:szCs w:val="21"/>
                <w:highlight w:val="yellow"/>
              </w:rPr>
            </w:pPr>
          </w:p>
        </w:tc>
        <w:tc>
          <w:tcPr>
            <w:tcW w:w="1418"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sz w:val="21"/>
                <w:szCs w:val="21"/>
              </w:rPr>
            </w:pPr>
            <w:r>
              <w:rPr>
                <w:rFonts w:ascii="Times New Roman" w:hAnsi="Times New Roman"/>
                <w:sz w:val="21"/>
                <w:szCs w:val="21"/>
              </w:rPr>
              <w:t>Первона-</w:t>
            </w:r>
          </w:p>
          <w:p>
            <w:pPr>
              <w:jc w:val="center"/>
              <w:rPr>
                <w:rFonts w:ascii="Times New Roman" w:hAnsi="Times New Roman"/>
                <w:sz w:val="21"/>
                <w:szCs w:val="21"/>
              </w:rPr>
            </w:pPr>
            <w:r>
              <w:rPr>
                <w:rFonts w:ascii="Times New Roman" w:hAnsi="Times New Roman"/>
                <w:sz w:val="21"/>
                <w:szCs w:val="21"/>
              </w:rPr>
              <w:t>чально</w:t>
            </w:r>
          </w:p>
          <w:p>
            <w:pPr>
              <w:jc w:val="center"/>
              <w:rPr>
                <w:rFonts w:ascii="Times New Roman" w:hAnsi="Times New Roman"/>
                <w:sz w:val="21"/>
                <w:szCs w:val="21"/>
              </w:rPr>
            </w:pPr>
            <w:r>
              <w:rPr>
                <w:rFonts w:ascii="Times New Roman" w:hAnsi="Times New Roman"/>
                <w:sz w:val="21"/>
                <w:szCs w:val="21"/>
              </w:rPr>
              <w:t>утверждено,</w:t>
            </w:r>
            <w:r>
              <w:rPr>
                <w:rFonts w:ascii="Times New Roman" w:hAnsi="Times New Roman"/>
                <w:sz w:val="21"/>
                <w:szCs w:val="21"/>
              </w:rPr>
              <w:br/>
              <w:t>тыс.руб.</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Оценка,</w:t>
            </w:r>
          </w:p>
          <w:p>
            <w:pPr>
              <w:jc w:val="center"/>
              <w:rPr>
                <w:rFonts w:ascii="Times New Roman" w:hAnsi="Times New Roman"/>
                <w:sz w:val="21"/>
                <w:szCs w:val="21"/>
              </w:rPr>
            </w:pPr>
            <w:r>
              <w:rPr>
                <w:rFonts w:ascii="Times New Roman" w:hAnsi="Times New Roman"/>
                <w:sz w:val="21"/>
                <w:szCs w:val="21"/>
              </w:rPr>
              <w:t xml:space="preserve"> тыс.руб.</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Сумма,</w:t>
            </w:r>
          </w:p>
          <w:p>
            <w:pPr>
              <w:jc w:val="center"/>
              <w:rPr>
                <w:rFonts w:ascii="Times New Roman" w:hAnsi="Times New Roman"/>
                <w:sz w:val="21"/>
                <w:szCs w:val="21"/>
              </w:rPr>
            </w:pPr>
            <w:r>
              <w:rPr>
                <w:rFonts w:ascii="Times New Roman" w:hAnsi="Times New Roman"/>
                <w:sz w:val="21"/>
                <w:szCs w:val="21"/>
              </w:rPr>
              <w:t>тыс.руб.</w:t>
            </w:r>
          </w:p>
        </w:tc>
        <w:tc>
          <w:tcPr>
            <w:tcW w:w="850"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1"/>
                <w:szCs w:val="21"/>
              </w:rPr>
            </w:pPr>
            <w:r>
              <w:rPr>
                <w:rFonts w:ascii="Times New Roman" w:hAnsi="Times New Roman"/>
                <w:sz w:val="21"/>
                <w:szCs w:val="21"/>
              </w:rPr>
              <w:t>%</w:t>
            </w:r>
          </w:p>
        </w:tc>
        <w:tc>
          <w:tcPr>
            <w:tcW w:w="1134"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sz w:val="21"/>
                <w:szCs w:val="21"/>
                <w:highlight w:val="yellow"/>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sz w:val="21"/>
                <w:szCs w:val="21"/>
                <w:highlight w:val="yellow"/>
              </w:rPr>
            </w:pPr>
          </w:p>
        </w:tc>
      </w:tr>
      <w:tr>
        <w:tc>
          <w:tcPr>
            <w:tcW w:w="2410" w:type="dxa"/>
            <w:tcBorders>
              <w:top w:val="single" w:sz="4" w:space="0" w:color="auto"/>
              <w:left w:val="single" w:sz="4" w:space="0" w:color="auto"/>
              <w:bottom w:val="single" w:sz="4" w:space="0" w:color="auto"/>
              <w:right w:val="single" w:sz="4" w:space="0" w:color="auto"/>
            </w:tcBorders>
            <w:hideMark/>
          </w:tcPr>
          <w:p>
            <w:pPr>
              <w:jc w:val="both"/>
              <w:rPr>
                <w:sz w:val="21"/>
                <w:szCs w:val="21"/>
              </w:rPr>
            </w:pPr>
            <w:r>
              <w:rPr>
                <w:sz w:val="21"/>
                <w:szCs w:val="21"/>
              </w:rPr>
              <w:t>ВСЕГО по МП</w:t>
            </w:r>
          </w:p>
        </w:tc>
        <w:tc>
          <w:tcPr>
            <w:tcW w:w="141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4 604,58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5 092,50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6 208,09</w:t>
            </w:r>
          </w:p>
        </w:tc>
        <w:tc>
          <w:tcPr>
            <w:tcW w:w="850"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121,9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2 218,09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rPr>
            </w:pPr>
            <w:r>
              <w:rPr>
                <w:rFonts w:ascii="Times New Roman" w:hAnsi="Times New Roman"/>
                <w:sz w:val="22"/>
                <w:szCs w:val="22"/>
              </w:rPr>
              <w:t>2 218,09</w:t>
            </w:r>
          </w:p>
        </w:tc>
      </w:tr>
      <w:tr>
        <w:trPr>
          <w:trHeight w:val="918"/>
        </w:trPr>
        <w:tc>
          <w:tcPr>
            <w:tcW w:w="2410" w:type="dxa"/>
            <w:tcBorders>
              <w:top w:val="single" w:sz="4" w:space="0" w:color="auto"/>
              <w:left w:val="single" w:sz="4" w:space="0" w:color="auto"/>
              <w:bottom w:val="single" w:sz="4" w:space="0" w:color="auto"/>
              <w:right w:val="single" w:sz="4" w:space="0" w:color="auto"/>
            </w:tcBorders>
            <w:hideMark/>
          </w:tcPr>
          <w:p>
            <w:pPr>
              <w:outlineLvl w:val="0"/>
            </w:pPr>
            <w:r>
              <w:t>Подпрограмма 1</w:t>
            </w:r>
          </w:p>
          <w:p>
            <w:pPr>
              <w:outlineLvl w:val="0"/>
            </w:pPr>
            <w:r>
              <w:t>«</w:t>
            </w:r>
            <w:r>
              <w:rPr>
                <w:rFonts w:ascii="Times New Roman" w:hAnsi="Times New Roman"/>
                <w:color w:val="000000"/>
              </w:rPr>
              <w:t>Информационная инфраструктура в ЗАТО Северск</w:t>
            </w:r>
            <w:r>
              <w:t>»</w:t>
            </w:r>
          </w:p>
        </w:tc>
        <w:tc>
          <w:tcPr>
            <w:tcW w:w="1418"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566,0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701,98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701,98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highlight w:val="yellow"/>
              </w:rPr>
            </w:pPr>
            <w:r>
              <w:rPr>
                <w:rFonts w:ascii="Times New Roman" w:hAnsi="Times New Roman"/>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right"/>
              <w:rPr>
                <w:rFonts w:ascii="Times New Roman" w:hAnsi="Times New Roman"/>
                <w:sz w:val="22"/>
                <w:szCs w:val="22"/>
                <w:highlight w:val="yellow"/>
              </w:rPr>
            </w:pPr>
          </w:p>
        </w:tc>
      </w:tr>
      <w:tr>
        <w:trPr>
          <w:trHeight w:val="221"/>
        </w:trPr>
        <w:tc>
          <w:tcPr>
            <w:tcW w:w="2410" w:type="dxa"/>
            <w:tcBorders>
              <w:top w:val="single" w:sz="4" w:space="0" w:color="auto"/>
              <w:left w:val="single" w:sz="4" w:space="0" w:color="auto"/>
              <w:bottom w:val="single" w:sz="4" w:space="0" w:color="auto"/>
              <w:right w:val="single" w:sz="4" w:space="0" w:color="auto"/>
            </w:tcBorders>
            <w:hideMark/>
          </w:tcPr>
          <w:p>
            <w:pPr>
              <w:jc w:val="both"/>
              <w:outlineLvl w:val="0"/>
              <w:rPr>
                <w:bCs/>
              </w:rPr>
            </w:pPr>
            <w:r>
              <w:t>Подпрограмма</w:t>
            </w:r>
            <w:r>
              <w:rPr>
                <w:bCs/>
              </w:rPr>
              <w:t xml:space="preserve"> 2 </w:t>
            </w:r>
          </w:p>
          <w:p>
            <w:pPr>
              <w:jc w:val="both"/>
              <w:outlineLvl w:val="0"/>
            </w:pPr>
            <w:r>
              <w:rPr>
                <w:bCs/>
              </w:rPr>
              <w:t>«</w:t>
            </w:r>
            <w:r>
              <w:rPr>
                <w:rFonts w:ascii="Times New Roman" w:hAnsi="Times New Roman"/>
                <w:color w:val="000000"/>
              </w:rPr>
              <w:t>Информационная безопасность в ЗАТО Северск</w:t>
            </w:r>
            <w:r>
              <w:rPr>
                <w:bCs/>
              </w:rPr>
              <w:t>»</w:t>
            </w:r>
          </w:p>
        </w:tc>
        <w:tc>
          <w:tcPr>
            <w:tcW w:w="1418" w:type="dxa"/>
            <w:tcBorders>
              <w:left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870,58</w:t>
            </w:r>
          </w:p>
        </w:tc>
        <w:tc>
          <w:tcPr>
            <w:tcW w:w="1134" w:type="dxa"/>
            <w:tcBorders>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3 297,99</w:t>
            </w:r>
          </w:p>
        </w:tc>
        <w:tc>
          <w:tcPr>
            <w:tcW w:w="1134" w:type="dxa"/>
            <w:tcBorders>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2 486,58</w:t>
            </w:r>
          </w:p>
        </w:tc>
        <w:tc>
          <w:tcPr>
            <w:tcW w:w="850" w:type="dxa"/>
            <w:tcBorders>
              <w:left w:val="single" w:sz="4" w:space="0" w:color="auto"/>
              <w:right w:val="single" w:sz="4" w:space="0" w:color="auto"/>
            </w:tcBorders>
            <w:vAlign w:val="center"/>
            <w:hideMark/>
          </w:tcPr>
          <w:p>
            <w:pPr>
              <w:jc w:val="right"/>
              <w:rPr>
                <w:rFonts w:ascii="Times New Roman" w:hAnsi="Times New Roman"/>
                <w:sz w:val="22"/>
                <w:szCs w:val="22"/>
                <w:highlight w:val="yellow"/>
              </w:rPr>
            </w:pPr>
            <w:r>
              <w:rPr>
                <w:rFonts w:ascii="Times New Roman" w:hAnsi="Times New Roman"/>
                <w:sz w:val="22"/>
                <w:szCs w:val="22"/>
              </w:rPr>
              <w:t>75,4</w:t>
            </w:r>
          </w:p>
        </w:tc>
        <w:tc>
          <w:tcPr>
            <w:tcW w:w="1134" w:type="dxa"/>
            <w:tcBorders>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267,09</w:t>
            </w:r>
          </w:p>
        </w:tc>
        <w:tc>
          <w:tcPr>
            <w:tcW w:w="1276" w:type="dxa"/>
            <w:tcBorders>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267,09</w:t>
            </w:r>
          </w:p>
        </w:tc>
      </w:tr>
      <w:tr>
        <w:tc>
          <w:tcPr>
            <w:tcW w:w="2410" w:type="dxa"/>
            <w:tcBorders>
              <w:top w:val="single" w:sz="4" w:space="0" w:color="auto"/>
              <w:left w:val="single" w:sz="4" w:space="0" w:color="auto"/>
              <w:bottom w:val="single" w:sz="4" w:space="0" w:color="auto"/>
              <w:right w:val="single" w:sz="4" w:space="0" w:color="auto"/>
            </w:tcBorders>
            <w:vAlign w:val="center"/>
            <w:hideMark/>
          </w:tcPr>
          <w:p>
            <w:pPr>
              <w:outlineLvl w:val="0"/>
            </w:pPr>
            <w:r>
              <w:t xml:space="preserve">Подпрограмма 3 </w:t>
            </w:r>
          </w:p>
          <w:p>
            <w:pPr>
              <w:outlineLvl w:val="0"/>
            </w:pPr>
            <w:r>
              <w:t>«</w:t>
            </w:r>
            <w:r>
              <w:rPr>
                <w:rFonts w:ascii="Times New Roman" w:hAnsi="Times New Roman"/>
                <w:color w:val="000000"/>
              </w:rPr>
              <w:t>Эффективное управление с использованием информационно-телекоммуникационных технологий в ЗАТО Северск</w:t>
            </w:r>
            <w:r>
              <w:t>»</w:t>
            </w:r>
          </w:p>
        </w:tc>
        <w:tc>
          <w:tcPr>
            <w:tcW w:w="1418" w:type="dxa"/>
            <w:tcBorders>
              <w:top w:val="single" w:sz="4" w:space="0" w:color="auto"/>
              <w:left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1 015,70</w:t>
            </w:r>
          </w:p>
        </w:tc>
        <w:tc>
          <w:tcPr>
            <w:tcW w:w="1134"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1 015,70</w:t>
            </w:r>
          </w:p>
        </w:tc>
        <w:tc>
          <w:tcPr>
            <w:tcW w:w="1134"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2 377,0</w:t>
            </w:r>
          </w:p>
        </w:tc>
        <w:tc>
          <w:tcPr>
            <w:tcW w:w="850"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highlight w:val="yellow"/>
              </w:rPr>
            </w:pPr>
            <w:r>
              <w:rPr>
                <w:rFonts w:ascii="Times New Roman" w:hAnsi="Times New Roman"/>
                <w:sz w:val="22"/>
                <w:szCs w:val="22"/>
              </w:rPr>
              <w:t>234,0</w:t>
            </w:r>
          </w:p>
        </w:tc>
        <w:tc>
          <w:tcPr>
            <w:tcW w:w="1134" w:type="dxa"/>
            <w:tcBorders>
              <w:top w:val="single" w:sz="4" w:space="0" w:color="auto"/>
              <w:left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1 927,0</w:t>
            </w:r>
          </w:p>
        </w:tc>
        <w:tc>
          <w:tcPr>
            <w:tcW w:w="1276" w:type="dxa"/>
            <w:tcBorders>
              <w:top w:val="single" w:sz="4" w:space="0" w:color="auto"/>
              <w:left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1 927,0</w:t>
            </w:r>
          </w:p>
        </w:tc>
      </w:tr>
      <w:tr>
        <w:tc>
          <w:tcPr>
            <w:tcW w:w="2410" w:type="dxa"/>
            <w:tcBorders>
              <w:top w:val="single" w:sz="4" w:space="0" w:color="auto"/>
              <w:left w:val="single" w:sz="4" w:space="0" w:color="auto"/>
              <w:bottom w:val="single" w:sz="4" w:space="0" w:color="auto"/>
              <w:right w:val="single" w:sz="4" w:space="0" w:color="auto"/>
            </w:tcBorders>
            <w:vAlign w:val="center"/>
            <w:hideMark/>
          </w:tcPr>
          <w:p>
            <w:pPr>
              <w:outlineLvl w:val="0"/>
            </w:pPr>
            <w:r>
              <w:t xml:space="preserve">Подпрограмма 4 </w:t>
            </w:r>
          </w:p>
          <w:p>
            <w:pPr>
              <w:outlineLvl w:val="0"/>
            </w:pPr>
            <w:r>
              <w:t>«</w:t>
            </w:r>
            <w:r>
              <w:rPr>
                <w:rFonts w:ascii="Times New Roman" w:hAnsi="Times New Roman"/>
                <w:color w:val="000000"/>
              </w:rPr>
              <w:t>Информатизация в социальной и экономической сферах ЗАТО Северск</w:t>
            </w:r>
            <w:r>
              <w:t>»</w:t>
            </w:r>
          </w:p>
        </w:tc>
        <w:tc>
          <w:tcPr>
            <w:tcW w:w="1418" w:type="dxa"/>
            <w:tcBorders>
              <w:top w:val="single" w:sz="4" w:space="0" w:color="auto"/>
              <w:left w:val="single" w:sz="4" w:space="0" w:color="auto"/>
              <w:right w:val="single" w:sz="4" w:space="0" w:color="auto"/>
            </w:tcBorders>
            <w:vAlign w:val="center"/>
          </w:tcPr>
          <w:p>
            <w:pPr>
              <w:jc w:val="right"/>
              <w:rPr>
                <w:rFonts w:ascii="Times New Roman" w:hAnsi="Times New Roman"/>
                <w:sz w:val="22"/>
                <w:szCs w:val="22"/>
              </w:rPr>
            </w:pPr>
            <w:r>
              <w:rPr>
                <w:rFonts w:ascii="Times New Roman" w:hAnsi="Times New Roman"/>
                <w:sz w:val="22"/>
                <w:szCs w:val="22"/>
              </w:rPr>
              <w:t>2 152,30</w:t>
            </w:r>
          </w:p>
        </w:tc>
        <w:tc>
          <w:tcPr>
            <w:tcW w:w="1134"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76,83</w:t>
            </w:r>
          </w:p>
        </w:tc>
        <w:tc>
          <w:tcPr>
            <w:tcW w:w="1134"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642,53</w:t>
            </w:r>
          </w:p>
        </w:tc>
        <w:tc>
          <w:tcPr>
            <w:tcW w:w="850"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highlight w:val="yellow"/>
              </w:rPr>
            </w:pPr>
            <w:r>
              <w:rPr>
                <w:rFonts w:ascii="Times New Roman" w:hAnsi="Times New Roman"/>
                <w:sz w:val="22"/>
                <w:szCs w:val="22"/>
              </w:rPr>
              <w:t>836,3</w:t>
            </w:r>
          </w:p>
        </w:tc>
        <w:tc>
          <w:tcPr>
            <w:tcW w:w="1134"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24,0</w:t>
            </w:r>
          </w:p>
        </w:tc>
        <w:tc>
          <w:tcPr>
            <w:tcW w:w="1276" w:type="dxa"/>
            <w:tcBorders>
              <w:top w:val="single" w:sz="4" w:space="0" w:color="auto"/>
              <w:left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24,0</w:t>
            </w:r>
          </w:p>
        </w:tc>
      </w:tr>
    </w:tbl>
    <w:p>
      <w:pPr>
        <w:ind w:firstLine="709"/>
        <w:jc w:val="both"/>
        <w:outlineLvl w:val="0"/>
        <w:rPr>
          <w:rFonts w:ascii="Times New Roman" w:hAnsi="Times New Roman"/>
          <w:sz w:val="24"/>
          <w:szCs w:val="24"/>
        </w:rPr>
      </w:pPr>
    </w:p>
    <w:p>
      <w:pPr>
        <w:spacing w:before="120" w:after="60"/>
        <w:ind w:firstLine="709"/>
        <w:jc w:val="both"/>
        <w:rPr>
          <w:rFonts w:ascii="Times New Roman" w:hAnsi="Times New Roman"/>
          <w:sz w:val="24"/>
          <w:szCs w:val="24"/>
        </w:rPr>
      </w:pPr>
      <w:r>
        <w:rPr>
          <w:rFonts w:ascii="Times New Roman" w:hAnsi="Times New Roman"/>
          <w:sz w:val="24"/>
          <w:szCs w:val="24"/>
        </w:rPr>
        <w:t xml:space="preserve">На 2021 год общий объем расходов по МП </w:t>
      </w:r>
      <w:r>
        <w:rPr>
          <w:color w:val="000000"/>
          <w:sz w:val="24"/>
          <w:szCs w:val="24"/>
        </w:rPr>
        <w:t>«</w:t>
      </w:r>
      <w:r>
        <w:rPr>
          <w:rFonts w:ascii="Times New Roman" w:hAnsi="Times New Roman"/>
          <w:color w:val="000000"/>
          <w:sz w:val="24"/>
          <w:szCs w:val="24"/>
        </w:rPr>
        <w:t>Развитие информационного общества ЗАТО Северск</w:t>
      </w:r>
      <w:r>
        <w:rPr>
          <w:color w:val="000000"/>
          <w:sz w:val="24"/>
          <w:szCs w:val="24"/>
        </w:rPr>
        <w:t xml:space="preserve">» </w:t>
      </w:r>
      <w:r>
        <w:rPr>
          <w:sz w:val="24"/>
          <w:szCs w:val="24"/>
        </w:rPr>
        <w:t xml:space="preserve"> составит 6 208,09</w:t>
      </w:r>
      <w:r>
        <w:rPr>
          <w:rFonts w:ascii="Times New Roman" w:hAnsi="Times New Roman"/>
          <w:sz w:val="24"/>
          <w:szCs w:val="24"/>
        </w:rPr>
        <w:t xml:space="preserve"> тыс.руб., в том числе по подпрограммам:</w:t>
      </w:r>
    </w:p>
    <w:p>
      <w:pPr>
        <w:ind w:firstLine="709"/>
        <w:jc w:val="both"/>
        <w:outlineLvl w:val="0"/>
        <w:rPr>
          <w:sz w:val="24"/>
          <w:szCs w:val="24"/>
        </w:rPr>
      </w:pPr>
      <w:r>
        <w:rPr>
          <w:sz w:val="24"/>
          <w:szCs w:val="24"/>
        </w:rPr>
        <w:t>По подпрограмме 1 «</w:t>
      </w:r>
      <w:r>
        <w:rPr>
          <w:rFonts w:ascii="Times New Roman" w:hAnsi="Times New Roman"/>
          <w:color w:val="000000"/>
          <w:sz w:val="24"/>
          <w:szCs w:val="24"/>
        </w:rPr>
        <w:t>Информационная инфраструктура в ЗАТО Северск</w:t>
      </w:r>
      <w:r>
        <w:rPr>
          <w:sz w:val="24"/>
          <w:szCs w:val="24"/>
        </w:rPr>
        <w:t>»  предусмотрены расходы на приобретение серверного оборудования в сумме 701,98 тыс.руб.</w:t>
      </w:r>
    </w:p>
    <w:p>
      <w:pPr>
        <w:ind w:firstLine="709"/>
        <w:jc w:val="both"/>
        <w:outlineLvl w:val="0"/>
        <w:rPr>
          <w:sz w:val="6"/>
          <w:szCs w:val="6"/>
          <w:highlight w:val="yellow"/>
        </w:rPr>
      </w:pPr>
    </w:p>
    <w:p>
      <w:pPr>
        <w:autoSpaceDE w:val="0"/>
        <w:autoSpaceDN w:val="0"/>
        <w:adjustRightInd w:val="0"/>
        <w:ind w:firstLine="709"/>
        <w:jc w:val="both"/>
        <w:rPr>
          <w:bCs/>
          <w:sz w:val="24"/>
          <w:szCs w:val="24"/>
        </w:rPr>
      </w:pPr>
      <w:r>
        <w:rPr>
          <w:sz w:val="24"/>
          <w:szCs w:val="24"/>
        </w:rPr>
        <w:t>По подпрограмме</w:t>
      </w:r>
      <w:r>
        <w:rPr>
          <w:bCs/>
          <w:sz w:val="24"/>
          <w:szCs w:val="24"/>
        </w:rPr>
        <w:t xml:space="preserve"> 2 «</w:t>
      </w:r>
      <w:r>
        <w:rPr>
          <w:rFonts w:ascii="Times New Roman" w:hAnsi="Times New Roman"/>
          <w:color w:val="000000"/>
          <w:sz w:val="24"/>
          <w:szCs w:val="24"/>
        </w:rPr>
        <w:t>Информационная безопасность в ЗАТО Северск</w:t>
      </w:r>
      <w:r>
        <w:rPr>
          <w:bCs/>
          <w:sz w:val="24"/>
          <w:szCs w:val="24"/>
        </w:rPr>
        <w:t>»</w:t>
      </w:r>
      <w:r>
        <w:rPr>
          <w:sz w:val="24"/>
          <w:szCs w:val="24"/>
        </w:rPr>
        <w:t xml:space="preserve"> предусмотрены расходы:</w:t>
      </w:r>
    </w:p>
    <w:p>
      <w:pPr>
        <w:autoSpaceDE w:val="0"/>
        <w:autoSpaceDN w:val="0"/>
        <w:adjustRightInd w:val="0"/>
        <w:ind w:firstLine="709"/>
        <w:jc w:val="both"/>
        <w:rPr>
          <w:bCs/>
          <w:sz w:val="24"/>
          <w:szCs w:val="24"/>
        </w:rPr>
      </w:pPr>
      <w:r>
        <w:rPr>
          <w:bCs/>
          <w:sz w:val="24"/>
          <w:szCs w:val="24"/>
        </w:rPr>
        <w:t>- на оказание услуг по модернизации и аттестации информационных систем Администрации ЗАТО Северск на соответствие требованиям по безопасности информации в сумме 1 463,40 тыс.руб.;</w:t>
      </w:r>
    </w:p>
    <w:p>
      <w:pPr>
        <w:autoSpaceDE w:val="0"/>
        <w:autoSpaceDN w:val="0"/>
        <w:adjustRightInd w:val="0"/>
        <w:ind w:firstLine="709"/>
        <w:jc w:val="both"/>
        <w:rPr>
          <w:bCs/>
          <w:sz w:val="24"/>
          <w:szCs w:val="24"/>
        </w:rPr>
      </w:pPr>
      <w:r>
        <w:rPr>
          <w:bCs/>
          <w:sz w:val="24"/>
          <w:szCs w:val="24"/>
        </w:rPr>
        <w:t>- на оказание услуг по технической поддержке программно-аппаратных и программных средств VipNet в сумме 870,58 тыс.руб.;</w:t>
      </w:r>
    </w:p>
    <w:p>
      <w:pPr>
        <w:autoSpaceDE w:val="0"/>
        <w:autoSpaceDN w:val="0"/>
        <w:adjustRightInd w:val="0"/>
        <w:ind w:firstLine="709"/>
        <w:jc w:val="both"/>
        <w:rPr>
          <w:rFonts w:ascii="Times New Roman" w:hAnsi="Times New Roman"/>
          <w:sz w:val="24"/>
          <w:szCs w:val="24"/>
        </w:rPr>
      </w:pPr>
      <w:r>
        <w:rPr>
          <w:bCs/>
          <w:sz w:val="24"/>
          <w:szCs w:val="24"/>
        </w:rPr>
        <w:t xml:space="preserve">- на поставку средств защиты информации для приведения в соответствие автоматизированных систем на базе ПЭВМ требованиям по защите конфиденциальной информации </w:t>
      </w:r>
      <w:r>
        <w:rPr>
          <w:rFonts w:ascii="Times New Roman" w:eastAsia="Calibri" w:hAnsi="Times New Roman"/>
          <w:sz w:val="24"/>
          <w:szCs w:val="24"/>
          <w:lang w:eastAsia="en-US"/>
        </w:rPr>
        <w:t>в сумме 152,60</w:t>
      </w:r>
      <w:r>
        <w:rPr>
          <w:rFonts w:ascii="Times New Roman" w:hAnsi="Times New Roman"/>
          <w:sz w:val="24"/>
          <w:szCs w:val="24"/>
        </w:rPr>
        <w:t xml:space="preserve"> тыс.руб.</w:t>
      </w:r>
    </w:p>
    <w:p>
      <w:pPr>
        <w:autoSpaceDE w:val="0"/>
        <w:autoSpaceDN w:val="0"/>
        <w:adjustRightInd w:val="0"/>
        <w:ind w:firstLine="709"/>
        <w:jc w:val="both"/>
        <w:rPr>
          <w:rFonts w:ascii="Times New Roman" w:hAnsi="Times New Roman"/>
          <w:color w:val="000000"/>
          <w:sz w:val="24"/>
          <w:szCs w:val="24"/>
        </w:rPr>
      </w:pPr>
      <w:r>
        <w:rPr>
          <w:rFonts w:ascii="Times New Roman" w:hAnsi="Times New Roman"/>
          <w:sz w:val="24"/>
          <w:szCs w:val="24"/>
        </w:rPr>
        <w:t>По подпрограмме 3 «</w:t>
      </w:r>
      <w:r>
        <w:rPr>
          <w:rFonts w:ascii="Times New Roman" w:hAnsi="Times New Roman"/>
          <w:color w:val="000000"/>
          <w:sz w:val="24"/>
          <w:szCs w:val="24"/>
        </w:rPr>
        <w:t>Эффективное управление с использованием информационно-телекоммуникационных технологий в ЗАТО Северск» предусмотрены расходы:</w:t>
      </w:r>
    </w:p>
    <w:p>
      <w:pPr>
        <w:autoSpaceDE w:val="0"/>
        <w:autoSpaceDN w:val="0"/>
        <w:adjustRightInd w:val="0"/>
        <w:ind w:firstLine="709"/>
        <w:jc w:val="both"/>
        <w:rPr>
          <w:rFonts w:ascii="Times New Roman" w:hAnsi="Times New Roman"/>
          <w:color w:val="000000"/>
          <w:sz w:val="24"/>
          <w:szCs w:val="24"/>
        </w:rPr>
      </w:pPr>
      <w:r>
        <w:rPr>
          <w:rFonts w:ascii="Times New Roman" w:hAnsi="Times New Roman"/>
          <w:color w:val="000000"/>
          <w:sz w:val="24"/>
          <w:szCs w:val="24"/>
        </w:rPr>
        <w:t>- на организацию централизованной закупки услуг по предоставлению 100 одновременных доступов к системе "Консультант Плюс" в сумме 1 927,0 тыс.руб.;</w:t>
      </w:r>
    </w:p>
    <w:p>
      <w:pPr>
        <w:autoSpaceDE w:val="0"/>
        <w:autoSpaceDN w:val="0"/>
        <w:adjustRightInd w:val="0"/>
        <w:ind w:firstLine="709"/>
        <w:jc w:val="both"/>
        <w:rPr>
          <w:rFonts w:ascii="Times New Roman" w:hAnsi="Times New Roman"/>
          <w:sz w:val="24"/>
          <w:szCs w:val="24"/>
        </w:rPr>
      </w:pPr>
      <w:r>
        <w:rPr>
          <w:rFonts w:ascii="Times New Roman" w:hAnsi="Times New Roman"/>
          <w:color w:val="000000"/>
          <w:sz w:val="24"/>
          <w:szCs w:val="24"/>
        </w:rPr>
        <w:t>- на оказание услуг по развитию автоматизированной муниципальной информационной системы Администрации ЗАТО Северск (Единый портал) в сумме 450,0 тыс.руб.</w:t>
      </w:r>
    </w:p>
    <w:p>
      <w:pPr>
        <w:autoSpaceDE w:val="0"/>
        <w:autoSpaceDN w:val="0"/>
        <w:adjustRightInd w:val="0"/>
        <w:ind w:firstLine="709"/>
        <w:jc w:val="both"/>
        <w:rPr>
          <w:rFonts w:ascii="Times New Roman" w:eastAsia="Calibri" w:hAnsi="Times New Roman"/>
          <w:sz w:val="6"/>
          <w:szCs w:val="6"/>
          <w:highlight w:val="yellow"/>
          <w:lang w:eastAsia="en-US"/>
        </w:rPr>
      </w:pPr>
    </w:p>
    <w:p>
      <w:pPr>
        <w:autoSpaceDE w:val="0"/>
        <w:autoSpaceDN w:val="0"/>
        <w:adjustRightInd w:val="0"/>
        <w:ind w:firstLine="709"/>
        <w:jc w:val="both"/>
        <w:rPr>
          <w:rFonts w:ascii="Times New Roman" w:hAnsi="Times New Roman"/>
          <w:color w:val="000000"/>
          <w:sz w:val="24"/>
          <w:szCs w:val="24"/>
        </w:rPr>
      </w:pPr>
      <w:r>
        <w:rPr>
          <w:sz w:val="24"/>
          <w:szCs w:val="24"/>
        </w:rPr>
        <w:t>По подпрограмме 4 «</w:t>
      </w:r>
      <w:r>
        <w:rPr>
          <w:rFonts w:ascii="Times New Roman" w:hAnsi="Times New Roman"/>
          <w:color w:val="000000"/>
          <w:sz w:val="24"/>
          <w:szCs w:val="24"/>
        </w:rPr>
        <w:t>Информатизация в социальной и экономической сферах ЗАТО Северск» предусмотрены расходы на оказание услуг по развитию и обеспечению населения электронными сервисами активного участия в муниципальной информационной системе «Мой Северск» в сумме 642,53 тыс.руб.</w:t>
      </w:r>
    </w:p>
    <w:p>
      <w:pPr>
        <w:pStyle w:val="ConsPlusNormal"/>
        <w:tabs>
          <w:tab w:val="left" w:pos="3600"/>
        </w:tabs>
        <w:ind w:firstLine="709"/>
        <w:jc w:val="both"/>
        <w:rPr>
          <w:rFonts w:ascii="Times New Roman" w:hAnsi="Times New Roman"/>
          <w:b/>
          <w:color w:val="000000"/>
          <w:sz w:val="24"/>
          <w:szCs w:val="24"/>
        </w:rPr>
      </w:pPr>
    </w:p>
    <w:p>
      <w:pPr>
        <w:pStyle w:val="ConsPlusNormal"/>
        <w:tabs>
          <w:tab w:val="left" w:pos="3600"/>
        </w:tabs>
        <w:ind w:firstLine="709"/>
        <w:jc w:val="both"/>
        <w:rPr>
          <w:rFonts w:ascii="Times New Roman" w:hAnsi="Times New Roman"/>
          <w:color w:val="000000"/>
          <w:sz w:val="24"/>
          <w:szCs w:val="24"/>
        </w:rPr>
      </w:pPr>
      <w:r>
        <w:rPr>
          <w:rFonts w:ascii="Times New Roman" w:hAnsi="Times New Roman"/>
          <w:b/>
          <w:color w:val="000000"/>
          <w:sz w:val="24"/>
          <w:szCs w:val="24"/>
        </w:rPr>
        <w:t>2.7.4.1. По направлению «</w:t>
      </w:r>
      <w:r>
        <w:rPr>
          <w:rFonts w:ascii="Times New Roman" w:hAnsi="Times New Roman"/>
          <w:b/>
          <w:bCs/>
          <w:color w:val="000000"/>
          <w:sz w:val="24"/>
          <w:szCs w:val="24"/>
        </w:rPr>
        <w:t xml:space="preserve">Диверсификация экономики» </w:t>
      </w:r>
      <w:r>
        <w:rPr>
          <w:rFonts w:ascii="Times New Roman" w:hAnsi="Times New Roman"/>
          <w:color w:val="000000"/>
          <w:sz w:val="24"/>
          <w:szCs w:val="24"/>
        </w:rPr>
        <w:t>планируется к реализации 1 муниципальная программа.</w:t>
      </w:r>
    </w:p>
    <w:p>
      <w:pPr>
        <w:pStyle w:val="ConsPlusNormal"/>
        <w:tabs>
          <w:tab w:val="left" w:pos="3600"/>
        </w:tabs>
        <w:ind w:firstLine="709"/>
        <w:jc w:val="both"/>
        <w:rPr>
          <w:rFonts w:ascii="Times New Roman" w:hAnsi="Times New Roman"/>
          <w:color w:val="000000"/>
          <w:sz w:val="24"/>
          <w:szCs w:val="24"/>
        </w:rPr>
      </w:pPr>
      <w:r>
        <w:rPr>
          <w:rFonts w:ascii="Times New Roman" w:hAnsi="Times New Roman"/>
          <w:sz w:val="24"/>
          <w:szCs w:val="24"/>
        </w:rPr>
        <w:t>Таблица 78 – Программное р</w:t>
      </w:r>
      <w:r>
        <w:rPr>
          <w:rFonts w:ascii="Times New Roman" w:hAnsi="Times New Roman"/>
          <w:color w:val="000000"/>
          <w:sz w:val="24"/>
          <w:szCs w:val="24"/>
        </w:rPr>
        <w:t>аспределение бюджетных ассигнований по направлению «</w:t>
      </w:r>
      <w:r>
        <w:rPr>
          <w:rFonts w:ascii="Times New Roman" w:hAnsi="Times New Roman"/>
          <w:bCs/>
          <w:color w:val="000000"/>
          <w:sz w:val="24"/>
          <w:szCs w:val="24"/>
        </w:rPr>
        <w:t>Диверсификация экономики</w:t>
      </w:r>
      <w:r>
        <w:rPr>
          <w:rFonts w:ascii="Times New Roman" w:hAnsi="Times New Roman"/>
          <w:color w:val="000000"/>
          <w:sz w:val="24"/>
          <w:szCs w:val="24"/>
        </w:rPr>
        <w:t>»</w:t>
      </w:r>
    </w:p>
    <w:p>
      <w:pPr>
        <w:pStyle w:val="ConsPlusNormal"/>
        <w:tabs>
          <w:tab w:val="left" w:pos="3600"/>
        </w:tabs>
        <w:ind w:firstLine="709"/>
        <w:jc w:val="both"/>
        <w:rPr>
          <w:rFonts w:ascii="Times New Roman" w:hAnsi="Times New Roman"/>
          <w:color w:val="000000"/>
          <w:sz w:val="24"/>
          <w:szCs w:val="24"/>
        </w:rPr>
      </w:pPr>
    </w:p>
    <w:tbl>
      <w:tblPr>
        <w:tblW w:w="9780" w:type="dxa"/>
        <w:tblInd w:w="108" w:type="dxa"/>
        <w:tblLayout w:type="fixed"/>
        <w:tblLook w:val="04A0" w:firstRow="1" w:lastRow="0" w:firstColumn="1" w:lastColumn="0" w:noHBand="0" w:noVBand="1"/>
      </w:tblPr>
      <w:tblGrid>
        <w:gridCol w:w="2835"/>
        <w:gridCol w:w="1276"/>
        <w:gridCol w:w="1276"/>
        <w:gridCol w:w="1275"/>
        <w:gridCol w:w="709"/>
        <w:gridCol w:w="1198"/>
        <w:gridCol w:w="1211"/>
      </w:tblGrid>
      <w:tr>
        <w:trPr>
          <w:trHeight w:val="146"/>
        </w:trPr>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Наименование</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bCs/>
                <w:color w:val="000000"/>
                <w:sz w:val="17"/>
                <w:szCs w:val="17"/>
              </w:rPr>
              <w:t>2020 год</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Прогноз 2021 года</w:t>
            </w:r>
          </w:p>
        </w:tc>
        <w:tc>
          <w:tcPr>
            <w:tcW w:w="1198" w:type="dxa"/>
            <w:vMerge w:val="restart"/>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 xml:space="preserve">Прогноз </w:t>
            </w:r>
          </w:p>
          <w:p>
            <w:pPr>
              <w:jc w:val="center"/>
              <w:rPr>
                <w:rFonts w:ascii="Times New Roman" w:hAnsi="Times New Roman"/>
                <w:color w:val="000000"/>
                <w:sz w:val="17"/>
                <w:szCs w:val="17"/>
              </w:rPr>
            </w:pPr>
            <w:r>
              <w:rPr>
                <w:rFonts w:ascii="Times New Roman" w:hAnsi="Times New Roman"/>
                <w:color w:val="000000"/>
                <w:sz w:val="17"/>
                <w:szCs w:val="17"/>
              </w:rPr>
              <w:t xml:space="preserve">2022 года, </w:t>
            </w:r>
            <w:r>
              <w:rPr>
                <w:rFonts w:ascii="Times New Roman" w:hAnsi="Times New Roman"/>
                <w:color w:val="000000"/>
                <w:sz w:val="17"/>
                <w:szCs w:val="17"/>
              </w:rPr>
              <w:br/>
              <w:t>тыс.руб.</w:t>
            </w:r>
          </w:p>
        </w:tc>
        <w:tc>
          <w:tcPr>
            <w:tcW w:w="1211" w:type="dxa"/>
            <w:vMerge w:val="restart"/>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Прогноз</w:t>
            </w:r>
          </w:p>
          <w:p>
            <w:pPr>
              <w:jc w:val="center"/>
              <w:rPr>
                <w:rFonts w:ascii="Times New Roman" w:hAnsi="Times New Roman"/>
                <w:color w:val="000000"/>
                <w:sz w:val="17"/>
                <w:szCs w:val="17"/>
              </w:rPr>
            </w:pPr>
            <w:r>
              <w:rPr>
                <w:rFonts w:ascii="Times New Roman" w:hAnsi="Times New Roman"/>
                <w:color w:val="000000"/>
                <w:sz w:val="17"/>
                <w:szCs w:val="17"/>
              </w:rPr>
              <w:t xml:space="preserve">2023 года, </w:t>
            </w:r>
            <w:r>
              <w:rPr>
                <w:rFonts w:ascii="Times New Roman" w:hAnsi="Times New Roman"/>
                <w:color w:val="000000"/>
                <w:sz w:val="17"/>
                <w:szCs w:val="17"/>
              </w:rPr>
              <w:br/>
              <w:t>тыс.руб.</w:t>
            </w:r>
          </w:p>
        </w:tc>
      </w:tr>
      <w:tr>
        <w:trPr>
          <w:trHeight w:val="375"/>
        </w:trPr>
        <w:tc>
          <w:tcPr>
            <w:tcW w:w="2835"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color w:val="000000"/>
                <w:sz w:val="17"/>
                <w:szCs w:val="17"/>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bCs/>
                <w:color w:val="000000"/>
                <w:sz w:val="17"/>
                <w:szCs w:val="17"/>
              </w:rPr>
              <w:t>Первоначально утверждено,</w:t>
            </w:r>
            <w:r>
              <w:rPr>
                <w:rFonts w:ascii="Times New Roman" w:hAnsi="Times New Roman"/>
                <w:bCs/>
                <w:color w:val="000000"/>
                <w:sz w:val="17"/>
                <w:szCs w:val="17"/>
              </w:rPr>
              <w:br/>
              <w:t>тыс.руб.</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bCs/>
                <w:color w:val="000000"/>
                <w:sz w:val="17"/>
                <w:szCs w:val="17"/>
              </w:rPr>
              <w:t>Оценка на тыс.руб.</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Сумма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r>
              <w:rPr>
                <w:rFonts w:ascii="Times New Roman" w:hAnsi="Times New Roman"/>
                <w:color w:val="000000"/>
                <w:sz w:val="17"/>
                <w:szCs w:val="17"/>
              </w:rPr>
              <w:t>%</w:t>
            </w:r>
          </w:p>
        </w:tc>
        <w:tc>
          <w:tcPr>
            <w:tcW w:w="1198" w:type="dxa"/>
            <w:vMerge/>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p>
        </w:tc>
        <w:tc>
          <w:tcPr>
            <w:tcW w:w="1211" w:type="dxa"/>
            <w:vMerge/>
            <w:tcBorders>
              <w:top w:val="single" w:sz="4" w:space="0" w:color="auto"/>
              <w:left w:val="nil"/>
              <w:bottom w:val="single" w:sz="4" w:space="0" w:color="auto"/>
              <w:right w:val="single" w:sz="4" w:space="0" w:color="auto"/>
            </w:tcBorders>
            <w:shd w:val="clear" w:color="auto" w:fill="auto"/>
            <w:vAlign w:val="center"/>
            <w:hideMark/>
          </w:tcPr>
          <w:p>
            <w:pPr>
              <w:jc w:val="center"/>
              <w:rPr>
                <w:rFonts w:ascii="Times New Roman" w:hAnsi="Times New Roman"/>
                <w:color w:val="000000"/>
                <w:sz w:val="17"/>
                <w:szCs w:val="17"/>
              </w:rPr>
            </w:pPr>
          </w:p>
        </w:tc>
      </w:tr>
      <w:tr>
        <w:trPr>
          <w:trHeight w:val="312"/>
        </w:trPr>
        <w:tc>
          <w:tcPr>
            <w:tcW w:w="2835" w:type="dxa"/>
            <w:tcBorders>
              <w:top w:val="nil"/>
              <w:left w:val="single" w:sz="4" w:space="0" w:color="auto"/>
              <w:bottom w:val="single" w:sz="4" w:space="0" w:color="auto"/>
              <w:right w:val="single" w:sz="4" w:space="0" w:color="auto"/>
            </w:tcBorders>
            <w:shd w:val="clear" w:color="auto" w:fill="auto"/>
            <w:vAlign w:val="center"/>
            <w:hideMark/>
          </w:tcPr>
          <w:p>
            <w:pPr>
              <w:rPr>
                <w:rFonts w:ascii="Times New Roman" w:hAnsi="Times New Roman"/>
                <w:b/>
                <w:bCs/>
                <w:color w:val="000000"/>
                <w:sz w:val="18"/>
                <w:szCs w:val="18"/>
              </w:rPr>
            </w:pPr>
            <w:r>
              <w:rPr>
                <w:rFonts w:ascii="Times New Roman" w:hAnsi="Times New Roman"/>
                <w:b/>
                <w:bCs/>
                <w:color w:val="000000"/>
                <w:sz w:val="18"/>
                <w:szCs w:val="18"/>
              </w:rPr>
              <w:t>Диверсификация экономики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 xml:space="preserve">6 059,31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53 575,25</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9 505,12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pPr>
              <w:jc w:val="right"/>
              <w:rPr>
                <w:b/>
                <w:bCs/>
                <w:color w:val="000000"/>
              </w:rPr>
            </w:pPr>
            <w:r>
              <w:rPr>
                <w:b/>
                <w:bCs/>
                <w:color w:val="000000"/>
              </w:rPr>
              <w:t>17,7</w:t>
            </w:r>
          </w:p>
        </w:tc>
        <w:tc>
          <w:tcPr>
            <w:tcW w:w="1198"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5 717,32</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b/>
                <w:bCs/>
                <w:color w:val="000000"/>
                <w:sz w:val="18"/>
                <w:szCs w:val="18"/>
              </w:rPr>
            </w:pPr>
            <w:r>
              <w:rPr>
                <w:rFonts w:ascii="Times New Roman" w:hAnsi="Times New Roman"/>
                <w:b/>
                <w:bCs/>
                <w:color w:val="000000"/>
                <w:sz w:val="18"/>
                <w:szCs w:val="18"/>
              </w:rPr>
              <w:t>5 717,32</w:t>
            </w:r>
          </w:p>
        </w:tc>
      </w:tr>
      <w:tr>
        <w:trPr>
          <w:trHeight w:val="624"/>
        </w:trPr>
        <w:tc>
          <w:tcPr>
            <w:tcW w:w="2835" w:type="dxa"/>
            <w:tcBorders>
              <w:top w:val="nil"/>
              <w:left w:val="single" w:sz="4" w:space="0" w:color="auto"/>
              <w:bottom w:val="single" w:sz="4" w:space="0" w:color="auto"/>
              <w:right w:val="single" w:sz="4" w:space="0" w:color="auto"/>
            </w:tcBorders>
            <w:shd w:val="clear" w:color="auto" w:fill="auto"/>
            <w:vAlign w:val="center"/>
            <w:hideMark/>
          </w:tcPr>
          <w:p>
            <w:pPr>
              <w:rPr>
                <w:rFonts w:ascii="Times New Roman" w:hAnsi="Times New Roman"/>
                <w:color w:val="000000"/>
                <w:sz w:val="18"/>
                <w:szCs w:val="18"/>
              </w:rPr>
            </w:pPr>
            <w:r>
              <w:rPr>
                <w:rFonts w:ascii="Times New Roman" w:hAnsi="Times New Roman"/>
                <w:color w:val="000000"/>
                <w:sz w:val="18"/>
                <w:szCs w:val="18"/>
              </w:rPr>
              <w:t xml:space="preserve">МП «Развитие предпринимательства в ЗАТО Северск»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sz w:val="18"/>
                <w:szCs w:val="18"/>
              </w:rPr>
            </w:pPr>
            <w:r>
              <w:rPr>
                <w:rFonts w:ascii="Times New Roman" w:hAnsi="Times New Roman"/>
                <w:sz w:val="18"/>
                <w:szCs w:val="18"/>
              </w:rPr>
              <w:t xml:space="preserve">6 059,31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jc w:val="right"/>
              <w:rPr>
                <w:rFonts w:ascii="Times New Roman" w:hAnsi="Times New Roman"/>
                <w:sz w:val="18"/>
                <w:szCs w:val="18"/>
              </w:rPr>
            </w:pPr>
            <w:r>
              <w:rPr>
                <w:rFonts w:ascii="Times New Roman" w:hAnsi="Times New Roman"/>
                <w:sz w:val="18"/>
                <w:szCs w:val="18"/>
              </w:rPr>
              <w:t>53 575,25</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9 505,12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pPr>
              <w:jc w:val="right"/>
              <w:rPr>
                <w:color w:val="000000"/>
              </w:rPr>
            </w:pPr>
            <w:r>
              <w:rPr>
                <w:color w:val="000000"/>
              </w:rPr>
              <w:t>17,7</w:t>
            </w:r>
          </w:p>
        </w:tc>
        <w:tc>
          <w:tcPr>
            <w:tcW w:w="1198" w:type="dxa"/>
            <w:tcBorders>
              <w:top w:val="single" w:sz="4" w:space="0" w:color="auto"/>
              <w:left w:val="nil"/>
              <w:bottom w:val="single" w:sz="4" w:space="0" w:color="auto"/>
              <w:right w:val="single" w:sz="4" w:space="0" w:color="auto"/>
            </w:tcBorders>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5 717,32</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pPr>
              <w:jc w:val="right"/>
              <w:rPr>
                <w:rFonts w:ascii="Times New Roman" w:hAnsi="Times New Roman"/>
                <w:sz w:val="18"/>
                <w:szCs w:val="18"/>
              </w:rPr>
            </w:pPr>
            <w:r>
              <w:rPr>
                <w:rFonts w:ascii="Times New Roman" w:hAnsi="Times New Roman"/>
                <w:sz w:val="18"/>
                <w:szCs w:val="18"/>
              </w:rPr>
              <w:t>5 717,32</w:t>
            </w:r>
          </w:p>
        </w:tc>
      </w:tr>
    </w:tbl>
    <w:p>
      <w:pPr>
        <w:pStyle w:val="ConsPlusNormal"/>
        <w:tabs>
          <w:tab w:val="left" w:pos="3600"/>
        </w:tabs>
        <w:ind w:firstLine="709"/>
        <w:jc w:val="both"/>
        <w:rPr>
          <w:rFonts w:ascii="Times New Roman" w:hAnsi="Times New Roman"/>
          <w:sz w:val="24"/>
          <w:szCs w:val="24"/>
          <w:highlight w:val="yellow"/>
        </w:rPr>
      </w:pPr>
    </w:p>
    <w:p>
      <w:pPr>
        <w:jc w:val="center"/>
        <w:rPr>
          <w:b/>
          <w:sz w:val="24"/>
          <w:szCs w:val="24"/>
        </w:rPr>
      </w:pPr>
      <w:r>
        <w:rPr>
          <w:b/>
          <w:sz w:val="24"/>
          <w:szCs w:val="24"/>
        </w:rPr>
        <w:t>2.7.4.1. МП «Развитие предпринимательства в ЗАТО Северск»</w:t>
      </w:r>
    </w:p>
    <w:p>
      <w:pPr>
        <w:jc w:val="center"/>
        <w:rPr>
          <w:b/>
          <w:sz w:val="16"/>
          <w:szCs w:val="16"/>
        </w:rPr>
      </w:pPr>
    </w:p>
    <w:p>
      <w:pPr>
        <w:ind w:firstLine="709"/>
        <w:jc w:val="both"/>
        <w:rPr>
          <w:rFonts w:ascii="Times New Roman" w:hAnsi="Times New Roman"/>
          <w:sz w:val="24"/>
          <w:szCs w:val="24"/>
        </w:rPr>
      </w:pPr>
      <w:r>
        <w:rPr>
          <w:rFonts w:ascii="Times New Roman" w:hAnsi="Times New Roman"/>
          <w:sz w:val="24"/>
          <w:szCs w:val="24"/>
        </w:rPr>
        <w:t>Финансовое обеспечение по МП «Развитие предпринимательства в ЗАТО Северск» предусмотрено на 2021 год в объеме 9 505,12 тыс.руб., на 2022 год – 5 717,32 тыс.руб., на 2023 год – 5 717,32 тыс.руб.</w:t>
      </w:r>
    </w:p>
    <w:p>
      <w:pPr>
        <w:ind w:firstLine="709"/>
        <w:jc w:val="both"/>
        <w:rPr>
          <w:rFonts w:ascii="Times New Roman" w:hAnsi="Times New Roman"/>
          <w:sz w:val="24"/>
          <w:szCs w:val="24"/>
        </w:rPr>
      </w:pPr>
      <w:r>
        <w:rPr>
          <w:rFonts w:ascii="Times New Roman" w:hAnsi="Times New Roman"/>
          <w:sz w:val="24"/>
          <w:szCs w:val="24"/>
        </w:rPr>
        <w:t>Цель МП: Содействие развитию предпринимательства в ЗАТО Северск.</w:t>
      </w:r>
    </w:p>
    <w:p>
      <w:pPr>
        <w:ind w:firstLine="709"/>
        <w:jc w:val="both"/>
        <w:rPr>
          <w:rFonts w:ascii="Times New Roman" w:hAnsi="Times New Roman"/>
          <w:sz w:val="24"/>
          <w:szCs w:val="24"/>
        </w:rPr>
      </w:pPr>
      <w:r>
        <w:rPr>
          <w:rFonts w:ascii="Times New Roman" w:hAnsi="Times New Roman"/>
          <w:sz w:val="24"/>
          <w:szCs w:val="24"/>
        </w:rPr>
        <w:t>Ответственный исполнитель: Комитет экономического развития Администрации ЗАТО Северск.</w:t>
      </w:r>
    </w:p>
    <w:p>
      <w:pPr>
        <w:ind w:firstLine="709"/>
        <w:jc w:val="both"/>
        <w:rPr>
          <w:rFonts w:ascii="Times New Roman" w:hAnsi="Times New Roman"/>
          <w:sz w:val="24"/>
          <w:szCs w:val="24"/>
        </w:rPr>
      </w:pPr>
      <w:r>
        <w:rPr>
          <w:rFonts w:ascii="Times New Roman" w:hAnsi="Times New Roman"/>
          <w:sz w:val="24"/>
          <w:szCs w:val="24"/>
        </w:rPr>
        <w:t>Соисполнители и (или) участники: Администрация ЗАТО Северск, Управление имущественных отношений Администрации ЗАТО Северск, Управление образования Администрации ЗАТО Северск.</w:t>
      </w:r>
    </w:p>
    <w:p>
      <w:pPr>
        <w:ind w:firstLine="709"/>
        <w:jc w:val="both"/>
        <w:rPr>
          <w:rFonts w:ascii="Times New Roman" w:hAnsi="Times New Roman"/>
          <w:sz w:val="16"/>
          <w:szCs w:val="16"/>
        </w:rPr>
      </w:pPr>
    </w:p>
    <w:p>
      <w:pPr>
        <w:ind w:firstLine="709"/>
        <w:jc w:val="both"/>
        <w:rPr>
          <w:rFonts w:ascii="Times New Roman" w:hAnsi="Times New Roman"/>
          <w:sz w:val="24"/>
          <w:szCs w:val="24"/>
        </w:rPr>
      </w:pPr>
      <w:r>
        <w:rPr>
          <w:rFonts w:ascii="Times New Roman" w:hAnsi="Times New Roman"/>
          <w:sz w:val="24"/>
          <w:szCs w:val="24"/>
        </w:rPr>
        <w:t>Таблица 79 - Целевые индикаторы МП «Развитие предпринимательства в ЗАТО Северск»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2"/>
        <w:gridCol w:w="1005"/>
        <w:gridCol w:w="1134"/>
        <w:gridCol w:w="993"/>
        <w:gridCol w:w="992"/>
      </w:tblGrid>
      <w:tr>
        <w:trPr>
          <w:trHeight w:val="632"/>
        </w:trPr>
        <w:tc>
          <w:tcPr>
            <w:tcW w:w="523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 xml:space="preserve">Наименование целевых индикаторов </w:t>
            </w:r>
          </w:p>
          <w:p>
            <w:pPr>
              <w:jc w:val="center"/>
              <w:rPr>
                <w:rFonts w:ascii="Times New Roman" w:hAnsi="Times New Roman"/>
              </w:rPr>
            </w:pPr>
            <w:r>
              <w:rPr>
                <w:rFonts w:ascii="Times New Roman" w:hAnsi="Times New Roman"/>
              </w:rPr>
              <w:t>результативности программы</w:t>
            </w:r>
          </w:p>
        </w:tc>
        <w:tc>
          <w:tcPr>
            <w:tcW w:w="1005" w:type="dxa"/>
            <w:tcBorders>
              <w:top w:val="single" w:sz="4" w:space="0" w:color="auto"/>
              <w:left w:val="single" w:sz="4" w:space="0" w:color="auto"/>
              <w:bottom w:val="single" w:sz="4" w:space="0" w:color="auto"/>
              <w:right w:val="single" w:sz="4" w:space="0" w:color="auto"/>
            </w:tcBorders>
          </w:tcPr>
          <w:p>
            <w:pPr>
              <w:jc w:val="center"/>
              <w:rPr>
                <w:rFonts w:ascii="Times New Roman" w:hAnsi="Times New Roman"/>
              </w:rPr>
            </w:pPr>
            <w:r>
              <w:rPr>
                <w:rFonts w:ascii="Times New Roman" w:hAnsi="Times New Roman"/>
              </w:rPr>
              <w:t>Оценка 2020 года</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 2021 года</w:t>
            </w:r>
          </w:p>
        </w:tc>
        <w:tc>
          <w:tcPr>
            <w:tcW w:w="99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2022 года</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2023 года</w:t>
            </w:r>
          </w:p>
        </w:tc>
      </w:tr>
      <w:tr>
        <w:trPr>
          <w:trHeight w:val="315"/>
        </w:trPr>
        <w:tc>
          <w:tcPr>
            <w:tcW w:w="5232"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Число субъектов малого и среднего предпринимательства в расчете на 10 тыс. человек населения ЗАТО Северск, единиц</w:t>
            </w:r>
          </w:p>
        </w:tc>
        <w:tc>
          <w:tcPr>
            <w:tcW w:w="1005"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323</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sz w:val="22"/>
                <w:szCs w:val="22"/>
              </w:rPr>
            </w:pPr>
            <w:r>
              <w:rPr>
                <w:rFonts w:ascii="Times New Roman" w:hAnsi="Times New Roman"/>
                <w:sz w:val="22"/>
                <w:szCs w:val="22"/>
              </w:rPr>
              <w:t>327</w:t>
            </w:r>
          </w:p>
        </w:tc>
        <w:tc>
          <w:tcPr>
            <w:tcW w:w="99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pacing w:val="-7"/>
                <w:sz w:val="22"/>
                <w:szCs w:val="22"/>
              </w:rPr>
            </w:pPr>
            <w:r>
              <w:rPr>
                <w:rFonts w:ascii="Times New Roman" w:hAnsi="Times New Roman"/>
                <w:sz w:val="22"/>
                <w:szCs w:val="22"/>
              </w:rPr>
              <w:t>331</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pacing w:val="-7"/>
                <w:sz w:val="22"/>
                <w:szCs w:val="22"/>
              </w:rPr>
            </w:pPr>
            <w:r>
              <w:rPr>
                <w:rFonts w:ascii="Times New Roman" w:hAnsi="Times New Roman"/>
                <w:sz w:val="22"/>
                <w:szCs w:val="22"/>
              </w:rPr>
              <w:t>335</w:t>
            </w:r>
          </w:p>
        </w:tc>
      </w:tr>
      <w:tr>
        <w:trPr>
          <w:trHeight w:val="221"/>
        </w:trPr>
        <w:tc>
          <w:tcPr>
            <w:tcW w:w="5232"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Численность занятых в сфере малого и среднего предпринимательства,  включая индивидуальных предпринимателей, человек</w:t>
            </w:r>
          </w:p>
        </w:tc>
        <w:tc>
          <w:tcPr>
            <w:tcW w:w="1005"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18 025</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sz w:val="22"/>
                <w:szCs w:val="22"/>
              </w:rPr>
            </w:pPr>
            <w:r>
              <w:rPr>
                <w:rFonts w:ascii="Times New Roman" w:hAnsi="Times New Roman"/>
                <w:sz w:val="22"/>
                <w:szCs w:val="22"/>
              </w:rPr>
              <w:t>17 500</w:t>
            </w:r>
          </w:p>
        </w:tc>
        <w:tc>
          <w:tcPr>
            <w:tcW w:w="993"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17 500</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17 500</w:t>
            </w:r>
          </w:p>
        </w:tc>
      </w:tr>
      <w:tr>
        <w:trPr>
          <w:trHeight w:val="551"/>
        </w:trPr>
        <w:tc>
          <w:tcPr>
            <w:tcW w:w="5232"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Доля занятых в малом и среднем предпринимательстве в общем числе занятых ЗАТО Северск, процентов</w:t>
            </w:r>
          </w:p>
        </w:tc>
        <w:tc>
          <w:tcPr>
            <w:tcW w:w="1005"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43,2</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sz w:val="22"/>
                <w:szCs w:val="22"/>
              </w:rPr>
            </w:pPr>
            <w:r>
              <w:rPr>
                <w:rFonts w:ascii="Times New Roman" w:hAnsi="Times New Roman"/>
                <w:sz w:val="22"/>
                <w:szCs w:val="22"/>
              </w:rPr>
              <w:t>43,2</w:t>
            </w:r>
          </w:p>
        </w:tc>
        <w:tc>
          <w:tcPr>
            <w:tcW w:w="993"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43,2</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43,2</w:t>
            </w:r>
          </w:p>
        </w:tc>
      </w:tr>
      <w:tr>
        <w:tc>
          <w:tcPr>
            <w:tcW w:w="5232"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2"/>
                <w:szCs w:val="22"/>
              </w:rPr>
            </w:pPr>
            <w:r>
              <w:rPr>
                <w:rFonts w:ascii="Times New Roman" w:hAnsi="Times New Roman"/>
                <w:sz w:val="22"/>
                <w:szCs w:val="22"/>
              </w:rPr>
              <w:t>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социально-экономического развития «Северск», едениц</w:t>
            </w:r>
          </w:p>
        </w:tc>
        <w:tc>
          <w:tcPr>
            <w:tcW w:w="1005"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center"/>
              <w:rPr>
                <w:rFonts w:ascii="Times New Roman" w:hAnsi="Times New Roman"/>
                <w:sz w:val="22"/>
                <w:szCs w:val="22"/>
              </w:rPr>
            </w:pPr>
            <w:r>
              <w:rPr>
                <w:rFonts w:ascii="Times New Roman" w:hAnsi="Times New Roman"/>
                <w:sz w:val="22"/>
                <w:szCs w:val="22"/>
              </w:rPr>
              <w:t>49</w:t>
            </w:r>
          </w:p>
        </w:tc>
        <w:tc>
          <w:tcPr>
            <w:tcW w:w="1134" w:type="dxa"/>
            <w:tcBorders>
              <w:top w:val="single" w:sz="4" w:space="0" w:color="auto"/>
              <w:left w:val="single" w:sz="4" w:space="0" w:color="auto"/>
              <w:bottom w:val="single" w:sz="4" w:space="0" w:color="auto"/>
              <w:right w:val="single" w:sz="4" w:space="0" w:color="auto"/>
            </w:tcBorders>
            <w:vAlign w:val="center"/>
            <w:hideMark/>
          </w:tcPr>
          <w:p>
            <w:pPr>
              <w:autoSpaceDE w:val="0"/>
              <w:autoSpaceDN w:val="0"/>
              <w:adjustRightInd w:val="0"/>
              <w:jc w:val="center"/>
              <w:rPr>
                <w:rFonts w:ascii="Times New Roman" w:hAnsi="Times New Roman"/>
                <w:sz w:val="22"/>
                <w:szCs w:val="22"/>
              </w:rPr>
            </w:pPr>
            <w:r>
              <w:rPr>
                <w:rFonts w:ascii="Times New Roman" w:hAnsi="Times New Roman"/>
                <w:sz w:val="22"/>
                <w:szCs w:val="22"/>
              </w:rPr>
              <w:t>9</w:t>
            </w:r>
          </w:p>
        </w:tc>
        <w:tc>
          <w:tcPr>
            <w:tcW w:w="99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pacing w:val="-7"/>
                <w:sz w:val="22"/>
                <w:szCs w:val="22"/>
              </w:rPr>
            </w:pPr>
            <w:r>
              <w:rPr>
                <w:rFonts w:ascii="Times New Roman" w:hAnsi="Times New Roman"/>
                <w:spacing w:val="-7"/>
                <w:sz w:val="22"/>
                <w:szCs w:val="22"/>
              </w:rPr>
              <w:t>6</w:t>
            </w:r>
          </w:p>
        </w:tc>
        <w:tc>
          <w:tcPr>
            <w:tcW w:w="992"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pacing w:val="-7"/>
                <w:sz w:val="22"/>
                <w:szCs w:val="22"/>
              </w:rPr>
            </w:pPr>
            <w:r>
              <w:rPr>
                <w:rFonts w:ascii="Times New Roman" w:hAnsi="Times New Roman"/>
                <w:spacing w:val="-7"/>
                <w:sz w:val="22"/>
                <w:szCs w:val="22"/>
              </w:rPr>
              <w:t>6</w:t>
            </w:r>
          </w:p>
        </w:tc>
      </w:tr>
    </w:tbl>
    <w:p>
      <w:pPr>
        <w:widowControl w:val="0"/>
        <w:autoSpaceDE w:val="0"/>
        <w:autoSpaceDN w:val="0"/>
        <w:adjustRightInd w:val="0"/>
        <w:spacing w:before="120"/>
        <w:ind w:firstLine="709"/>
        <w:jc w:val="both"/>
        <w:rPr>
          <w:rFonts w:ascii="Times New Roman" w:hAnsi="Times New Roman"/>
          <w:sz w:val="24"/>
          <w:szCs w:val="24"/>
        </w:rPr>
      </w:pPr>
      <w:r>
        <w:rPr>
          <w:rFonts w:ascii="Times New Roman" w:hAnsi="Times New Roman"/>
          <w:sz w:val="24"/>
          <w:szCs w:val="24"/>
        </w:rPr>
        <w:t xml:space="preserve">В рамках  МП «Развитие предпринимательства в ЗАТО Северск» реализуются 4 подпрограммы, по 3 из которых предусмотрены бюджетные ассигнования. </w:t>
      </w:r>
    </w:p>
    <w:p>
      <w:pPr>
        <w:tabs>
          <w:tab w:val="left" w:pos="709"/>
        </w:tabs>
        <w:spacing w:before="120" w:after="60"/>
        <w:ind w:firstLine="709"/>
        <w:jc w:val="both"/>
        <w:rPr>
          <w:rFonts w:ascii="Times New Roman" w:hAnsi="Times New Roman"/>
          <w:sz w:val="24"/>
          <w:szCs w:val="24"/>
        </w:rPr>
      </w:pPr>
      <w:r>
        <w:rPr>
          <w:rFonts w:ascii="Times New Roman" w:hAnsi="Times New Roman"/>
          <w:sz w:val="24"/>
          <w:szCs w:val="24"/>
        </w:rPr>
        <w:t>Таблица 80 - Объем финансового обеспечения МП «Развитие предпринимательства в ЗАТО Северск»</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1418"/>
        <w:gridCol w:w="1133"/>
        <w:gridCol w:w="1134"/>
      </w:tblGrid>
      <w:tr>
        <w:trPr>
          <w:trHeight w:val="759"/>
        </w:trPr>
        <w:tc>
          <w:tcPr>
            <w:tcW w:w="5670"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Наименование</w:t>
            </w:r>
          </w:p>
        </w:tc>
        <w:tc>
          <w:tcPr>
            <w:tcW w:w="1418" w:type="dxa"/>
            <w:tcBorders>
              <w:top w:val="single" w:sz="4" w:space="0" w:color="auto"/>
              <w:left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Прогноз</w:t>
            </w:r>
          </w:p>
          <w:p>
            <w:pPr>
              <w:jc w:val="center"/>
              <w:rPr>
                <w:rFonts w:ascii="Times New Roman" w:hAnsi="Times New Roman"/>
                <w:sz w:val="22"/>
                <w:szCs w:val="22"/>
              </w:rPr>
            </w:pPr>
            <w:r>
              <w:rPr>
                <w:rFonts w:ascii="Times New Roman" w:hAnsi="Times New Roman"/>
                <w:sz w:val="22"/>
                <w:szCs w:val="22"/>
              </w:rPr>
              <w:t>2021 года, тыс.руб.</w:t>
            </w:r>
          </w:p>
        </w:tc>
        <w:tc>
          <w:tcPr>
            <w:tcW w:w="1133" w:type="dxa"/>
            <w:tcBorders>
              <w:top w:val="single" w:sz="4" w:space="0" w:color="auto"/>
              <w:left w:val="single" w:sz="4" w:space="0" w:color="auto"/>
              <w:bottom w:val="single" w:sz="4" w:space="0" w:color="auto"/>
              <w:right w:val="single" w:sz="4" w:space="0" w:color="auto"/>
            </w:tcBorders>
            <w:hideMark/>
          </w:tcPr>
          <w:p>
            <w:pPr>
              <w:jc w:val="center"/>
              <w:rPr>
                <w:rFonts w:ascii="Times New Roman" w:hAnsi="Times New Roman"/>
                <w:sz w:val="22"/>
                <w:szCs w:val="22"/>
              </w:rPr>
            </w:pPr>
            <w:r>
              <w:rPr>
                <w:rFonts w:ascii="Times New Roman" w:hAnsi="Times New Roman"/>
                <w:sz w:val="22"/>
                <w:szCs w:val="22"/>
              </w:rPr>
              <w:t>Прогноз</w:t>
            </w:r>
          </w:p>
          <w:p>
            <w:pPr>
              <w:ind w:left="-108" w:right="-79"/>
              <w:jc w:val="center"/>
              <w:rPr>
                <w:rFonts w:ascii="Times New Roman" w:hAnsi="Times New Roman"/>
                <w:sz w:val="22"/>
                <w:szCs w:val="22"/>
              </w:rPr>
            </w:pPr>
            <w:r>
              <w:rPr>
                <w:rFonts w:ascii="Times New Roman" w:hAnsi="Times New Roman"/>
                <w:sz w:val="22"/>
                <w:szCs w:val="22"/>
              </w:rPr>
              <w:t>2022 года, тыс.руб.</w:t>
            </w:r>
          </w:p>
        </w:tc>
        <w:tc>
          <w:tcPr>
            <w:tcW w:w="1134" w:type="dxa"/>
            <w:tcBorders>
              <w:top w:val="single" w:sz="4" w:space="0" w:color="auto"/>
              <w:left w:val="single" w:sz="4" w:space="0" w:color="auto"/>
              <w:bottom w:val="single" w:sz="4" w:space="0" w:color="auto"/>
              <w:right w:val="single" w:sz="4" w:space="0" w:color="auto"/>
            </w:tcBorders>
            <w:hideMark/>
          </w:tcPr>
          <w:p>
            <w:pPr>
              <w:jc w:val="center"/>
              <w:rPr>
                <w:rFonts w:ascii="Times New Roman" w:hAnsi="Times New Roman"/>
                <w:sz w:val="22"/>
                <w:szCs w:val="22"/>
              </w:rPr>
            </w:pPr>
            <w:r>
              <w:rPr>
                <w:rFonts w:ascii="Times New Roman" w:hAnsi="Times New Roman"/>
                <w:sz w:val="22"/>
                <w:szCs w:val="22"/>
              </w:rPr>
              <w:t>Прогноз</w:t>
            </w:r>
          </w:p>
          <w:p>
            <w:pPr>
              <w:ind w:left="-137" w:right="-108"/>
              <w:jc w:val="center"/>
              <w:rPr>
                <w:rFonts w:ascii="Times New Roman" w:hAnsi="Times New Roman"/>
                <w:sz w:val="22"/>
                <w:szCs w:val="22"/>
              </w:rPr>
            </w:pPr>
            <w:r>
              <w:rPr>
                <w:rFonts w:ascii="Times New Roman" w:hAnsi="Times New Roman"/>
                <w:sz w:val="22"/>
                <w:szCs w:val="22"/>
              </w:rPr>
              <w:t>2023 года, тыс.руб.</w:t>
            </w:r>
          </w:p>
        </w:tc>
      </w:tr>
      <w:tr>
        <w:tc>
          <w:tcPr>
            <w:tcW w:w="5670" w:type="dxa"/>
            <w:tcBorders>
              <w:top w:val="single" w:sz="4" w:space="0" w:color="auto"/>
              <w:left w:val="single" w:sz="4" w:space="0" w:color="auto"/>
              <w:bottom w:val="single" w:sz="4" w:space="0" w:color="auto"/>
              <w:right w:val="single" w:sz="4" w:space="0" w:color="auto"/>
            </w:tcBorders>
            <w:hideMark/>
          </w:tcPr>
          <w:p>
            <w:pPr>
              <w:jc w:val="both"/>
              <w:rPr>
                <w:sz w:val="24"/>
                <w:szCs w:val="24"/>
              </w:rPr>
            </w:pPr>
            <w:r>
              <w:rPr>
                <w:sz w:val="24"/>
                <w:szCs w:val="24"/>
              </w:rPr>
              <w:t>ВСЕГО по МП</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9 505,12</w:t>
            </w:r>
          </w:p>
        </w:tc>
        <w:tc>
          <w:tcPr>
            <w:tcW w:w="1133" w:type="dxa"/>
            <w:tcBorders>
              <w:top w:val="single" w:sz="4" w:space="0" w:color="auto"/>
              <w:left w:val="single" w:sz="4" w:space="0" w:color="auto"/>
              <w:bottom w:val="single" w:sz="4" w:space="0" w:color="auto"/>
              <w:right w:val="single" w:sz="4" w:space="0" w:color="auto"/>
            </w:tcBorders>
            <w:shd w:val="clear" w:color="auto" w:fill="auto"/>
            <w:hideMark/>
          </w:tcPr>
          <w:p>
            <w:pPr>
              <w:jc w:val="right"/>
              <w:rPr>
                <w:sz w:val="24"/>
                <w:szCs w:val="24"/>
              </w:rPr>
            </w:pPr>
            <w:r>
              <w:rPr>
                <w:sz w:val="24"/>
                <w:szCs w:val="24"/>
              </w:rPr>
              <w:t>5 717,32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pPr>
              <w:jc w:val="center"/>
              <w:rPr>
                <w:sz w:val="24"/>
                <w:szCs w:val="24"/>
              </w:rPr>
            </w:pPr>
            <w:r>
              <w:rPr>
                <w:sz w:val="24"/>
                <w:szCs w:val="24"/>
              </w:rPr>
              <w:t>5 717,32</w:t>
            </w:r>
          </w:p>
        </w:tc>
      </w:tr>
      <w:tr>
        <w:trPr>
          <w:trHeight w:val="503"/>
        </w:trPr>
        <w:tc>
          <w:tcPr>
            <w:tcW w:w="5670" w:type="dxa"/>
            <w:tcBorders>
              <w:top w:val="single" w:sz="4" w:space="0" w:color="auto"/>
              <w:left w:val="single" w:sz="4" w:space="0" w:color="auto"/>
              <w:bottom w:val="single" w:sz="4" w:space="0" w:color="auto"/>
              <w:right w:val="single" w:sz="4" w:space="0" w:color="auto"/>
            </w:tcBorders>
            <w:hideMark/>
          </w:tcPr>
          <w:p>
            <w:pPr>
              <w:outlineLvl w:val="0"/>
              <w:rPr>
                <w:rFonts w:ascii="Times New Roman" w:hAnsi="Times New Roman"/>
                <w:bCs/>
                <w:iCs/>
                <w:sz w:val="21"/>
                <w:szCs w:val="21"/>
              </w:rPr>
            </w:pPr>
            <w:r>
              <w:rPr>
                <w:rFonts w:ascii="Times New Roman" w:hAnsi="Times New Roman"/>
                <w:bCs/>
                <w:iCs/>
                <w:sz w:val="21"/>
                <w:szCs w:val="21"/>
              </w:rPr>
              <w:t>Подпрограмма 1 «Развитие эффективной инфраструктуры поддержки предпринимательства в ЗАТО Северск»</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5 400,01</w:t>
            </w:r>
          </w:p>
        </w:tc>
        <w:tc>
          <w:tcPr>
            <w:tcW w:w="1133"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1 200,00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22"/>
                <w:szCs w:val="22"/>
              </w:rPr>
            </w:pPr>
            <w:r>
              <w:rPr>
                <w:rFonts w:ascii="Times New Roman" w:hAnsi="Times New Roman"/>
                <w:sz w:val="22"/>
                <w:szCs w:val="22"/>
              </w:rPr>
              <w:t>1 200,00</w:t>
            </w:r>
          </w:p>
        </w:tc>
      </w:tr>
      <w:tr>
        <w:trPr>
          <w:trHeight w:val="978"/>
        </w:trPr>
        <w:tc>
          <w:tcPr>
            <w:tcW w:w="5670" w:type="dxa"/>
            <w:tcBorders>
              <w:top w:val="single" w:sz="4" w:space="0" w:color="auto"/>
              <w:left w:val="single" w:sz="4" w:space="0" w:color="auto"/>
              <w:bottom w:val="single" w:sz="4" w:space="0" w:color="auto"/>
              <w:right w:val="single" w:sz="4" w:space="0" w:color="auto"/>
            </w:tcBorders>
            <w:hideMark/>
          </w:tcPr>
          <w:p>
            <w:pPr>
              <w:outlineLvl w:val="0"/>
              <w:rPr>
                <w:rFonts w:ascii="Times New Roman" w:hAnsi="Times New Roman"/>
                <w:sz w:val="21"/>
                <w:szCs w:val="21"/>
              </w:rPr>
            </w:pPr>
            <w:r>
              <w:rPr>
                <w:rFonts w:ascii="Times New Roman" w:hAnsi="Times New Roman"/>
                <w:bCs/>
                <w:iCs/>
                <w:sz w:val="21"/>
                <w:szCs w:val="21"/>
              </w:rPr>
              <w:t>Подпрограмма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highlight w:val="yellow"/>
              </w:rPr>
            </w:pPr>
            <w:r>
              <w:rPr>
                <w:rFonts w:ascii="Times New Roman" w:hAnsi="Times New Roman"/>
                <w:sz w:val="22"/>
                <w:szCs w:val="22"/>
              </w:rPr>
              <w:t>3 586,39</w:t>
            </w:r>
          </w:p>
        </w:tc>
        <w:tc>
          <w:tcPr>
            <w:tcW w:w="113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4 097,07</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4 097,07</w:t>
            </w:r>
          </w:p>
        </w:tc>
      </w:tr>
      <w:tr>
        <w:trPr>
          <w:trHeight w:val="553"/>
        </w:trPr>
        <w:tc>
          <w:tcPr>
            <w:tcW w:w="5670" w:type="dxa"/>
            <w:tcBorders>
              <w:top w:val="single" w:sz="4" w:space="0" w:color="auto"/>
              <w:left w:val="single" w:sz="4" w:space="0" w:color="auto"/>
              <w:bottom w:val="single" w:sz="4" w:space="0" w:color="auto"/>
              <w:right w:val="single" w:sz="4" w:space="0" w:color="auto"/>
            </w:tcBorders>
            <w:hideMark/>
          </w:tcPr>
          <w:p>
            <w:pPr>
              <w:autoSpaceDE w:val="0"/>
              <w:autoSpaceDN w:val="0"/>
              <w:adjustRightInd w:val="0"/>
              <w:rPr>
                <w:rFonts w:ascii="Times New Roman" w:hAnsi="Times New Roman"/>
                <w:sz w:val="21"/>
                <w:szCs w:val="21"/>
              </w:rPr>
            </w:pPr>
            <w:r>
              <w:rPr>
                <w:rFonts w:ascii="Times New Roman" w:hAnsi="Times New Roman"/>
              </w:rPr>
              <w:t xml:space="preserve">из них расходы интегрированные в региональный проект </w:t>
            </w:r>
            <w:r>
              <w:rPr>
                <w:rFonts w:ascii="Times New Roman" w:hAnsi="Times New Roman"/>
                <w:sz w:val="22"/>
                <w:szCs w:val="22"/>
              </w:rPr>
              <w:t>«</w:t>
            </w:r>
            <w:r>
              <w:rPr>
                <w:sz w:val="22"/>
                <w:szCs w:val="22"/>
              </w:rPr>
              <w:t>Акселерация субьектов малого и среднего предпринимательства</w:t>
            </w:r>
            <w:r>
              <w:rPr>
                <w:rFonts w:ascii="Times New Roman" w:hAnsi="Times New Roman"/>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highlight w:val="yellow"/>
              </w:rPr>
            </w:pPr>
            <w:r>
              <w:rPr>
                <w:rFonts w:ascii="Times New Roman" w:hAnsi="Times New Roman"/>
                <w:sz w:val="22"/>
                <w:szCs w:val="22"/>
              </w:rPr>
              <w:t>1 780,39</w:t>
            </w:r>
          </w:p>
        </w:tc>
        <w:tc>
          <w:tcPr>
            <w:tcW w:w="1133"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2 365,60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rPr>
            </w:pPr>
            <w:r>
              <w:rPr>
                <w:rFonts w:ascii="Times New Roman" w:hAnsi="Times New Roman"/>
                <w:sz w:val="22"/>
                <w:szCs w:val="22"/>
              </w:rPr>
              <w:t>2 363,60</w:t>
            </w:r>
          </w:p>
        </w:tc>
      </w:tr>
      <w:tr>
        <w:trPr>
          <w:trHeight w:val="416"/>
        </w:trPr>
        <w:tc>
          <w:tcPr>
            <w:tcW w:w="5670" w:type="dxa"/>
            <w:tcBorders>
              <w:top w:val="single" w:sz="4" w:space="0" w:color="auto"/>
              <w:left w:val="single" w:sz="4" w:space="0" w:color="auto"/>
              <w:bottom w:val="single" w:sz="4" w:space="0" w:color="auto"/>
              <w:right w:val="single" w:sz="4" w:space="0" w:color="auto"/>
            </w:tcBorders>
            <w:hideMark/>
          </w:tcPr>
          <w:p>
            <w:pPr>
              <w:rPr>
                <w:rFonts w:ascii="Times New Roman" w:hAnsi="Times New Roman"/>
                <w:sz w:val="21"/>
                <w:szCs w:val="21"/>
              </w:rPr>
            </w:pPr>
            <w:r>
              <w:rPr>
                <w:rFonts w:ascii="Times New Roman" w:hAnsi="Times New Roman"/>
                <w:sz w:val="21"/>
                <w:szCs w:val="21"/>
              </w:rPr>
              <w:t>Подпрограмма 3 «</w:t>
            </w:r>
            <w:r>
              <w:rPr>
                <w:rFonts w:ascii="Times New Roman" w:hAnsi="Times New Roman"/>
                <w:bCs/>
                <w:iCs/>
                <w:sz w:val="21"/>
                <w:szCs w:val="21"/>
              </w:rPr>
              <w:t>Создание общественной (социальной) среды, благоприятной  для развития бизнеса</w:t>
            </w:r>
            <w:r>
              <w:rPr>
                <w:rFonts w:ascii="Times New Roman" w:hAnsi="Times New Roman"/>
                <w:sz w:val="21"/>
                <w:szCs w:val="21"/>
              </w:rPr>
              <w:t>»</w:t>
            </w:r>
          </w:p>
        </w:tc>
        <w:tc>
          <w:tcPr>
            <w:tcW w:w="1418"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sz w:val="22"/>
                <w:szCs w:val="22"/>
                <w:highlight w:val="yellow"/>
              </w:rPr>
            </w:pPr>
            <w:r>
              <w:rPr>
                <w:rFonts w:ascii="Times New Roman" w:hAnsi="Times New Roman"/>
                <w:sz w:val="22"/>
                <w:szCs w:val="22"/>
              </w:rPr>
              <w:t>518,72</w:t>
            </w:r>
          </w:p>
        </w:tc>
        <w:tc>
          <w:tcPr>
            <w:tcW w:w="1133"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420,25</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pPr>
            <w:r>
              <w:rPr>
                <w:rFonts w:ascii="Times New Roman" w:hAnsi="Times New Roman"/>
                <w:sz w:val="22"/>
                <w:szCs w:val="22"/>
              </w:rPr>
              <w:t>420,25</w:t>
            </w:r>
          </w:p>
        </w:tc>
      </w:tr>
    </w:tbl>
    <w:p>
      <w:pPr>
        <w:widowControl w:val="0"/>
        <w:autoSpaceDE w:val="0"/>
        <w:autoSpaceDN w:val="0"/>
        <w:adjustRightInd w:val="0"/>
        <w:ind w:firstLine="708"/>
        <w:jc w:val="both"/>
        <w:rPr>
          <w:rFonts w:ascii="Times New Roman" w:hAnsi="Times New Roman"/>
          <w:sz w:val="16"/>
          <w:szCs w:val="16"/>
        </w:rPr>
      </w:pP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На 2021 год в разрезе подпрограмм предусмотрены расходы:</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По подпрограмме 1 «</w:t>
      </w:r>
      <w:r>
        <w:rPr>
          <w:rFonts w:ascii="Times New Roman" w:hAnsi="Times New Roman"/>
          <w:bCs/>
          <w:iCs/>
          <w:sz w:val="24"/>
          <w:szCs w:val="24"/>
        </w:rPr>
        <w:t>Развитие эффективной инфраструктуры поддержки предпринимательства в ЗАТО Северск</w:t>
      </w:r>
      <w:r>
        <w:rPr>
          <w:rFonts w:ascii="Times New Roman" w:hAnsi="Times New Roman"/>
          <w:sz w:val="24"/>
          <w:szCs w:val="24"/>
        </w:rPr>
        <w:t>» предоставляются субсидии в общей сумме 5 400,01 тыс.руб., в том числе:</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обеспечение текущей деятельности Фонда «Микрокредитная компания фонд развития малого и среднего предпринимательства ЗАТО Северск»  - 2 500,00 тыс.руб.;</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развитие и обеспечение деятельности муниципального центра поддержки предпринимательства (Ассоциация НП «Агентство развития предпринимательства -  Северск»)  -  200,00 тыс.руб.; </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развитие и обеспечение деятельности  бизнес -  инкубатора ЗАТО Северск  - 300,01 тыс.руб.;</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w:t>
      </w:r>
      <w:r>
        <w:t xml:space="preserve"> </w:t>
      </w:r>
      <w:r>
        <w:rPr>
          <w:rFonts w:ascii="Times New Roman" w:hAnsi="Times New Roman"/>
          <w:sz w:val="24"/>
          <w:szCs w:val="24"/>
        </w:rPr>
        <w:t>обеспечение деятельности технопарковой зоны (технопарка) – 2 400,00 тыс.руб.</w:t>
      </w:r>
    </w:p>
    <w:p>
      <w:pPr>
        <w:pStyle w:val="aff3"/>
        <w:spacing w:before="0" w:beforeAutospacing="0" w:after="0" w:afterAutospacing="0"/>
        <w:ind w:firstLine="709"/>
        <w:jc w:val="both"/>
        <w:rPr>
          <w:sz w:val="16"/>
          <w:szCs w:val="16"/>
        </w:rPr>
      </w:pPr>
    </w:p>
    <w:p>
      <w:pPr>
        <w:pStyle w:val="aff3"/>
        <w:spacing w:before="0" w:beforeAutospacing="0" w:after="0" w:afterAutospacing="0"/>
        <w:ind w:firstLine="709"/>
        <w:jc w:val="both"/>
      </w:pPr>
      <w:r>
        <w:t>По подпрограмме 2 «</w:t>
      </w:r>
      <w:r>
        <w:rPr>
          <w:bCs/>
          <w:iCs/>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t xml:space="preserve">» предусмотрены средства  в общей сумме 3 586,39 тыс. руб., в том числе: </w:t>
      </w:r>
    </w:p>
    <w:p>
      <w:pPr>
        <w:pStyle w:val="aff3"/>
        <w:spacing w:before="0" w:beforeAutospacing="0" w:after="0" w:afterAutospacing="0"/>
        <w:ind w:firstLine="709"/>
        <w:jc w:val="both"/>
      </w:pPr>
      <w:r>
        <w:t>- участие в региональном проекте «Акселерация субьектов малого и среднего предпринимательства»  - 1 780,39 тыс.руб., из них за счет средств областного бюджета - 646,40 тыс.руб.;</w:t>
      </w:r>
    </w:p>
    <w:p>
      <w:pPr>
        <w:pStyle w:val="aff3"/>
        <w:spacing w:before="0" w:beforeAutospacing="0" w:after="0" w:afterAutospacing="0"/>
        <w:ind w:firstLine="709"/>
        <w:jc w:val="both"/>
      </w:pPr>
      <w:r>
        <w:t>- пополнение фондов на выдачу микрозаймов в сумме 1 404,11 тыс.руб.;</w:t>
      </w:r>
    </w:p>
    <w:p>
      <w:pPr>
        <w:pStyle w:val="aff3"/>
        <w:spacing w:before="0" w:beforeAutospacing="0" w:after="0" w:afterAutospacing="0"/>
        <w:ind w:firstLine="709"/>
        <w:jc w:val="both"/>
      </w:pPr>
      <w:r>
        <w:t>- поддержка стартующего бизнеса - 157,90 тыс.руб.;</w:t>
      </w:r>
    </w:p>
    <w:p>
      <w:pPr>
        <w:pStyle w:val="aff3"/>
        <w:spacing w:before="0" w:beforeAutospacing="0" w:after="0" w:afterAutospacing="0"/>
        <w:ind w:firstLine="709"/>
        <w:jc w:val="both"/>
      </w:pPr>
      <w:r>
        <w:t xml:space="preserve">- развитие молодежного предпринимательства - 143,99 тыс.руб.; </w:t>
      </w:r>
    </w:p>
    <w:p>
      <w:pPr>
        <w:pStyle w:val="aff3"/>
        <w:spacing w:before="0" w:beforeAutospacing="0" w:after="120" w:afterAutospacing="0"/>
        <w:ind w:firstLine="709"/>
        <w:jc w:val="both"/>
      </w:pPr>
      <w:r>
        <w:t>- обеспечение субъектов малого и среднего предпринимательства информационной и консультационной поддержки - 100,00 тыс.руб.</w:t>
      </w:r>
    </w:p>
    <w:p>
      <w:pPr>
        <w:pStyle w:val="aff3"/>
        <w:spacing w:before="0" w:beforeAutospacing="0" w:after="0" w:afterAutospacing="0"/>
        <w:ind w:firstLine="709"/>
        <w:jc w:val="both"/>
      </w:pPr>
      <w:r>
        <w:t xml:space="preserve">По подпрограмме 3 «Создание общественной (социальной) среды, благоприятной для развития бизнеса» предусмотрены средства в общей сумме 518,72 тыс. руб.,  в том числе: </w:t>
      </w:r>
    </w:p>
    <w:p>
      <w:pPr>
        <w:pStyle w:val="aff3"/>
        <w:spacing w:before="0" w:beforeAutospacing="0" w:after="0" w:afterAutospacing="0"/>
        <w:ind w:firstLine="709"/>
        <w:jc w:val="both"/>
      </w:pPr>
      <w:r>
        <w:t>- проведение Дня российского предпринимательства - 300,00 тыс.руб.;</w:t>
      </w:r>
    </w:p>
    <w:p>
      <w:pPr>
        <w:pStyle w:val="aff3"/>
        <w:spacing w:before="0" w:beforeAutospacing="0" w:after="0" w:afterAutospacing="0"/>
        <w:ind w:firstLine="709"/>
        <w:jc w:val="both"/>
      </w:pPr>
      <w:r>
        <w:t>- проведение иных конкурсов в предпринимательской среде  - 70,00 тыс.руб.;</w:t>
      </w:r>
    </w:p>
    <w:p>
      <w:pPr>
        <w:pStyle w:val="aff3"/>
        <w:spacing w:before="0" w:beforeAutospacing="0" w:after="0" w:afterAutospacing="0"/>
        <w:ind w:firstLine="709"/>
        <w:jc w:val="both"/>
      </w:pPr>
      <w:r>
        <w:t>- проведение конкурса на звание лучшего субъекта предпринимательства  - 148,72 тыс.руб.</w:t>
      </w:r>
    </w:p>
    <w:p>
      <w:pPr>
        <w:pStyle w:val="aff3"/>
        <w:spacing w:before="0" w:beforeAutospacing="0" w:after="0" w:afterAutospacing="0"/>
        <w:jc w:val="both"/>
        <w:rPr>
          <w:highlight w:val="yellow"/>
        </w:rPr>
      </w:pPr>
    </w:p>
    <w:p>
      <w:pPr>
        <w:jc w:val="center"/>
        <w:rPr>
          <w:rFonts w:ascii="Times New Roman" w:hAnsi="Times New Roman"/>
          <w:b/>
          <w:color w:val="000000"/>
          <w:sz w:val="24"/>
          <w:szCs w:val="24"/>
        </w:rPr>
      </w:pPr>
      <w:r>
        <w:rPr>
          <w:rFonts w:ascii="Times New Roman" w:hAnsi="Times New Roman"/>
          <w:b/>
          <w:sz w:val="24"/>
          <w:szCs w:val="24"/>
        </w:rPr>
        <w:t>2.8.</w:t>
      </w:r>
      <w:r>
        <w:rPr>
          <w:rFonts w:ascii="Times New Roman" w:hAnsi="Times New Roman"/>
          <w:b/>
          <w:color w:val="000000"/>
          <w:sz w:val="24"/>
          <w:szCs w:val="24"/>
        </w:rPr>
        <w:t> Ассигнования на непрограммные направления деятельности</w:t>
      </w:r>
    </w:p>
    <w:p>
      <w:pPr>
        <w:jc w:val="center"/>
        <w:rPr>
          <w:rFonts w:ascii="Times New Roman" w:hAnsi="Times New Roman"/>
          <w:b/>
          <w:color w:val="000000"/>
          <w:sz w:val="16"/>
          <w:szCs w:val="16"/>
        </w:rPr>
      </w:pP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Общий объем непрограммных расходов в 2021 году составит 275 360,39 тыс.руб., в  2022 году – 290 360,28 тыс.руб., в 2023 году – 342 793,60 тыс.руб. В состав непрограммных расходы входят:</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 бюджетные ассигнования на обеспечение выполнения функций Думы ЗАТО Северск, Счетной палаты ЗАТО Северск, структурных подразделений или органов Администрации ЗАТО Северск, не являющихся юридическими лицами;</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 бюджетные ассигнования на исполнение судебных актов;</w:t>
      </w:r>
    </w:p>
    <w:p>
      <w:pPr>
        <w:pStyle w:val="ConsPlusNormal"/>
        <w:tabs>
          <w:tab w:val="left" w:pos="3600"/>
        </w:tabs>
        <w:ind w:firstLine="709"/>
        <w:jc w:val="both"/>
        <w:rPr>
          <w:rFonts w:ascii="Times New Roman" w:hAnsi="Times New Roman"/>
          <w:sz w:val="24"/>
          <w:szCs w:val="24"/>
        </w:rPr>
      </w:pPr>
      <w:r>
        <w:rPr>
          <w:rFonts w:ascii="Times New Roman" w:hAnsi="Times New Roman"/>
          <w:sz w:val="24"/>
          <w:szCs w:val="24"/>
        </w:rPr>
        <w:t>- бюджетные ассигнования на создание резервных фондов.</w:t>
      </w:r>
    </w:p>
    <w:p>
      <w:pPr>
        <w:spacing w:before="120"/>
        <w:ind w:firstLine="709"/>
        <w:rPr>
          <w:rFonts w:ascii="Times New Roman" w:hAnsi="Times New Roman"/>
          <w:sz w:val="24"/>
          <w:szCs w:val="24"/>
        </w:rPr>
      </w:pPr>
      <w:r>
        <w:rPr>
          <w:rFonts w:ascii="Times New Roman" w:hAnsi="Times New Roman"/>
          <w:sz w:val="24"/>
          <w:szCs w:val="24"/>
        </w:rPr>
        <w:t>Таблица 81 -  Ассигнования по непрограммным расходам</w:t>
      </w:r>
    </w:p>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276"/>
        <w:gridCol w:w="1134"/>
        <w:gridCol w:w="1134"/>
        <w:gridCol w:w="851"/>
        <w:gridCol w:w="1134"/>
        <w:gridCol w:w="1134"/>
      </w:tblGrid>
      <w:tr>
        <w:trPr>
          <w:trHeight w:val="257"/>
        </w:trPr>
        <w:tc>
          <w:tcPr>
            <w:tcW w:w="2552"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Наименование</w:t>
            </w:r>
          </w:p>
        </w:tc>
        <w:tc>
          <w:tcPr>
            <w:tcW w:w="2410" w:type="dxa"/>
            <w:gridSpan w:val="2"/>
            <w:tcBorders>
              <w:top w:val="single" w:sz="4" w:space="0" w:color="auto"/>
              <w:left w:val="single" w:sz="4" w:space="0" w:color="auto"/>
              <w:right w:val="single" w:sz="4" w:space="0" w:color="auto"/>
            </w:tcBorders>
            <w:vAlign w:val="center"/>
          </w:tcPr>
          <w:p>
            <w:pPr>
              <w:jc w:val="center"/>
              <w:rPr>
                <w:rFonts w:ascii="Times New Roman" w:hAnsi="Times New Roman"/>
              </w:rPr>
            </w:pPr>
            <w:r>
              <w:rPr>
                <w:rFonts w:ascii="Times New Roman" w:hAnsi="Times New Roman"/>
              </w:rPr>
              <w:t>2020 год</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 2021 года</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2022 года, тыс.руб.</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rPr>
            </w:pPr>
            <w:r>
              <w:rPr>
                <w:rFonts w:ascii="Times New Roman" w:hAnsi="Times New Roman"/>
              </w:rPr>
              <w:t>Прогноз</w:t>
            </w:r>
          </w:p>
          <w:p>
            <w:pPr>
              <w:jc w:val="center"/>
              <w:rPr>
                <w:rFonts w:ascii="Times New Roman" w:hAnsi="Times New Roman"/>
              </w:rPr>
            </w:pPr>
            <w:r>
              <w:rPr>
                <w:rFonts w:ascii="Times New Roman" w:hAnsi="Times New Roman"/>
              </w:rPr>
              <w:t>2023 года, тыс.руб.</w:t>
            </w:r>
          </w:p>
        </w:tc>
      </w:tr>
      <w:tr>
        <w:trPr>
          <w:trHeight w:val="256"/>
        </w:trPr>
        <w:tc>
          <w:tcPr>
            <w:tcW w:w="2552"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276" w:type="dxa"/>
            <w:tcBorders>
              <w:left w:val="single" w:sz="4" w:space="0" w:color="auto"/>
              <w:bottom w:val="single" w:sz="4" w:space="0" w:color="auto"/>
              <w:right w:val="single" w:sz="4" w:space="0" w:color="auto"/>
            </w:tcBorders>
            <w:vAlign w:val="center"/>
          </w:tcPr>
          <w:p>
            <w:pPr>
              <w:jc w:val="center"/>
              <w:rPr>
                <w:rFonts w:ascii="Times New Roman" w:hAnsi="Times New Roman"/>
              </w:rPr>
            </w:pPr>
            <w:r>
              <w:rPr>
                <w:rFonts w:ascii="Times New Roman" w:hAnsi="Times New Roman"/>
              </w:rPr>
              <w:t>Перво-начально</w:t>
            </w:r>
          </w:p>
          <w:p>
            <w:pPr>
              <w:jc w:val="center"/>
              <w:rPr>
                <w:rFonts w:ascii="Times New Roman" w:hAnsi="Times New Roman"/>
              </w:rPr>
            </w:pPr>
            <w:r>
              <w:rPr>
                <w:rFonts w:ascii="Times New Roman" w:hAnsi="Times New Roman"/>
              </w:rPr>
              <w:t>утверждено,</w:t>
            </w:r>
          </w:p>
          <w:p>
            <w:pPr>
              <w:jc w:val="center"/>
              <w:rPr>
                <w:rFonts w:ascii="Times New Roman" w:hAnsi="Times New Roman"/>
              </w:rPr>
            </w:pPr>
            <w:r>
              <w:rPr>
                <w:rFonts w:ascii="Times New Roman" w:hAnsi="Times New Roman"/>
              </w:rPr>
              <w:t>тыс.руб.</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bCs/>
              </w:rPr>
            </w:pPr>
            <w:r>
              <w:rPr>
                <w:rFonts w:ascii="Times New Roman" w:hAnsi="Times New Roman"/>
                <w:bCs/>
              </w:rPr>
              <w:t>Оценка,</w:t>
            </w:r>
          </w:p>
          <w:p>
            <w:pPr>
              <w:jc w:val="center"/>
              <w:rPr>
                <w:rFonts w:ascii="Times New Roman" w:hAnsi="Times New Roman"/>
              </w:rPr>
            </w:pPr>
            <w:r>
              <w:rPr>
                <w:rFonts w:ascii="Times New Roman" w:hAnsi="Times New Roman"/>
                <w:bCs/>
              </w:rPr>
              <w:t>тыс.руб.</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color w:val="000000"/>
              </w:rPr>
            </w:pPr>
            <w:r>
              <w:rPr>
                <w:rFonts w:ascii="Times New Roman" w:hAnsi="Times New Roman"/>
                <w:color w:val="000000"/>
              </w:rPr>
              <w:t>Сумма,</w:t>
            </w:r>
          </w:p>
          <w:p>
            <w:pPr>
              <w:jc w:val="center"/>
              <w:rPr>
                <w:rFonts w:ascii="Times New Roman" w:hAnsi="Times New Roman"/>
                <w:bCs/>
              </w:rPr>
            </w:pPr>
            <w:r>
              <w:rPr>
                <w:rFonts w:ascii="Times New Roman" w:hAnsi="Times New Roman"/>
                <w:color w:val="000000"/>
              </w:rPr>
              <w:t>тыс.руб.</w:t>
            </w:r>
          </w:p>
        </w:tc>
        <w:tc>
          <w:tcPr>
            <w:tcW w:w="851" w:type="dxa"/>
            <w:tcBorders>
              <w:top w:val="single" w:sz="4" w:space="0" w:color="auto"/>
              <w:left w:val="single" w:sz="4" w:space="0" w:color="auto"/>
              <w:bottom w:val="single" w:sz="4" w:space="0" w:color="auto"/>
              <w:right w:val="single" w:sz="4" w:space="0" w:color="auto"/>
            </w:tcBorders>
            <w:vAlign w:val="center"/>
            <w:hideMark/>
          </w:tcPr>
          <w:p>
            <w:pPr>
              <w:jc w:val="center"/>
              <w:rPr>
                <w:rFonts w:ascii="Times New Roman" w:hAnsi="Times New Roman"/>
                <w:bCs/>
                <w:color w:val="000000"/>
              </w:rPr>
            </w:pPr>
            <w:r>
              <w:rPr>
                <w:rFonts w:ascii="Times New Roman" w:hAnsi="Times New Roman"/>
                <w:color w:val="000000"/>
              </w:rPr>
              <w:t>%</w:t>
            </w:r>
          </w:p>
        </w:tc>
        <w:tc>
          <w:tcPr>
            <w:tcW w:w="1134"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rPr>
            </w:pPr>
          </w:p>
        </w:tc>
      </w:tr>
      <w:tr>
        <w:tc>
          <w:tcPr>
            <w:tcW w:w="2552"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rPr>
            </w:pPr>
            <w:r>
              <w:rPr>
                <w:rFonts w:ascii="Times New Roman" w:hAnsi="Times New Roman"/>
              </w:rPr>
              <w:t>Непрограммные расходы,</w:t>
            </w:r>
          </w:p>
          <w:p>
            <w:pPr>
              <w:jc w:val="both"/>
              <w:rPr>
                <w:rFonts w:ascii="Times New Roman" w:hAnsi="Times New Roman"/>
              </w:rPr>
            </w:pPr>
            <w:r>
              <w:rPr>
                <w:rFonts w:ascii="Times New Roman" w:hAnsi="Times New Roman"/>
              </w:rPr>
              <w:t>из них:</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color w:val="000000"/>
              </w:rPr>
            </w:pPr>
            <w:r>
              <w:rPr>
                <w:rFonts w:ascii="Times New Roman" w:hAnsi="Times New Roman"/>
                <w:color w:val="000000"/>
              </w:rPr>
              <w:t>294 870,65</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color w:val="000000"/>
              </w:rPr>
            </w:pPr>
            <w:r>
              <w:rPr>
                <w:rFonts w:ascii="Times New Roman" w:hAnsi="Times New Roman"/>
                <w:color w:val="000000"/>
              </w:rPr>
              <w:t>320 613,78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275 360,39</w:t>
            </w:r>
          </w:p>
        </w:tc>
        <w:tc>
          <w:tcPr>
            <w:tcW w:w="851"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color w:val="000000"/>
              </w:rPr>
            </w:pPr>
            <w:r>
              <w:rPr>
                <w:rFonts w:ascii="Times New Roman" w:hAnsi="Times New Roman"/>
                <w:color w:val="000000"/>
              </w:rPr>
              <w:t>85,9</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290 360,28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342 793,60</w:t>
            </w:r>
          </w:p>
        </w:tc>
      </w:tr>
      <w:tr>
        <w:tc>
          <w:tcPr>
            <w:tcW w:w="2552"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rPr>
            </w:pPr>
            <w:r>
              <w:rPr>
                <w:rFonts w:ascii="Times New Roman" w:hAnsi="Times New Roman"/>
              </w:rPr>
              <w:t xml:space="preserve">Администрация </w:t>
            </w:r>
          </w:p>
          <w:p>
            <w:pPr>
              <w:jc w:val="both"/>
              <w:rPr>
                <w:rFonts w:ascii="Times New Roman" w:hAnsi="Times New Roman"/>
              </w:rPr>
            </w:pPr>
            <w:r>
              <w:rPr>
                <w:rFonts w:ascii="Times New Roman" w:hAnsi="Times New Roman"/>
              </w:rPr>
              <w:t>ЗАТО Северск</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214 209,55</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221 128,10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196 378,96</w:t>
            </w:r>
          </w:p>
        </w:tc>
        <w:tc>
          <w:tcPr>
            <w:tcW w:w="851"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color w:val="000000"/>
              </w:rPr>
            </w:pPr>
            <w:r>
              <w:rPr>
                <w:rFonts w:ascii="Times New Roman" w:hAnsi="Times New Roman"/>
                <w:color w:val="000000"/>
              </w:rPr>
              <w:t>82,8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173 504,87</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173 504,87</w:t>
            </w:r>
          </w:p>
        </w:tc>
      </w:tr>
      <w:tr>
        <w:tc>
          <w:tcPr>
            <w:tcW w:w="2552"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rPr>
            </w:pPr>
            <w:r>
              <w:rPr>
                <w:rFonts w:ascii="Times New Roman" w:hAnsi="Times New Roman"/>
              </w:rPr>
              <w:t>Дума ЗАТО Северск</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57 771,80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57 823,48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56 496,61</w:t>
            </w:r>
          </w:p>
        </w:tc>
        <w:tc>
          <w:tcPr>
            <w:tcW w:w="851"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color w:val="000000"/>
              </w:rPr>
            </w:pPr>
            <w:r>
              <w:rPr>
                <w:rFonts w:ascii="Times New Roman" w:hAnsi="Times New Roman"/>
                <w:color w:val="000000"/>
              </w:rPr>
              <w:t>97,7</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44 631,97</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43 893,78</w:t>
            </w:r>
          </w:p>
        </w:tc>
      </w:tr>
      <w:tr>
        <w:tc>
          <w:tcPr>
            <w:tcW w:w="2552"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rPr>
            </w:pPr>
            <w:r>
              <w:rPr>
                <w:rFonts w:ascii="Times New Roman" w:hAnsi="Times New Roman"/>
              </w:rPr>
              <w:t xml:space="preserve">Счетная палата </w:t>
            </w:r>
          </w:p>
          <w:p>
            <w:pPr>
              <w:jc w:val="both"/>
              <w:rPr>
                <w:rFonts w:ascii="Times New Roman" w:hAnsi="Times New Roman"/>
              </w:rPr>
            </w:pPr>
            <w:r>
              <w:rPr>
                <w:rFonts w:ascii="Times New Roman" w:hAnsi="Times New Roman"/>
              </w:rPr>
              <w:t>ЗАТО Северск</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15 213,52</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15 277,65</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15 115,16</w:t>
            </w:r>
          </w:p>
        </w:tc>
        <w:tc>
          <w:tcPr>
            <w:tcW w:w="851"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color w:val="000000"/>
              </w:rPr>
            </w:pPr>
            <w:r>
              <w:rPr>
                <w:rFonts w:ascii="Times New Roman" w:hAnsi="Times New Roman"/>
                <w:color w:val="000000"/>
              </w:rPr>
              <w:t>98,9</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11 940,88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11 743,39</w:t>
            </w:r>
          </w:p>
        </w:tc>
      </w:tr>
      <w:tr>
        <w:trPr>
          <w:trHeight w:val="493"/>
        </w:trPr>
        <w:tc>
          <w:tcPr>
            <w:tcW w:w="2552"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rPr>
            </w:pPr>
            <w:r>
              <w:rPr>
                <w:rFonts w:ascii="Times New Roman" w:hAnsi="Times New Roman"/>
              </w:rPr>
              <w:t>Финансовое управление Администрации ЗАТО Северск</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7 187,18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6 167,96</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7 019,56</w:t>
            </w:r>
          </w:p>
        </w:tc>
        <w:tc>
          <w:tcPr>
            <w:tcW w:w="851"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color w:val="000000"/>
              </w:rPr>
            </w:pPr>
            <w:r>
              <w:rPr>
                <w:rFonts w:ascii="Times New Roman" w:hAnsi="Times New Roman"/>
                <w:color w:val="000000"/>
              </w:rPr>
              <w:t xml:space="preserve">113,8 </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60 032,56</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113 401,56</w:t>
            </w:r>
          </w:p>
        </w:tc>
      </w:tr>
      <w:tr>
        <w:tc>
          <w:tcPr>
            <w:tcW w:w="2552"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rPr>
            </w:pPr>
            <w:r>
              <w:rPr>
                <w:rFonts w:ascii="Times New Roman" w:hAnsi="Times New Roman"/>
              </w:rPr>
              <w:t xml:space="preserve">     - фонд непредвиденных расходов</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5 761,61</w:t>
            </w:r>
          </w:p>
        </w:tc>
        <w:tc>
          <w:tcPr>
            <w:tcW w:w="113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5 957,70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5 593,99</w:t>
            </w:r>
          </w:p>
        </w:tc>
        <w:tc>
          <w:tcPr>
            <w:tcW w:w="851"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color w:val="000000"/>
              </w:rPr>
            </w:pPr>
            <w:r>
              <w:rPr>
                <w:rFonts w:ascii="Times New Roman" w:hAnsi="Times New Roman"/>
                <w:color w:val="000000"/>
              </w:rPr>
              <w:t xml:space="preserve">93,9 </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5 593,99</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5 593,99</w:t>
            </w:r>
          </w:p>
        </w:tc>
      </w:tr>
      <w:tr>
        <w:tc>
          <w:tcPr>
            <w:tcW w:w="2552"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rPr>
            </w:pPr>
            <w:r>
              <w:rPr>
                <w:rFonts w:ascii="Times New Roman" w:hAnsi="Times New Roman"/>
              </w:rPr>
              <w:t xml:space="preserve">      - резервный фонд по предупреждению и ликви-дации ЧС и последствий стихийных бедствий</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1 425,57</w:t>
            </w:r>
          </w:p>
        </w:tc>
        <w:tc>
          <w:tcPr>
            <w:tcW w:w="113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210,26</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1 425,57</w:t>
            </w:r>
          </w:p>
        </w:tc>
        <w:tc>
          <w:tcPr>
            <w:tcW w:w="851"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color w:val="000000"/>
              </w:rPr>
            </w:pPr>
            <w:r>
              <w:rPr>
                <w:rFonts w:ascii="Times New Roman" w:hAnsi="Times New Roman"/>
                <w:color w:val="000000"/>
              </w:rPr>
              <w:t>6,8</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1 425,57</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1 425,57</w:t>
            </w:r>
          </w:p>
        </w:tc>
      </w:tr>
      <w:tr>
        <w:tc>
          <w:tcPr>
            <w:tcW w:w="2552" w:type="dxa"/>
            <w:tcBorders>
              <w:top w:val="single" w:sz="4" w:space="0" w:color="auto"/>
              <w:left w:val="single" w:sz="4" w:space="0" w:color="auto"/>
              <w:bottom w:val="single" w:sz="4" w:space="0" w:color="auto"/>
              <w:right w:val="single" w:sz="4" w:space="0" w:color="auto"/>
            </w:tcBorders>
            <w:vAlign w:val="center"/>
          </w:tcPr>
          <w:p>
            <w:pPr>
              <w:jc w:val="both"/>
              <w:rPr>
                <w:rFonts w:ascii="Times New Roman" w:hAnsi="Times New Roman"/>
              </w:rPr>
            </w:pPr>
            <w:r>
              <w:rPr>
                <w:rFonts w:ascii="Times New Roman" w:hAnsi="Times New Roman"/>
              </w:rPr>
              <w:t>- условно утвержденные расходы</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19"/>
                <w:szCs w:val="19"/>
              </w:rPr>
            </w:pPr>
          </w:p>
        </w:tc>
        <w:tc>
          <w:tcPr>
            <w:tcW w:w="851"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19"/>
                <w:szCs w:val="19"/>
              </w:rPr>
            </w:pPr>
            <w:r>
              <w:rPr>
                <w:rFonts w:ascii="Times New Roman" w:hAnsi="Times New Roman"/>
                <w:sz w:val="19"/>
                <w:szCs w:val="19"/>
              </w:rPr>
              <w:t>53 013,00</w:t>
            </w:r>
          </w:p>
        </w:tc>
        <w:tc>
          <w:tcPr>
            <w:tcW w:w="1134"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sz w:val="19"/>
                <w:szCs w:val="19"/>
              </w:rPr>
            </w:pPr>
            <w:r>
              <w:rPr>
                <w:rFonts w:ascii="Times New Roman" w:hAnsi="Times New Roman"/>
                <w:sz w:val="19"/>
                <w:szCs w:val="19"/>
              </w:rPr>
              <w:t>106 382,00</w:t>
            </w:r>
          </w:p>
        </w:tc>
      </w:tr>
      <w:tr>
        <w:tc>
          <w:tcPr>
            <w:tcW w:w="2552" w:type="dxa"/>
            <w:tcBorders>
              <w:top w:val="single" w:sz="4" w:space="0" w:color="auto"/>
              <w:left w:val="single" w:sz="4" w:space="0" w:color="auto"/>
              <w:bottom w:val="single" w:sz="4" w:space="0" w:color="auto"/>
              <w:right w:val="single" w:sz="4" w:space="0" w:color="auto"/>
            </w:tcBorders>
            <w:vAlign w:val="center"/>
            <w:hideMark/>
          </w:tcPr>
          <w:p>
            <w:pPr>
              <w:jc w:val="both"/>
              <w:rPr>
                <w:rFonts w:ascii="Times New Roman" w:hAnsi="Times New Roman"/>
              </w:rPr>
            </w:pPr>
            <w:r>
              <w:rPr>
                <w:rFonts w:ascii="Times New Roman" w:hAnsi="Times New Roman"/>
              </w:rPr>
              <w:t>Прочие ГРБС (расходова- ние средств, выделенных из ФНР, исполнение су-дебных актов)</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rFonts w:ascii="Times New Roman" w:hAnsi="Times New Roman"/>
              </w:rPr>
            </w:pPr>
            <w:r>
              <w:rPr>
                <w:rFonts w:ascii="Times New Roman" w:hAnsi="Times New Roman"/>
              </w:rPr>
              <w:t>488,60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rPr>
            </w:pPr>
            <w:r>
              <w:rPr>
                <w:rFonts w:ascii="Times New Roman" w:hAnsi="Times New Roman"/>
              </w:rPr>
              <w:t>20 216,59</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350,10</w:t>
            </w:r>
          </w:p>
        </w:tc>
        <w:tc>
          <w:tcPr>
            <w:tcW w:w="851"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color w:val="000000"/>
              </w:rPr>
            </w:pPr>
            <w:r>
              <w:rPr>
                <w:rFonts w:ascii="Times New Roman" w:hAnsi="Times New Roman"/>
                <w:color w:val="000000"/>
              </w:rPr>
              <w:t>0,02</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250,00</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right"/>
              <w:rPr>
                <w:rFonts w:ascii="Times New Roman" w:hAnsi="Times New Roman"/>
                <w:sz w:val="19"/>
                <w:szCs w:val="19"/>
              </w:rPr>
            </w:pPr>
            <w:r>
              <w:rPr>
                <w:rFonts w:ascii="Times New Roman" w:hAnsi="Times New Roman"/>
                <w:sz w:val="19"/>
                <w:szCs w:val="19"/>
              </w:rPr>
              <w:t>250,00</w:t>
            </w:r>
          </w:p>
        </w:tc>
      </w:tr>
    </w:tbl>
    <w:p>
      <w:pPr>
        <w:ind w:firstLine="708"/>
        <w:jc w:val="both"/>
        <w:rPr>
          <w:rFonts w:ascii="Times New Roman" w:hAnsi="Times New Roman"/>
          <w:sz w:val="10"/>
          <w:szCs w:val="10"/>
          <w:highlight w:val="yellow"/>
        </w:rPr>
      </w:pPr>
      <w:r>
        <w:rPr>
          <w:rFonts w:ascii="Times New Roman" w:hAnsi="Times New Roman"/>
          <w:sz w:val="24"/>
          <w:szCs w:val="24"/>
          <w:highlight w:val="yellow"/>
        </w:rPr>
        <w:tab/>
      </w:r>
    </w:p>
    <w:p>
      <w:pPr>
        <w:jc w:val="both"/>
        <w:rPr>
          <w:rFonts w:ascii="Times New Roman" w:hAnsi="Times New Roman"/>
          <w:sz w:val="23"/>
          <w:szCs w:val="23"/>
        </w:rPr>
      </w:pPr>
      <w:r>
        <w:rPr>
          <w:rFonts w:ascii="Times New Roman" w:hAnsi="Times New Roman"/>
          <w:color w:val="FF0000"/>
          <w:sz w:val="24"/>
          <w:szCs w:val="24"/>
        </w:rPr>
        <w:tab/>
      </w:r>
      <w:r>
        <w:rPr>
          <w:rFonts w:ascii="Times New Roman" w:hAnsi="Times New Roman"/>
          <w:sz w:val="23"/>
          <w:szCs w:val="23"/>
        </w:rPr>
        <w:t>К непрограммным расходам в составе бюджета относятся ассигнования на фонд непредвиденных расходов и фонд по предупреждению и ликвидации последствий чрезвычайных ситуаций и последствий стихийных бедствий. Расходы по которым формируются в соответствии с требованиями статьи 81 Бюджетного кодекса Российской Федерации.</w:t>
      </w:r>
    </w:p>
    <w:p>
      <w:pPr>
        <w:jc w:val="both"/>
        <w:rPr>
          <w:rFonts w:ascii="Times New Roman" w:hAnsi="Times New Roman"/>
          <w:sz w:val="23"/>
          <w:szCs w:val="23"/>
        </w:rPr>
      </w:pPr>
      <w:r>
        <w:rPr>
          <w:rFonts w:ascii="Times New Roman" w:hAnsi="Times New Roman"/>
          <w:sz w:val="23"/>
          <w:szCs w:val="23"/>
        </w:rPr>
        <w:tab/>
        <w:t xml:space="preserve">Кроме того, в соответствии с нормами статьи 184.1 Бюджетного кодекса Российской Федерации в непрограммных расходах формируется общий объем условно утверждаемых расходов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Указанные расходы подведомственны Финансовому управлению. На 2022 год они составляют </w:t>
      </w:r>
      <w:r>
        <w:rPr>
          <w:rFonts w:ascii="Times New Roman" w:hAnsi="Times New Roman"/>
          <w:sz w:val="23"/>
          <w:szCs w:val="23"/>
        </w:rPr>
        <w:br/>
        <w:t>53 013,00 тыс.руб.; на 2023 год – 106 382,00 тыс.руб.</w:t>
      </w:r>
    </w:p>
    <w:p>
      <w:pPr>
        <w:jc w:val="center"/>
        <w:rPr>
          <w:b/>
          <w:sz w:val="24"/>
          <w:szCs w:val="24"/>
        </w:rPr>
      </w:pPr>
    </w:p>
    <w:p>
      <w:pPr>
        <w:jc w:val="center"/>
        <w:rPr>
          <w:b/>
          <w:sz w:val="24"/>
          <w:szCs w:val="24"/>
        </w:rPr>
      </w:pPr>
      <w:r>
        <w:rPr>
          <w:b/>
          <w:sz w:val="24"/>
          <w:szCs w:val="24"/>
          <w:lang w:val="en-US"/>
        </w:rPr>
        <w:t>III</w:t>
      </w:r>
      <w:r>
        <w:rPr>
          <w:b/>
          <w:sz w:val="24"/>
          <w:szCs w:val="24"/>
        </w:rPr>
        <w:t>. БАЛАНС</w:t>
      </w:r>
    </w:p>
    <w:p>
      <w:pPr>
        <w:pStyle w:val="ab"/>
        <w:ind w:firstLine="567"/>
        <w:rPr>
          <w:sz w:val="16"/>
          <w:szCs w:val="16"/>
        </w:rPr>
      </w:pPr>
    </w:p>
    <w:p>
      <w:pPr>
        <w:pStyle w:val="ab"/>
        <w:ind w:firstLine="709"/>
      </w:pPr>
      <w:r>
        <w:t>Бюджет ЗАТО Северск на 2021 год сформирован с дефицитом  в сумме 87 488,68 тыс.руб., что составляет 10 % от суммы налоговых и неналоговых доходов без учета доходов по дополнительным нормативам. На погашение дефицита планируется привлечь заимствования у коммерческих банков.</w:t>
      </w:r>
    </w:p>
    <w:p>
      <w:pPr>
        <w:pStyle w:val="ab"/>
        <w:ind w:firstLine="709"/>
      </w:pPr>
      <w:r>
        <w:t xml:space="preserve">На плановый период 2022 и 2023 годов бюджет ЗАТО Северск сформирован без дефицита. </w:t>
      </w:r>
    </w:p>
    <w:p>
      <w:pPr>
        <w:pStyle w:val="ab"/>
        <w:ind w:firstLine="709"/>
      </w:pPr>
      <w:r>
        <w:t>Муниципальный долг по состоянию на 01.01.2021 составит 278 220,28 тыс.руб., на 01.01.2022 – 365 708,96 тыс.руб., на 01.01.2023 – 365 708,96 тыс.руб., на 01.01.2024 – 365 708,96 тыс.руб.</w:t>
      </w:r>
    </w:p>
    <w:p>
      <w:pPr>
        <w:jc w:val="center"/>
        <w:rPr>
          <w:b/>
          <w:sz w:val="24"/>
          <w:szCs w:val="24"/>
          <w:highlight w:val="yellow"/>
        </w:rPr>
      </w:pPr>
    </w:p>
    <w:p>
      <w:pPr>
        <w:jc w:val="center"/>
        <w:rPr>
          <w:b/>
          <w:sz w:val="24"/>
          <w:szCs w:val="24"/>
          <w:highlight w:val="yellow"/>
        </w:rPr>
      </w:pPr>
    </w:p>
    <w:p>
      <w:pPr>
        <w:jc w:val="center"/>
        <w:rPr>
          <w:b/>
          <w:sz w:val="24"/>
          <w:szCs w:val="24"/>
          <w:highlight w:val="yellow"/>
        </w:rPr>
      </w:pPr>
    </w:p>
    <w:p>
      <w:pPr>
        <w:jc w:val="both"/>
        <w:rPr>
          <w:b/>
          <w:sz w:val="24"/>
          <w:szCs w:val="24"/>
        </w:rPr>
      </w:pPr>
      <w:r>
        <w:rPr>
          <w:rFonts w:ascii="Times New Roman" w:hAnsi="Times New Roman"/>
          <w:sz w:val="24"/>
          <w:szCs w:val="24"/>
        </w:rPr>
        <w:t>Начальник Финансового управления                                                                   Л.И.Овчаренко</w:t>
      </w:r>
    </w:p>
    <w:p>
      <w:pPr>
        <w:jc w:val="center"/>
        <w:rPr>
          <w:b/>
          <w:sz w:val="24"/>
          <w:szCs w:val="24"/>
        </w:rPr>
      </w:pPr>
    </w:p>
    <w:sectPr>
      <w:footerReference w:type="even" r:id="rId20"/>
      <w:footerReference w:type="default" r:id="rId21"/>
      <w:pgSz w:w="11907" w:h="16840" w:code="9"/>
      <w:pgMar w:top="567" w:right="851" w:bottom="380" w:left="1701" w:header="720" w:footer="567"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pPr>
      <w:pStyle w:val="af"/>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f"/>
      <w:jc w:val="right"/>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noProof/>
      </w:rPr>
      <w:t>41</w:t>
    </w:r>
    <w:r>
      <w:rPr>
        <w:sz w:val="24"/>
        <w:szCs w:val="24"/>
      </w:rPr>
      <w:fldChar w:fldCharType="end"/>
    </w:r>
  </w:p>
  <w:p>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18"/>
    <w:lvl w:ilvl="0">
      <w:start w:val="1"/>
      <w:numFmt w:val="decimal"/>
      <w:lvlText w:val="%1)"/>
      <w:lvlJc w:val="left"/>
      <w:pPr>
        <w:tabs>
          <w:tab w:val="num" w:pos="1065"/>
        </w:tabs>
        <w:ind w:left="1065" w:hanging="360"/>
      </w:pPr>
      <w:rPr>
        <w:rFonts w:ascii="Times New Roman" w:eastAsia="Times New Roman" w:hAnsi="Times New Roman" w:cs="Times New Roman"/>
      </w:rPr>
    </w:lvl>
  </w:abstractNum>
  <w:abstractNum w:abstractNumId="1">
    <w:nsid w:val="00000003"/>
    <w:multiLevelType w:val="singleLevel"/>
    <w:tmpl w:val="00000003"/>
    <w:name w:val="WW8Num30"/>
    <w:lvl w:ilvl="0">
      <w:start w:val="1"/>
      <w:numFmt w:val="bullet"/>
      <w:lvlText w:val=""/>
      <w:lvlJc w:val="left"/>
      <w:pPr>
        <w:tabs>
          <w:tab w:val="num" w:pos="2145"/>
        </w:tabs>
        <w:ind w:left="2145" w:hanging="360"/>
      </w:pPr>
      <w:rPr>
        <w:rFonts w:ascii="Wingdings" w:hAnsi="Wingdings"/>
      </w:rPr>
    </w:lvl>
  </w:abstractNum>
  <w:abstractNum w:abstractNumId="2">
    <w:nsid w:val="02970B51"/>
    <w:multiLevelType w:val="hybridMultilevel"/>
    <w:tmpl w:val="40DEF82C"/>
    <w:lvl w:ilvl="0" w:tplc="9C90DB4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3B60B28"/>
    <w:multiLevelType w:val="hybridMultilevel"/>
    <w:tmpl w:val="06600674"/>
    <w:lvl w:ilvl="0" w:tplc="738C1D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7131578"/>
    <w:multiLevelType w:val="hybridMultilevel"/>
    <w:tmpl w:val="6B12FD08"/>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DA11783"/>
    <w:multiLevelType w:val="hybridMultilevel"/>
    <w:tmpl w:val="0484BF4A"/>
    <w:lvl w:ilvl="0" w:tplc="CD501C4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A16BB5"/>
    <w:multiLevelType w:val="hybridMultilevel"/>
    <w:tmpl w:val="AE349ED4"/>
    <w:lvl w:ilvl="0" w:tplc="7B92195E">
      <w:start w:val="1"/>
      <w:numFmt w:val="decimal"/>
      <w:suff w:val="space"/>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EE095F"/>
    <w:multiLevelType w:val="multilevel"/>
    <w:tmpl w:val="65549C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2B95BFF"/>
    <w:multiLevelType w:val="multilevel"/>
    <w:tmpl w:val="BB9E365C"/>
    <w:lvl w:ilvl="0">
      <w:start w:val="1"/>
      <w:numFmt w:val="decimal"/>
      <w:suff w:val="space"/>
      <w:lvlText w:val="%1."/>
      <w:lvlJc w:val="left"/>
      <w:pPr>
        <w:ind w:left="1429" w:hanging="360"/>
      </w:pPr>
      <w:rPr>
        <w:rFonts w:hint="default"/>
      </w:rPr>
    </w:lvl>
    <w:lvl w:ilvl="1">
      <w:start w:val="6"/>
      <w:numFmt w:val="decimal"/>
      <w:isLgl/>
      <w:lvlText w:val="%1.%2."/>
      <w:lvlJc w:val="left"/>
      <w:pPr>
        <w:ind w:left="1609" w:hanging="540"/>
      </w:pPr>
      <w:rPr>
        <w:rFonts w:hint="default"/>
        <w:color w:val="FF0000"/>
      </w:rPr>
    </w:lvl>
    <w:lvl w:ilvl="2">
      <w:start w:val="5"/>
      <w:numFmt w:val="decimal"/>
      <w:isLgl/>
      <w:lvlText w:val="%1.%2.%3."/>
      <w:lvlJc w:val="left"/>
      <w:pPr>
        <w:ind w:left="1789" w:hanging="720"/>
      </w:pPr>
      <w:rPr>
        <w:rFonts w:hint="default"/>
        <w:color w:val="FF0000"/>
      </w:rPr>
    </w:lvl>
    <w:lvl w:ilvl="3">
      <w:start w:val="1"/>
      <w:numFmt w:val="decimal"/>
      <w:isLgl/>
      <w:lvlText w:val="%1.%2.%3.%4."/>
      <w:lvlJc w:val="left"/>
      <w:pPr>
        <w:ind w:left="1789" w:hanging="720"/>
      </w:pPr>
      <w:rPr>
        <w:rFonts w:hint="default"/>
        <w:color w:val="FF0000"/>
      </w:rPr>
    </w:lvl>
    <w:lvl w:ilvl="4">
      <w:start w:val="1"/>
      <w:numFmt w:val="decimal"/>
      <w:isLgl/>
      <w:lvlText w:val="%1.%2.%3.%4.%5."/>
      <w:lvlJc w:val="left"/>
      <w:pPr>
        <w:ind w:left="2149" w:hanging="1080"/>
      </w:pPr>
      <w:rPr>
        <w:rFonts w:hint="default"/>
        <w:color w:val="FF0000"/>
      </w:rPr>
    </w:lvl>
    <w:lvl w:ilvl="5">
      <w:start w:val="1"/>
      <w:numFmt w:val="decimal"/>
      <w:isLgl/>
      <w:lvlText w:val="%1.%2.%3.%4.%5.%6."/>
      <w:lvlJc w:val="left"/>
      <w:pPr>
        <w:ind w:left="2149" w:hanging="1080"/>
      </w:pPr>
      <w:rPr>
        <w:rFonts w:hint="default"/>
        <w:color w:val="FF0000"/>
      </w:rPr>
    </w:lvl>
    <w:lvl w:ilvl="6">
      <w:start w:val="1"/>
      <w:numFmt w:val="decimal"/>
      <w:isLgl/>
      <w:lvlText w:val="%1.%2.%3.%4.%5.%6.%7."/>
      <w:lvlJc w:val="left"/>
      <w:pPr>
        <w:ind w:left="2509" w:hanging="1440"/>
      </w:pPr>
      <w:rPr>
        <w:rFonts w:hint="default"/>
        <w:color w:val="FF0000"/>
      </w:rPr>
    </w:lvl>
    <w:lvl w:ilvl="7">
      <w:start w:val="1"/>
      <w:numFmt w:val="decimal"/>
      <w:isLgl/>
      <w:lvlText w:val="%1.%2.%3.%4.%5.%6.%7.%8."/>
      <w:lvlJc w:val="left"/>
      <w:pPr>
        <w:ind w:left="2509" w:hanging="1440"/>
      </w:pPr>
      <w:rPr>
        <w:rFonts w:hint="default"/>
        <w:color w:val="FF0000"/>
      </w:rPr>
    </w:lvl>
    <w:lvl w:ilvl="8">
      <w:start w:val="1"/>
      <w:numFmt w:val="decimal"/>
      <w:isLgl/>
      <w:lvlText w:val="%1.%2.%3.%4.%5.%6.%7.%8.%9."/>
      <w:lvlJc w:val="left"/>
      <w:pPr>
        <w:ind w:left="2869" w:hanging="1800"/>
      </w:pPr>
      <w:rPr>
        <w:rFonts w:hint="default"/>
        <w:color w:val="FF0000"/>
      </w:rPr>
    </w:lvl>
  </w:abstractNum>
  <w:abstractNum w:abstractNumId="9">
    <w:nsid w:val="247435F4"/>
    <w:multiLevelType w:val="multilevel"/>
    <w:tmpl w:val="4502D50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9"/>
        </w:tabs>
        <w:ind w:left="1129" w:hanging="4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0">
    <w:nsid w:val="24D77CBC"/>
    <w:multiLevelType w:val="hybridMultilevel"/>
    <w:tmpl w:val="C11ABA9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5F01ECB"/>
    <w:multiLevelType w:val="hybridMultilevel"/>
    <w:tmpl w:val="84D68E7E"/>
    <w:lvl w:ilvl="0" w:tplc="E12860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8DB0C58"/>
    <w:multiLevelType w:val="multilevel"/>
    <w:tmpl w:val="75DE575E"/>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29462EE6"/>
    <w:multiLevelType w:val="hybridMultilevel"/>
    <w:tmpl w:val="C1CA07F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FBF5E9A"/>
    <w:multiLevelType w:val="hybridMultilevel"/>
    <w:tmpl w:val="22A0C3FE"/>
    <w:lvl w:ilvl="0" w:tplc="D374BE7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8E1C44"/>
    <w:multiLevelType w:val="hybridMultilevel"/>
    <w:tmpl w:val="B40EF09C"/>
    <w:lvl w:ilvl="0" w:tplc="3A06820E">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16">
    <w:nsid w:val="37F31B07"/>
    <w:multiLevelType w:val="hybridMultilevel"/>
    <w:tmpl w:val="48229CF2"/>
    <w:lvl w:ilvl="0" w:tplc="0419000F">
      <w:start w:val="1"/>
      <w:numFmt w:val="decimal"/>
      <w:lvlText w:val="%1."/>
      <w:lvlJc w:val="left"/>
      <w:pPr>
        <w:ind w:left="360" w:hanging="360"/>
      </w:pPr>
      <w:rPr>
        <w:rFonts w:hint="default"/>
        <w:b/>
        <w: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A8676BE"/>
    <w:multiLevelType w:val="hybridMultilevel"/>
    <w:tmpl w:val="779C043E"/>
    <w:lvl w:ilvl="0" w:tplc="C75E195E">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A9D5A71"/>
    <w:multiLevelType w:val="hybridMultilevel"/>
    <w:tmpl w:val="37FC3E40"/>
    <w:lvl w:ilvl="0" w:tplc="BF42E5CA">
      <w:start w:val="1"/>
      <w:numFmt w:val="bullet"/>
      <w:suff w:val="space"/>
      <w:lvlText w:val=""/>
      <w:lvlJc w:val="left"/>
      <w:pPr>
        <w:ind w:left="8866"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A16425"/>
    <w:multiLevelType w:val="hybridMultilevel"/>
    <w:tmpl w:val="0F06BA06"/>
    <w:lvl w:ilvl="0" w:tplc="B1802170">
      <w:start w:val="2016"/>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860C68"/>
    <w:multiLevelType w:val="hybridMultilevel"/>
    <w:tmpl w:val="4A5055EC"/>
    <w:lvl w:ilvl="0" w:tplc="4B9E7DEA">
      <w:start w:val="1"/>
      <w:numFmt w:val="decimal"/>
      <w:suff w:val="space"/>
      <w:lvlText w:val="%1)"/>
      <w:lvlJc w:val="left"/>
      <w:pPr>
        <w:ind w:left="1429"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572667C"/>
    <w:multiLevelType w:val="hybridMultilevel"/>
    <w:tmpl w:val="CDE8B8A4"/>
    <w:lvl w:ilvl="0" w:tplc="6D8C2F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6462921"/>
    <w:multiLevelType w:val="hybridMultilevel"/>
    <w:tmpl w:val="4402622A"/>
    <w:lvl w:ilvl="0" w:tplc="F28ECCFA">
      <w:start w:val="1"/>
      <w:numFmt w:val="decimal"/>
      <w:lvlText w:val="%1."/>
      <w:lvlJc w:val="left"/>
      <w:pPr>
        <w:ind w:left="1656" w:hanging="94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4B9857BB"/>
    <w:multiLevelType w:val="hybridMultilevel"/>
    <w:tmpl w:val="5CDE27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CD2556C"/>
    <w:multiLevelType w:val="hybridMultilevel"/>
    <w:tmpl w:val="8DE05D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FF1AB6"/>
    <w:multiLevelType w:val="hybridMultilevel"/>
    <w:tmpl w:val="2D9E7394"/>
    <w:lvl w:ilvl="0" w:tplc="52BEC9B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6">
    <w:nsid w:val="561E7BF1"/>
    <w:multiLevelType w:val="hybridMultilevel"/>
    <w:tmpl w:val="0F64B932"/>
    <w:lvl w:ilvl="0" w:tplc="6270DFCC">
      <w:start w:val="1"/>
      <w:numFmt w:val="decimal"/>
      <w:suff w:val="space"/>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B59301D"/>
    <w:multiLevelType w:val="hybridMultilevel"/>
    <w:tmpl w:val="DB946314"/>
    <w:lvl w:ilvl="0" w:tplc="ADFC50F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03C3A0E"/>
    <w:multiLevelType w:val="hybridMultilevel"/>
    <w:tmpl w:val="8D5CA566"/>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3FB4DA6"/>
    <w:multiLevelType w:val="hybridMultilevel"/>
    <w:tmpl w:val="99B8AEE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644452DF"/>
    <w:multiLevelType w:val="hybridMultilevel"/>
    <w:tmpl w:val="44DC0DCA"/>
    <w:lvl w:ilvl="0" w:tplc="AD340F1E">
      <w:start w:val="1"/>
      <w:numFmt w:val="decimal"/>
      <w:suff w:val="space"/>
      <w:lvlText w:val="%1)"/>
      <w:lvlJc w:val="left"/>
      <w:pPr>
        <w:ind w:left="1429"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658E40ED"/>
    <w:multiLevelType w:val="hybridMultilevel"/>
    <w:tmpl w:val="447CD5AE"/>
    <w:lvl w:ilvl="0" w:tplc="C46A971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7787D92"/>
    <w:multiLevelType w:val="hybridMultilevel"/>
    <w:tmpl w:val="21367548"/>
    <w:lvl w:ilvl="0" w:tplc="10B200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8BB030F"/>
    <w:multiLevelType w:val="hybridMultilevel"/>
    <w:tmpl w:val="0E38F008"/>
    <w:lvl w:ilvl="0" w:tplc="D9AC3A76">
      <w:start w:val="1"/>
      <w:numFmt w:val="decimal"/>
      <w:lvlText w:val="%1."/>
      <w:lvlJc w:val="left"/>
      <w:pPr>
        <w:ind w:left="1657" w:hanging="94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B860BEC"/>
    <w:multiLevelType w:val="hybridMultilevel"/>
    <w:tmpl w:val="149AC6D4"/>
    <w:lvl w:ilvl="0" w:tplc="0419000D">
      <w:start w:val="1"/>
      <w:numFmt w:val="bullet"/>
      <w:lvlText w:val=""/>
      <w:lvlJc w:val="left"/>
      <w:pPr>
        <w:ind w:left="1496" w:hanging="360"/>
      </w:pPr>
      <w:rPr>
        <w:rFonts w:ascii="Wingdings" w:hAnsi="Wingdings"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35">
    <w:nsid w:val="7EFD72B7"/>
    <w:multiLevelType w:val="hybridMultilevel"/>
    <w:tmpl w:val="1E5AACCC"/>
    <w:lvl w:ilvl="0" w:tplc="AAC28844">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3"/>
  </w:num>
  <w:num w:numId="3">
    <w:abstractNumId w:val="24"/>
  </w:num>
  <w:num w:numId="4">
    <w:abstractNumId w:val="19"/>
  </w:num>
  <w:num w:numId="5">
    <w:abstractNumId w:val="33"/>
  </w:num>
  <w:num w:numId="6">
    <w:abstractNumId w:val="9"/>
  </w:num>
  <w:num w:numId="7">
    <w:abstractNumId w:val="16"/>
  </w:num>
  <w:num w:numId="8">
    <w:abstractNumId w:val="22"/>
  </w:num>
  <w:num w:numId="9">
    <w:abstractNumId w:val="2"/>
  </w:num>
  <w:num w:numId="10">
    <w:abstractNumId w:val="8"/>
  </w:num>
  <w:num w:numId="11">
    <w:abstractNumId w:val="26"/>
  </w:num>
  <w:num w:numId="12">
    <w:abstractNumId w:val="6"/>
  </w:num>
  <w:num w:numId="13">
    <w:abstractNumId w:val="30"/>
  </w:num>
  <w:num w:numId="14">
    <w:abstractNumId w:val="20"/>
  </w:num>
  <w:num w:numId="15">
    <w:abstractNumId w:val="3"/>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6"/>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31"/>
  </w:num>
  <w:num w:numId="26">
    <w:abstractNumId w:val="5"/>
  </w:num>
  <w:num w:numId="27">
    <w:abstractNumId w:val="34"/>
  </w:num>
  <w:num w:numId="28">
    <w:abstractNumId w:val="28"/>
  </w:num>
  <w:num w:numId="29">
    <w:abstractNumId w:val="14"/>
  </w:num>
  <w:num w:numId="30">
    <w:abstractNumId w:val="35"/>
  </w:num>
  <w:num w:numId="31">
    <w:abstractNumId w:val="4"/>
  </w:num>
  <w:num w:numId="32">
    <w:abstractNumId w:val="10"/>
  </w:num>
  <w:num w:numId="33">
    <w:abstractNumId w:val="18"/>
  </w:num>
  <w:num w:numId="34">
    <w:abstractNumId w:val="32"/>
  </w:num>
  <w:num w:numId="35">
    <w:abstractNumId w:val="27"/>
  </w:num>
  <w:num w:numId="36">
    <w:abstractNumId w:val="17"/>
  </w:num>
  <w:num w:numId="37">
    <w:abstractNumId w:val="12"/>
  </w:num>
  <w:num w:numId="38">
    <w:abstractNumId w:val="25"/>
  </w:num>
  <w:num w:numId="39">
    <w:abstractNumId w:val="21"/>
  </w:num>
  <w:num w:numId="40">
    <w:abstractNumId w:val="15"/>
  </w:num>
  <w:num w:numId="41">
    <w:abstractNumId w:val="13"/>
  </w:num>
  <w:num w:numId="42">
    <w:abstractNumId w:val="2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17B7CE6-3B57-4441-BA3A-C2930D2E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link w:val="10"/>
    <w:qFormat/>
    <w:pPr>
      <w:keepNext/>
      <w:jc w:val="center"/>
      <w:outlineLvl w:val="0"/>
    </w:pPr>
    <w:rPr>
      <w:b/>
      <w:sz w:val="28"/>
    </w:rPr>
  </w:style>
  <w:style w:type="paragraph" w:styleId="2">
    <w:name w:val="heading 2"/>
    <w:basedOn w:val="a"/>
    <w:next w:val="a"/>
    <w:link w:val="20"/>
    <w:qFormat/>
    <w:pPr>
      <w:keepNext/>
      <w:spacing w:line="360" w:lineRule="auto"/>
      <w:ind w:firstLine="720"/>
      <w:jc w:val="both"/>
      <w:outlineLvl w:val="1"/>
    </w:pPr>
    <w:rPr>
      <w:sz w:val="24"/>
      <w:u w:val="single"/>
    </w:rPr>
  </w:style>
  <w:style w:type="paragraph" w:styleId="3">
    <w:name w:val="heading 3"/>
    <w:basedOn w:val="a"/>
    <w:next w:val="a"/>
    <w:link w:val="30"/>
    <w:qFormat/>
    <w:pPr>
      <w:keepNext/>
      <w:jc w:val="center"/>
      <w:outlineLvl w:val="2"/>
    </w:pPr>
    <w:rPr>
      <w:bCs/>
      <w:sz w:val="24"/>
    </w:rPr>
  </w:style>
  <w:style w:type="paragraph" w:styleId="4">
    <w:name w:val="heading 4"/>
    <w:basedOn w:val="a"/>
    <w:next w:val="a"/>
    <w:link w:val="40"/>
    <w:qFormat/>
    <w:pPr>
      <w:keepNext/>
      <w:spacing w:before="120"/>
      <w:outlineLvl w:val="3"/>
    </w:pPr>
    <w:rPr>
      <w:sz w:val="24"/>
    </w:rPr>
  </w:style>
  <w:style w:type="paragraph" w:styleId="5">
    <w:name w:val="heading 5"/>
    <w:basedOn w:val="a"/>
    <w:next w:val="a"/>
    <w:link w:val="50"/>
    <w:qFormat/>
    <w:pPr>
      <w:keepNext/>
      <w:outlineLvl w:val="4"/>
    </w:pPr>
    <w:rPr>
      <w:rFonts w:ascii="Times New Roman" w:hAnsi="Times New Roman"/>
      <w:sz w:val="24"/>
    </w:rPr>
  </w:style>
  <w:style w:type="paragraph" w:styleId="6">
    <w:name w:val="heading 6"/>
    <w:basedOn w:val="a"/>
    <w:next w:val="a"/>
    <w:link w:val="60"/>
    <w:qFormat/>
    <w:pPr>
      <w:spacing w:before="240" w:after="60"/>
      <w:outlineLvl w:val="5"/>
    </w:pPr>
    <w:rPr>
      <w:rFonts w:ascii="Times New Roman" w:hAnsi="Times New Roman"/>
      <w:b/>
      <w:bCs/>
      <w:sz w:val="22"/>
      <w:szCs w:val="22"/>
    </w:rPr>
  </w:style>
  <w:style w:type="paragraph" w:styleId="7">
    <w:name w:val="heading 7"/>
    <w:basedOn w:val="a"/>
    <w:next w:val="a"/>
    <w:link w:val="70"/>
    <w:qFormat/>
    <w:pPr>
      <w:keepNext/>
      <w:jc w:val="both"/>
      <w:outlineLvl w:val="6"/>
    </w:pPr>
    <w:rPr>
      <w:rFonts w:ascii="Times New Roman" w:hAnsi="Times New Roman"/>
      <w:sz w:val="24"/>
    </w:rPr>
  </w:style>
  <w:style w:type="paragraph" w:styleId="8">
    <w:name w:val="heading 8"/>
    <w:basedOn w:val="a"/>
    <w:next w:val="a"/>
    <w:link w:val="80"/>
    <w:qFormat/>
    <w:pPr>
      <w:keepNext/>
      <w:outlineLvl w:val="7"/>
    </w:pPr>
    <w:rPr>
      <w:rFonts w:ascii="Times New Roman" w:hAnsi="Times New Roman"/>
      <w:b/>
      <w:bCs/>
      <w:sz w:val="22"/>
    </w:rPr>
  </w:style>
  <w:style w:type="paragraph" w:styleId="9">
    <w:name w:val="heading 9"/>
    <w:basedOn w:val="a"/>
    <w:next w:val="a"/>
    <w:link w:val="90"/>
    <w:qFormat/>
    <w:pPr>
      <w:keepNext/>
      <w:jc w:val="both"/>
      <w:outlineLvl w:val="8"/>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CYR" w:hAnsi="Times New Roman CYR"/>
      <w:b/>
      <w:sz w:val="28"/>
    </w:rPr>
  </w:style>
  <w:style w:type="character" w:customStyle="1" w:styleId="20">
    <w:name w:val="Заголовок 2 Знак"/>
    <w:link w:val="2"/>
    <w:rPr>
      <w:rFonts w:ascii="Times New Roman CYR" w:hAnsi="Times New Roman CYR"/>
      <w:sz w:val="24"/>
      <w:u w:val="single"/>
    </w:rPr>
  </w:style>
  <w:style w:type="character" w:customStyle="1" w:styleId="30">
    <w:name w:val="Заголовок 3 Знак"/>
    <w:link w:val="3"/>
    <w:rPr>
      <w:rFonts w:ascii="Times New Roman CYR" w:hAnsi="Times New Roman CYR"/>
      <w:bCs/>
      <w:sz w:val="24"/>
    </w:rPr>
  </w:style>
  <w:style w:type="character" w:customStyle="1" w:styleId="40">
    <w:name w:val="Заголовок 4 Знак"/>
    <w:link w:val="4"/>
    <w:rPr>
      <w:rFonts w:ascii="Times New Roman CYR" w:hAnsi="Times New Roman CYR"/>
      <w:sz w:val="24"/>
    </w:rPr>
  </w:style>
  <w:style w:type="character" w:customStyle="1" w:styleId="50">
    <w:name w:val="Заголовок 5 Знак"/>
    <w:link w:val="5"/>
    <w:rPr>
      <w:sz w:val="24"/>
    </w:rPr>
  </w:style>
  <w:style w:type="character" w:customStyle="1" w:styleId="60">
    <w:name w:val="Заголовок 6 Знак"/>
    <w:link w:val="6"/>
    <w:rPr>
      <w:b/>
      <w:bCs/>
      <w:sz w:val="22"/>
      <w:szCs w:val="22"/>
    </w:rPr>
  </w:style>
  <w:style w:type="character" w:customStyle="1" w:styleId="70">
    <w:name w:val="Заголовок 7 Знак"/>
    <w:link w:val="7"/>
    <w:rPr>
      <w:sz w:val="24"/>
    </w:rPr>
  </w:style>
  <w:style w:type="character" w:customStyle="1" w:styleId="80">
    <w:name w:val="Заголовок 8 Знак"/>
    <w:link w:val="8"/>
    <w:rPr>
      <w:b/>
      <w:bCs/>
      <w:sz w:val="22"/>
    </w:rPr>
  </w:style>
  <w:style w:type="character" w:customStyle="1" w:styleId="90">
    <w:name w:val="Заголовок 9 Знак"/>
    <w:link w:val="9"/>
    <w:rPr>
      <w:sz w:val="28"/>
    </w:rPr>
  </w:style>
  <w:style w:type="paragraph" w:styleId="a3">
    <w:name w:val="Plain Text"/>
    <w:basedOn w:val="a"/>
    <w:link w:val="a4"/>
    <w:rPr>
      <w:rFonts w:ascii="Courier New" w:hAnsi="Courier New"/>
    </w:rPr>
  </w:style>
  <w:style w:type="character" w:customStyle="1" w:styleId="a4">
    <w:name w:val="Текст Знак"/>
    <w:link w:val="a3"/>
    <w:rPr>
      <w:rFonts w:ascii="Courier New" w:hAnsi="Courier New" w:cs="Courier New"/>
    </w:rPr>
  </w:style>
  <w:style w:type="character" w:styleId="a5">
    <w:name w:val="Hyperlink"/>
    <w:rPr>
      <w:color w:val="0000FF"/>
      <w:u w:val="single"/>
    </w:rPr>
  </w:style>
  <w:style w:type="paragraph" w:styleId="a6">
    <w:name w:val="Title"/>
    <w:basedOn w:val="a"/>
    <w:link w:val="a7"/>
    <w:qFormat/>
    <w:pPr>
      <w:jc w:val="center"/>
    </w:pPr>
    <w:rPr>
      <w:rFonts w:ascii="Times New Roman" w:hAnsi="Times New Roman"/>
      <w:b/>
      <w:sz w:val="28"/>
    </w:rPr>
  </w:style>
  <w:style w:type="character" w:customStyle="1" w:styleId="a7">
    <w:name w:val="Название Знак"/>
    <w:link w:val="a6"/>
    <w:rPr>
      <w:b/>
      <w:sz w:val="28"/>
    </w:rPr>
  </w:style>
  <w:style w:type="paragraph" w:styleId="21">
    <w:name w:val="Body Text 2"/>
    <w:basedOn w:val="a"/>
    <w:link w:val="22"/>
    <w:pPr>
      <w:ind w:right="43"/>
      <w:jc w:val="both"/>
    </w:pPr>
    <w:rPr>
      <w:rFonts w:ascii="Times New Roman" w:hAnsi="Times New Roman"/>
      <w:sz w:val="24"/>
    </w:rPr>
  </w:style>
  <w:style w:type="character" w:customStyle="1" w:styleId="22">
    <w:name w:val="Основной текст 2 Знак"/>
    <w:link w:val="21"/>
    <w:rPr>
      <w:sz w:val="24"/>
    </w:rPr>
  </w:style>
  <w:style w:type="paragraph" w:styleId="a8">
    <w:name w:val="Body Text Indent"/>
    <w:basedOn w:val="a"/>
    <w:link w:val="a9"/>
    <w:pPr>
      <w:ind w:right="-1" w:firstLine="720"/>
      <w:jc w:val="both"/>
    </w:pPr>
    <w:rPr>
      <w:rFonts w:ascii="Times New Roman" w:hAnsi="Times New Roman"/>
      <w:sz w:val="24"/>
    </w:rPr>
  </w:style>
  <w:style w:type="character" w:customStyle="1" w:styleId="a9">
    <w:name w:val="Основной текст с отступом Знак"/>
    <w:link w:val="a8"/>
    <w:rPr>
      <w:sz w:val="24"/>
    </w:rPr>
  </w:style>
  <w:style w:type="paragraph" w:styleId="aa">
    <w:name w:val="Block Text"/>
    <w:basedOn w:val="a"/>
    <w:pPr>
      <w:ind w:left="720" w:right="43"/>
      <w:jc w:val="center"/>
    </w:pPr>
    <w:rPr>
      <w:rFonts w:ascii="Times New Roman" w:hAnsi="Times New Roman"/>
      <w:sz w:val="24"/>
    </w:rPr>
  </w:style>
  <w:style w:type="paragraph" w:styleId="23">
    <w:name w:val="Body Text Indent 2"/>
    <w:basedOn w:val="a"/>
    <w:link w:val="24"/>
    <w:pPr>
      <w:ind w:right="43" w:firstLine="720"/>
      <w:jc w:val="both"/>
    </w:pPr>
    <w:rPr>
      <w:rFonts w:ascii="Times New Roman" w:hAnsi="Times New Roman"/>
      <w:sz w:val="24"/>
    </w:rPr>
  </w:style>
  <w:style w:type="character" w:customStyle="1" w:styleId="24">
    <w:name w:val="Основной текст с отступом 2 Знак"/>
    <w:link w:val="23"/>
    <w:rPr>
      <w:sz w:val="24"/>
    </w:rPr>
  </w:style>
  <w:style w:type="paragraph" w:styleId="31">
    <w:name w:val="Body Text Indent 3"/>
    <w:basedOn w:val="a"/>
    <w:link w:val="32"/>
    <w:pPr>
      <w:ind w:firstLine="720"/>
      <w:jc w:val="both"/>
    </w:pPr>
    <w:rPr>
      <w:rFonts w:ascii="Times New Roman" w:hAnsi="Times New Roman"/>
      <w:sz w:val="28"/>
    </w:rPr>
  </w:style>
  <w:style w:type="character" w:customStyle="1" w:styleId="32">
    <w:name w:val="Основной текст с отступом 3 Знак"/>
    <w:link w:val="31"/>
    <w:rPr>
      <w:sz w:val="28"/>
    </w:rPr>
  </w:style>
  <w:style w:type="paragraph" w:styleId="ab">
    <w:name w:val="Body Text"/>
    <w:basedOn w:val="a"/>
    <w:link w:val="ac"/>
    <w:pPr>
      <w:jc w:val="both"/>
    </w:pPr>
    <w:rPr>
      <w:rFonts w:ascii="Times New Roman" w:hAnsi="Times New Roman"/>
      <w:sz w:val="24"/>
      <w:szCs w:val="24"/>
    </w:rPr>
  </w:style>
  <w:style w:type="character" w:customStyle="1" w:styleId="ac">
    <w:name w:val="Основной текст Знак"/>
    <w:link w:val="ab"/>
    <w:rPr>
      <w:sz w:val="24"/>
      <w:szCs w:val="24"/>
    </w:rPr>
  </w:style>
  <w:style w:type="paragraph" w:styleId="33">
    <w:name w:val="Body Text 3"/>
    <w:basedOn w:val="a"/>
    <w:link w:val="34"/>
    <w:pPr>
      <w:ind w:right="43"/>
      <w:jc w:val="center"/>
    </w:pPr>
    <w:rPr>
      <w:sz w:val="24"/>
    </w:rPr>
  </w:style>
  <w:style w:type="character" w:customStyle="1" w:styleId="34">
    <w:name w:val="Основной текст 3 Знак"/>
    <w:link w:val="33"/>
    <w:rPr>
      <w:rFonts w:ascii="Times New Roman CYR" w:hAnsi="Times New Roman CYR"/>
      <w:sz w:val="24"/>
    </w:rPr>
  </w:style>
  <w:style w:type="paragraph" w:styleId="ad">
    <w:name w:val="header"/>
    <w:basedOn w:val="a"/>
    <w:link w:val="ae"/>
    <w:pPr>
      <w:tabs>
        <w:tab w:val="center" w:pos="4677"/>
        <w:tab w:val="right" w:pos="9355"/>
      </w:tabs>
    </w:pPr>
  </w:style>
  <w:style w:type="character" w:customStyle="1" w:styleId="ae">
    <w:name w:val="Верхний колонтитул Знак"/>
    <w:link w:val="ad"/>
    <w:rPr>
      <w:rFonts w:ascii="Times New Roman CYR" w:hAnsi="Times New Roman CYR"/>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link w:val="af"/>
    <w:uiPriority w:val="99"/>
    <w:rPr>
      <w:rFonts w:ascii="Times New Roman CYR" w:hAnsi="Times New Roman CYR"/>
      <w:lang w:val="ru-RU" w:eastAsia="ru-RU" w:bidi="ar-SA"/>
    </w:rPr>
  </w:style>
  <w:style w:type="character" w:styleId="af1">
    <w:name w:val="page number"/>
    <w:basedOn w:val="a0"/>
  </w:style>
  <w:style w:type="paragraph" w:customStyle="1" w:styleId="af2">
    <w:name w:val="Знак Знак Знак Знак"/>
    <w:basedOn w:val="a"/>
    <w:pPr>
      <w:spacing w:after="160" w:line="240" w:lineRule="exact"/>
    </w:pPr>
    <w:rPr>
      <w:rFonts w:ascii="Verdana" w:hAnsi="Verdana"/>
      <w:lang w:val="en-US" w:eastAsia="en-US"/>
    </w:rPr>
  </w:style>
  <w:style w:type="paragraph" w:customStyle="1" w:styleId="11">
    <w:name w:val="Знак Знак1"/>
    <w:basedOn w:val="a"/>
    <w:pPr>
      <w:spacing w:after="160" w:line="240" w:lineRule="exact"/>
    </w:pPr>
    <w:rPr>
      <w:rFonts w:ascii="Verdana" w:hAnsi="Verdana"/>
      <w:lang w:val="en-US" w:eastAsia="en-US"/>
    </w:rPr>
  </w:style>
  <w:style w:type="paragraph" w:customStyle="1" w:styleId="af3">
    <w:name w:val="Знак Знак Знак Знак Знак Знак"/>
    <w:basedOn w:val="a"/>
    <w:pPr>
      <w:spacing w:after="160" w:line="240" w:lineRule="exact"/>
    </w:pPr>
    <w:rPr>
      <w:rFonts w:ascii="Verdana" w:hAnsi="Verdana"/>
      <w:lang w:val="en-US" w:eastAsia="en-US"/>
    </w:rPr>
  </w:style>
  <w:style w:type="paragraph" w:styleId="af4">
    <w:name w:val="Balloon Text"/>
    <w:basedOn w:val="a"/>
    <w:link w:val="af5"/>
    <w:rPr>
      <w:rFonts w:ascii="Tahoma" w:hAnsi="Tahoma"/>
      <w:sz w:val="16"/>
      <w:szCs w:val="16"/>
    </w:rPr>
  </w:style>
  <w:style w:type="character" w:customStyle="1" w:styleId="af5">
    <w:name w:val="Текст выноски Знак"/>
    <w:link w:val="af4"/>
    <w:rPr>
      <w:rFonts w:ascii="Tahoma" w:hAnsi="Tahoma" w:cs="Tahoma"/>
      <w:sz w:val="16"/>
      <w:szCs w:val="16"/>
    </w:rPr>
  </w:style>
  <w:style w:type="paragraph" w:customStyle="1" w:styleId="25">
    <w:name w:val="Знак Знак Знак Знак2"/>
    <w:basedOn w:val="a"/>
    <w:pPr>
      <w:spacing w:after="160" w:line="240" w:lineRule="exact"/>
    </w:pPr>
    <w:rPr>
      <w:rFonts w:ascii="Verdana" w:hAnsi="Verdana"/>
      <w:lang w:val="en-US" w:eastAsia="en-US"/>
    </w:rPr>
  </w:style>
  <w:style w:type="paragraph" w:customStyle="1" w:styleId="af6">
    <w:name w:val="Знак Знак Знак Знак Знак Знак Знак Знак"/>
    <w:basedOn w:val="a"/>
    <w:pPr>
      <w:spacing w:after="160" w:line="240" w:lineRule="exact"/>
    </w:pPr>
    <w:rPr>
      <w:rFonts w:ascii="Verdana" w:hAnsi="Verdana"/>
      <w:lang w:val="en-US" w:eastAsia="en-US"/>
    </w:rPr>
  </w:style>
  <w:style w:type="paragraph" w:customStyle="1" w:styleId="af7">
    <w:name w:val="Знак"/>
    <w:basedOn w:val="a"/>
    <w:pPr>
      <w:spacing w:before="100" w:beforeAutospacing="1" w:after="100" w:afterAutospacing="1"/>
    </w:pPr>
    <w:rPr>
      <w:rFonts w:ascii="Tahoma" w:hAnsi="Tahoma"/>
      <w:lang w:val="en-US" w:eastAsia="en-US"/>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Title">
    <w:name w:val="ConsPlusTitle"/>
    <w:pPr>
      <w:widowControl w:val="0"/>
      <w:autoSpaceDE w:val="0"/>
      <w:autoSpaceDN w:val="0"/>
      <w:adjustRightInd w:val="0"/>
    </w:pPr>
    <w:rPr>
      <w:rFonts w:ascii="Times New Roman CYR" w:hAnsi="Times New Roman CYR" w:cs="Times New Roman CYR"/>
      <w:b/>
      <w:bCs/>
      <w:sz w:val="24"/>
      <w:szCs w:val="24"/>
    </w:rPr>
  </w:style>
  <w:style w:type="paragraph" w:customStyle="1" w:styleId="ConsPlusNormal">
    <w:name w:val="ConsPlusNormal"/>
    <w:link w:val="ConsPlusNormal0"/>
    <w:pPr>
      <w:widowControl w:val="0"/>
      <w:ind w:firstLine="720"/>
    </w:pPr>
    <w:rPr>
      <w:rFonts w:ascii="Arial" w:hAnsi="Arial"/>
      <w:snapToGrid w:val="0"/>
    </w:rPr>
  </w:style>
  <w:style w:type="paragraph" w:customStyle="1" w:styleId="12">
    <w:name w:val="Знак Знак1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13">
    <w:name w:val="Знак Знак Знак1"/>
    <w:basedOn w:val="a"/>
    <w:rPr>
      <w:rFonts w:ascii="Verdana" w:hAnsi="Verdana" w:cs="Verdana"/>
      <w:lang w:val="en-US" w:eastAsia="en-US"/>
    </w:r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xl24">
    <w:name w:val="xl24"/>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25">
    <w:name w:val="xl25"/>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26">
    <w:name w:val="xl26"/>
    <w:basedOn w:val="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sz w:val="24"/>
      <w:szCs w:val="24"/>
    </w:rPr>
  </w:style>
  <w:style w:type="paragraph" w:customStyle="1" w:styleId="xl27">
    <w:name w:val="xl27"/>
    <w:basedOn w:val="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Arial" w:hAnsi="Arial" w:cs="Arial"/>
      <w:sz w:val="24"/>
      <w:szCs w:val="24"/>
    </w:rPr>
  </w:style>
  <w:style w:type="paragraph" w:customStyle="1" w:styleId="xl28">
    <w:name w:val="xl28"/>
    <w:basedOn w:val="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hAnsi="Arial" w:cs="Arial"/>
      <w:sz w:val="24"/>
      <w:szCs w:val="24"/>
    </w:rPr>
  </w:style>
  <w:style w:type="paragraph" w:customStyle="1" w:styleId="xl29">
    <w:name w:val="xl29"/>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30">
    <w:name w:val="xl3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31">
    <w:name w:val="xl31"/>
    <w:basedOn w:val="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sz w:val="24"/>
      <w:szCs w:val="24"/>
    </w:rPr>
  </w:style>
  <w:style w:type="paragraph" w:customStyle="1" w:styleId="xl32">
    <w:name w:val="xl32"/>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rPr>
  </w:style>
  <w:style w:type="paragraph" w:customStyle="1" w:styleId="xl33">
    <w:name w:val="xl33"/>
    <w:basedOn w:val="a"/>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textAlignment w:val="center"/>
    </w:pPr>
    <w:rPr>
      <w:rFonts w:ascii="Arial" w:hAnsi="Arial" w:cs="Arial"/>
      <w:b/>
      <w:bCs/>
      <w:sz w:val="24"/>
      <w:szCs w:val="24"/>
    </w:rPr>
  </w:style>
  <w:style w:type="character" w:customStyle="1" w:styleId="WW8Num1z0">
    <w:name w:val="WW8Num1z0"/>
    <w:rPr>
      <w:rFonts w:ascii="Wingdings" w:hAnsi="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Wingdings" w:hAnsi="Wingdings"/>
      <w:b/>
      <w:i w:val="0"/>
      <w:sz w:val="24"/>
    </w:rPr>
  </w:style>
  <w:style w:type="character" w:customStyle="1" w:styleId="WW8Num3z1">
    <w:name w:val="WW8Num3z1"/>
    <w:rPr>
      <w:rFonts w:ascii="Wingdings" w:hAnsi="Wingdings"/>
    </w:rPr>
  </w:style>
  <w:style w:type="character" w:customStyle="1" w:styleId="WW8Num3z3">
    <w:name w:val="WW8Num3z3"/>
    <w:rPr>
      <w:rFonts w:ascii="Symbol" w:hAnsi="Symbol"/>
    </w:rPr>
  </w:style>
  <w:style w:type="character" w:customStyle="1" w:styleId="WW8Num3z4">
    <w:name w:val="WW8Num3z4"/>
    <w:rPr>
      <w:rFonts w:ascii="Courier New" w:hAnsi="Courier New"/>
    </w:rPr>
  </w:style>
  <w:style w:type="character" w:customStyle="1" w:styleId="WW8Num5z0">
    <w:name w:val="WW8Num5z0"/>
    <w:rPr>
      <w:rFonts w:ascii="Times New Roman" w:eastAsia="Times New Roman" w:hAnsi="Times New Roman" w:cs="Times New Roman"/>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0">
    <w:name w:val="WW8Num14z0"/>
    <w:rPr>
      <w:rFonts w:ascii="Wingdings" w:hAnsi="Wingdings"/>
    </w:rPr>
  </w:style>
  <w:style w:type="character" w:customStyle="1" w:styleId="WW8Num14z1">
    <w:name w:val="WW8Num14z1"/>
    <w:rPr>
      <w:rFonts w:ascii="Courier New" w:hAnsi="Courier New" w:cs="Courier New"/>
    </w:rPr>
  </w:style>
  <w:style w:type="character" w:customStyle="1" w:styleId="WW8Num14z3">
    <w:name w:val="WW8Num14z3"/>
    <w:rPr>
      <w:rFonts w:ascii="Symbol" w:hAnsi="Symbol"/>
    </w:rPr>
  </w:style>
  <w:style w:type="character" w:customStyle="1" w:styleId="WW8Num15z0">
    <w:name w:val="WW8Num15z0"/>
    <w:rPr>
      <w:rFonts w:ascii="Times New Roman" w:eastAsia="Times New Roman" w:hAnsi="Times New Roman" w:cs="Times New Roman"/>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0">
    <w:name w:val="WW8Num17z0"/>
    <w:rPr>
      <w:rFonts w:ascii="Times New Roman" w:eastAsia="Times New Roman" w:hAnsi="Times New Roman" w:cs="Times New Roman"/>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Times New Roman" w:eastAsia="Times New Roman" w:hAnsi="Times New Roman" w:cs="Times New Roman"/>
    </w:rPr>
  </w:style>
  <w:style w:type="character" w:customStyle="1" w:styleId="WW8Num19z0">
    <w:name w:val="WW8Num19z0"/>
    <w:rPr>
      <w:rFonts w:ascii="Wingdings" w:hAnsi="Wingdings"/>
    </w:rPr>
  </w:style>
  <w:style w:type="character" w:customStyle="1" w:styleId="WW8Num19z1">
    <w:name w:val="WW8Num19z1"/>
    <w:rPr>
      <w:rFonts w:ascii="Courier New" w:hAnsi="Courier New"/>
    </w:rPr>
  </w:style>
  <w:style w:type="character" w:customStyle="1" w:styleId="WW8Num19z3">
    <w:name w:val="WW8Num19z3"/>
    <w:rPr>
      <w:rFonts w:ascii="Symbol" w:hAnsi="Symbol"/>
    </w:rPr>
  </w:style>
  <w:style w:type="character" w:customStyle="1" w:styleId="WW8Num21z0">
    <w:name w:val="WW8Num21z0"/>
    <w:rPr>
      <w:rFonts w:ascii="Times New Roman" w:eastAsia="Times New Roman" w:hAnsi="Times New Roman" w:cs="Times New Roman"/>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1z4">
    <w:name w:val="WW8Num21z4"/>
    <w:rPr>
      <w:rFonts w:ascii="Courier New" w:hAnsi="Courier New"/>
    </w:rPr>
  </w:style>
  <w:style w:type="character" w:customStyle="1" w:styleId="WW8Num22z0">
    <w:name w:val="WW8Num22z0"/>
    <w:rPr>
      <w:rFonts w:ascii="Symbol" w:hAnsi="Symbol"/>
    </w:rPr>
  </w:style>
  <w:style w:type="character" w:customStyle="1" w:styleId="WW8Num23z1">
    <w:name w:val="WW8Num23z1"/>
    <w:rPr>
      <w:rFonts w:ascii="Symbol" w:hAnsi="Symbol"/>
    </w:rPr>
  </w:style>
  <w:style w:type="character" w:customStyle="1" w:styleId="WW8Num24z0">
    <w:name w:val="WW8Num24z0"/>
    <w:rPr>
      <w:rFonts w:ascii="Times New Roman" w:eastAsia="Times New Roman" w:hAnsi="Times New Roman" w:cs="Times New Roman"/>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25z0">
    <w:name w:val="WW8Num25z0"/>
    <w:rPr>
      <w:rFonts w:ascii="Symbol" w:hAnsi="Symbol"/>
    </w:rPr>
  </w:style>
  <w:style w:type="character" w:customStyle="1" w:styleId="WW8Num26z0">
    <w:name w:val="WW8Num26z0"/>
    <w:rPr>
      <w:rFonts w:ascii="Times New Roman" w:eastAsia="Times New Roman" w:hAnsi="Times New Roman" w:cs="Times New Roman"/>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7z0">
    <w:name w:val="WW8Num27z0"/>
    <w:rPr>
      <w:rFonts w:ascii="Times New Roman" w:eastAsia="Times New Roman" w:hAnsi="Times New Roman" w:cs="Times New Roman"/>
    </w:rPr>
  </w:style>
  <w:style w:type="character" w:customStyle="1" w:styleId="WW8Num27z1">
    <w:name w:val="WW8Num27z1"/>
    <w:rPr>
      <w:rFonts w:ascii="Courier New" w:hAnsi="Courier New"/>
    </w:rPr>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28z0">
    <w:name w:val="WW8Num28z0"/>
    <w:rPr>
      <w:rFonts w:ascii="Wingdings" w:hAnsi="Wingdings"/>
    </w:rPr>
  </w:style>
  <w:style w:type="character" w:customStyle="1" w:styleId="WW8Num28z1">
    <w:name w:val="WW8Num28z1"/>
    <w:rPr>
      <w:rFonts w:ascii="Courier New" w:hAnsi="Courier New"/>
    </w:rPr>
  </w:style>
  <w:style w:type="character" w:customStyle="1" w:styleId="WW8Num28z3">
    <w:name w:val="WW8Num28z3"/>
    <w:rPr>
      <w:rFonts w:ascii="Symbol" w:hAnsi="Symbol"/>
    </w:rPr>
  </w:style>
  <w:style w:type="character" w:customStyle="1" w:styleId="WW8Num29z0">
    <w:name w:val="WW8Num29z0"/>
    <w:rPr>
      <w:rFonts w:ascii="Times New Roman" w:eastAsia="Times New Roman" w:hAnsi="Times New Roman" w:cs="Times New Roman"/>
    </w:rPr>
  </w:style>
  <w:style w:type="character" w:customStyle="1" w:styleId="WW8Num29z1">
    <w:name w:val="WW8Num29z1"/>
    <w:rPr>
      <w:rFonts w:ascii="Courier New" w:hAnsi="Courier New"/>
    </w:rPr>
  </w:style>
  <w:style w:type="character" w:customStyle="1" w:styleId="WW8Num29z2">
    <w:name w:val="WW8Num29z2"/>
    <w:rPr>
      <w:rFonts w:ascii="Wingdings" w:hAnsi="Wingdings"/>
    </w:rPr>
  </w:style>
  <w:style w:type="character" w:customStyle="1" w:styleId="WW8Num29z3">
    <w:name w:val="WW8Num29z3"/>
    <w:rPr>
      <w:rFonts w:ascii="Symbol" w:hAnsi="Symbol"/>
    </w:rPr>
  </w:style>
  <w:style w:type="character" w:customStyle="1" w:styleId="WW8Num30z0">
    <w:name w:val="WW8Num30z0"/>
    <w:rPr>
      <w:rFonts w:ascii="Wingdings" w:hAnsi="Wingdings"/>
    </w:rPr>
  </w:style>
  <w:style w:type="character" w:customStyle="1" w:styleId="WW8Num30z1">
    <w:name w:val="WW8Num30z1"/>
    <w:rPr>
      <w:rFonts w:ascii="Courier New" w:hAnsi="Courier New" w:cs="Courier New"/>
    </w:rPr>
  </w:style>
  <w:style w:type="character" w:customStyle="1" w:styleId="WW8Num30z3">
    <w:name w:val="WW8Num30z3"/>
    <w:rPr>
      <w:rFonts w:ascii="Symbol" w:hAnsi="Symbol"/>
    </w:rPr>
  </w:style>
  <w:style w:type="character" w:customStyle="1" w:styleId="WW8Num31z0">
    <w:name w:val="WW8Num31z0"/>
    <w:rPr>
      <w:rFonts w:ascii="Symbol" w:hAnsi="Symbol"/>
    </w:rPr>
  </w:style>
  <w:style w:type="character" w:customStyle="1" w:styleId="WW8Num31z1">
    <w:name w:val="WW8Num31z1"/>
    <w:rPr>
      <w:rFonts w:ascii="Courier New" w:hAnsi="Courier New"/>
    </w:rPr>
  </w:style>
  <w:style w:type="character" w:customStyle="1" w:styleId="WW8Num31z2">
    <w:name w:val="WW8Num31z2"/>
    <w:rPr>
      <w:rFonts w:ascii="Wingdings" w:hAnsi="Wingdings"/>
    </w:rPr>
  </w:style>
  <w:style w:type="character" w:customStyle="1" w:styleId="WW8Num32z0">
    <w:name w:val="WW8Num32z0"/>
    <w:rPr>
      <w:rFonts w:ascii="Times New Roman" w:eastAsia="Times New Roman" w:hAnsi="Times New Roman" w:cs="Times New Roman"/>
    </w:rPr>
  </w:style>
  <w:style w:type="character" w:customStyle="1" w:styleId="WW8Num32z2">
    <w:name w:val="WW8Num32z2"/>
    <w:rPr>
      <w:rFonts w:ascii="Wingdings" w:hAnsi="Wingdings"/>
    </w:rPr>
  </w:style>
  <w:style w:type="character" w:customStyle="1" w:styleId="WW8Num32z3">
    <w:name w:val="WW8Num32z3"/>
    <w:rPr>
      <w:rFonts w:ascii="Symbol" w:hAnsi="Symbol"/>
    </w:rPr>
  </w:style>
  <w:style w:type="character" w:customStyle="1" w:styleId="WW8Num32z4">
    <w:name w:val="WW8Num32z4"/>
    <w:rPr>
      <w:rFonts w:ascii="Courier New" w:hAnsi="Courier New"/>
    </w:rPr>
  </w:style>
  <w:style w:type="character" w:customStyle="1" w:styleId="WW8Num33z0">
    <w:name w:val="WW8Num33z0"/>
    <w:rPr>
      <w:rFonts w:ascii="Times New Roman" w:eastAsia="Times New Roman" w:hAnsi="Times New Roman" w:cs="Times New Roman"/>
    </w:rPr>
  </w:style>
  <w:style w:type="character" w:customStyle="1" w:styleId="WW8Num33z1">
    <w:name w:val="WW8Num33z1"/>
    <w:rPr>
      <w:rFonts w:ascii="Courier New" w:hAnsi="Courier New"/>
    </w:rPr>
  </w:style>
  <w:style w:type="character" w:customStyle="1" w:styleId="WW8Num33z2">
    <w:name w:val="WW8Num33z2"/>
    <w:rPr>
      <w:rFonts w:ascii="Wingdings" w:hAnsi="Wingdings"/>
    </w:rPr>
  </w:style>
  <w:style w:type="character" w:customStyle="1" w:styleId="WW8Num33z3">
    <w:name w:val="WW8Num33z3"/>
    <w:rPr>
      <w:rFonts w:ascii="Symbol" w:hAnsi="Symbol"/>
    </w:rPr>
  </w:style>
  <w:style w:type="character" w:customStyle="1" w:styleId="14">
    <w:name w:val="Основной шрифт абзаца1"/>
  </w:style>
  <w:style w:type="paragraph" w:customStyle="1" w:styleId="af8">
    <w:name w:val="Заголовок"/>
    <w:basedOn w:val="a"/>
    <w:next w:val="ab"/>
    <w:pPr>
      <w:keepNext/>
      <w:suppressAutoHyphens/>
      <w:spacing w:before="240" w:after="120"/>
    </w:pPr>
    <w:rPr>
      <w:rFonts w:ascii="Arial" w:eastAsia="Lucida Sans Unicode" w:hAnsi="Arial" w:cs="Tahoma"/>
      <w:sz w:val="28"/>
      <w:szCs w:val="28"/>
      <w:lang w:eastAsia="ar-SA"/>
    </w:rPr>
  </w:style>
  <w:style w:type="paragraph" w:styleId="af9">
    <w:name w:val="List"/>
    <w:basedOn w:val="ab"/>
    <w:pPr>
      <w:suppressAutoHyphens/>
    </w:pPr>
    <w:rPr>
      <w:rFonts w:ascii="Arial" w:hAnsi="Arial" w:cs="Tahoma"/>
      <w:szCs w:val="20"/>
      <w:lang w:eastAsia="ar-SA"/>
    </w:rPr>
  </w:style>
  <w:style w:type="paragraph" w:customStyle="1" w:styleId="15">
    <w:name w:val="Название1"/>
    <w:basedOn w:val="a"/>
    <w:pPr>
      <w:suppressLineNumbers/>
      <w:suppressAutoHyphens/>
      <w:spacing w:before="120" w:after="120"/>
    </w:pPr>
    <w:rPr>
      <w:rFonts w:ascii="Arial" w:hAnsi="Arial" w:cs="Tahoma"/>
      <w:i/>
      <w:iCs/>
      <w:szCs w:val="24"/>
      <w:lang w:eastAsia="ar-SA"/>
    </w:rPr>
  </w:style>
  <w:style w:type="paragraph" w:customStyle="1" w:styleId="16">
    <w:name w:val="Указатель1"/>
    <w:basedOn w:val="a"/>
    <w:pPr>
      <w:suppressLineNumbers/>
      <w:suppressAutoHyphens/>
    </w:pPr>
    <w:rPr>
      <w:rFonts w:ascii="Arial" w:hAnsi="Arial" w:cs="Tahoma"/>
      <w:sz w:val="24"/>
      <w:szCs w:val="24"/>
      <w:lang w:eastAsia="ar-SA"/>
    </w:rPr>
  </w:style>
  <w:style w:type="paragraph" w:customStyle="1" w:styleId="210">
    <w:name w:val="Основной текст 21"/>
    <w:basedOn w:val="a"/>
    <w:link w:val="211"/>
    <w:pPr>
      <w:suppressAutoHyphens/>
      <w:jc w:val="both"/>
    </w:pPr>
    <w:rPr>
      <w:rFonts w:ascii="Times New Roman" w:hAnsi="Times New Roman"/>
      <w:sz w:val="24"/>
      <w:lang w:eastAsia="ar-SA"/>
    </w:rPr>
  </w:style>
  <w:style w:type="character" w:customStyle="1" w:styleId="211">
    <w:name w:val="Основной текст 21 Знак"/>
    <w:link w:val="210"/>
    <w:rPr>
      <w:sz w:val="24"/>
      <w:lang w:val="ru-RU" w:eastAsia="ar-SA" w:bidi="ar-SA"/>
    </w:rPr>
  </w:style>
  <w:style w:type="paragraph" w:customStyle="1" w:styleId="212">
    <w:name w:val="Основной текст с отступом 21"/>
    <w:basedOn w:val="a"/>
    <w:uiPriority w:val="99"/>
    <w:pPr>
      <w:suppressAutoHyphens/>
      <w:ind w:firstLine="360"/>
      <w:jc w:val="both"/>
    </w:pPr>
    <w:rPr>
      <w:rFonts w:ascii="Times New Roman" w:hAnsi="Times New Roman"/>
      <w:sz w:val="24"/>
      <w:lang w:eastAsia="ar-SA"/>
    </w:rPr>
  </w:style>
  <w:style w:type="paragraph" w:customStyle="1" w:styleId="310">
    <w:name w:val="Основной текст 31"/>
    <w:basedOn w:val="a"/>
    <w:pPr>
      <w:suppressAutoHyphens/>
      <w:jc w:val="both"/>
    </w:pPr>
    <w:rPr>
      <w:rFonts w:ascii="Times New Roman" w:hAnsi="Times New Roman"/>
      <w:b/>
      <w:bCs/>
      <w:i/>
      <w:iCs/>
      <w:sz w:val="24"/>
      <w:lang w:eastAsia="ar-SA"/>
    </w:rPr>
  </w:style>
  <w:style w:type="paragraph" w:customStyle="1" w:styleId="311">
    <w:name w:val="Основной текст с отступом 31"/>
    <w:basedOn w:val="a"/>
    <w:pPr>
      <w:tabs>
        <w:tab w:val="left" w:pos="-709"/>
      </w:tabs>
      <w:suppressAutoHyphens/>
      <w:ind w:right="-284" w:firstLine="567"/>
      <w:jc w:val="both"/>
    </w:pPr>
    <w:rPr>
      <w:rFonts w:ascii="Times New Roman" w:hAnsi="Times New Roman"/>
      <w:sz w:val="24"/>
      <w:lang w:eastAsia="ar-SA"/>
    </w:rPr>
  </w:style>
  <w:style w:type="paragraph" w:styleId="afa">
    <w:name w:val="Subtitle"/>
    <w:basedOn w:val="af8"/>
    <w:next w:val="ab"/>
    <w:link w:val="afb"/>
    <w:qFormat/>
    <w:pPr>
      <w:jc w:val="center"/>
    </w:pPr>
    <w:rPr>
      <w:rFonts w:cs="Times New Roman"/>
      <w:i/>
      <w:iCs/>
    </w:rPr>
  </w:style>
  <w:style w:type="character" w:customStyle="1" w:styleId="afb">
    <w:name w:val="Подзаголовок Знак"/>
    <w:link w:val="afa"/>
    <w:rPr>
      <w:rFonts w:ascii="Arial" w:eastAsia="Lucida Sans Unicode" w:hAnsi="Arial" w:cs="Tahoma"/>
      <w:i/>
      <w:iCs/>
      <w:sz w:val="28"/>
      <w:szCs w:val="28"/>
      <w:lang w:eastAsia="ar-SA"/>
    </w:rPr>
  </w:style>
  <w:style w:type="paragraph" w:customStyle="1" w:styleId="afc">
    <w:name w:val="Содержимое таблицы"/>
    <w:basedOn w:val="a"/>
    <w:pPr>
      <w:suppressLineNumbers/>
      <w:suppressAutoHyphens/>
    </w:pPr>
    <w:rPr>
      <w:rFonts w:ascii="Times New Roman" w:hAnsi="Times New Roman"/>
      <w:sz w:val="24"/>
      <w:szCs w:val="24"/>
      <w:lang w:eastAsia="ar-SA"/>
    </w:rPr>
  </w:style>
  <w:style w:type="paragraph" w:customStyle="1" w:styleId="afd">
    <w:name w:val="Заголовок таблицы"/>
    <w:basedOn w:val="afc"/>
    <w:pPr>
      <w:jc w:val="center"/>
    </w:pPr>
    <w:rPr>
      <w:b/>
      <w:bCs/>
    </w:rPr>
  </w:style>
  <w:style w:type="paragraph" w:customStyle="1" w:styleId="120">
    <w:name w:val="Знак Знак12"/>
    <w:basedOn w:val="a"/>
    <w:pPr>
      <w:spacing w:after="160" w:line="240" w:lineRule="exact"/>
    </w:pPr>
    <w:rPr>
      <w:rFonts w:ascii="Verdana" w:hAnsi="Verdana"/>
      <w:lang w:val="en-US" w:eastAsia="en-US"/>
    </w:rPr>
  </w:style>
  <w:style w:type="table" w:styleId="afe">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Схема документа Знак"/>
    <w:link w:val="aff0"/>
    <w:rPr>
      <w:rFonts w:ascii="Tahoma" w:hAnsi="Tahoma" w:cs="Tahoma"/>
      <w:shd w:val="clear" w:color="auto" w:fill="000080"/>
    </w:rPr>
  </w:style>
  <w:style w:type="paragraph" w:styleId="aff0">
    <w:name w:val="Document Map"/>
    <w:basedOn w:val="a"/>
    <w:link w:val="aff"/>
    <w:unhideWhenUsed/>
    <w:pPr>
      <w:shd w:val="clear" w:color="auto" w:fill="000080"/>
    </w:pPr>
    <w:rPr>
      <w:rFonts w:ascii="Tahoma" w:hAnsi="Tahoma"/>
    </w:rPr>
  </w:style>
  <w:style w:type="paragraph" w:styleId="aff1">
    <w:name w:val="List Paragraph"/>
    <w:basedOn w:val="a"/>
    <w:uiPriority w:val="99"/>
    <w:qFormat/>
    <w:pPr>
      <w:ind w:left="720"/>
      <w:contextualSpacing/>
    </w:pPr>
  </w:style>
  <w:style w:type="paragraph" w:customStyle="1" w:styleId="110">
    <w:name w:val="Знак Знак11"/>
    <w:basedOn w:val="a"/>
    <w:pPr>
      <w:spacing w:after="160" w:line="240" w:lineRule="exact"/>
    </w:pPr>
    <w:rPr>
      <w:rFonts w:ascii="Verdana" w:hAnsi="Verdana"/>
      <w:lang w:val="en-US" w:eastAsia="en-US"/>
    </w:rPr>
  </w:style>
  <w:style w:type="paragraph" w:customStyle="1" w:styleId="17">
    <w:name w:val="Знак Знак Знак Знак Знак Знак1"/>
    <w:basedOn w:val="a"/>
    <w:pPr>
      <w:spacing w:after="160" w:line="240" w:lineRule="exact"/>
    </w:pPr>
    <w:rPr>
      <w:rFonts w:ascii="Verdana" w:hAnsi="Verdana"/>
      <w:lang w:val="en-US" w:eastAsia="en-US"/>
    </w:rPr>
  </w:style>
  <w:style w:type="paragraph" w:customStyle="1" w:styleId="18">
    <w:name w:val="Знак Знак Знак Знак1"/>
    <w:basedOn w:val="a"/>
    <w:pPr>
      <w:spacing w:after="160" w:line="240" w:lineRule="exact"/>
    </w:pPr>
    <w:rPr>
      <w:rFonts w:ascii="Verdana" w:hAnsi="Verdana"/>
      <w:lang w:val="en-US" w:eastAsia="en-US"/>
    </w:rPr>
  </w:style>
  <w:style w:type="paragraph" w:customStyle="1" w:styleId="19">
    <w:name w:val="Знак Знак Знак Знак Знак Знак Знак Знак1"/>
    <w:basedOn w:val="a"/>
    <w:pPr>
      <w:spacing w:after="160" w:line="240" w:lineRule="exact"/>
    </w:pPr>
    <w:rPr>
      <w:rFonts w:ascii="Verdana" w:hAnsi="Verdana"/>
      <w:lang w:val="en-US" w:eastAsia="en-US"/>
    </w:rPr>
  </w:style>
  <w:style w:type="paragraph" w:customStyle="1" w:styleId="1a">
    <w:name w:val="Знак1"/>
    <w:basedOn w:val="a"/>
    <w:pPr>
      <w:spacing w:before="100" w:beforeAutospacing="1" w:after="100" w:afterAutospacing="1"/>
    </w:pPr>
    <w:rPr>
      <w:rFonts w:ascii="Tahoma" w:hAnsi="Tahoma"/>
      <w:lang w:val="en-US" w:eastAsia="en-US"/>
    </w:rPr>
  </w:style>
  <w:style w:type="paragraph" w:customStyle="1" w:styleId="111">
    <w:name w:val="Знак Знак1 Знак Знак Знак Знак Знак Знак Знак Знак Знак Знак1"/>
    <w:basedOn w:val="a"/>
    <w:pPr>
      <w:spacing w:after="160" w:line="240" w:lineRule="exact"/>
    </w:pPr>
    <w:rPr>
      <w:rFonts w:ascii="Verdana" w:hAnsi="Verdana"/>
      <w:lang w:val="en-US" w:eastAsia="en-US"/>
    </w:rPr>
  </w:style>
  <w:style w:type="paragraph" w:customStyle="1" w:styleId="112">
    <w:name w:val="Знак Знак Знак11"/>
    <w:basedOn w:val="a"/>
    <w:rPr>
      <w:rFonts w:ascii="Verdana" w:hAnsi="Verdana" w:cs="Verdana"/>
      <w:lang w:val="en-US" w:eastAsia="en-US"/>
    </w:rPr>
  </w:style>
  <w:style w:type="character" w:customStyle="1" w:styleId="apple-converted-space">
    <w:name w:val="apple-converted-space"/>
    <w:basedOn w:val="a0"/>
  </w:style>
  <w:style w:type="character" w:styleId="aff2">
    <w:name w:val="Strong"/>
    <w:uiPriority w:val="22"/>
    <w:qFormat/>
    <w:rPr>
      <w:b/>
      <w:bCs/>
    </w:rPr>
  </w:style>
  <w:style w:type="paragraph" w:styleId="aff3">
    <w:name w:val="Normal (Web)"/>
    <w:basedOn w:val="a"/>
    <w:pPr>
      <w:spacing w:before="100" w:beforeAutospacing="1" w:after="100" w:afterAutospacing="1"/>
    </w:pPr>
    <w:rPr>
      <w:rFonts w:ascii="Times New Roman" w:hAnsi="Times New Roman"/>
      <w:sz w:val="24"/>
      <w:szCs w:val="24"/>
    </w:rPr>
  </w:style>
  <w:style w:type="paragraph" w:customStyle="1" w:styleId="ConsPlusCell">
    <w:name w:val="ConsPlusCell"/>
    <w:uiPriority w:val="99"/>
    <w:pPr>
      <w:widowControl w:val="0"/>
      <w:autoSpaceDE w:val="0"/>
      <w:autoSpaceDN w:val="0"/>
      <w:adjustRightInd w:val="0"/>
    </w:pPr>
    <w:rPr>
      <w:rFonts w:ascii="Calibri" w:hAnsi="Calibri" w:cs="Calibri"/>
      <w:sz w:val="22"/>
      <w:szCs w:val="22"/>
    </w:rPr>
  </w:style>
  <w:style w:type="character" w:customStyle="1" w:styleId="ConsPlusNormal0">
    <w:name w:val="ConsPlusNormal Знак"/>
    <w:link w:val="ConsPlusNormal"/>
    <w:locked/>
    <w:rPr>
      <w:rFonts w:ascii="Arial" w:hAnsi="Arial"/>
      <w:snapToGrid w:val="0"/>
      <w:lang w:val="ru-RU" w:eastAsia="ru-RU" w:bidi="ar-SA"/>
    </w:rPr>
  </w:style>
  <w:style w:type="character" w:styleId="aff4">
    <w:name w:val="annotation reference"/>
    <w:semiHidden/>
    <w:unhideWhenUsed/>
    <w:rPr>
      <w:sz w:val="16"/>
      <w:szCs w:val="16"/>
    </w:rPr>
  </w:style>
  <w:style w:type="paragraph" w:styleId="aff5">
    <w:name w:val="annotation text"/>
    <w:basedOn w:val="a"/>
    <w:link w:val="aff6"/>
    <w:semiHidden/>
    <w:unhideWhenUsed/>
  </w:style>
  <w:style w:type="character" w:customStyle="1" w:styleId="aff6">
    <w:name w:val="Текст примечания Знак"/>
    <w:link w:val="aff5"/>
    <w:semiHidden/>
    <w:rPr>
      <w:rFonts w:ascii="Times New Roman CYR" w:hAnsi="Times New Roman CYR"/>
    </w:rPr>
  </w:style>
  <w:style w:type="paragraph" w:styleId="aff7">
    <w:name w:val="annotation subject"/>
    <w:basedOn w:val="aff5"/>
    <w:next w:val="aff5"/>
    <w:link w:val="aff8"/>
    <w:semiHidden/>
    <w:unhideWhenUsed/>
    <w:rPr>
      <w:b/>
      <w:bCs/>
    </w:rPr>
  </w:style>
  <w:style w:type="character" w:customStyle="1" w:styleId="aff8">
    <w:name w:val="Тема примечания Знак"/>
    <w:link w:val="aff7"/>
    <w:semiHidden/>
    <w:rPr>
      <w:rFonts w:ascii="Times New Roman CYR" w:hAnsi="Times New Roman CYR"/>
      <w:b/>
      <w:bCs/>
    </w:rPr>
  </w:style>
  <w:style w:type="character" w:customStyle="1" w:styleId="1b">
    <w:name w:val="Схема документа Знак1"/>
    <w:basedOn w:val="a0"/>
    <w:uiPriority w:val="99"/>
    <w:semiHidden/>
    <w:rPr>
      <w:rFonts w:ascii="Segoe UI" w:hAnsi="Segoe UI" w:cs="Segoe U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985">
      <w:bodyDiv w:val="1"/>
      <w:marLeft w:val="0"/>
      <w:marRight w:val="0"/>
      <w:marTop w:val="0"/>
      <w:marBottom w:val="0"/>
      <w:divBdr>
        <w:top w:val="none" w:sz="0" w:space="0" w:color="auto"/>
        <w:left w:val="none" w:sz="0" w:space="0" w:color="auto"/>
        <w:bottom w:val="none" w:sz="0" w:space="0" w:color="auto"/>
        <w:right w:val="none" w:sz="0" w:space="0" w:color="auto"/>
      </w:divBdr>
    </w:div>
    <w:div w:id="63842652">
      <w:bodyDiv w:val="1"/>
      <w:marLeft w:val="0"/>
      <w:marRight w:val="0"/>
      <w:marTop w:val="0"/>
      <w:marBottom w:val="0"/>
      <w:divBdr>
        <w:top w:val="none" w:sz="0" w:space="0" w:color="auto"/>
        <w:left w:val="none" w:sz="0" w:space="0" w:color="auto"/>
        <w:bottom w:val="none" w:sz="0" w:space="0" w:color="auto"/>
        <w:right w:val="none" w:sz="0" w:space="0" w:color="auto"/>
      </w:divBdr>
    </w:div>
    <w:div w:id="312298091">
      <w:bodyDiv w:val="1"/>
      <w:marLeft w:val="0"/>
      <w:marRight w:val="0"/>
      <w:marTop w:val="0"/>
      <w:marBottom w:val="0"/>
      <w:divBdr>
        <w:top w:val="none" w:sz="0" w:space="0" w:color="auto"/>
        <w:left w:val="none" w:sz="0" w:space="0" w:color="auto"/>
        <w:bottom w:val="none" w:sz="0" w:space="0" w:color="auto"/>
        <w:right w:val="none" w:sz="0" w:space="0" w:color="auto"/>
      </w:divBdr>
    </w:div>
    <w:div w:id="339235042">
      <w:bodyDiv w:val="1"/>
      <w:marLeft w:val="0"/>
      <w:marRight w:val="0"/>
      <w:marTop w:val="0"/>
      <w:marBottom w:val="0"/>
      <w:divBdr>
        <w:top w:val="none" w:sz="0" w:space="0" w:color="auto"/>
        <w:left w:val="none" w:sz="0" w:space="0" w:color="auto"/>
        <w:bottom w:val="none" w:sz="0" w:space="0" w:color="auto"/>
        <w:right w:val="none" w:sz="0" w:space="0" w:color="auto"/>
      </w:divBdr>
    </w:div>
    <w:div w:id="361832074">
      <w:bodyDiv w:val="1"/>
      <w:marLeft w:val="0"/>
      <w:marRight w:val="0"/>
      <w:marTop w:val="0"/>
      <w:marBottom w:val="0"/>
      <w:divBdr>
        <w:top w:val="none" w:sz="0" w:space="0" w:color="auto"/>
        <w:left w:val="none" w:sz="0" w:space="0" w:color="auto"/>
        <w:bottom w:val="none" w:sz="0" w:space="0" w:color="auto"/>
        <w:right w:val="none" w:sz="0" w:space="0" w:color="auto"/>
      </w:divBdr>
    </w:div>
    <w:div w:id="399714726">
      <w:bodyDiv w:val="1"/>
      <w:marLeft w:val="0"/>
      <w:marRight w:val="0"/>
      <w:marTop w:val="0"/>
      <w:marBottom w:val="0"/>
      <w:divBdr>
        <w:top w:val="none" w:sz="0" w:space="0" w:color="auto"/>
        <w:left w:val="none" w:sz="0" w:space="0" w:color="auto"/>
        <w:bottom w:val="none" w:sz="0" w:space="0" w:color="auto"/>
        <w:right w:val="none" w:sz="0" w:space="0" w:color="auto"/>
      </w:divBdr>
    </w:div>
    <w:div w:id="441727779">
      <w:bodyDiv w:val="1"/>
      <w:marLeft w:val="0"/>
      <w:marRight w:val="0"/>
      <w:marTop w:val="0"/>
      <w:marBottom w:val="0"/>
      <w:divBdr>
        <w:top w:val="none" w:sz="0" w:space="0" w:color="auto"/>
        <w:left w:val="none" w:sz="0" w:space="0" w:color="auto"/>
        <w:bottom w:val="none" w:sz="0" w:space="0" w:color="auto"/>
        <w:right w:val="none" w:sz="0" w:space="0" w:color="auto"/>
      </w:divBdr>
    </w:div>
    <w:div w:id="445580931">
      <w:bodyDiv w:val="1"/>
      <w:marLeft w:val="0"/>
      <w:marRight w:val="0"/>
      <w:marTop w:val="0"/>
      <w:marBottom w:val="0"/>
      <w:divBdr>
        <w:top w:val="none" w:sz="0" w:space="0" w:color="auto"/>
        <w:left w:val="none" w:sz="0" w:space="0" w:color="auto"/>
        <w:bottom w:val="none" w:sz="0" w:space="0" w:color="auto"/>
        <w:right w:val="none" w:sz="0" w:space="0" w:color="auto"/>
      </w:divBdr>
    </w:div>
    <w:div w:id="535238703">
      <w:bodyDiv w:val="1"/>
      <w:marLeft w:val="0"/>
      <w:marRight w:val="0"/>
      <w:marTop w:val="0"/>
      <w:marBottom w:val="0"/>
      <w:divBdr>
        <w:top w:val="none" w:sz="0" w:space="0" w:color="auto"/>
        <w:left w:val="none" w:sz="0" w:space="0" w:color="auto"/>
        <w:bottom w:val="none" w:sz="0" w:space="0" w:color="auto"/>
        <w:right w:val="none" w:sz="0" w:space="0" w:color="auto"/>
      </w:divBdr>
    </w:div>
    <w:div w:id="562066470">
      <w:bodyDiv w:val="1"/>
      <w:marLeft w:val="0"/>
      <w:marRight w:val="0"/>
      <w:marTop w:val="0"/>
      <w:marBottom w:val="0"/>
      <w:divBdr>
        <w:top w:val="none" w:sz="0" w:space="0" w:color="auto"/>
        <w:left w:val="none" w:sz="0" w:space="0" w:color="auto"/>
        <w:bottom w:val="none" w:sz="0" w:space="0" w:color="auto"/>
        <w:right w:val="none" w:sz="0" w:space="0" w:color="auto"/>
      </w:divBdr>
    </w:div>
    <w:div w:id="580067705">
      <w:bodyDiv w:val="1"/>
      <w:marLeft w:val="0"/>
      <w:marRight w:val="0"/>
      <w:marTop w:val="0"/>
      <w:marBottom w:val="0"/>
      <w:divBdr>
        <w:top w:val="none" w:sz="0" w:space="0" w:color="auto"/>
        <w:left w:val="none" w:sz="0" w:space="0" w:color="auto"/>
        <w:bottom w:val="none" w:sz="0" w:space="0" w:color="auto"/>
        <w:right w:val="none" w:sz="0" w:space="0" w:color="auto"/>
      </w:divBdr>
    </w:div>
    <w:div w:id="635139181">
      <w:bodyDiv w:val="1"/>
      <w:marLeft w:val="0"/>
      <w:marRight w:val="0"/>
      <w:marTop w:val="0"/>
      <w:marBottom w:val="0"/>
      <w:divBdr>
        <w:top w:val="none" w:sz="0" w:space="0" w:color="auto"/>
        <w:left w:val="none" w:sz="0" w:space="0" w:color="auto"/>
        <w:bottom w:val="none" w:sz="0" w:space="0" w:color="auto"/>
        <w:right w:val="none" w:sz="0" w:space="0" w:color="auto"/>
      </w:divBdr>
    </w:div>
    <w:div w:id="653342855">
      <w:bodyDiv w:val="1"/>
      <w:marLeft w:val="0"/>
      <w:marRight w:val="0"/>
      <w:marTop w:val="0"/>
      <w:marBottom w:val="0"/>
      <w:divBdr>
        <w:top w:val="none" w:sz="0" w:space="0" w:color="auto"/>
        <w:left w:val="none" w:sz="0" w:space="0" w:color="auto"/>
        <w:bottom w:val="none" w:sz="0" w:space="0" w:color="auto"/>
        <w:right w:val="none" w:sz="0" w:space="0" w:color="auto"/>
      </w:divBdr>
    </w:div>
    <w:div w:id="664283800">
      <w:bodyDiv w:val="1"/>
      <w:marLeft w:val="0"/>
      <w:marRight w:val="0"/>
      <w:marTop w:val="0"/>
      <w:marBottom w:val="0"/>
      <w:divBdr>
        <w:top w:val="none" w:sz="0" w:space="0" w:color="auto"/>
        <w:left w:val="none" w:sz="0" w:space="0" w:color="auto"/>
        <w:bottom w:val="none" w:sz="0" w:space="0" w:color="auto"/>
        <w:right w:val="none" w:sz="0" w:space="0" w:color="auto"/>
      </w:divBdr>
    </w:div>
    <w:div w:id="679626132">
      <w:bodyDiv w:val="1"/>
      <w:marLeft w:val="0"/>
      <w:marRight w:val="0"/>
      <w:marTop w:val="0"/>
      <w:marBottom w:val="0"/>
      <w:divBdr>
        <w:top w:val="none" w:sz="0" w:space="0" w:color="auto"/>
        <w:left w:val="none" w:sz="0" w:space="0" w:color="auto"/>
        <w:bottom w:val="none" w:sz="0" w:space="0" w:color="auto"/>
        <w:right w:val="none" w:sz="0" w:space="0" w:color="auto"/>
      </w:divBdr>
    </w:div>
    <w:div w:id="703676183">
      <w:bodyDiv w:val="1"/>
      <w:marLeft w:val="0"/>
      <w:marRight w:val="0"/>
      <w:marTop w:val="0"/>
      <w:marBottom w:val="0"/>
      <w:divBdr>
        <w:top w:val="none" w:sz="0" w:space="0" w:color="auto"/>
        <w:left w:val="none" w:sz="0" w:space="0" w:color="auto"/>
        <w:bottom w:val="none" w:sz="0" w:space="0" w:color="auto"/>
        <w:right w:val="none" w:sz="0" w:space="0" w:color="auto"/>
      </w:divBdr>
    </w:div>
    <w:div w:id="713240155">
      <w:bodyDiv w:val="1"/>
      <w:marLeft w:val="0"/>
      <w:marRight w:val="0"/>
      <w:marTop w:val="0"/>
      <w:marBottom w:val="0"/>
      <w:divBdr>
        <w:top w:val="none" w:sz="0" w:space="0" w:color="auto"/>
        <w:left w:val="none" w:sz="0" w:space="0" w:color="auto"/>
        <w:bottom w:val="none" w:sz="0" w:space="0" w:color="auto"/>
        <w:right w:val="none" w:sz="0" w:space="0" w:color="auto"/>
      </w:divBdr>
    </w:div>
    <w:div w:id="740836841">
      <w:bodyDiv w:val="1"/>
      <w:marLeft w:val="0"/>
      <w:marRight w:val="0"/>
      <w:marTop w:val="0"/>
      <w:marBottom w:val="0"/>
      <w:divBdr>
        <w:top w:val="none" w:sz="0" w:space="0" w:color="auto"/>
        <w:left w:val="none" w:sz="0" w:space="0" w:color="auto"/>
        <w:bottom w:val="none" w:sz="0" w:space="0" w:color="auto"/>
        <w:right w:val="none" w:sz="0" w:space="0" w:color="auto"/>
      </w:divBdr>
    </w:div>
    <w:div w:id="745884510">
      <w:bodyDiv w:val="1"/>
      <w:marLeft w:val="0"/>
      <w:marRight w:val="0"/>
      <w:marTop w:val="0"/>
      <w:marBottom w:val="0"/>
      <w:divBdr>
        <w:top w:val="none" w:sz="0" w:space="0" w:color="auto"/>
        <w:left w:val="none" w:sz="0" w:space="0" w:color="auto"/>
        <w:bottom w:val="none" w:sz="0" w:space="0" w:color="auto"/>
        <w:right w:val="none" w:sz="0" w:space="0" w:color="auto"/>
      </w:divBdr>
    </w:div>
    <w:div w:id="752555847">
      <w:bodyDiv w:val="1"/>
      <w:marLeft w:val="0"/>
      <w:marRight w:val="0"/>
      <w:marTop w:val="0"/>
      <w:marBottom w:val="0"/>
      <w:divBdr>
        <w:top w:val="none" w:sz="0" w:space="0" w:color="auto"/>
        <w:left w:val="none" w:sz="0" w:space="0" w:color="auto"/>
        <w:bottom w:val="none" w:sz="0" w:space="0" w:color="auto"/>
        <w:right w:val="none" w:sz="0" w:space="0" w:color="auto"/>
      </w:divBdr>
    </w:div>
    <w:div w:id="825753713">
      <w:bodyDiv w:val="1"/>
      <w:marLeft w:val="0"/>
      <w:marRight w:val="0"/>
      <w:marTop w:val="0"/>
      <w:marBottom w:val="0"/>
      <w:divBdr>
        <w:top w:val="none" w:sz="0" w:space="0" w:color="auto"/>
        <w:left w:val="none" w:sz="0" w:space="0" w:color="auto"/>
        <w:bottom w:val="none" w:sz="0" w:space="0" w:color="auto"/>
        <w:right w:val="none" w:sz="0" w:space="0" w:color="auto"/>
      </w:divBdr>
    </w:div>
    <w:div w:id="843936476">
      <w:bodyDiv w:val="1"/>
      <w:marLeft w:val="0"/>
      <w:marRight w:val="0"/>
      <w:marTop w:val="0"/>
      <w:marBottom w:val="0"/>
      <w:divBdr>
        <w:top w:val="none" w:sz="0" w:space="0" w:color="auto"/>
        <w:left w:val="none" w:sz="0" w:space="0" w:color="auto"/>
        <w:bottom w:val="none" w:sz="0" w:space="0" w:color="auto"/>
        <w:right w:val="none" w:sz="0" w:space="0" w:color="auto"/>
      </w:divBdr>
    </w:div>
    <w:div w:id="852912746">
      <w:bodyDiv w:val="1"/>
      <w:marLeft w:val="0"/>
      <w:marRight w:val="0"/>
      <w:marTop w:val="0"/>
      <w:marBottom w:val="0"/>
      <w:divBdr>
        <w:top w:val="none" w:sz="0" w:space="0" w:color="auto"/>
        <w:left w:val="none" w:sz="0" w:space="0" w:color="auto"/>
        <w:bottom w:val="none" w:sz="0" w:space="0" w:color="auto"/>
        <w:right w:val="none" w:sz="0" w:space="0" w:color="auto"/>
      </w:divBdr>
    </w:div>
    <w:div w:id="876355839">
      <w:bodyDiv w:val="1"/>
      <w:marLeft w:val="0"/>
      <w:marRight w:val="0"/>
      <w:marTop w:val="0"/>
      <w:marBottom w:val="0"/>
      <w:divBdr>
        <w:top w:val="none" w:sz="0" w:space="0" w:color="auto"/>
        <w:left w:val="none" w:sz="0" w:space="0" w:color="auto"/>
        <w:bottom w:val="none" w:sz="0" w:space="0" w:color="auto"/>
        <w:right w:val="none" w:sz="0" w:space="0" w:color="auto"/>
      </w:divBdr>
    </w:div>
    <w:div w:id="980235214">
      <w:bodyDiv w:val="1"/>
      <w:marLeft w:val="0"/>
      <w:marRight w:val="0"/>
      <w:marTop w:val="0"/>
      <w:marBottom w:val="0"/>
      <w:divBdr>
        <w:top w:val="none" w:sz="0" w:space="0" w:color="auto"/>
        <w:left w:val="none" w:sz="0" w:space="0" w:color="auto"/>
        <w:bottom w:val="none" w:sz="0" w:space="0" w:color="auto"/>
        <w:right w:val="none" w:sz="0" w:space="0" w:color="auto"/>
      </w:divBdr>
    </w:div>
    <w:div w:id="1117141202">
      <w:bodyDiv w:val="1"/>
      <w:marLeft w:val="0"/>
      <w:marRight w:val="0"/>
      <w:marTop w:val="0"/>
      <w:marBottom w:val="0"/>
      <w:divBdr>
        <w:top w:val="none" w:sz="0" w:space="0" w:color="auto"/>
        <w:left w:val="none" w:sz="0" w:space="0" w:color="auto"/>
        <w:bottom w:val="none" w:sz="0" w:space="0" w:color="auto"/>
        <w:right w:val="none" w:sz="0" w:space="0" w:color="auto"/>
      </w:divBdr>
    </w:div>
    <w:div w:id="1303848246">
      <w:bodyDiv w:val="1"/>
      <w:marLeft w:val="0"/>
      <w:marRight w:val="0"/>
      <w:marTop w:val="0"/>
      <w:marBottom w:val="0"/>
      <w:divBdr>
        <w:top w:val="none" w:sz="0" w:space="0" w:color="auto"/>
        <w:left w:val="none" w:sz="0" w:space="0" w:color="auto"/>
        <w:bottom w:val="none" w:sz="0" w:space="0" w:color="auto"/>
        <w:right w:val="none" w:sz="0" w:space="0" w:color="auto"/>
      </w:divBdr>
    </w:div>
    <w:div w:id="1316496625">
      <w:bodyDiv w:val="1"/>
      <w:marLeft w:val="0"/>
      <w:marRight w:val="0"/>
      <w:marTop w:val="0"/>
      <w:marBottom w:val="0"/>
      <w:divBdr>
        <w:top w:val="none" w:sz="0" w:space="0" w:color="auto"/>
        <w:left w:val="none" w:sz="0" w:space="0" w:color="auto"/>
        <w:bottom w:val="none" w:sz="0" w:space="0" w:color="auto"/>
        <w:right w:val="none" w:sz="0" w:space="0" w:color="auto"/>
      </w:divBdr>
    </w:div>
    <w:div w:id="1388412206">
      <w:bodyDiv w:val="1"/>
      <w:marLeft w:val="0"/>
      <w:marRight w:val="0"/>
      <w:marTop w:val="0"/>
      <w:marBottom w:val="0"/>
      <w:divBdr>
        <w:top w:val="none" w:sz="0" w:space="0" w:color="auto"/>
        <w:left w:val="none" w:sz="0" w:space="0" w:color="auto"/>
        <w:bottom w:val="none" w:sz="0" w:space="0" w:color="auto"/>
        <w:right w:val="none" w:sz="0" w:space="0" w:color="auto"/>
      </w:divBdr>
    </w:div>
    <w:div w:id="1396468928">
      <w:bodyDiv w:val="1"/>
      <w:marLeft w:val="0"/>
      <w:marRight w:val="0"/>
      <w:marTop w:val="0"/>
      <w:marBottom w:val="0"/>
      <w:divBdr>
        <w:top w:val="none" w:sz="0" w:space="0" w:color="auto"/>
        <w:left w:val="none" w:sz="0" w:space="0" w:color="auto"/>
        <w:bottom w:val="none" w:sz="0" w:space="0" w:color="auto"/>
        <w:right w:val="none" w:sz="0" w:space="0" w:color="auto"/>
      </w:divBdr>
    </w:div>
    <w:div w:id="1398279483">
      <w:bodyDiv w:val="1"/>
      <w:marLeft w:val="0"/>
      <w:marRight w:val="0"/>
      <w:marTop w:val="0"/>
      <w:marBottom w:val="0"/>
      <w:divBdr>
        <w:top w:val="none" w:sz="0" w:space="0" w:color="auto"/>
        <w:left w:val="none" w:sz="0" w:space="0" w:color="auto"/>
        <w:bottom w:val="none" w:sz="0" w:space="0" w:color="auto"/>
        <w:right w:val="none" w:sz="0" w:space="0" w:color="auto"/>
      </w:divBdr>
    </w:div>
    <w:div w:id="1409425240">
      <w:bodyDiv w:val="1"/>
      <w:marLeft w:val="0"/>
      <w:marRight w:val="0"/>
      <w:marTop w:val="0"/>
      <w:marBottom w:val="0"/>
      <w:divBdr>
        <w:top w:val="none" w:sz="0" w:space="0" w:color="auto"/>
        <w:left w:val="none" w:sz="0" w:space="0" w:color="auto"/>
        <w:bottom w:val="none" w:sz="0" w:space="0" w:color="auto"/>
        <w:right w:val="none" w:sz="0" w:space="0" w:color="auto"/>
      </w:divBdr>
    </w:div>
    <w:div w:id="1454522497">
      <w:bodyDiv w:val="1"/>
      <w:marLeft w:val="0"/>
      <w:marRight w:val="0"/>
      <w:marTop w:val="0"/>
      <w:marBottom w:val="0"/>
      <w:divBdr>
        <w:top w:val="none" w:sz="0" w:space="0" w:color="auto"/>
        <w:left w:val="none" w:sz="0" w:space="0" w:color="auto"/>
        <w:bottom w:val="none" w:sz="0" w:space="0" w:color="auto"/>
        <w:right w:val="none" w:sz="0" w:space="0" w:color="auto"/>
      </w:divBdr>
    </w:div>
    <w:div w:id="1503855861">
      <w:bodyDiv w:val="1"/>
      <w:marLeft w:val="0"/>
      <w:marRight w:val="0"/>
      <w:marTop w:val="0"/>
      <w:marBottom w:val="0"/>
      <w:divBdr>
        <w:top w:val="none" w:sz="0" w:space="0" w:color="auto"/>
        <w:left w:val="none" w:sz="0" w:space="0" w:color="auto"/>
        <w:bottom w:val="none" w:sz="0" w:space="0" w:color="auto"/>
        <w:right w:val="none" w:sz="0" w:space="0" w:color="auto"/>
      </w:divBdr>
    </w:div>
    <w:div w:id="1515614261">
      <w:bodyDiv w:val="1"/>
      <w:marLeft w:val="0"/>
      <w:marRight w:val="0"/>
      <w:marTop w:val="0"/>
      <w:marBottom w:val="0"/>
      <w:divBdr>
        <w:top w:val="none" w:sz="0" w:space="0" w:color="auto"/>
        <w:left w:val="none" w:sz="0" w:space="0" w:color="auto"/>
        <w:bottom w:val="none" w:sz="0" w:space="0" w:color="auto"/>
        <w:right w:val="none" w:sz="0" w:space="0" w:color="auto"/>
      </w:divBdr>
    </w:div>
    <w:div w:id="1520969664">
      <w:bodyDiv w:val="1"/>
      <w:marLeft w:val="0"/>
      <w:marRight w:val="0"/>
      <w:marTop w:val="0"/>
      <w:marBottom w:val="0"/>
      <w:divBdr>
        <w:top w:val="none" w:sz="0" w:space="0" w:color="auto"/>
        <w:left w:val="none" w:sz="0" w:space="0" w:color="auto"/>
        <w:bottom w:val="none" w:sz="0" w:space="0" w:color="auto"/>
        <w:right w:val="none" w:sz="0" w:space="0" w:color="auto"/>
      </w:divBdr>
    </w:div>
    <w:div w:id="1692949066">
      <w:bodyDiv w:val="1"/>
      <w:marLeft w:val="0"/>
      <w:marRight w:val="0"/>
      <w:marTop w:val="0"/>
      <w:marBottom w:val="0"/>
      <w:divBdr>
        <w:top w:val="none" w:sz="0" w:space="0" w:color="auto"/>
        <w:left w:val="none" w:sz="0" w:space="0" w:color="auto"/>
        <w:bottom w:val="none" w:sz="0" w:space="0" w:color="auto"/>
        <w:right w:val="none" w:sz="0" w:space="0" w:color="auto"/>
      </w:divBdr>
    </w:div>
    <w:div w:id="1776244409">
      <w:bodyDiv w:val="1"/>
      <w:marLeft w:val="0"/>
      <w:marRight w:val="0"/>
      <w:marTop w:val="0"/>
      <w:marBottom w:val="0"/>
      <w:divBdr>
        <w:top w:val="none" w:sz="0" w:space="0" w:color="auto"/>
        <w:left w:val="none" w:sz="0" w:space="0" w:color="auto"/>
        <w:bottom w:val="none" w:sz="0" w:space="0" w:color="auto"/>
        <w:right w:val="none" w:sz="0" w:space="0" w:color="auto"/>
      </w:divBdr>
    </w:div>
    <w:div w:id="1793204787">
      <w:bodyDiv w:val="1"/>
      <w:marLeft w:val="0"/>
      <w:marRight w:val="0"/>
      <w:marTop w:val="0"/>
      <w:marBottom w:val="0"/>
      <w:divBdr>
        <w:top w:val="none" w:sz="0" w:space="0" w:color="auto"/>
        <w:left w:val="none" w:sz="0" w:space="0" w:color="auto"/>
        <w:bottom w:val="none" w:sz="0" w:space="0" w:color="auto"/>
        <w:right w:val="none" w:sz="0" w:space="0" w:color="auto"/>
      </w:divBdr>
    </w:div>
    <w:div w:id="1852527746">
      <w:bodyDiv w:val="1"/>
      <w:marLeft w:val="0"/>
      <w:marRight w:val="0"/>
      <w:marTop w:val="0"/>
      <w:marBottom w:val="0"/>
      <w:divBdr>
        <w:top w:val="none" w:sz="0" w:space="0" w:color="auto"/>
        <w:left w:val="none" w:sz="0" w:space="0" w:color="auto"/>
        <w:bottom w:val="none" w:sz="0" w:space="0" w:color="auto"/>
        <w:right w:val="none" w:sz="0" w:space="0" w:color="auto"/>
      </w:divBdr>
    </w:div>
    <w:div w:id="1875800542">
      <w:bodyDiv w:val="1"/>
      <w:marLeft w:val="0"/>
      <w:marRight w:val="0"/>
      <w:marTop w:val="0"/>
      <w:marBottom w:val="0"/>
      <w:divBdr>
        <w:top w:val="none" w:sz="0" w:space="0" w:color="auto"/>
        <w:left w:val="none" w:sz="0" w:space="0" w:color="auto"/>
        <w:bottom w:val="none" w:sz="0" w:space="0" w:color="auto"/>
        <w:right w:val="none" w:sz="0" w:space="0" w:color="auto"/>
      </w:divBdr>
    </w:div>
    <w:div w:id="1978990863">
      <w:bodyDiv w:val="1"/>
      <w:marLeft w:val="0"/>
      <w:marRight w:val="0"/>
      <w:marTop w:val="0"/>
      <w:marBottom w:val="0"/>
      <w:divBdr>
        <w:top w:val="none" w:sz="0" w:space="0" w:color="auto"/>
        <w:left w:val="none" w:sz="0" w:space="0" w:color="auto"/>
        <w:bottom w:val="none" w:sz="0" w:space="0" w:color="auto"/>
        <w:right w:val="none" w:sz="0" w:space="0" w:color="auto"/>
      </w:divBdr>
    </w:div>
    <w:div w:id="2027559545">
      <w:bodyDiv w:val="1"/>
      <w:marLeft w:val="0"/>
      <w:marRight w:val="0"/>
      <w:marTop w:val="0"/>
      <w:marBottom w:val="0"/>
      <w:divBdr>
        <w:top w:val="none" w:sz="0" w:space="0" w:color="auto"/>
        <w:left w:val="none" w:sz="0" w:space="0" w:color="auto"/>
        <w:bottom w:val="none" w:sz="0" w:space="0" w:color="auto"/>
        <w:right w:val="none" w:sz="0" w:space="0" w:color="auto"/>
      </w:divBdr>
    </w:div>
    <w:div w:id="2055302419">
      <w:bodyDiv w:val="1"/>
      <w:marLeft w:val="0"/>
      <w:marRight w:val="0"/>
      <w:marTop w:val="0"/>
      <w:marBottom w:val="0"/>
      <w:divBdr>
        <w:top w:val="none" w:sz="0" w:space="0" w:color="auto"/>
        <w:left w:val="none" w:sz="0" w:space="0" w:color="auto"/>
        <w:bottom w:val="none" w:sz="0" w:space="0" w:color="auto"/>
        <w:right w:val="none" w:sz="0" w:space="0" w:color="auto"/>
      </w:divBdr>
    </w:div>
    <w:div w:id="2059813574">
      <w:bodyDiv w:val="1"/>
      <w:marLeft w:val="0"/>
      <w:marRight w:val="0"/>
      <w:marTop w:val="0"/>
      <w:marBottom w:val="0"/>
      <w:divBdr>
        <w:top w:val="none" w:sz="0" w:space="0" w:color="auto"/>
        <w:left w:val="none" w:sz="0" w:space="0" w:color="auto"/>
        <w:bottom w:val="none" w:sz="0" w:space="0" w:color="auto"/>
        <w:right w:val="none" w:sz="0" w:space="0" w:color="auto"/>
      </w:divBdr>
    </w:div>
    <w:div w:id="2084253325">
      <w:bodyDiv w:val="1"/>
      <w:marLeft w:val="0"/>
      <w:marRight w:val="0"/>
      <w:marTop w:val="0"/>
      <w:marBottom w:val="0"/>
      <w:divBdr>
        <w:top w:val="none" w:sz="0" w:space="0" w:color="auto"/>
        <w:left w:val="none" w:sz="0" w:space="0" w:color="auto"/>
        <w:bottom w:val="none" w:sz="0" w:space="0" w:color="auto"/>
        <w:right w:val="none" w:sz="0" w:space="0" w:color="auto"/>
      </w:divBdr>
    </w:div>
    <w:div w:id="2093888860">
      <w:bodyDiv w:val="1"/>
      <w:marLeft w:val="0"/>
      <w:marRight w:val="0"/>
      <w:marTop w:val="0"/>
      <w:marBottom w:val="0"/>
      <w:divBdr>
        <w:top w:val="none" w:sz="0" w:space="0" w:color="auto"/>
        <w:left w:val="none" w:sz="0" w:space="0" w:color="auto"/>
        <w:bottom w:val="none" w:sz="0" w:space="0" w:color="auto"/>
        <w:right w:val="none" w:sz="0" w:space="0" w:color="auto"/>
      </w:divBdr>
    </w:div>
    <w:div w:id="2093970797">
      <w:bodyDiv w:val="1"/>
      <w:marLeft w:val="0"/>
      <w:marRight w:val="0"/>
      <w:marTop w:val="0"/>
      <w:marBottom w:val="0"/>
      <w:divBdr>
        <w:top w:val="none" w:sz="0" w:space="0" w:color="auto"/>
        <w:left w:val="none" w:sz="0" w:space="0" w:color="auto"/>
        <w:bottom w:val="none" w:sz="0" w:space="0" w:color="auto"/>
        <w:right w:val="none" w:sz="0" w:space="0" w:color="auto"/>
      </w:divBdr>
    </w:div>
    <w:div w:id="2095011855">
      <w:bodyDiv w:val="1"/>
      <w:marLeft w:val="0"/>
      <w:marRight w:val="0"/>
      <w:marTop w:val="0"/>
      <w:marBottom w:val="0"/>
      <w:divBdr>
        <w:top w:val="none" w:sz="0" w:space="0" w:color="auto"/>
        <w:left w:val="none" w:sz="0" w:space="0" w:color="auto"/>
        <w:bottom w:val="none" w:sz="0" w:space="0" w:color="auto"/>
        <w:right w:val="none" w:sz="0" w:space="0" w:color="auto"/>
      </w:divBdr>
    </w:div>
    <w:div w:id="213713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consultantplus://offline/ref=1CB9F386A2855991F2B1A15C000F3B62A0987E8950C2D2AB892465FEA89D8D99E1CB5E7482A42E31614AC13ESBR3I"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consultantplus://offline/ref=4C05E0CCA8993D5453A27DC4B471642252B9972C6E025701C5C24BC69C3080C0957A70F231A63D0B0ECD1B33cBQ8I" TargetMode="External"/><Relationship Id="rId2" Type="http://schemas.openxmlformats.org/officeDocument/2006/relationships/numbering" Target="numbering.xml"/><Relationship Id="rId16" Type="http://schemas.openxmlformats.org/officeDocument/2006/relationships/hyperlink" Target="consultantplus://offline/ref=A211640A42F552735F3202A1EBAB029EB206C70EC41F888C11E786C0BE53C2690E48E04686173A258CDE927A6By2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consultantplus://offline/ref=2F3B4A1877AAE8A45CB6CF6678D2F96E89E973EC3728132C595CD48F9DC10877837740220C95F8BFB71BBB1Bq1x5G" TargetMode="Externa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consultantplus://offline/ref=E9DA9630072F93629DCC33C5ED466E4E7977BF9F5A98AD46EFEA469C630F54C0CB977A8613C3EFA95A7F59U3n4H"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consultantplus://offline/ref=AF5FCFB3A43799E920A8BCBCE5D229DD10DA7F5DCF530B8BA6D64F301D22D8156C9B9EE34E64ADAB98388DE176AEFA8F7301l4H"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file:///\\server-fin\_money\&#1055;&#1088;&#1086;&#1077;&#1082;&#1090;_2021-2023\&#1041;&#1102;&#1076;&#1078;&#1077;&#1090;%20&#1047;&#1040;&#1058;&#1054;%20&#1057;&#1077;&#1074;&#1077;&#1088;&#1089;&#1082;%20&#1074;%20&#1044;&#1091;&#1084;&#1091;\&#1075;&#1088;&#1072;&#1092;&#1080;&#1082;&#1080;_&#1076;&#1080;&#1072;&#1075;&#1088;&#1072;&#1084;&#1084;&#1099;.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server-fin\_money\&#1055;&#1088;&#1086;&#1077;&#1082;&#1090;_2021-2023\&#1041;&#1102;&#1076;&#1078;&#1077;&#1090;%20&#1047;&#1040;&#1058;&#1054;%20&#1057;&#1077;&#1074;&#1077;&#1088;&#1089;&#1082;%20&#1074;%20&#1044;&#1091;&#1084;&#1091;\&#1075;&#1088;&#1072;&#1092;&#1080;&#1082;&#1080;_&#1076;&#1080;&#1072;&#1075;&#1088;&#1072;&#1084;&#1084;&#1099;.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server-fin\_money\&#1055;&#1088;&#1086;&#1077;&#1082;&#1090;_2021-2023\&#1041;&#1102;&#1076;&#1078;&#1077;&#1090;%20&#1047;&#1040;&#1058;&#1054;%20&#1057;&#1077;&#1074;&#1077;&#1088;&#1089;&#1082;%20&#1074;%20&#1044;&#1091;&#1084;&#1091;\&#1075;&#1088;&#1072;&#1092;&#1080;&#1082;&#1080;_&#1076;&#1080;&#1072;&#1075;&#1088;&#1072;&#1084;&#1084;&#109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1"/>
          <c:order val="0"/>
          <c:tx>
            <c:strRef>
              <c:f>ДОХОДЫ!$B$7</c:f>
              <c:strCache>
                <c:ptCount val="1"/>
                <c:pt idx="0">
                  <c:v>Доходы</c:v>
                </c:pt>
              </c:strCache>
            </c:strRef>
          </c:tx>
          <c:spPr>
            <a:solidFill>
              <a:schemeClr val="accent2">
                <a:lumMod val="75000"/>
              </a:schemeClr>
            </a:solidFill>
          </c:spPr>
          <c:invertIfNegative val="0"/>
          <c:dLbls>
            <c:dLbl>
              <c:idx val="0"/>
              <c:layout>
                <c:manualLayout>
                  <c:x val="0"/>
                  <c:y val="0.32937450514648076"/>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
                  <c:y val="0.27870150435471108"/>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0.27236737925574367"/>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
                  <c:y val="0.28503562945368166"/>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vert="horz"/>
              <a:lstStyle/>
              <a:p>
                <a:pPr>
                  <a:defRPr sz="1000" b="1">
                    <a:solidFill>
                      <a:schemeClr val="bg1"/>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ДОХОДЫ!$C$6:$F$6</c:f>
              <c:strCache>
                <c:ptCount val="4"/>
                <c:pt idx="0">
                  <c:v>Оценка 2020</c:v>
                </c:pt>
                <c:pt idx="1">
                  <c:v>Прогноз 2021</c:v>
                </c:pt>
                <c:pt idx="2">
                  <c:v>Прогноз 2022</c:v>
                </c:pt>
                <c:pt idx="3">
                  <c:v>Прогноз 2023</c:v>
                </c:pt>
              </c:strCache>
            </c:strRef>
          </c:cat>
          <c:val>
            <c:numRef>
              <c:f>ДОХОДЫ!$C$7:$F$7</c:f>
              <c:numCache>
                <c:formatCode>#,##0.00</c:formatCode>
                <c:ptCount val="4"/>
                <c:pt idx="0">
                  <c:v>4667.1400000000003</c:v>
                </c:pt>
                <c:pt idx="1">
                  <c:v>4064.92</c:v>
                </c:pt>
                <c:pt idx="2">
                  <c:v>3587.4100000000012</c:v>
                </c:pt>
                <c:pt idx="3">
                  <c:v>3547.14</c:v>
                </c:pt>
              </c:numCache>
            </c:numRef>
          </c:val>
        </c:ser>
        <c:ser>
          <c:idx val="0"/>
          <c:order val="1"/>
          <c:tx>
            <c:strRef>
              <c:f>ДОХОДЫ!$B$8</c:f>
              <c:strCache>
                <c:ptCount val="1"/>
                <c:pt idx="0">
                  <c:v>Расходы</c:v>
                </c:pt>
              </c:strCache>
            </c:strRef>
          </c:tx>
          <c:invertIfNegative val="0"/>
          <c:dPt>
            <c:idx val="0"/>
            <c:invertIfNegative val="0"/>
            <c:bubble3D val="0"/>
            <c:spPr>
              <a:solidFill>
                <a:schemeClr val="accent5">
                  <a:lumMod val="75000"/>
                </a:schemeClr>
              </a:solidFill>
            </c:spPr>
          </c:dPt>
          <c:dPt>
            <c:idx val="1"/>
            <c:invertIfNegative val="0"/>
            <c:bubble3D val="0"/>
            <c:spPr>
              <a:solidFill>
                <a:schemeClr val="accent5">
                  <a:lumMod val="75000"/>
                </a:schemeClr>
              </a:solidFill>
            </c:spPr>
          </c:dPt>
          <c:dPt>
            <c:idx val="2"/>
            <c:invertIfNegative val="0"/>
            <c:bubble3D val="0"/>
            <c:spPr>
              <a:solidFill>
                <a:schemeClr val="accent5">
                  <a:lumMod val="75000"/>
                </a:schemeClr>
              </a:solidFill>
            </c:spPr>
          </c:dPt>
          <c:dPt>
            <c:idx val="3"/>
            <c:invertIfNegative val="0"/>
            <c:bubble3D val="0"/>
            <c:spPr>
              <a:solidFill>
                <a:schemeClr val="accent5">
                  <a:lumMod val="75000"/>
                </a:schemeClr>
              </a:solidFill>
            </c:spPr>
          </c:dPt>
          <c:dLbls>
            <c:dLbl>
              <c:idx val="0"/>
              <c:layout>
                <c:manualLayout>
                  <c:x val="1.436781609195376E-3"/>
                  <c:y val="0.32937450514648076"/>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5.2681383757325391E-17"/>
                  <c:y val="0.2945368171021378"/>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0.27870150435471108"/>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
                  <c:y val="0.28503562945368166"/>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vert="horz"/>
              <a:lstStyle/>
              <a:p>
                <a:pPr>
                  <a:defRPr sz="1000" b="1">
                    <a:solidFill>
                      <a:schemeClr val="bg1"/>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ДОХОДЫ!$C$6:$F$6</c:f>
              <c:strCache>
                <c:ptCount val="4"/>
                <c:pt idx="0">
                  <c:v>Оценка 2020</c:v>
                </c:pt>
                <c:pt idx="1">
                  <c:v>Прогноз 2021</c:v>
                </c:pt>
                <c:pt idx="2">
                  <c:v>Прогноз 2022</c:v>
                </c:pt>
                <c:pt idx="3">
                  <c:v>Прогноз 2023</c:v>
                </c:pt>
              </c:strCache>
            </c:strRef>
          </c:cat>
          <c:val>
            <c:numRef>
              <c:f>ДОХОДЫ!$C$8:$F$8</c:f>
              <c:numCache>
                <c:formatCode>#,##0.00</c:formatCode>
                <c:ptCount val="4"/>
                <c:pt idx="0">
                  <c:v>4787.24</c:v>
                </c:pt>
                <c:pt idx="1">
                  <c:v>4152.41</c:v>
                </c:pt>
                <c:pt idx="2">
                  <c:v>3587.4100000000012</c:v>
                </c:pt>
                <c:pt idx="3">
                  <c:v>3547.14</c:v>
                </c:pt>
              </c:numCache>
            </c:numRef>
          </c:val>
        </c:ser>
        <c:ser>
          <c:idx val="2"/>
          <c:order val="2"/>
          <c:tx>
            <c:strRef>
              <c:f>ДОХОДЫ!$B$9</c:f>
              <c:strCache>
                <c:ptCount val="1"/>
                <c:pt idx="0">
                  <c:v>Дефицит</c:v>
                </c:pt>
              </c:strCache>
            </c:strRef>
          </c:tx>
          <c:invertIfNegative val="0"/>
          <c:dLbls>
            <c:dLbl>
              <c:idx val="0"/>
              <c:layout>
                <c:manualLayout>
                  <c:x val="2.098482709581621E-2"/>
                  <c:y val="-2.187263411157421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198673372999696E-2"/>
                  <c:y val="-2.5437695499404916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10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ДОХОДЫ!$C$6:$F$6</c:f>
              <c:strCache>
                <c:ptCount val="4"/>
                <c:pt idx="0">
                  <c:v>Оценка 2020</c:v>
                </c:pt>
                <c:pt idx="1">
                  <c:v>Прогноз 2021</c:v>
                </c:pt>
                <c:pt idx="2">
                  <c:v>Прогноз 2022</c:v>
                </c:pt>
                <c:pt idx="3">
                  <c:v>Прогноз 2023</c:v>
                </c:pt>
              </c:strCache>
            </c:strRef>
          </c:cat>
          <c:val>
            <c:numRef>
              <c:f>ДОХОДЫ!$C$9:$F$9</c:f>
              <c:numCache>
                <c:formatCode>#,##0.00</c:formatCode>
                <c:ptCount val="4"/>
                <c:pt idx="0">
                  <c:v>-120.09999999999962</c:v>
                </c:pt>
                <c:pt idx="1">
                  <c:v>-87.489999999999796</c:v>
                </c:pt>
              </c:numCache>
            </c:numRef>
          </c:val>
        </c:ser>
        <c:dLbls>
          <c:showLegendKey val="0"/>
          <c:showVal val="0"/>
          <c:showCatName val="0"/>
          <c:showSerName val="0"/>
          <c:showPercent val="0"/>
          <c:showBubbleSize val="0"/>
        </c:dLbls>
        <c:gapWidth val="150"/>
        <c:shape val="box"/>
        <c:axId val="436812272"/>
        <c:axId val="174135968"/>
        <c:axId val="0"/>
      </c:bar3DChart>
      <c:catAx>
        <c:axId val="436812272"/>
        <c:scaling>
          <c:orientation val="minMax"/>
        </c:scaling>
        <c:delete val="0"/>
        <c:axPos val="b"/>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ru-RU"/>
          </a:p>
        </c:txPr>
        <c:crossAx val="174135968"/>
        <c:crosses val="autoZero"/>
        <c:auto val="1"/>
        <c:lblAlgn val="ctr"/>
        <c:lblOffset val="100"/>
        <c:noMultiLvlLbl val="0"/>
      </c:catAx>
      <c:valAx>
        <c:axId val="174135968"/>
        <c:scaling>
          <c:orientation val="minMax"/>
          <c:min val="0"/>
        </c:scaling>
        <c:delete val="0"/>
        <c:axPos val="l"/>
        <c:majorGridlines>
          <c:spPr>
            <a:ln w="3175">
              <a:solidFill>
                <a:schemeClr val="bg1"/>
              </a:solidFill>
            </a:ln>
          </c:spPr>
        </c:majorGridlines>
        <c:numFmt formatCode="#,##0.00" sourceLinked="1"/>
        <c:majorTickMark val="out"/>
        <c:minorTickMark val="none"/>
        <c:tickLblPos val="nextTo"/>
        <c:spPr>
          <a:ln w="3175"/>
        </c:spPr>
        <c:txPr>
          <a:bodyPr/>
          <a:lstStyle/>
          <a:p>
            <a:pPr>
              <a:defRPr sz="1000">
                <a:latin typeface="Times New Roman" pitchFamily="18" charset="0"/>
                <a:cs typeface="Times New Roman" pitchFamily="18" charset="0"/>
              </a:defRPr>
            </a:pPr>
            <a:endParaRPr lang="ru-RU"/>
          </a:p>
        </c:txPr>
        <c:crossAx val="436812272"/>
        <c:crosses val="autoZero"/>
        <c:crossBetween val="between"/>
      </c:valAx>
    </c:plotArea>
    <c:legend>
      <c:legendPos val="r"/>
      <c:layout>
        <c:manualLayout>
          <c:xMode val="edge"/>
          <c:yMode val="edge"/>
          <c:x val="0.54885967939266567"/>
          <c:y val="5.4078331977955134E-2"/>
          <c:w val="0.21786812505010594"/>
          <c:h val="0.17993313965973654"/>
        </c:manualLayout>
      </c:layout>
      <c:overlay val="0"/>
      <c:txPr>
        <a:bodyPr/>
        <a:lstStyle/>
        <a:p>
          <a:pPr>
            <a:defRPr sz="1000">
              <a:latin typeface="Times New Roman" pitchFamily="18" charset="0"/>
              <a:cs typeface="Times New Roman" pitchFamily="18" charset="0"/>
            </a:defRPr>
          </a:pPr>
          <a:endParaRPr lang="ru-RU"/>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ДОХОДЫ!$C$39</c:f>
              <c:strCache>
                <c:ptCount val="1"/>
                <c:pt idx="0">
                  <c:v>Налог на доходы физических лиц </c:v>
                </c:pt>
              </c:strCache>
            </c:strRef>
          </c:tx>
          <c:invertIfNegative val="0"/>
          <c:dLbls>
            <c:dLbl>
              <c:idx val="0"/>
              <c:layout>
                <c:manualLayout>
                  <c:x val="1.4090708938793479E-2"/>
                  <c:y val="-1.564945226917062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8.8066930867460366E-3"/>
                  <c:y val="-9.3896713615023528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8.8066930867460955E-3"/>
                  <c:y val="-9.3896713615023528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0568031704095121E-2"/>
                  <c:y val="-6.2597809076682474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ДОХОДЫ!$D$37:$G$37</c:f>
              <c:strCache>
                <c:ptCount val="4"/>
                <c:pt idx="0">
                  <c:v>Оценка 2020</c:v>
                </c:pt>
                <c:pt idx="1">
                  <c:v>Прогноз 2021</c:v>
                </c:pt>
                <c:pt idx="2">
                  <c:v>Прогноз 2022</c:v>
                </c:pt>
                <c:pt idx="3">
                  <c:v>Прогноз 2023</c:v>
                </c:pt>
              </c:strCache>
            </c:strRef>
          </c:cat>
          <c:val>
            <c:numRef>
              <c:f>ДОХОДЫ!$D$39:$G$39</c:f>
              <c:numCache>
                <c:formatCode>#,##0.00</c:formatCode>
                <c:ptCount val="4"/>
                <c:pt idx="0">
                  <c:v>731.17000000000053</c:v>
                </c:pt>
                <c:pt idx="1">
                  <c:v>737.75</c:v>
                </c:pt>
                <c:pt idx="2">
                  <c:v>723.85999999999797</c:v>
                </c:pt>
                <c:pt idx="3">
                  <c:v>726.55</c:v>
                </c:pt>
              </c:numCache>
            </c:numRef>
          </c:val>
        </c:ser>
        <c:ser>
          <c:idx val="1"/>
          <c:order val="1"/>
          <c:tx>
            <c:strRef>
              <c:f>ДОХОДЫ!$C$40</c:f>
              <c:strCache>
                <c:ptCount val="1"/>
                <c:pt idx="0">
                  <c:v>Налоги на совокупный доход</c:v>
                </c:pt>
              </c:strCache>
            </c:strRef>
          </c:tx>
          <c:invertIfNegative val="0"/>
          <c:dLbls>
            <c:dLbl>
              <c:idx val="0"/>
              <c:layout>
                <c:manualLayout>
                  <c:x val="0"/>
                  <c:y val="6.5727699530517089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
                  <c:y val="6.5727699530517089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7.198748043818470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
                  <c:y val="7.1987480438184703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solidFill>
                      <a:schemeClr val="bg1"/>
                    </a:solidFil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ДОХОДЫ!$D$37:$G$37</c:f>
              <c:strCache>
                <c:ptCount val="4"/>
                <c:pt idx="0">
                  <c:v>Оценка 2020</c:v>
                </c:pt>
                <c:pt idx="1">
                  <c:v>Прогноз 2021</c:v>
                </c:pt>
                <c:pt idx="2">
                  <c:v>Прогноз 2022</c:v>
                </c:pt>
                <c:pt idx="3">
                  <c:v>Прогноз 2023</c:v>
                </c:pt>
              </c:strCache>
            </c:strRef>
          </c:cat>
          <c:val>
            <c:numRef>
              <c:f>ДОХОДЫ!$D$40:$G$40</c:f>
              <c:numCache>
                <c:formatCode>#,##0.00</c:formatCode>
                <c:ptCount val="4"/>
                <c:pt idx="0">
                  <c:v>82.2</c:v>
                </c:pt>
                <c:pt idx="1">
                  <c:v>90.59</c:v>
                </c:pt>
                <c:pt idx="2">
                  <c:v>98.39</c:v>
                </c:pt>
                <c:pt idx="3">
                  <c:v>102.74000000000002</c:v>
                </c:pt>
              </c:numCache>
            </c:numRef>
          </c:val>
        </c:ser>
        <c:ser>
          <c:idx val="2"/>
          <c:order val="2"/>
          <c:tx>
            <c:strRef>
              <c:f>ДОХОДЫ!$C$41</c:f>
              <c:strCache>
                <c:ptCount val="1"/>
                <c:pt idx="0">
                  <c:v>Имущественные налоги </c:v>
                </c:pt>
              </c:strCache>
            </c:strRef>
          </c:tx>
          <c:invertIfNegative val="0"/>
          <c:dLbls>
            <c:dLbl>
              <c:idx val="0"/>
              <c:layout>
                <c:manualLayout>
                  <c:x val="2.6420079260237778E-2"/>
                  <c:y val="-9.3896713615023528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3.3465433729634522E-2"/>
                  <c:y val="-6.259780907668240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9942756494936149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8181417877586996E-2"/>
                  <c:y val="-6.2597809076682404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ДОХОДЫ!$D$37:$G$37</c:f>
              <c:strCache>
                <c:ptCount val="4"/>
                <c:pt idx="0">
                  <c:v>Оценка 2020</c:v>
                </c:pt>
                <c:pt idx="1">
                  <c:v>Прогноз 2021</c:v>
                </c:pt>
                <c:pt idx="2">
                  <c:v>Прогноз 2022</c:v>
                </c:pt>
                <c:pt idx="3">
                  <c:v>Прогноз 2023</c:v>
                </c:pt>
              </c:strCache>
            </c:strRef>
          </c:cat>
          <c:val>
            <c:numRef>
              <c:f>ДОХОДЫ!$D$41:$G$41</c:f>
              <c:numCache>
                <c:formatCode>#,##0.00</c:formatCode>
                <c:ptCount val="4"/>
                <c:pt idx="0">
                  <c:v>136.53</c:v>
                </c:pt>
                <c:pt idx="1">
                  <c:v>147.4</c:v>
                </c:pt>
                <c:pt idx="2">
                  <c:v>156.02000000000001</c:v>
                </c:pt>
                <c:pt idx="3">
                  <c:v>162.37</c:v>
                </c:pt>
              </c:numCache>
            </c:numRef>
          </c:val>
        </c:ser>
        <c:ser>
          <c:idx val="3"/>
          <c:order val="3"/>
          <c:tx>
            <c:strRef>
              <c:f>ДОХОДЫ!$C$42</c:f>
              <c:strCache>
                <c:ptCount val="1"/>
                <c:pt idx="0">
                  <c:v>Прочие</c:v>
                </c:pt>
              </c:strCache>
            </c:strRef>
          </c:tx>
          <c:invertIfNegative val="0"/>
          <c:dLbls>
            <c:dLbl>
              <c:idx val="0"/>
              <c:layout>
                <c:manualLayout>
                  <c:x val="2.1136063408190232E-2"/>
                  <c:y val="-3.129890453834120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1136063408190232E-2"/>
                  <c:y val="-3.129890453834120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6420079260237778E-2"/>
                  <c:y val="-3.129890453834120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6420079260237778E-2"/>
                  <c:y val="-9.3896713615023528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ДОХОДЫ!$D$37:$G$37</c:f>
              <c:strCache>
                <c:ptCount val="4"/>
                <c:pt idx="0">
                  <c:v>Оценка 2020</c:v>
                </c:pt>
                <c:pt idx="1">
                  <c:v>Прогноз 2021</c:v>
                </c:pt>
                <c:pt idx="2">
                  <c:v>Прогноз 2022</c:v>
                </c:pt>
                <c:pt idx="3">
                  <c:v>Прогноз 2023</c:v>
                </c:pt>
              </c:strCache>
            </c:strRef>
          </c:cat>
          <c:val>
            <c:numRef>
              <c:f>ДОХОДЫ!$D$42:$G$42</c:f>
              <c:numCache>
                <c:formatCode>#,##0.00</c:formatCode>
                <c:ptCount val="4"/>
                <c:pt idx="0">
                  <c:v>21.720000000000056</c:v>
                </c:pt>
                <c:pt idx="1">
                  <c:v>23.939999999999927</c:v>
                </c:pt>
                <c:pt idx="2">
                  <c:v>25.239999999999981</c:v>
                </c:pt>
                <c:pt idx="3">
                  <c:v>26.860000000000014</c:v>
                </c:pt>
              </c:numCache>
            </c:numRef>
          </c:val>
        </c:ser>
        <c:dLbls>
          <c:showLegendKey val="0"/>
          <c:showVal val="0"/>
          <c:showCatName val="0"/>
          <c:showSerName val="0"/>
          <c:showPercent val="0"/>
          <c:showBubbleSize val="0"/>
        </c:dLbls>
        <c:gapWidth val="150"/>
        <c:shape val="box"/>
        <c:axId val="174136752"/>
        <c:axId val="174136360"/>
        <c:axId val="0"/>
      </c:bar3DChart>
      <c:catAx>
        <c:axId val="174136752"/>
        <c:scaling>
          <c:orientation val="minMax"/>
        </c:scaling>
        <c:delete val="0"/>
        <c:axPos val="b"/>
        <c:numFmt formatCode="General" sourceLinked="0"/>
        <c:majorTickMark val="out"/>
        <c:minorTickMark val="none"/>
        <c:tickLblPos val="nextTo"/>
        <c:txPr>
          <a:bodyPr/>
          <a:lstStyle/>
          <a:p>
            <a:pPr>
              <a:defRPr sz="1200" baseline="0"/>
            </a:pPr>
            <a:endParaRPr lang="ru-RU"/>
          </a:p>
        </c:txPr>
        <c:crossAx val="174136360"/>
        <c:crosses val="autoZero"/>
        <c:auto val="1"/>
        <c:lblAlgn val="ctr"/>
        <c:lblOffset val="100"/>
        <c:noMultiLvlLbl val="0"/>
      </c:catAx>
      <c:valAx>
        <c:axId val="174136360"/>
        <c:scaling>
          <c:orientation val="minMax"/>
        </c:scaling>
        <c:delete val="0"/>
        <c:axPos val="l"/>
        <c:majorGridlines>
          <c:spPr>
            <a:ln>
              <a:solidFill>
                <a:schemeClr val="bg1">
                  <a:lumMod val="85000"/>
                </a:schemeClr>
              </a:solidFill>
            </a:ln>
          </c:spPr>
        </c:majorGridlines>
        <c:numFmt formatCode="#,##0.00" sourceLinked="1"/>
        <c:majorTickMark val="out"/>
        <c:minorTickMark val="none"/>
        <c:tickLblPos val="nextTo"/>
        <c:spPr>
          <a:ln>
            <a:solidFill>
              <a:schemeClr val="bg1">
                <a:lumMod val="85000"/>
              </a:schemeClr>
            </a:solidFill>
          </a:ln>
        </c:spPr>
        <c:crossAx val="174136752"/>
        <c:crosses val="autoZero"/>
        <c:crossBetween val="between"/>
      </c:valAx>
    </c:plotArea>
    <c:legend>
      <c:legendPos val="b"/>
      <c:layout/>
      <c:overlay val="0"/>
      <c:txPr>
        <a:bodyPr/>
        <a:lstStyle/>
        <a:p>
          <a:pPr>
            <a:defRPr sz="1200" baseline="0"/>
          </a:pPr>
          <a:endParaRPr lang="ru-RU"/>
        </a:p>
      </c:txPr>
    </c:legend>
    <c:plotVisOnly val="1"/>
    <c:dispBlanksAs val="gap"/>
    <c:showDLblsOverMax val="0"/>
  </c:chart>
  <c:spPr>
    <a:ln>
      <a:noFill/>
    </a:ln>
  </c:spPr>
  <c:txPr>
    <a:bodyPr/>
    <a:lstStyle/>
    <a:p>
      <a:pPr>
        <a:defRPr baseline="0">
          <a:latin typeface="Times New Roman" pitchFamily="18"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7.2574459404324762E-2"/>
          <c:y val="3.6484245439469626E-2"/>
          <c:w val="0.91273765809873564"/>
          <c:h val="0.73168044292971146"/>
        </c:manualLayout>
      </c:layout>
      <c:bar3DChart>
        <c:barDir val="col"/>
        <c:grouping val="clustered"/>
        <c:varyColors val="0"/>
        <c:ser>
          <c:idx val="0"/>
          <c:order val="0"/>
          <c:tx>
            <c:strRef>
              <c:f>ДОХОДЫ!$C$50</c:f>
              <c:strCache>
                <c:ptCount val="1"/>
                <c:pt idx="0">
                  <c:v>Доходы от использования имущества</c:v>
                </c:pt>
              </c:strCache>
            </c:strRef>
          </c:tx>
          <c:invertIfNegative val="0"/>
          <c:dLbls>
            <c:dLbl>
              <c:idx val="0"/>
              <c:layout>
                <c:manualLayout>
                  <c:x val="1.4090708938793479E-2"/>
                  <c:y val="-1.564945226917062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8.8066930867460348E-3"/>
                  <c:y val="-9.3896713615023528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8.8066930867460921E-3"/>
                  <c:y val="-9.3896713615023528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0568031704095121E-2"/>
                  <c:y val="-6.2597809076682474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ДОХОДЫ!$D$37:$G$37</c:f>
              <c:strCache>
                <c:ptCount val="4"/>
                <c:pt idx="0">
                  <c:v>Оценка 2020</c:v>
                </c:pt>
                <c:pt idx="1">
                  <c:v>Прогноз 2021</c:v>
                </c:pt>
                <c:pt idx="2">
                  <c:v>Прогноз 2022</c:v>
                </c:pt>
                <c:pt idx="3">
                  <c:v>Прогноз 2023</c:v>
                </c:pt>
              </c:strCache>
            </c:strRef>
          </c:cat>
          <c:val>
            <c:numRef>
              <c:f>ДОХОДЫ!$D$50:$G$50</c:f>
              <c:numCache>
                <c:formatCode>#,##0.00</c:formatCode>
                <c:ptCount val="4"/>
                <c:pt idx="0">
                  <c:v>88.89</c:v>
                </c:pt>
                <c:pt idx="1">
                  <c:v>85.35</c:v>
                </c:pt>
                <c:pt idx="2">
                  <c:v>90.51</c:v>
                </c:pt>
                <c:pt idx="3">
                  <c:v>75.42</c:v>
                </c:pt>
              </c:numCache>
            </c:numRef>
          </c:val>
        </c:ser>
        <c:ser>
          <c:idx val="1"/>
          <c:order val="1"/>
          <c:tx>
            <c:strRef>
              <c:f>ДОХОДЫ!$C$51</c:f>
              <c:strCache>
                <c:ptCount val="1"/>
                <c:pt idx="0">
                  <c:v>Платежи при пользовании природными ресурсами</c:v>
                </c:pt>
              </c:strCache>
            </c:strRef>
          </c:tx>
          <c:invertIfNegative val="0"/>
          <c:dLbls>
            <c:dLbl>
              <c:idx val="0"/>
              <c:layout>
                <c:manualLayout>
                  <c:x val="2.9067046017334812E-3"/>
                  <c:y val="4.1980883467882445E-2"/>
                </c:manualLayout>
              </c:layout>
              <c:tx>
                <c:rich>
                  <a:bodyPr/>
                  <a:lstStyle/>
                  <a:p>
                    <a:pPr>
                      <a:defRPr b="1">
                        <a:solidFill>
                          <a:schemeClr val="bg1"/>
                        </a:solidFill>
                      </a:defRPr>
                    </a:pPr>
                    <a:r>
                      <a:rPr lang="en-US">
                        <a:solidFill>
                          <a:sysClr val="windowText" lastClr="000000"/>
                        </a:solidFill>
                      </a:rPr>
                      <a:t>8,03</a:t>
                    </a:r>
                  </a:p>
                </c:rich>
              </c:tx>
              <c:sp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0400237793095802E-2"/>
                  <c:y val="-8.860719966616212E-3"/>
                </c:manualLayout>
              </c:layout>
              <c:tx>
                <c:rich>
                  <a:bodyPr/>
                  <a:lstStyle/>
                  <a:p>
                    <a:pPr>
                      <a:defRPr b="1">
                        <a:solidFill>
                          <a:schemeClr val="bg1"/>
                        </a:solidFill>
                      </a:defRPr>
                    </a:pPr>
                    <a:r>
                      <a:rPr lang="en-US">
                        <a:solidFill>
                          <a:sysClr val="windowText" lastClr="000000"/>
                        </a:solidFill>
                      </a:rPr>
                      <a:t>14,06</a:t>
                    </a:r>
                  </a:p>
                </c:rich>
              </c:tx>
              <c:spP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9374586102760941E-2"/>
                  <c:y val="-8.4725616194528067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7613386173491747E-2"/>
                  <c:y val="-8.4722599330257307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solidFill>
                      <a:sysClr val="windowText" lastClr="000000"/>
                    </a:solidFil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ДОХОДЫ!$D$37:$G$37</c:f>
              <c:strCache>
                <c:ptCount val="4"/>
                <c:pt idx="0">
                  <c:v>Оценка 2020</c:v>
                </c:pt>
                <c:pt idx="1">
                  <c:v>Прогноз 2021</c:v>
                </c:pt>
                <c:pt idx="2">
                  <c:v>Прогноз 2022</c:v>
                </c:pt>
                <c:pt idx="3">
                  <c:v>Прогноз 2023</c:v>
                </c:pt>
              </c:strCache>
            </c:strRef>
          </c:cat>
          <c:val>
            <c:numRef>
              <c:f>ДОХОДЫ!$D$51:$G$51</c:f>
              <c:numCache>
                <c:formatCode>#,##0.00</c:formatCode>
                <c:ptCount val="4"/>
                <c:pt idx="0">
                  <c:v>8.0300000000000011</c:v>
                </c:pt>
                <c:pt idx="1">
                  <c:v>14.06</c:v>
                </c:pt>
                <c:pt idx="2">
                  <c:v>10.54</c:v>
                </c:pt>
                <c:pt idx="3">
                  <c:v>11.360000000000024</c:v>
                </c:pt>
              </c:numCache>
            </c:numRef>
          </c:val>
        </c:ser>
        <c:ser>
          <c:idx val="2"/>
          <c:order val="2"/>
          <c:tx>
            <c:strRef>
              <c:f>ДОХОДЫ!$C$52</c:f>
              <c:strCache>
                <c:ptCount val="1"/>
                <c:pt idx="0">
                  <c:v>Доходы от продажи активов</c:v>
                </c:pt>
              </c:strCache>
            </c:strRef>
          </c:tx>
          <c:invertIfNegative val="0"/>
          <c:dLbls>
            <c:dLbl>
              <c:idx val="0"/>
              <c:layout>
                <c:manualLayout>
                  <c:x val="-6.8366991648595953E-4"/>
                  <c:y val="-9.389675804008195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1916233749549321E-3"/>
                  <c:y val="4.212248497585657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4.6680036867970788E-3"/>
                  <c:y val="4.5037950280857442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4140937002844598E-3"/>
                  <c:y val="3.6739761315797634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ДОХОДЫ!$D$37:$G$37</c:f>
              <c:strCache>
                <c:ptCount val="4"/>
                <c:pt idx="0">
                  <c:v>Оценка 2020</c:v>
                </c:pt>
                <c:pt idx="1">
                  <c:v>Прогноз 2021</c:v>
                </c:pt>
                <c:pt idx="2">
                  <c:v>Прогноз 2022</c:v>
                </c:pt>
                <c:pt idx="3">
                  <c:v>Прогноз 2023</c:v>
                </c:pt>
              </c:strCache>
            </c:strRef>
          </c:cat>
          <c:val>
            <c:numRef>
              <c:f>ДОХОДЫ!$D$52:$G$52</c:f>
              <c:numCache>
                <c:formatCode>#,##0.00</c:formatCode>
                <c:ptCount val="4"/>
                <c:pt idx="0">
                  <c:v>9.6300000000000008</c:v>
                </c:pt>
                <c:pt idx="1">
                  <c:v>4.6099999999999985</c:v>
                </c:pt>
                <c:pt idx="2">
                  <c:v>3.98</c:v>
                </c:pt>
                <c:pt idx="3">
                  <c:v>3.1</c:v>
                </c:pt>
              </c:numCache>
            </c:numRef>
          </c:val>
        </c:ser>
        <c:ser>
          <c:idx val="3"/>
          <c:order val="3"/>
          <c:tx>
            <c:strRef>
              <c:f>ДОХОДЫ!$C$53</c:f>
              <c:strCache>
                <c:ptCount val="1"/>
                <c:pt idx="0">
                  <c:v>Прочие</c:v>
                </c:pt>
              </c:strCache>
            </c:strRef>
          </c:tx>
          <c:invertIfNegative val="0"/>
          <c:dLbls>
            <c:dLbl>
              <c:idx val="0"/>
              <c:layout>
                <c:manualLayout>
                  <c:x val="2.1136063408190232E-2"/>
                  <c:y val="-3.129890453834120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9260738711989616E-2"/>
                  <c:y val="-2.102696400571579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6420079260237778E-2"/>
                  <c:y val="-3.129890453834120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6420079260237778E-2"/>
                  <c:y val="-9.3896713615023528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ДОХОДЫ!$D$37:$G$37</c:f>
              <c:strCache>
                <c:ptCount val="4"/>
                <c:pt idx="0">
                  <c:v>Оценка 2020</c:v>
                </c:pt>
                <c:pt idx="1">
                  <c:v>Прогноз 2021</c:v>
                </c:pt>
                <c:pt idx="2">
                  <c:v>Прогноз 2022</c:v>
                </c:pt>
                <c:pt idx="3">
                  <c:v>Прогноз 2023</c:v>
                </c:pt>
              </c:strCache>
            </c:strRef>
          </c:cat>
          <c:val>
            <c:numRef>
              <c:f>ДОХОДЫ!$D$53:$G$53</c:f>
              <c:numCache>
                <c:formatCode>#,##0.00</c:formatCode>
                <c:ptCount val="4"/>
                <c:pt idx="0">
                  <c:v>11.410000000000002</c:v>
                </c:pt>
                <c:pt idx="1">
                  <c:v>7.8400000000000043</c:v>
                </c:pt>
                <c:pt idx="2">
                  <c:v>7.9499999999999993</c:v>
                </c:pt>
                <c:pt idx="3">
                  <c:v>8.11</c:v>
                </c:pt>
              </c:numCache>
            </c:numRef>
          </c:val>
        </c:ser>
        <c:dLbls>
          <c:showLegendKey val="0"/>
          <c:showVal val="0"/>
          <c:showCatName val="0"/>
          <c:showSerName val="0"/>
          <c:showPercent val="0"/>
          <c:showBubbleSize val="0"/>
        </c:dLbls>
        <c:gapWidth val="150"/>
        <c:shape val="box"/>
        <c:axId val="437725320"/>
        <c:axId val="497702136"/>
        <c:axId val="0"/>
      </c:bar3DChart>
      <c:catAx>
        <c:axId val="437725320"/>
        <c:scaling>
          <c:orientation val="minMax"/>
        </c:scaling>
        <c:delete val="0"/>
        <c:axPos val="b"/>
        <c:numFmt formatCode="General" sourceLinked="0"/>
        <c:majorTickMark val="out"/>
        <c:minorTickMark val="none"/>
        <c:tickLblPos val="nextTo"/>
        <c:crossAx val="497702136"/>
        <c:crosses val="autoZero"/>
        <c:auto val="1"/>
        <c:lblAlgn val="ctr"/>
        <c:lblOffset val="100"/>
        <c:noMultiLvlLbl val="0"/>
      </c:catAx>
      <c:valAx>
        <c:axId val="497702136"/>
        <c:scaling>
          <c:orientation val="minMax"/>
        </c:scaling>
        <c:delete val="0"/>
        <c:axPos val="l"/>
        <c:majorGridlines>
          <c:spPr>
            <a:ln>
              <a:solidFill>
                <a:schemeClr val="bg1">
                  <a:lumMod val="85000"/>
                </a:schemeClr>
              </a:solidFill>
            </a:ln>
          </c:spPr>
        </c:majorGridlines>
        <c:numFmt formatCode="#,##0.00" sourceLinked="1"/>
        <c:majorTickMark val="out"/>
        <c:minorTickMark val="none"/>
        <c:tickLblPos val="nextTo"/>
        <c:spPr>
          <a:ln>
            <a:solidFill>
              <a:schemeClr val="bg1">
                <a:lumMod val="85000"/>
              </a:schemeClr>
            </a:solidFill>
          </a:ln>
        </c:spPr>
        <c:crossAx val="437725320"/>
        <c:crosses val="autoZero"/>
        <c:crossBetween val="between"/>
      </c:valAx>
    </c:plotArea>
    <c:legend>
      <c:legendPos val="b"/>
      <c:layout>
        <c:manualLayout>
          <c:xMode val="edge"/>
          <c:yMode val="edge"/>
          <c:x val="7.5382065167475504E-2"/>
          <c:y val="0.84361421583042062"/>
          <c:w val="0.68608535330968889"/>
          <c:h val="0.1534029362497295"/>
        </c:manualLayout>
      </c:layout>
      <c:overlay val="0"/>
    </c:legend>
    <c:plotVisOnly val="1"/>
    <c:dispBlanksAs val="gap"/>
    <c:showDLblsOverMax val="0"/>
  </c:chart>
  <c:spPr>
    <a:ln>
      <a:noFill/>
    </a:ln>
  </c:spPr>
  <c:txPr>
    <a:bodyPr/>
    <a:lstStyle/>
    <a:p>
      <a:pPr>
        <a:defRPr baseline="0">
          <a:latin typeface="Times New Roman" pitchFamily="18" charset="0"/>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1.7584842696969461E-2"/>
          <c:y val="7.5730149115975892E-2"/>
          <c:w val="0.59211063604764358"/>
          <c:h val="0.81540629568954892"/>
        </c:manualLayout>
      </c:layout>
      <c:pie3DChart>
        <c:varyColors val="1"/>
        <c:ser>
          <c:idx val="0"/>
          <c:order val="0"/>
          <c:tx>
            <c:strRef>
              <c:f>'расх_функц 21'!$C$3</c:f>
              <c:strCache>
                <c:ptCount val="1"/>
                <c:pt idx="0">
                  <c:v>Прогноз 2021</c:v>
                </c:pt>
              </c:strCache>
            </c:strRef>
          </c:tx>
          <c:explosion val="25"/>
          <c:dPt>
            <c:idx val="0"/>
            <c:bubble3D val="0"/>
            <c:spPr>
              <a:solidFill>
                <a:srgbClr val="CCCCFF"/>
              </a:solidFill>
            </c:spPr>
          </c:dPt>
          <c:dPt>
            <c:idx val="1"/>
            <c:bubble3D val="0"/>
            <c:spPr>
              <a:solidFill>
                <a:srgbClr val="FF0000"/>
              </a:solidFill>
            </c:spPr>
          </c:dPt>
          <c:dPt>
            <c:idx val="3"/>
            <c:bubble3D val="0"/>
            <c:spPr>
              <a:solidFill>
                <a:srgbClr val="FFFF66"/>
              </a:solidFill>
            </c:spPr>
          </c:dPt>
          <c:dPt>
            <c:idx val="4"/>
            <c:bubble3D val="0"/>
            <c:spPr>
              <a:solidFill>
                <a:schemeClr val="accent5">
                  <a:lumMod val="60000"/>
                  <a:lumOff val="40000"/>
                </a:schemeClr>
              </a:solidFill>
            </c:spPr>
          </c:dPt>
          <c:dPt>
            <c:idx val="5"/>
            <c:bubble3D val="0"/>
            <c:spPr>
              <a:solidFill>
                <a:srgbClr val="FF9900"/>
              </a:solidFill>
            </c:spPr>
          </c:dPt>
          <c:dPt>
            <c:idx val="6"/>
            <c:bubble3D val="0"/>
            <c:spPr>
              <a:solidFill>
                <a:srgbClr val="0066FF"/>
              </a:solidFill>
            </c:spPr>
          </c:dPt>
          <c:dPt>
            <c:idx val="7"/>
            <c:bubble3D val="0"/>
            <c:spPr>
              <a:solidFill>
                <a:srgbClr val="FF33CC"/>
              </a:solidFill>
            </c:spPr>
          </c:dPt>
          <c:dPt>
            <c:idx val="8"/>
            <c:bubble3D val="0"/>
            <c:spPr>
              <a:solidFill>
                <a:schemeClr val="tx1">
                  <a:lumMod val="85000"/>
                  <a:lumOff val="15000"/>
                </a:schemeClr>
              </a:solidFill>
            </c:spPr>
          </c:dPt>
          <c:dLbls>
            <c:dLbl>
              <c:idx val="0"/>
              <c:layout>
                <c:manualLayout>
                  <c:x val="8.5330792725643086E-3"/>
                  <c:y val="-4.7834789882034217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7386871481359966E-3"/>
                  <c:y val="-2.349848576620230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5.8427165974032282E-2"/>
                  <c:y val="0.12500706642438925"/>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18544970360991994"/>
                  <c:y val="2.930149115975886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6.7590254551045731E-3"/>
                  <c:y val="1.6494604841061561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2.3425897385602602E-3"/>
                  <c:y val="-2.9151740647803692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2.914441585851139E-2"/>
                  <c:y val="-5.80771847963449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3.3782609913974276E-2"/>
                  <c:y val="-7.332652649188081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2.8278155141036584E-2"/>
                  <c:y val="-2.3129775444736048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'расх_функц 21'!$B$4:$B$13</c:f>
              <c:strCache>
                <c:ptCount val="10"/>
                <c:pt idx="0">
                  <c:v>Общегосударственные расходы </c:v>
                </c:pt>
                <c:pt idx="1">
                  <c:v>Правоохранительная деятельность</c:v>
                </c:pt>
                <c:pt idx="2">
                  <c:v>Национальная экономика</c:v>
                </c:pt>
                <c:pt idx="3">
                  <c:v>ЖКХ</c:v>
                </c:pt>
                <c:pt idx="4">
                  <c:v>Образование</c:v>
                </c:pt>
                <c:pt idx="5">
                  <c:v>Культура</c:v>
                </c:pt>
                <c:pt idx="6">
                  <c:v>Социальная политика</c:v>
                </c:pt>
                <c:pt idx="7">
                  <c:v>Физическая культура</c:v>
                </c:pt>
                <c:pt idx="8">
                  <c:v>Обслуживание мун.долга</c:v>
                </c:pt>
                <c:pt idx="9">
                  <c:v>Прочие</c:v>
                </c:pt>
              </c:strCache>
            </c:strRef>
          </c:cat>
          <c:val>
            <c:numRef>
              <c:f>'расх_функц 21'!$C$4:$C$13</c:f>
              <c:numCache>
                <c:formatCode>#,##0.0</c:formatCode>
                <c:ptCount val="10"/>
                <c:pt idx="0">
                  <c:v>340.1</c:v>
                </c:pt>
                <c:pt idx="1">
                  <c:v>26</c:v>
                </c:pt>
                <c:pt idx="2">
                  <c:v>514.29999999999995</c:v>
                </c:pt>
                <c:pt idx="3">
                  <c:v>215.4</c:v>
                </c:pt>
                <c:pt idx="4">
                  <c:v>2330.4</c:v>
                </c:pt>
                <c:pt idx="5">
                  <c:v>280.10000000000002</c:v>
                </c:pt>
                <c:pt idx="6">
                  <c:v>94.2</c:v>
                </c:pt>
                <c:pt idx="7">
                  <c:v>323.60000000000002</c:v>
                </c:pt>
                <c:pt idx="8">
                  <c:v>27.9</c:v>
                </c:pt>
                <c:pt idx="9" formatCode="#,##0.00">
                  <c:v>0.4</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1833559772465996"/>
          <c:y val="3.1764183323238437E-2"/>
          <c:w val="0.36277550315071788"/>
          <c:h val="0.95434315155050065"/>
        </c:manualLayout>
      </c:layout>
      <c:overlay val="0"/>
      <c:txPr>
        <a:bodyPr/>
        <a:lstStyle/>
        <a:p>
          <a:pPr>
            <a:defRPr sz="1200">
              <a:latin typeface="Times New Roman" pitchFamily="18" charset="0"/>
              <a:cs typeface="Times New Roman" pitchFamily="18" charset="0"/>
            </a:defRPr>
          </a:pPr>
          <a:endParaRPr lang="ru-RU"/>
        </a:p>
      </c:txPr>
    </c:legend>
    <c:plotVisOnly val="1"/>
    <c:dispBlanksAs val="zero"/>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9.446766169154229E-2"/>
          <c:y val="3.4267912772585812E-2"/>
          <c:w val="0.68406471579112316"/>
          <c:h val="0.86769470404984883"/>
        </c:manualLayout>
      </c:layout>
      <c:bar3DChart>
        <c:barDir val="col"/>
        <c:grouping val="stacked"/>
        <c:varyColors val="0"/>
        <c:ser>
          <c:idx val="0"/>
          <c:order val="0"/>
          <c:tx>
            <c:strRef>
              <c:f>расх_ист!$B$4</c:f>
              <c:strCache>
                <c:ptCount val="1"/>
                <c:pt idx="0">
                  <c:v>Расходы за счет средств МБ</c:v>
                </c:pt>
              </c:strCache>
            </c:strRef>
          </c:tx>
          <c:invertIfNegative val="0"/>
          <c:dLbls>
            <c:spPr>
              <a:noFill/>
              <a:ln>
                <a:noFill/>
              </a:ln>
              <a:effectLst/>
            </c:spPr>
            <c:txPr>
              <a:bodyPr/>
              <a:lstStyle/>
              <a:p>
                <a:pPr>
                  <a:defRPr b="1">
                    <a:solidFill>
                      <a:schemeClr val="bg1"/>
                    </a:solidFil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расх_ист!$C$2:$F$2</c:f>
              <c:strCache>
                <c:ptCount val="4"/>
                <c:pt idx="0">
                  <c:v>Оценка 2020</c:v>
                </c:pt>
                <c:pt idx="1">
                  <c:v>Прогноз 2021</c:v>
                </c:pt>
                <c:pt idx="2">
                  <c:v>Прогноз 2022</c:v>
                </c:pt>
                <c:pt idx="3">
                  <c:v>Проноз 2023</c:v>
                </c:pt>
              </c:strCache>
            </c:strRef>
          </c:cat>
          <c:val>
            <c:numRef>
              <c:f>расх_ист!$C$4:$F$4</c:f>
              <c:numCache>
                <c:formatCode>#,##0.0</c:formatCode>
                <c:ptCount val="4"/>
                <c:pt idx="0">
                  <c:v>54.1</c:v>
                </c:pt>
                <c:pt idx="1">
                  <c:v>62.3</c:v>
                </c:pt>
                <c:pt idx="2">
                  <c:v>59.1</c:v>
                </c:pt>
                <c:pt idx="3">
                  <c:v>59.981765343949782</c:v>
                </c:pt>
              </c:numCache>
            </c:numRef>
          </c:val>
        </c:ser>
        <c:ser>
          <c:idx val="1"/>
          <c:order val="1"/>
          <c:tx>
            <c:strRef>
              <c:f>расх_ист!$B$5</c:f>
              <c:strCache>
                <c:ptCount val="1"/>
                <c:pt idx="0">
                  <c:v>Расходы за счет целевых МБТ</c:v>
                </c:pt>
              </c:strCache>
            </c:strRef>
          </c:tx>
          <c:spPr>
            <a:solidFill>
              <a:schemeClr val="accent2">
                <a:lumMod val="60000"/>
                <a:lumOff val="40000"/>
              </a:schemeClr>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расх_ист!$C$2:$F$2</c:f>
              <c:strCache>
                <c:ptCount val="4"/>
                <c:pt idx="0">
                  <c:v>Оценка 2020</c:v>
                </c:pt>
                <c:pt idx="1">
                  <c:v>Прогноз 2021</c:v>
                </c:pt>
                <c:pt idx="2">
                  <c:v>Прогноз 2022</c:v>
                </c:pt>
                <c:pt idx="3">
                  <c:v>Проноз 2023</c:v>
                </c:pt>
              </c:strCache>
            </c:strRef>
          </c:cat>
          <c:val>
            <c:numRef>
              <c:f>расх_ист!$C$5:$F$5</c:f>
              <c:numCache>
                <c:formatCode>#,##0.0</c:formatCode>
                <c:ptCount val="4"/>
                <c:pt idx="0">
                  <c:v>45.9</c:v>
                </c:pt>
                <c:pt idx="1">
                  <c:v>37.700000000000003</c:v>
                </c:pt>
                <c:pt idx="2">
                  <c:v>40.9</c:v>
                </c:pt>
                <c:pt idx="3">
                  <c:v>40.018234656050225</c:v>
                </c:pt>
              </c:numCache>
            </c:numRef>
          </c:val>
        </c:ser>
        <c:dLbls>
          <c:showLegendKey val="0"/>
          <c:showVal val="0"/>
          <c:showCatName val="0"/>
          <c:showSerName val="0"/>
          <c:showPercent val="0"/>
          <c:showBubbleSize val="0"/>
        </c:dLbls>
        <c:gapWidth val="150"/>
        <c:shape val="box"/>
        <c:axId val="175703008"/>
        <c:axId val="175703400"/>
        <c:axId val="0"/>
      </c:bar3DChart>
      <c:catAx>
        <c:axId val="175703008"/>
        <c:scaling>
          <c:orientation val="minMax"/>
        </c:scaling>
        <c:delete val="0"/>
        <c:axPos val="b"/>
        <c:numFmt formatCode="General" sourceLinked="1"/>
        <c:majorTickMark val="out"/>
        <c:minorTickMark val="none"/>
        <c:tickLblPos val="nextTo"/>
        <c:crossAx val="175703400"/>
        <c:crosses val="autoZero"/>
        <c:auto val="1"/>
        <c:lblAlgn val="ctr"/>
        <c:lblOffset val="100"/>
        <c:noMultiLvlLbl val="0"/>
      </c:catAx>
      <c:valAx>
        <c:axId val="175703400"/>
        <c:scaling>
          <c:orientation val="minMax"/>
        </c:scaling>
        <c:delete val="0"/>
        <c:axPos val="l"/>
        <c:majorGridlines>
          <c:spPr>
            <a:ln>
              <a:solidFill>
                <a:schemeClr val="bg1">
                  <a:lumMod val="85000"/>
                </a:schemeClr>
              </a:solidFill>
            </a:ln>
          </c:spPr>
        </c:majorGridlines>
        <c:numFmt formatCode="#,##0.0" sourceLinked="1"/>
        <c:majorTickMark val="out"/>
        <c:minorTickMark val="none"/>
        <c:tickLblPos val="nextTo"/>
        <c:crossAx val="175703008"/>
        <c:crosses val="autoZero"/>
        <c:crossBetween val="between"/>
      </c:valAx>
    </c:plotArea>
    <c:legend>
      <c:legendPos val="r"/>
      <c:layout>
        <c:manualLayout>
          <c:xMode val="edge"/>
          <c:yMode val="edge"/>
          <c:x val="0.80497424679079665"/>
          <c:y val="5.6889406535109849E-2"/>
          <c:w val="0.17768663842556093"/>
          <c:h val="0.88643962321261149"/>
        </c:manualLayout>
      </c:layout>
      <c:overlay val="0"/>
      <c:txPr>
        <a:bodyPr/>
        <a:lstStyle/>
        <a:p>
          <a:pPr>
            <a:defRPr sz="1200"/>
          </a:pPr>
          <a:endParaRPr lang="ru-RU"/>
        </a:p>
      </c:txPr>
    </c:legend>
    <c:plotVisOnly val="1"/>
    <c:dispBlanksAs val="gap"/>
    <c:showDLblsOverMax val="0"/>
  </c:chart>
  <c:spPr>
    <a:ln>
      <a:noFill/>
    </a:ln>
    <a:effectLst/>
    <a:scene3d>
      <a:camera prst="orthographicFront"/>
      <a:lightRig rig="threePt" dir="t"/>
    </a:scene3d>
    <a:sp3d prstMaterial="dkEdge"/>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manualLayout>
          <c:layoutTarget val="inner"/>
          <c:xMode val="edge"/>
          <c:yMode val="edge"/>
          <c:x val="4.2719214375001979E-2"/>
          <c:y val="4.7720776634393593E-2"/>
          <c:w val="0.61800460604189844"/>
          <c:h val="0.90554657791959015"/>
        </c:manualLayout>
      </c:layout>
      <c:doughnutChart>
        <c:varyColors val="1"/>
        <c:ser>
          <c:idx val="0"/>
          <c:order val="0"/>
          <c:dLbls>
            <c:dLbl>
              <c:idx val="0"/>
              <c:layout>
                <c:manualLayout>
                  <c:x val="4.9566294919455378E-3"/>
                  <c:y val="-0.13943355119825709"/>
                </c:manualLayout>
              </c:layou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2.4783147459727699E-2"/>
                  <c:y val="-0.13362381989832969"/>
                </c:manualLayout>
              </c:layou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5.9479553903345833E-2"/>
                  <c:y val="-0.116194625998548"/>
                </c:manualLayout>
              </c:layou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7.6001652209830683E-2"/>
                  <c:y val="-0.11038489469861998"/>
                </c:manualLayout>
              </c:layou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6.4488624004872624E-2"/>
                  <c:y val="-0.11630388306724818"/>
                </c:manualLayout>
              </c:layout>
              <c:showLegendKey val="0"/>
              <c:showVal val="0"/>
              <c:showCatName val="0"/>
              <c:showSerName val="0"/>
              <c:showPercent val="1"/>
              <c:showBubbleSize val="0"/>
              <c:extLst>
                <c:ext xmlns:c15="http://schemas.microsoft.com/office/drawing/2012/chart" uri="{CE6537A1-D6FC-4f65-9D91-7224C49458BB}">
                  <c15:layout/>
                </c:ext>
              </c:extLst>
            </c:dLbl>
            <c:dLbl>
              <c:idx val="5"/>
              <c:layout>
                <c:manualLayout>
                  <c:x val="9.4161208562243748E-2"/>
                  <c:y val="4.2393562063803826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6"/>
              <c:layout>
                <c:manualLayout>
                  <c:x val="9.6690236725650525E-2"/>
                  <c:y val="4.8217349757398158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7"/>
              <c:layout>
                <c:manualLayout>
                  <c:x val="-0.1454423178572424"/>
                  <c:y val="5.7069835446713103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8"/>
              <c:layout>
                <c:manualLayout>
                  <c:x val="-7.9306071871128328E-2"/>
                  <c:y val="-8.7145969498910694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9"/>
              <c:layout>
                <c:manualLayout>
                  <c:x val="-3.1391986782321482E-2"/>
                  <c:y val="-0.13362381989832969"/>
                </c:manualLayout>
              </c:layout>
              <c:showLegendKey val="0"/>
              <c:showVal val="0"/>
              <c:showCatName val="0"/>
              <c:showSerName val="0"/>
              <c:showPercent val="1"/>
              <c:showBubbleSize val="0"/>
              <c:extLst>
                <c:ext xmlns:c15="http://schemas.microsoft.com/office/drawing/2012/chart" uri="{CE6537A1-D6FC-4f65-9D91-7224C49458BB}">
                  <c15:layout/>
                </c:ext>
              </c:extLst>
            </c:dLbl>
            <c:dLbl>
              <c:idx val="10"/>
              <c:layout>
                <c:manualLayout>
                  <c:x val="-1.9879062078566146E-2"/>
                  <c:y val="-0.13943362342865037"/>
                </c:manualLayout>
              </c:layout>
              <c:showLegendKey val="0"/>
              <c:showVal val="0"/>
              <c:showCatName val="0"/>
              <c:showSerName val="0"/>
              <c:showPercent val="1"/>
              <c:showBubbleSize val="0"/>
              <c:extLst>
                <c:ext xmlns:c15="http://schemas.microsoft.com/office/drawing/2012/chart" uri="{CE6537A1-D6FC-4f65-9D91-7224C49458BB}">
                  <c15:layout/>
                </c:ext>
              </c:extLst>
            </c:dLbl>
            <c:dLbl>
              <c:idx val="11"/>
              <c:layout>
                <c:manualLayout>
                  <c:x val="-1.1049689730120721E-2"/>
                  <c:y val="-0.14026118686383793"/>
                </c:manualLayout>
              </c:layou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'расх ГРБС'!$C$2:$C$13</c:f>
              <c:strCache>
                <c:ptCount val="12"/>
                <c:pt idx="0">
                  <c:v>Дума ЗАТО Северск</c:v>
                </c:pt>
                <c:pt idx="1">
                  <c:v>Счетная палата</c:v>
                </c:pt>
                <c:pt idx="2">
                  <c:v>Администрация ЗАТО Северск</c:v>
                </c:pt>
                <c:pt idx="3">
                  <c:v>Финансовое управление</c:v>
                </c:pt>
                <c:pt idx="4">
                  <c:v>УМСП ФКиС</c:v>
                </c:pt>
                <c:pt idx="5">
                  <c:v>Управление культуры</c:v>
                </c:pt>
                <c:pt idx="6">
                  <c:v>Управление ЧС</c:v>
                </c:pt>
                <c:pt idx="7">
                  <c:v>Управление образования</c:v>
                </c:pt>
                <c:pt idx="8">
                  <c:v>УИО</c:v>
                </c:pt>
                <c:pt idx="9">
                  <c:v>УЖКХ ТиС</c:v>
                </c:pt>
                <c:pt idx="10">
                  <c:v>УКС</c:v>
                </c:pt>
                <c:pt idx="11">
                  <c:v>УВГТ</c:v>
                </c:pt>
              </c:strCache>
            </c:strRef>
          </c:cat>
          <c:val>
            <c:numRef>
              <c:f>'расх ГРБС'!$D$2:$D$13</c:f>
              <c:numCache>
                <c:formatCode>#,##0.00</c:formatCode>
                <c:ptCount val="12"/>
                <c:pt idx="0">
                  <c:v>56.5</c:v>
                </c:pt>
                <c:pt idx="1">
                  <c:v>15.12</c:v>
                </c:pt>
                <c:pt idx="2">
                  <c:v>296.01</c:v>
                </c:pt>
                <c:pt idx="3">
                  <c:v>62.17</c:v>
                </c:pt>
                <c:pt idx="4">
                  <c:v>419.5</c:v>
                </c:pt>
                <c:pt idx="5">
                  <c:v>380.4</c:v>
                </c:pt>
                <c:pt idx="6">
                  <c:v>25.93</c:v>
                </c:pt>
                <c:pt idx="7">
                  <c:v>2069.2599999999998</c:v>
                </c:pt>
                <c:pt idx="8">
                  <c:v>82.990000000000023</c:v>
                </c:pt>
                <c:pt idx="9">
                  <c:v>405.27</c:v>
                </c:pt>
                <c:pt idx="10">
                  <c:v>291.45999999999964</c:v>
                </c:pt>
                <c:pt idx="11">
                  <c:v>47.790000000000013</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66722828584431471"/>
          <c:y val="2.0055827283454085E-2"/>
          <c:w val="0.32185766944298838"/>
          <c:h val="0.97994426977007565"/>
        </c:manualLayout>
      </c:layout>
      <c:overlay val="0"/>
      <c:txPr>
        <a:bodyPr/>
        <a:lstStyle/>
        <a:p>
          <a:pPr rtl="0">
            <a:defRPr sz="1200"/>
          </a:pPr>
          <a:endParaRPr lang="ru-RU"/>
        </a:p>
      </c:txPr>
    </c:legend>
    <c:plotVisOnly val="1"/>
    <c:dispBlanksAs val="zero"/>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5C2B7-899D-4B1B-94AE-4EC2A5EC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6342</TotalTime>
  <Pages>70</Pages>
  <Words>27928</Words>
  <Characters>159193</Characters>
  <Application>Microsoft Office Word</Application>
  <DocSecurity>0</DocSecurity>
  <Lines>1326</Lines>
  <Paragraphs>373</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Home</Company>
  <LinksUpToDate>false</LinksUpToDate>
  <CharactersWithSpaces>186748</CharactersWithSpaces>
  <SharedDoc>false</SharedDoc>
  <HLinks>
    <vt:vector size="96" baseType="variant">
      <vt:variant>
        <vt:i4>196702</vt:i4>
      </vt:variant>
      <vt:variant>
        <vt:i4>48</vt:i4>
      </vt:variant>
      <vt:variant>
        <vt:i4>0</vt:i4>
      </vt:variant>
      <vt:variant>
        <vt:i4>5</vt:i4>
      </vt:variant>
      <vt:variant>
        <vt:lpwstr>consultantplus://offline/ref=E9DA9630072F93629DCC33C5ED466E4E7977BF9F5A98AD46EFEA469C630F54C0CB977A8613C3EFA95A7F59U3n4H</vt:lpwstr>
      </vt:variant>
      <vt:variant>
        <vt:lpwstr/>
      </vt:variant>
      <vt:variant>
        <vt:i4>2621497</vt:i4>
      </vt:variant>
      <vt:variant>
        <vt:i4>45</vt:i4>
      </vt:variant>
      <vt:variant>
        <vt:i4>0</vt:i4>
      </vt:variant>
      <vt:variant>
        <vt:i4>5</vt:i4>
      </vt:variant>
      <vt:variant>
        <vt:lpwstr>consultantplus://offline/ref=1CB9F386A2855991F2B1A15C000F3B62A0987E8950C2D2AB892465FEA89D8D99E1CB5E7482A42E31614AC13ESBR3I</vt:lpwstr>
      </vt:variant>
      <vt:variant>
        <vt:lpwstr/>
      </vt:variant>
      <vt:variant>
        <vt:i4>3407924</vt:i4>
      </vt:variant>
      <vt:variant>
        <vt:i4>42</vt:i4>
      </vt:variant>
      <vt:variant>
        <vt:i4>0</vt:i4>
      </vt:variant>
      <vt:variant>
        <vt:i4>5</vt:i4>
      </vt:variant>
      <vt:variant>
        <vt:lpwstr>consultantplus://offline/ref=4C05E0CCA8993D5453A27DC4B471642252B9972C6E025701C5C24BC69C3080C0957A70F231A63D0B0ECD1B33cBQ8I</vt:lpwstr>
      </vt:variant>
      <vt:variant>
        <vt:lpwstr/>
      </vt:variant>
      <vt:variant>
        <vt:i4>6357048</vt:i4>
      </vt:variant>
      <vt:variant>
        <vt:i4>39</vt:i4>
      </vt:variant>
      <vt:variant>
        <vt:i4>0</vt:i4>
      </vt:variant>
      <vt:variant>
        <vt:i4>5</vt:i4>
      </vt:variant>
      <vt:variant>
        <vt:lpwstr>consultantplus://offline/ref=A211640A42F552735F3202A1EBAB029EB206C70EC41F888C11E786C0BE53C2690E48E04686173A258CDE927A6By2G</vt:lpwstr>
      </vt:variant>
      <vt:variant>
        <vt:lpwstr/>
      </vt:variant>
      <vt:variant>
        <vt:i4>7667767</vt:i4>
      </vt:variant>
      <vt:variant>
        <vt:i4>36</vt:i4>
      </vt:variant>
      <vt:variant>
        <vt:i4>0</vt:i4>
      </vt:variant>
      <vt:variant>
        <vt:i4>5</vt:i4>
      </vt:variant>
      <vt:variant>
        <vt:lpwstr>consultantplus://offline/ref=2F3B4A1877AAE8A45CB6CF6678D2F96E89E973EC3728132C595CD48F9DC10877837740220C95F8BFB71BBB1Bq1x5G</vt:lpwstr>
      </vt:variant>
      <vt:variant>
        <vt:lpwstr/>
      </vt:variant>
      <vt:variant>
        <vt:i4>2293813</vt:i4>
      </vt:variant>
      <vt:variant>
        <vt:i4>33</vt:i4>
      </vt:variant>
      <vt:variant>
        <vt:i4>0</vt:i4>
      </vt:variant>
      <vt:variant>
        <vt:i4>5</vt:i4>
      </vt:variant>
      <vt:variant>
        <vt:lpwstr>consultantplus://offline/ref=B7B643844F8ECD4E203C5991A24CF344AEDBF65B5CA935B35EC6A2626D9D177073D087D63AA8A50F8239DAEFy2W0I</vt:lpwstr>
      </vt:variant>
      <vt:variant>
        <vt:lpwstr/>
      </vt:variant>
      <vt:variant>
        <vt:i4>6553705</vt:i4>
      </vt:variant>
      <vt:variant>
        <vt:i4>30</vt:i4>
      </vt:variant>
      <vt:variant>
        <vt:i4>0</vt:i4>
      </vt:variant>
      <vt:variant>
        <vt:i4>5</vt:i4>
      </vt:variant>
      <vt:variant>
        <vt:lpwstr>consultantplus://offline/ref=19A6C200FA37A00A60644554E628B60A6917F7BDB166D13A797F396C6E1D4B0665CB47711E2205D0BD26C06313YEI</vt:lpwstr>
      </vt:variant>
      <vt:variant>
        <vt:lpwstr/>
      </vt:variant>
      <vt:variant>
        <vt:i4>6553705</vt:i4>
      </vt:variant>
      <vt:variant>
        <vt:i4>27</vt:i4>
      </vt:variant>
      <vt:variant>
        <vt:i4>0</vt:i4>
      </vt:variant>
      <vt:variant>
        <vt:i4>5</vt:i4>
      </vt:variant>
      <vt:variant>
        <vt:lpwstr>consultantplus://offline/ref=19A6C200FA37A00A60644554E628B60A6917F7BDB166D13A797F396C6E1D4B0665CB47711E2205D0BD26C06313YEI</vt:lpwstr>
      </vt:variant>
      <vt:variant>
        <vt:lpwstr/>
      </vt:variant>
      <vt:variant>
        <vt:i4>2293813</vt:i4>
      </vt:variant>
      <vt:variant>
        <vt:i4>24</vt:i4>
      </vt:variant>
      <vt:variant>
        <vt:i4>0</vt:i4>
      </vt:variant>
      <vt:variant>
        <vt:i4>5</vt:i4>
      </vt:variant>
      <vt:variant>
        <vt:lpwstr>consultantplus://offline/ref=B7B643844F8ECD4E203C5991A24CF344AEDBF65B5CA935B35EC6A2626D9D177073D087D63AA8A50F8239DAEFy2W0I</vt:lpwstr>
      </vt:variant>
      <vt:variant>
        <vt:lpwstr/>
      </vt:variant>
      <vt:variant>
        <vt:i4>7143532</vt:i4>
      </vt:variant>
      <vt:variant>
        <vt:i4>21</vt:i4>
      </vt:variant>
      <vt:variant>
        <vt:i4>0</vt:i4>
      </vt:variant>
      <vt:variant>
        <vt:i4>5</vt:i4>
      </vt:variant>
      <vt:variant>
        <vt:lpwstr>consultantplus://offline/ref=24D00F148AF206E1B84FA4910E4F0034438A0BE4C44437206D06ADD3963169BF2F7AA9CA4C1F23D3AEAFAD236AVBI</vt:lpwstr>
      </vt:variant>
      <vt:variant>
        <vt:lpwstr/>
      </vt:variant>
      <vt:variant>
        <vt:i4>6946877</vt:i4>
      </vt:variant>
      <vt:variant>
        <vt:i4>18</vt:i4>
      </vt:variant>
      <vt:variant>
        <vt:i4>0</vt:i4>
      </vt:variant>
      <vt:variant>
        <vt:i4>5</vt:i4>
      </vt:variant>
      <vt:variant>
        <vt:lpwstr>consultantplus://offline/ref=E1661464F0F4E906758D849239434588325C6DAF4C34FB3DF5F6FEAB74B8E337DC30B66232D9B3CFF76EC50AfDTEI</vt:lpwstr>
      </vt:variant>
      <vt:variant>
        <vt:lpwstr/>
      </vt:variant>
      <vt:variant>
        <vt:i4>2621497</vt:i4>
      </vt:variant>
      <vt:variant>
        <vt:i4>15</vt:i4>
      </vt:variant>
      <vt:variant>
        <vt:i4>0</vt:i4>
      </vt:variant>
      <vt:variant>
        <vt:i4>5</vt:i4>
      </vt:variant>
      <vt:variant>
        <vt:lpwstr>consultantplus://offline/ref=1CB9F386A2855991F2B1A15C000F3B62A0987E8950C2D2AB892465FEA89D8D99E1CB5E7482A42E31614AC13ESBR3I</vt:lpwstr>
      </vt:variant>
      <vt:variant>
        <vt:lpwstr/>
      </vt:variant>
      <vt:variant>
        <vt:i4>3407924</vt:i4>
      </vt:variant>
      <vt:variant>
        <vt:i4>12</vt:i4>
      </vt:variant>
      <vt:variant>
        <vt:i4>0</vt:i4>
      </vt:variant>
      <vt:variant>
        <vt:i4>5</vt:i4>
      </vt:variant>
      <vt:variant>
        <vt:lpwstr>consultantplus://offline/ref=4C05E0CCA8993D5453A27DC4B471642252B9972C6E025701C5C24BC69C3080C0957A70F231A63D0B0ECD1B33cBQ8I</vt:lpwstr>
      </vt:variant>
      <vt:variant>
        <vt:lpwstr/>
      </vt:variant>
      <vt:variant>
        <vt:i4>655367</vt:i4>
      </vt:variant>
      <vt:variant>
        <vt:i4>9</vt:i4>
      </vt:variant>
      <vt:variant>
        <vt:i4>0</vt:i4>
      </vt:variant>
      <vt:variant>
        <vt:i4>5</vt:i4>
      </vt:variant>
      <vt:variant>
        <vt:lpwstr>consultantplus://offline/ref=7B2D5DD293421172B976DA393B4158C12762A6D95FC69740FF270C510BXCgFF</vt:lpwstr>
      </vt:variant>
      <vt:variant>
        <vt:lpwstr/>
      </vt:variant>
      <vt:variant>
        <vt:i4>6881387</vt:i4>
      </vt:variant>
      <vt:variant>
        <vt:i4>6</vt:i4>
      </vt:variant>
      <vt:variant>
        <vt:i4>0</vt:i4>
      </vt:variant>
      <vt:variant>
        <vt:i4>5</vt:i4>
      </vt:variant>
      <vt:variant>
        <vt:lpwstr>consultantplus://offline/ref=C302DBF069FEBA619210C9929B2622799EB3C74EEF772B4AC7893CF1ABD3CBEC56A271C45EFFAC4559005615BBE28553AB1975B0221FhCQ8C</vt:lpwstr>
      </vt:variant>
      <vt:variant>
        <vt:lpwstr/>
      </vt:variant>
      <vt:variant>
        <vt:i4>131083</vt:i4>
      </vt:variant>
      <vt:variant>
        <vt:i4>3</vt:i4>
      </vt:variant>
      <vt:variant>
        <vt:i4>0</vt:i4>
      </vt:variant>
      <vt:variant>
        <vt:i4>5</vt:i4>
      </vt:variant>
      <vt:variant>
        <vt:lpwstr>consultantplus://offline/ref=F87FDCF96CD90911100005ADB001997AA441A3659263D3F2469D99209C77B143C44E1BD8282AACDBF9F96EC962061841FB0854CE4B8B3CbAs1D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Shurygina</dc:creator>
  <cp:lastModifiedBy>Kirillova</cp:lastModifiedBy>
  <cp:revision>236</cp:revision>
  <cp:lastPrinted>2020-10-29T14:23:00Z</cp:lastPrinted>
  <dcterms:created xsi:type="dcterms:W3CDTF">2019-10-21T10:10:00Z</dcterms:created>
  <dcterms:modified xsi:type="dcterms:W3CDTF">2020-10-29T14:25:00Z</dcterms:modified>
</cp:coreProperties>
</file>